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360" w:lineRule="auto"/>
        <w:rPr>
          <w:b/>
          <w:sz w:val="28"/>
          <w:szCs w:val="28"/>
        </w:rPr>
      </w:pPr>
    </w:p>
    <w:p>
      <w:pPr>
        <w:adjustRightInd w:val="0"/>
        <w:snapToGrid w:val="0"/>
        <w:spacing w:line="360" w:lineRule="auto"/>
        <w:rPr>
          <w:b/>
          <w:sz w:val="28"/>
          <w:szCs w:val="28"/>
        </w:rPr>
      </w:pPr>
    </w:p>
    <w:p>
      <w:pPr>
        <w:adjustRightInd w:val="0"/>
        <w:snapToGrid w:val="0"/>
        <w:spacing w:line="360" w:lineRule="auto"/>
        <w:rPr>
          <w:b/>
          <w:sz w:val="28"/>
          <w:szCs w:val="28"/>
        </w:rPr>
      </w:pPr>
    </w:p>
    <w:p>
      <w:pPr>
        <w:spacing w:line="360" w:lineRule="auto"/>
        <w:jc w:val="center"/>
        <w:rPr>
          <w:rFonts w:eastAsia="楷体_GB2312"/>
          <w:b/>
          <w:snapToGrid w:val="0"/>
          <w:kern w:val="0"/>
          <w:sz w:val="48"/>
          <w:szCs w:val="48"/>
        </w:rPr>
      </w:pPr>
      <w:r>
        <w:rPr>
          <w:rFonts w:hint="eastAsia" w:eastAsia="楷体_GB2312"/>
          <w:b/>
          <w:snapToGrid w:val="0"/>
          <w:kern w:val="0"/>
          <w:sz w:val="48"/>
          <w:szCs w:val="48"/>
        </w:rPr>
        <w:t>陕西西咸新区泾河新城水务有限公司</w:t>
      </w:r>
    </w:p>
    <w:p>
      <w:pPr>
        <w:spacing w:line="360" w:lineRule="auto"/>
        <w:jc w:val="center"/>
        <w:rPr>
          <w:rFonts w:eastAsia="楷体_GB2312"/>
          <w:b/>
          <w:snapToGrid w:val="0"/>
          <w:kern w:val="0"/>
          <w:sz w:val="48"/>
          <w:szCs w:val="48"/>
        </w:rPr>
      </w:pPr>
      <w:r>
        <w:rPr>
          <w:rFonts w:hint="eastAsia" w:eastAsia="楷体_GB2312"/>
          <w:b/>
          <w:snapToGrid w:val="0"/>
          <w:kern w:val="0"/>
          <w:sz w:val="48"/>
          <w:szCs w:val="48"/>
        </w:rPr>
        <w:t>泾河新城应急供水工程（一期）项目</w:t>
      </w:r>
    </w:p>
    <w:p>
      <w:pPr>
        <w:spacing w:line="360" w:lineRule="auto"/>
        <w:jc w:val="center"/>
        <w:rPr>
          <w:rFonts w:eastAsia="楷体_GB2312"/>
          <w:b/>
          <w:snapToGrid w:val="0"/>
          <w:kern w:val="0"/>
          <w:sz w:val="72"/>
          <w:szCs w:val="72"/>
        </w:rPr>
      </w:pPr>
      <w:r>
        <w:rPr>
          <w:rFonts w:eastAsia="楷体_GB2312"/>
          <w:b/>
          <w:snapToGrid w:val="0"/>
          <w:kern w:val="0"/>
          <w:sz w:val="72"/>
          <w:szCs w:val="72"/>
        </w:rPr>
        <w:t>环境影响报告书</w:t>
      </w:r>
    </w:p>
    <w:p>
      <w:pPr>
        <w:jc w:val="center"/>
        <w:rPr>
          <w:rFonts w:eastAsia="华文中宋"/>
          <w:b/>
          <w:sz w:val="44"/>
          <w:szCs w:val="44"/>
        </w:rPr>
      </w:pPr>
      <w:r>
        <w:rPr>
          <w:rFonts w:eastAsia="楷体_GB2312"/>
          <w:b/>
          <w:snapToGrid w:val="0"/>
          <w:kern w:val="0"/>
          <w:sz w:val="44"/>
          <w:szCs w:val="44"/>
        </w:rPr>
        <w:t>（</w:t>
      </w:r>
      <w:r>
        <w:rPr>
          <w:rFonts w:hint="eastAsia" w:eastAsia="楷体_GB2312"/>
          <w:b/>
          <w:snapToGrid w:val="0"/>
          <w:kern w:val="0"/>
          <w:sz w:val="44"/>
          <w:szCs w:val="44"/>
        </w:rPr>
        <w:t>送审稿</w:t>
      </w:r>
      <w:r>
        <w:rPr>
          <w:rFonts w:eastAsia="楷体_GB2312"/>
          <w:b/>
          <w:snapToGrid w:val="0"/>
          <w:kern w:val="0"/>
          <w:sz w:val="44"/>
          <w:szCs w:val="44"/>
        </w:rPr>
        <w:t>）</w:t>
      </w:r>
    </w:p>
    <w:p>
      <w:pPr>
        <w:adjustRightInd w:val="0"/>
        <w:snapToGrid w:val="0"/>
        <w:spacing w:line="360" w:lineRule="auto"/>
        <w:rPr>
          <w:sz w:val="36"/>
          <w:szCs w:val="36"/>
        </w:rPr>
      </w:pPr>
    </w:p>
    <w:p>
      <w:pPr>
        <w:adjustRightInd w:val="0"/>
        <w:snapToGrid w:val="0"/>
        <w:spacing w:line="360" w:lineRule="auto"/>
        <w:rPr>
          <w:sz w:val="36"/>
          <w:szCs w:val="36"/>
        </w:rPr>
      </w:pPr>
    </w:p>
    <w:p>
      <w:pPr>
        <w:adjustRightInd w:val="0"/>
        <w:snapToGrid w:val="0"/>
        <w:spacing w:line="360" w:lineRule="auto"/>
        <w:rPr>
          <w:rFonts w:hint="eastAsia"/>
          <w:sz w:val="36"/>
          <w:szCs w:val="36"/>
        </w:rPr>
      </w:pPr>
    </w:p>
    <w:p>
      <w:pPr>
        <w:adjustRightInd w:val="0"/>
        <w:snapToGrid w:val="0"/>
        <w:spacing w:line="360" w:lineRule="auto"/>
        <w:rPr>
          <w:rFonts w:hint="eastAsia"/>
          <w:sz w:val="36"/>
          <w:szCs w:val="36"/>
        </w:rPr>
      </w:pPr>
    </w:p>
    <w:p>
      <w:pPr>
        <w:adjustRightInd w:val="0"/>
        <w:snapToGrid w:val="0"/>
        <w:spacing w:line="360" w:lineRule="auto"/>
        <w:rPr>
          <w:sz w:val="36"/>
          <w:szCs w:val="36"/>
        </w:rPr>
      </w:pPr>
    </w:p>
    <w:p>
      <w:pPr>
        <w:adjustRightInd w:val="0"/>
        <w:snapToGrid w:val="0"/>
        <w:spacing w:line="360" w:lineRule="auto"/>
        <w:rPr>
          <w:sz w:val="36"/>
          <w:szCs w:val="36"/>
        </w:rPr>
      </w:pPr>
    </w:p>
    <w:p>
      <w:pPr>
        <w:adjustRightInd w:val="0"/>
        <w:snapToGrid w:val="0"/>
        <w:spacing w:line="360" w:lineRule="auto"/>
        <w:rPr>
          <w:sz w:val="36"/>
          <w:szCs w:val="36"/>
        </w:rPr>
      </w:pPr>
    </w:p>
    <w:p>
      <w:pPr>
        <w:adjustRightInd w:val="0"/>
        <w:snapToGrid w:val="0"/>
        <w:spacing w:line="360" w:lineRule="auto"/>
        <w:rPr>
          <w:sz w:val="36"/>
          <w:szCs w:val="36"/>
        </w:rPr>
      </w:pPr>
    </w:p>
    <w:p>
      <w:pPr>
        <w:tabs>
          <w:tab w:val="center" w:pos="4153"/>
          <w:tab w:val="left" w:pos="6330"/>
        </w:tabs>
        <w:adjustRightInd w:val="0"/>
        <w:snapToGrid w:val="0"/>
        <w:spacing w:line="480" w:lineRule="auto"/>
        <w:ind w:firstLine="361" w:firstLineChars="100"/>
        <w:jc w:val="left"/>
        <w:rPr>
          <w:rFonts w:eastAsia="楷体_GB2312"/>
          <w:b/>
          <w:snapToGrid w:val="0"/>
          <w:kern w:val="0"/>
          <w:sz w:val="36"/>
          <w:szCs w:val="36"/>
        </w:rPr>
      </w:pPr>
      <w:r>
        <w:rPr>
          <w:rFonts w:eastAsia="楷体_GB2312"/>
          <w:b/>
          <w:snapToGrid w:val="0"/>
          <w:kern w:val="0"/>
          <w:sz w:val="36"/>
          <w:szCs w:val="36"/>
        </w:rPr>
        <w:t>建设单位：</w:t>
      </w:r>
      <w:r>
        <w:rPr>
          <w:rFonts w:hint="eastAsia" w:eastAsia="楷体_GB2312"/>
          <w:b/>
          <w:snapToGrid w:val="0"/>
          <w:kern w:val="0"/>
          <w:sz w:val="36"/>
          <w:szCs w:val="36"/>
        </w:rPr>
        <w:t>陕西西咸新区泾河新城水务有限公司</w:t>
      </w:r>
    </w:p>
    <w:p>
      <w:pPr>
        <w:tabs>
          <w:tab w:val="center" w:pos="4153"/>
          <w:tab w:val="left" w:pos="6330"/>
        </w:tabs>
        <w:adjustRightInd w:val="0"/>
        <w:snapToGrid w:val="0"/>
        <w:spacing w:line="480" w:lineRule="auto"/>
        <w:ind w:firstLine="361" w:firstLineChars="100"/>
        <w:jc w:val="left"/>
        <w:rPr>
          <w:rFonts w:eastAsia="楷体_GB2312"/>
          <w:b/>
          <w:snapToGrid w:val="0"/>
          <w:kern w:val="0"/>
          <w:sz w:val="36"/>
          <w:szCs w:val="36"/>
        </w:rPr>
      </w:pPr>
      <w:r>
        <w:rPr>
          <w:rFonts w:eastAsia="楷体_GB2312"/>
          <w:b/>
          <w:snapToGrid w:val="0"/>
          <w:kern w:val="0"/>
          <w:sz w:val="36"/>
          <w:szCs w:val="36"/>
        </w:rPr>
        <w:t>评价单位</w:t>
      </w:r>
      <w:r>
        <w:rPr>
          <w:rFonts w:hint="eastAsia" w:eastAsia="楷体_GB2312"/>
          <w:b/>
          <w:snapToGrid w:val="0"/>
          <w:kern w:val="0"/>
          <w:sz w:val="36"/>
          <w:szCs w:val="36"/>
        </w:rPr>
        <w:t>（一）：延安市环境科学研究所</w:t>
      </w:r>
    </w:p>
    <w:p>
      <w:pPr>
        <w:tabs>
          <w:tab w:val="center" w:pos="4153"/>
          <w:tab w:val="left" w:pos="6330"/>
        </w:tabs>
        <w:adjustRightInd w:val="0"/>
        <w:snapToGrid w:val="0"/>
        <w:spacing w:line="480" w:lineRule="auto"/>
        <w:ind w:firstLine="361" w:firstLineChars="100"/>
        <w:jc w:val="left"/>
        <w:rPr>
          <w:rFonts w:eastAsia="楷体_GB2312"/>
          <w:b/>
          <w:snapToGrid w:val="0"/>
          <w:kern w:val="0"/>
          <w:sz w:val="36"/>
          <w:szCs w:val="36"/>
        </w:rPr>
      </w:pPr>
      <w:r>
        <w:rPr>
          <w:rFonts w:eastAsia="楷体_GB2312"/>
          <w:b/>
          <w:snapToGrid w:val="0"/>
          <w:kern w:val="0"/>
          <w:sz w:val="36"/>
          <w:szCs w:val="36"/>
        </w:rPr>
        <w:t>评价单位</w:t>
      </w:r>
      <w:r>
        <w:rPr>
          <w:rFonts w:hint="eastAsia" w:eastAsia="楷体_GB2312"/>
          <w:b/>
          <w:snapToGrid w:val="0"/>
          <w:kern w:val="0"/>
          <w:sz w:val="36"/>
          <w:szCs w:val="36"/>
        </w:rPr>
        <w:t>（二）</w:t>
      </w:r>
      <w:r>
        <w:rPr>
          <w:rFonts w:eastAsia="楷体_GB2312"/>
          <w:b/>
          <w:snapToGrid w:val="0"/>
          <w:kern w:val="0"/>
          <w:sz w:val="36"/>
          <w:szCs w:val="36"/>
        </w:rPr>
        <w:t>：</w:t>
      </w:r>
      <w:r>
        <w:rPr>
          <w:rFonts w:hint="eastAsia" w:eastAsia="楷体_GB2312"/>
          <w:b/>
          <w:snapToGrid w:val="0"/>
          <w:kern w:val="0"/>
          <w:sz w:val="36"/>
          <w:szCs w:val="36"/>
        </w:rPr>
        <w:t>广州市环境保护工程设计院有限公司</w:t>
      </w:r>
    </w:p>
    <w:p>
      <w:pPr>
        <w:widowControl/>
        <w:jc w:val="center"/>
        <w:rPr>
          <w:rFonts w:eastAsia="楷体_GB2312"/>
          <w:b/>
          <w:snapToGrid w:val="0"/>
          <w:kern w:val="0"/>
          <w:sz w:val="36"/>
          <w:szCs w:val="36"/>
        </w:rPr>
        <w:sectPr>
          <w:footerReference r:id="rId5" w:type="first"/>
          <w:headerReference r:id="rId3" w:type="default"/>
          <w:footerReference r:id="rId4" w:type="default"/>
          <w:pgSz w:w="11906" w:h="16838"/>
          <w:pgMar w:top="1440" w:right="1440" w:bottom="1440" w:left="1440" w:header="851" w:footer="992" w:gutter="0"/>
          <w:pgNumType w:start="0"/>
          <w:cols w:space="720" w:num="1"/>
          <w:titlePg/>
          <w:docGrid w:type="lines" w:linePitch="312" w:charSpace="0"/>
        </w:sectPr>
      </w:pPr>
      <w:r>
        <w:rPr>
          <w:rFonts w:eastAsia="楷体_GB2312"/>
          <w:b/>
          <w:snapToGrid w:val="0"/>
          <w:kern w:val="0"/>
          <w:sz w:val="36"/>
          <w:szCs w:val="36"/>
        </w:rPr>
        <w:t>二</w:t>
      </w:r>
      <w:r>
        <w:rPr>
          <w:b/>
          <w:snapToGrid w:val="0"/>
          <w:kern w:val="0"/>
          <w:sz w:val="36"/>
          <w:szCs w:val="36"/>
        </w:rPr>
        <w:t>〇</w:t>
      </w:r>
      <w:r>
        <w:rPr>
          <w:rFonts w:eastAsia="楷体_GB2312"/>
          <w:b/>
          <w:snapToGrid w:val="0"/>
          <w:kern w:val="0"/>
          <w:sz w:val="36"/>
          <w:szCs w:val="36"/>
        </w:rPr>
        <w:t>一</w:t>
      </w:r>
      <w:r>
        <w:rPr>
          <w:rFonts w:hint="eastAsia" w:eastAsia="楷体_GB2312"/>
          <w:b/>
          <w:snapToGrid w:val="0"/>
          <w:kern w:val="0"/>
          <w:sz w:val="36"/>
          <w:szCs w:val="36"/>
        </w:rPr>
        <w:t>五</w:t>
      </w:r>
      <w:r>
        <w:rPr>
          <w:rFonts w:eastAsia="楷体_GB2312"/>
          <w:b/>
          <w:snapToGrid w:val="0"/>
          <w:kern w:val="0"/>
          <w:sz w:val="36"/>
          <w:szCs w:val="36"/>
        </w:rPr>
        <w:t>年</w:t>
      </w:r>
      <w:r>
        <w:rPr>
          <w:rFonts w:hint="eastAsia" w:eastAsia="楷体_GB2312"/>
          <w:b/>
          <w:snapToGrid w:val="0"/>
          <w:kern w:val="0"/>
          <w:sz w:val="36"/>
          <w:szCs w:val="36"/>
        </w:rPr>
        <w:t>十二</w:t>
      </w:r>
      <w:r>
        <w:rPr>
          <w:rFonts w:eastAsia="楷体_GB2312"/>
          <w:b/>
          <w:snapToGrid w:val="0"/>
          <w:kern w:val="0"/>
          <w:sz w:val="36"/>
          <w:szCs w:val="36"/>
        </w:rPr>
        <w:t>月</w:t>
      </w:r>
    </w:p>
    <w:p>
      <w:pPr>
        <w:widowControl/>
        <w:jc w:val="center"/>
        <w:rPr>
          <w:rFonts w:eastAsia="楷体_GB2312"/>
          <w:b/>
          <w:snapToGrid w:val="0"/>
          <w:kern w:val="0"/>
          <w:sz w:val="36"/>
          <w:szCs w:val="36"/>
        </w:rPr>
      </w:pPr>
    </w:p>
    <w:p>
      <w:pPr>
        <w:widowControl/>
        <w:jc w:val="left"/>
        <w:rPr>
          <w:rFonts w:eastAsia="楷体_GB2312"/>
          <w:b/>
          <w:snapToGrid w:val="0"/>
          <w:kern w:val="0"/>
          <w:sz w:val="36"/>
          <w:szCs w:val="36"/>
        </w:rPr>
      </w:pPr>
      <w:r>
        <w:rPr>
          <w:rFonts w:eastAsia="楷体_GB2312"/>
          <w:b/>
          <w:snapToGrid w:val="0"/>
          <w:kern w:val="0"/>
          <w:sz w:val="36"/>
          <w:szCs w:val="36"/>
        </w:rPr>
        <w:br w:type="page"/>
      </w:r>
    </w:p>
    <w:p>
      <w:pPr>
        <w:widowControl/>
        <w:jc w:val="center"/>
        <w:rPr>
          <w:rFonts w:eastAsia="楷体_GB2312"/>
          <w:b/>
          <w:snapToGrid w:val="0"/>
          <w:kern w:val="0"/>
          <w:sz w:val="36"/>
          <w:szCs w:val="36"/>
        </w:rPr>
        <w:sectPr>
          <w:pgSz w:w="11906" w:h="16838"/>
          <w:pgMar w:top="1440" w:right="1440" w:bottom="1440" w:left="1440" w:header="851" w:footer="992" w:gutter="0"/>
          <w:pgNumType w:start="0"/>
          <w:cols w:space="720" w:num="1"/>
          <w:titlePg/>
          <w:docGrid w:type="lines" w:linePitch="312" w:charSpace="0"/>
        </w:sectPr>
      </w:pPr>
    </w:p>
    <w:p>
      <w:pPr>
        <w:widowControl/>
        <w:jc w:val="center"/>
        <w:rPr>
          <w:rFonts w:ascii="宋体" w:hAnsi="宋体"/>
          <w:b/>
          <w:snapToGrid w:val="0"/>
          <w:kern w:val="0"/>
          <w:sz w:val="44"/>
          <w:szCs w:val="44"/>
        </w:rPr>
      </w:pPr>
      <w:r>
        <w:rPr>
          <w:rFonts w:hint="eastAsia" w:ascii="宋体" w:hAnsi="宋体"/>
          <w:b/>
          <w:snapToGrid w:val="0"/>
          <w:kern w:val="0"/>
          <w:sz w:val="44"/>
          <w:szCs w:val="44"/>
        </w:rPr>
        <w:t>目录</w:t>
      </w:r>
    </w:p>
    <w:p>
      <w:pPr>
        <w:pStyle w:val="19"/>
      </w:pPr>
      <w:r>
        <w:rPr>
          <w:rFonts w:eastAsia="楷体_GB2312"/>
          <w:snapToGrid w:val="0"/>
          <w:kern w:val="0"/>
          <w:sz w:val="36"/>
          <w:szCs w:val="36"/>
        </w:rPr>
        <w:fldChar w:fldCharType="begin"/>
      </w:r>
      <w:r>
        <w:rPr>
          <w:rFonts w:eastAsia="楷体_GB2312"/>
          <w:snapToGrid w:val="0"/>
          <w:kern w:val="0"/>
          <w:sz w:val="36"/>
          <w:szCs w:val="36"/>
        </w:rPr>
        <w:instrText xml:space="preserve"> </w:instrText>
      </w:r>
      <w:r>
        <w:rPr>
          <w:rFonts w:hint="eastAsia" w:eastAsia="楷体_GB2312"/>
          <w:snapToGrid w:val="0"/>
          <w:kern w:val="0"/>
          <w:sz w:val="36"/>
          <w:szCs w:val="36"/>
        </w:rPr>
        <w:instrText xml:space="preserve">TOC \o "1-2" \h \z \u</w:instrText>
      </w:r>
      <w:r>
        <w:rPr>
          <w:rFonts w:eastAsia="楷体_GB2312"/>
          <w:snapToGrid w:val="0"/>
          <w:kern w:val="0"/>
          <w:sz w:val="36"/>
          <w:szCs w:val="36"/>
        </w:rPr>
        <w:instrText xml:space="preserve"> </w:instrText>
      </w:r>
      <w:r>
        <w:rPr>
          <w:rFonts w:eastAsia="楷体_GB2312"/>
          <w:snapToGrid w:val="0"/>
          <w:kern w:val="0"/>
          <w:sz w:val="36"/>
          <w:szCs w:val="36"/>
        </w:rPr>
        <w:fldChar w:fldCharType="separate"/>
      </w:r>
      <w:r>
        <w:fldChar w:fldCharType="begin"/>
      </w:r>
      <w:r>
        <w:instrText xml:space="preserve"> HYPERLINK \l "_Toc436902131" </w:instrText>
      </w:r>
      <w:r>
        <w:fldChar w:fldCharType="separate"/>
      </w:r>
      <w:r>
        <w:rPr>
          <w:rStyle w:val="29"/>
          <w:rFonts w:hint="eastAsia"/>
          <w:color w:val="auto"/>
        </w:rPr>
        <w:t>前言</w:t>
      </w:r>
      <w:r>
        <w:rPr>
          <w:b w:val="0"/>
        </w:rPr>
        <w:tab/>
      </w:r>
      <w:r>
        <w:rPr>
          <w:b w:val="0"/>
        </w:rPr>
        <w:fldChar w:fldCharType="begin"/>
      </w:r>
      <w:r>
        <w:rPr>
          <w:b w:val="0"/>
        </w:rPr>
        <w:instrText xml:space="preserve"> PAGEREF _Toc436902131 \h </w:instrText>
      </w:r>
      <w:r>
        <w:rPr>
          <w:b w:val="0"/>
        </w:rPr>
        <w:fldChar w:fldCharType="separate"/>
      </w:r>
      <w:r>
        <w:rPr>
          <w:b w:val="0"/>
        </w:rPr>
        <w:t>1</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"_Toc436902132" </w:instrText>
      </w:r>
      <w:r>
        <w:fldChar w:fldCharType="separate"/>
      </w:r>
      <w:r>
        <w:rPr>
          <w:rStyle w:val="29"/>
          <w:color w:val="auto"/>
          <w:sz w:val="24"/>
        </w:rPr>
        <w:t>1.</w:t>
      </w:r>
      <w:r>
        <w:rPr>
          <w:rStyle w:val="29"/>
          <w:rFonts w:hint="eastAsia"/>
          <w:color w:val="auto"/>
          <w:sz w:val="24"/>
        </w:rPr>
        <w:t>项目背景</w:t>
      </w:r>
      <w:r>
        <w:rPr>
          <w:sz w:val="24"/>
        </w:rPr>
        <w:tab/>
      </w:r>
      <w:r>
        <w:rPr>
          <w:sz w:val="24"/>
        </w:rPr>
        <w:fldChar w:fldCharType="begin"/>
      </w:r>
      <w:r>
        <w:rPr>
          <w:sz w:val="24"/>
        </w:rPr>
        <w:instrText xml:space="preserve"> PAGEREF _Toc436902132 \h </w:instrText>
      </w:r>
      <w:r>
        <w:rPr>
          <w:sz w:val="24"/>
        </w:rPr>
        <w:fldChar w:fldCharType="separate"/>
      </w:r>
      <w:r>
        <w:rPr>
          <w:sz w:val="24"/>
        </w:rPr>
        <w:t>1</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"_Toc436902133" </w:instrText>
      </w:r>
      <w:r>
        <w:fldChar w:fldCharType="separate"/>
      </w:r>
      <w:r>
        <w:rPr>
          <w:rStyle w:val="29"/>
          <w:color w:val="auto"/>
          <w:sz w:val="24"/>
        </w:rPr>
        <w:t>2.</w:t>
      </w:r>
      <w:r>
        <w:rPr>
          <w:rStyle w:val="29"/>
          <w:rFonts w:hint="eastAsia"/>
          <w:color w:val="auto"/>
          <w:sz w:val="24"/>
        </w:rPr>
        <w:t>评价工作过程简况</w:t>
      </w:r>
      <w:r>
        <w:rPr>
          <w:sz w:val="24"/>
        </w:rPr>
        <w:tab/>
      </w:r>
      <w:r>
        <w:rPr>
          <w:sz w:val="24"/>
        </w:rPr>
        <w:fldChar w:fldCharType="begin"/>
      </w:r>
      <w:r>
        <w:rPr>
          <w:sz w:val="24"/>
        </w:rPr>
        <w:instrText xml:space="preserve"> PAGEREF _Toc436902133 \h </w:instrText>
      </w:r>
      <w:r>
        <w:rPr>
          <w:sz w:val="24"/>
        </w:rPr>
        <w:fldChar w:fldCharType="separate"/>
      </w:r>
      <w:r>
        <w:rPr>
          <w:sz w:val="24"/>
        </w:rPr>
        <w:t>2</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"_Toc436902134" </w:instrText>
      </w:r>
      <w:r>
        <w:fldChar w:fldCharType="separate"/>
      </w:r>
      <w:r>
        <w:rPr>
          <w:rStyle w:val="29"/>
          <w:color w:val="auto"/>
          <w:sz w:val="24"/>
        </w:rPr>
        <w:t>3.</w:t>
      </w:r>
      <w:r>
        <w:rPr>
          <w:rStyle w:val="29"/>
          <w:rFonts w:hint="eastAsia"/>
          <w:color w:val="auto"/>
          <w:sz w:val="24"/>
        </w:rPr>
        <w:t>建设项目特点</w:t>
      </w:r>
      <w:r>
        <w:rPr>
          <w:sz w:val="24"/>
        </w:rPr>
        <w:tab/>
      </w:r>
      <w:r>
        <w:rPr>
          <w:sz w:val="24"/>
        </w:rPr>
        <w:fldChar w:fldCharType="begin"/>
      </w:r>
      <w:r>
        <w:rPr>
          <w:sz w:val="24"/>
        </w:rPr>
        <w:instrText xml:space="preserve"> PAGEREF _Toc436902134 \h </w:instrText>
      </w:r>
      <w:r>
        <w:rPr>
          <w:sz w:val="24"/>
        </w:rPr>
        <w:fldChar w:fldCharType="separate"/>
      </w:r>
      <w:r>
        <w:rPr>
          <w:sz w:val="24"/>
        </w:rPr>
        <w:t>2</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"_Toc436902135" </w:instrText>
      </w:r>
      <w:r>
        <w:fldChar w:fldCharType="separate"/>
      </w:r>
      <w:r>
        <w:rPr>
          <w:rStyle w:val="29"/>
          <w:color w:val="auto"/>
          <w:sz w:val="24"/>
        </w:rPr>
        <w:t>4.</w:t>
      </w:r>
      <w:r>
        <w:rPr>
          <w:rStyle w:val="29"/>
          <w:rFonts w:hint="eastAsia"/>
          <w:color w:val="auto"/>
          <w:sz w:val="24"/>
        </w:rPr>
        <w:t>关注的主要环境问题</w:t>
      </w:r>
      <w:r>
        <w:rPr>
          <w:sz w:val="24"/>
        </w:rPr>
        <w:tab/>
      </w:r>
      <w:r>
        <w:rPr>
          <w:sz w:val="24"/>
        </w:rPr>
        <w:fldChar w:fldCharType="begin"/>
      </w:r>
      <w:r>
        <w:rPr>
          <w:sz w:val="24"/>
        </w:rPr>
        <w:instrText xml:space="preserve"> PAGEREF _Toc436902135 \h </w:instrText>
      </w:r>
      <w:r>
        <w:rPr>
          <w:sz w:val="24"/>
        </w:rPr>
        <w:fldChar w:fldCharType="separate"/>
      </w:r>
      <w:r>
        <w:rPr>
          <w:sz w:val="24"/>
        </w:rPr>
        <w:t>2</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"_Toc436902136" </w:instrText>
      </w:r>
      <w:r>
        <w:fldChar w:fldCharType="separate"/>
      </w:r>
      <w:r>
        <w:rPr>
          <w:rStyle w:val="29"/>
          <w:color w:val="auto"/>
          <w:sz w:val="24"/>
        </w:rPr>
        <w:t>5.</w:t>
      </w:r>
      <w:r>
        <w:rPr>
          <w:rStyle w:val="29"/>
          <w:rFonts w:hint="eastAsia"/>
          <w:color w:val="auto"/>
          <w:sz w:val="24"/>
        </w:rPr>
        <w:t>报告书主要结论</w:t>
      </w:r>
      <w:r>
        <w:rPr>
          <w:sz w:val="24"/>
        </w:rPr>
        <w:tab/>
      </w:r>
      <w:r>
        <w:rPr>
          <w:sz w:val="24"/>
        </w:rPr>
        <w:fldChar w:fldCharType="begin"/>
      </w:r>
      <w:r>
        <w:rPr>
          <w:sz w:val="24"/>
        </w:rPr>
        <w:instrText xml:space="preserve"> PAGEREF _Toc436902136 \h </w:instrText>
      </w:r>
      <w:r>
        <w:rPr>
          <w:sz w:val="24"/>
        </w:rPr>
        <w:fldChar w:fldCharType="separate"/>
      </w:r>
      <w:r>
        <w:rPr>
          <w:sz w:val="24"/>
        </w:rPr>
        <w:t>2</w:t>
      </w:r>
      <w:r>
        <w:rPr>
          <w:sz w:val="24"/>
        </w:rPr>
        <w:fldChar w:fldCharType="end"/>
      </w:r>
      <w:r>
        <w:rPr>
          <w:sz w:val="24"/>
        </w:rPr>
        <w:fldChar w:fldCharType="end"/>
      </w:r>
    </w:p>
    <w:p>
      <w:pPr>
        <w:pStyle w:val="19"/>
      </w:pPr>
      <w:r>
        <w:fldChar w:fldCharType="begin"/>
      </w:r>
      <w:r>
        <w:instrText xml:space="preserve"> HYPERLINK \l "_Toc436902137" </w:instrText>
      </w:r>
      <w:r>
        <w:fldChar w:fldCharType="separate"/>
      </w:r>
      <w:r>
        <w:rPr>
          <w:rStyle w:val="29"/>
          <w:color w:val="auto"/>
        </w:rPr>
        <w:t xml:space="preserve">1 </w:t>
      </w:r>
      <w:r>
        <w:rPr>
          <w:rStyle w:val="29"/>
          <w:rFonts w:hint="eastAsia"/>
          <w:color w:val="auto"/>
        </w:rPr>
        <w:t>总论</w:t>
      </w:r>
      <w:r>
        <w:rPr>
          <w:b w:val="0"/>
        </w:rPr>
        <w:tab/>
      </w:r>
      <w:r>
        <w:rPr>
          <w:b w:val="0"/>
        </w:rPr>
        <w:fldChar w:fldCharType="begin"/>
      </w:r>
      <w:r>
        <w:rPr>
          <w:b w:val="0"/>
        </w:rPr>
        <w:instrText xml:space="preserve"> PAGEREF _Toc436902137 \h </w:instrText>
      </w:r>
      <w:r>
        <w:rPr>
          <w:b w:val="0"/>
        </w:rPr>
        <w:fldChar w:fldCharType="separate"/>
      </w:r>
      <w:r>
        <w:rPr>
          <w:b w:val="0"/>
        </w:rPr>
        <w:t>3</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"_Toc436902138" </w:instrText>
      </w:r>
      <w:r>
        <w:fldChar w:fldCharType="separate"/>
      </w:r>
      <w:r>
        <w:rPr>
          <w:rStyle w:val="29"/>
          <w:color w:val="auto"/>
          <w:sz w:val="24"/>
        </w:rPr>
        <w:t>1.1</w:t>
      </w:r>
      <w:r>
        <w:rPr>
          <w:rStyle w:val="29"/>
          <w:rFonts w:hint="eastAsia"/>
          <w:color w:val="auto"/>
          <w:sz w:val="24"/>
        </w:rPr>
        <w:t>编制依据</w:t>
      </w:r>
      <w:r>
        <w:rPr>
          <w:sz w:val="24"/>
        </w:rPr>
        <w:tab/>
      </w:r>
      <w:r>
        <w:rPr>
          <w:sz w:val="24"/>
        </w:rPr>
        <w:fldChar w:fldCharType="begin"/>
      </w:r>
      <w:r>
        <w:rPr>
          <w:sz w:val="24"/>
        </w:rPr>
        <w:instrText xml:space="preserve"> PAGEREF _Toc436902138 \h </w:instrText>
      </w:r>
      <w:r>
        <w:rPr>
          <w:sz w:val="24"/>
        </w:rPr>
        <w:fldChar w:fldCharType="separate"/>
      </w:r>
      <w:r>
        <w:rPr>
          <w:sz w:val="24"/>
        </w:rPr>
        <w:t>3</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"_Toc436902139" </w:instrText>
      </w:r>
      <w:r>
        <w:fldChar w:fldCharType="separate"/>
      </w:r>
      <w:r>
        <w:rPr>
          <w:rStyle w:val="29"/>
          <w:bCs/>
          <w:color w:val="auto"/>
          <w:sz w:val="24"/>
        </w:rPr>
        <w:t>1.2</w:t>
      </w:r>
      <w:r>
        <w:rPr>
          <w:rStyle w:val="29"/>
          <w:rFonts w:hint="eastAsia"/>
          <w:color w:val="auto"/>
          <w:sz w:val="24"/>
        </w:rPr>
        <w:t>评价因子与评价标准</w:t>
      </w:r>
      <w:r>
        <w:rPr>
          <w:sz w:val="24"/>
        </w:rPr>
        <w:tab/>
      </w:r>
      <w:r>
        <w:rPr>
          <w:sz w:val="24"/>
        </w:rPr>
        <w:fldChar w:fldCharType="begin"/>
      </w:r>
      <w:r>
        <w:rPr>
          <w:sz w:val="24"/>
        </w:rPr>
        <w:instrText xml:space="preserve"> PAGEREF _Toc436902139 \h </w:instrText>
      </w:r>
      <w:r>
        <w:rPr>
          <w:sz w:val="24"/>
        </w:rPr>
        <w:fldChar w:fldCharType="separate"/>
      </w:r>
      <w:r>
        <w:rPr>
          <w:sz w:val="24"/>
        </w:rPr>
        <w:t>4</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"_Toc436902140" </w:instrText>
      </w:r>
      <w:r>
        <w:fldChar w:fldCharType="separate"/>
      </w:r>
      <w:r>
        <w:rPr>
          <w:rStyle w:val="29"/>
          <w:bCs/>
          <w:color w:val="auto"/>
          <w:sz w:val="24"/>
        </w:rPr>
        <w:t>1.3</w:t>
      </w:r>
      <w:r>
        <w:rPr>
          <w:rStyle w:val="29"/>
          <w:rFonts w:hint="eastAsia"/>
          <w:color w:val="auto"/>
          <w:sz w:val="24"/>
        </w:rPr>
        <w:t>评价工作等级和评价重点</w:t>
      </w:r>
      <w:r>
        <w:rPr>
          <w:sz w:val="24"/>
        </w:rPr>
        <w:tab/>
      </w:r>
      <w:r>
        <w:rPr>
          <w:sz w:val="24"/>
        </w:rPr>
        <w:fldChar w:fldCharType="begin"/>
      </w:r>
      <w:r>
        <w:rPr>
          <w:sz w:val="24"/>
        </w:rPr>
        <w:instrText xml:space="preserve"> PAGEREF _Toc436902140 \h </w:instrText>
      </w:r>
      <w:r>
        <w:rPr>
          <w:sz w:val="24"/>
        </w:rPr>
        <w:fldChar w:fldCharType="separate"/>
      </w:r>
      <w:r>
        <w:rPr>
          <w:sz w:val="24"/>
        </w:rPr>
        <w:t>8</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"_Toc436902141" </w:instrText>
      </w:r>
      <w:r>
        <w:fldChar w:fldCharType="separate"/>
      </w:r>
      <w:r>
        <w:rPr>
          <w:rStyle w:val="29"/>
          <w:bCs/>
          <w:color w:val="auto"/>
          <w:sz w:val="24"/>
        </w:rPr>
        <w:t>1.4</w:t>
      </w:r>
      <w:r>
        <w:rPr>
          <w:rStyle w:val="29"/>
          <w:rFonts w:hint="eastAsia"/>
          <w:color w:val="auto"/>
          <w:sz w:val="24"/>
        </w:rPr>
        <w:t>评价范围及环境敏感区</w:t>
      </w:r>
      <w:r>
        <w:rPr>
          <w:sz w:val="24"/>
        </w:rPr>
        <w:tab/>
      </w:r>
      <w:r>
        <w:rPr>
          <w:sz w:val="24"/>
        </w:rPr>
        <w:fldChar w:fldCharType="begin"/>
      </w:r>
      <w:r>
        <w:rPr>
          <w:sz w:val="24"/>
        </w:rPr>
        <w:instrText xml:space="preserve"> PAGEREF _Toc436902141 \h </w:instrText>
      </w:r>
      <w:r>
        <w:rPr>
          <w:sz w:val="24"/>
        </w:rPr>
        <w:fldChar w:fldCharType="separate"/>
      </w:r>
      <w:r>
        <w:rPr>
          <w:sz w:val="24"/>
        </w:rPr>
        <w:t>10</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"_Toc436902142" </w:instrText>
      </w:r>
      <w:r>
        <w:fldChar w:fldCharType="separate"/>
      </w:r>
      <w:r>
        <w:rPr>
          <w:rStyle w:val="29"/>
          <w:bCs/>
          <w:color w:val="auto"/>
          <w:sz w:val="24"/>
        </w:rPr>
        <w:t>1.5</w:t>
      </w:r>
      <w:r>
        <w:rPr>
          <w:rStyle w:val="29"/>
          <w:rFonts w:hint="eastAsia"/>
          <w:color w:val="auto"/>
          <w:sz w:val="24"/>
        </w:rPr>
        <w:t>相关规划及环境功能区划</w:t>
      </w:r>
      <w:r>
        <w:rPr>
          <w:sz w:val="24"/>
        </w:rPr>
        <w:tab/>
      </w:r>
      <w:r>
        <w:rPr>
          <w:sz w:val="24"/>
        </w:rPr>
        <w:fldChar w:fldCharType="begin"/>
      </w:r>
      <w:r>
        <w:rPr>
          <w:sz w:val="24"/>
        </w:rPr>
        <w:instrText xml:space="preserve"> PAGEREF _Toc436902142 \h </w:instrText>
      </w:r>
      <w:r>
        <w:rPr>
          <w:sz w:val="24"/>
        </w:rPr>
        <w:fldChar w:fldCharType="separate"/>
      </w:r>
      <w:r>
        <w:rPr>
          <w:sz w:val="24"/>
        </w:rPr>
        <w:t>10</w:t>
      </w:r>
      <w:r>
        <w:rPr>
          <w:sz w:val="24"/>
        </w:rPr>
        <w:fldChar w:fldCharType="end"/>
      </w:r>
      <w:r>
        <w:rPr>
          <w:sz w:val="24"/>
        </w:rPr>
        <w:fldChar w:fldCharType="end"/>
      </w:r>
    </w:p>
    <w:p>
      <w:pPr>
        <w:pStyle w:val="19"/>
      </w:pPr>
      <w:r>
        <w:fldChar w:fldCharType="begin"/>
      </w:r>
      <w:r>
        <w:instrText xml:space="preserve"> HYPERLINK \l "_Toc436902143" </w:instrText>
      </w:r>
      <w:r>
        <w:fldChar w:fldCharType="separate"/>
      </w:r>
      <w:r>
        <w:rPr>
          <w:rStyle w:val="29"/>
          <w:color w:val="auto"/>
        </w:rPr>
        <w:t xml:space="preserve">2 </w:t>
      </w:r>
      <w:r>
        <w:rPr>
          <w:rStyle w:val="29"/>
          <w:rFonts w:hint="eastAsia"/>
          <w:color w:val="auto"/>
        </w:rPr>
        <w:t>项目概况</w:t>
      </w:r>
      <w:r>
        <w:rPr>
          <w:b w:val="0"/>
        </w:rPr>
        <w:tab/>
      </w:r>
      <w:r>
        <w:rPr>
          <w:b w:val="0"/>
        </w:rPr>
        <w:fldChar w:fldCharType="begin"/>
      </w:r>
      <w:r>
        <w:rPr>
          <w:b w:val="0"/>
        </w:rPr>
        <w:instrText xml:space="preserve"> PAGEREF _Toc436902143 \h </w:instrText>
      </w:r>
      <w:r>
        <w:rPr>
          <w:b w:val="0"/>
        </w:rPr>
        <w:fldChar w:fldCharType="separate"/>
      </w:r>
      <w:r>
        <w:rPr>
          <w:b w:val="0"/>
        </w:rPr>
        <w:t>14</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"_Toc436902144" </w:instrText>
      </w:r>
      <w:r>
        <w:fldChar w:fldCharType="separate"/>
      </w:r>
      <w:r>
        <w:rPr>
          <w:rStyle w:val="29"/>
          <w:color w:val="auto"/>
          <w:sz w:val="24"/>
        </w:rPr>
        <w:t>2.1</w:t>
      </w:r>
      <w:r>
        <w:rPr>
          <w:rStyle w:val="29"/>
          <w:rFonts w:hint="eastAsia"/>
          <w:color w:val="auto"/>
          <w:sz w:val="24"/>
        </w:rPr>
        <w:t>项目名称、性质及建设地点</w:t>
      </w:r>
      <w:r>
        <w:rPr>
          <w:sz w:val="24"/>
        </w:rPr>
        <w:tab/>
      </w:r>
      <w:r>
        <w:rPr>
          <w:sz w:val="24"/>
        </w:rPr>
        <w:fldChar w:fldCharType="begin"/>
      </w:r>
      <w:r>
        <w:rPr>
          <w:sz w:val="24"/>
        </w:rPr>
        <w:instrText xml:space="preserve"> PAGEREF _Toc436902144 \h </w:instrText>
      </w:r>
      <w:r>
        <w:rPr>
          <w:sz w:val="24"/>
        </w:rPr>
        <w:fldChar w:fldCharType="separate"/>
      </w:r>
      <w:r>
        <w:rPr>
          <w:sz w:val="24"/>
        </w:rPr>
        <w:t>14</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"_Toc436902145" </w:instrText>
      </w:r>
      <w:r>
        <w:fldChar w:fldCharType="separate"/>
      </w:r>
      <w:r>
        <w:rPr>
          <w:rStyle w:val="29"/>
          <w:color w:val="auto"/>
          <w:sz w:val="24"/>
        </w:rPr>
        <w:t>2.2</w:t>
      </w:r>
      <w:r>
        <w:rPr>
          <w:rStyle w:val="29"/>
          <w:rFonts w:hint="eastAsia"/>
          <w:color w:val="auto"/>
          <w:sz w:val="24"/>
        </w:rPr>
        <w:t>工程建设必要性</w:t>
      </w:r>
      <w:r>
        <w:rPr>
          <w:sz w:val="24"/>
        </w:rPr>
        <w:tab/>
      </w:r>
      <w:r>
        <w:rPr>
          <w:sz w:val="24"/>
        </w:rPr>
        <w:fldChar w:fldCharType="begin"/>
      </w:r>
      <w:r>
        <w:rPr>
          <w:sz w:val="24"/>
        </w:rPr>
        <w:instrText xml:space="preserve"> PAGEREF _Toc436902145 \h </w:instrText>
      </w:r>
      <w:r>
        <w:rPr>
          <w:sz w:val="24"/>
        </w:rPr>
        <w:fldChar w:fldCharType="separate"/>
      </w:r>
      <w:r>
        <w:rPr>
          <w:sz w:val="24"/>
        </w:rPr>
        <w:t>15</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"_Toc436902146" </w:instrText>
      </w:r>
      <w:r>
        <w:fldChar w:fldCharType="separate"/>
      </w:r>
      <w:r>
        <w:rPr>
          <w:rStyle w:val="29"/>
          <w:color w:val="auto"/>
          <w:sz w:val="24"/>
        </w:rPr>
        <w:t>2.3</w:t>
      </w:r>
      <w:r>
        <w:rPr>
          <w:rStyle w:val="29"/>
          <w:rFonts w:hint="eastAsia"/>
          <w:color w:val="auto"/>
          <w:sz w:val="24"/>
        </w:rPr>
        <w:t>项目组成</w:t>
      </w:r>
      <w:r>
        <w:rPr>
          <w:sz w:val="24"/>
        </w:rPr>
        <w:tab/>
      </w:r>
      <w:r>
        <w:rPr>
          <w:sz w:val="24"/>
        </w:rPr>
        <w:fldChar w:fldCharType="begin"/>
      </w:r>
      <w:r>
        <w:rPr>
          <w:sz w:val="24"/>
        </w:rPr>
        <w:instrText xml:space="preserve"> PAGEREF _Toc436902146 \h </w:instrText>
      </w:r>
      <w:r>
        <w:rPr>
          <w:sz w:val="24"/>
        </w:rPr>
        <w:fldChar w:fldCharType="separate"/>
      </w:r>
      <w:r>
        <w:rPr>
          <w:sz w:val="24"/>
        </w:rPr>
        <w:t>15</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"_Toc436902147" </w:instrText>
      </w:r>
      <w:r>
        <w:fldChar w:fldCharType="separate"/>
      </w:r>
      <w:r>
        <w:rPr>
          <w:rStyle w:val="29"/>
          <w:color w:val="auto"/>
          <w:sz w:val="24"/>
        </w:rPr>
        <w:t>2.4</w:t>
      </w:r>
      <w:r>
        <w:rPr>
          <w:rStyle w:val="29"/>
          <w:rFonts w:hint="eastAsia"/>
          <w:color w:val="auto"/>
          <w:sz w:val="24"/>
        </w:rPr>
        <w:t>工程建设内容</w:t>
      </w:r>
      <w:r>
        <w:rPr>
          <w:sz w:val="24"/>
        </w:rPr>
        <w:tab/>
      </w:r>
      <w:r>
        <w:rPr>
          <w:sz w:val="24"/>
        </w:rPr>
        <w:fldChar w:fldCharType="begin"/>
      </w:r>
      <w:r>
        <w:rPr>
          <w:sz w:val="24"/>
        </w:rPr>
        <w:instrText xml:space="preserve"> PAGEREF _Toc436902147 \h </w:instrText>
      </w:r>
      <w:r>
        <w:rPr>
          <w:sz w:val="24"/>
        </w:rPr>
        <w:fldChar w:fldCharType="separate"/>
      </w:r>
      <w:r>
        <w:rPr>
          <w:sz w:val="24"/>
        </w:rPr>
        <w:t>16</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"_Toc436902148" </w:instrText>
      </w:r>
      <w:r>
        <w:fldChar w:fldCharType="separate"/>
      </w:r>
      <w:r>
        <w:rPr>
          <w:rStyle w:val="29"/>
          <w:color w:val="auto"/>
          <w:sz w:val="24"/>
        </w:rPr>
        <w:t>2.5</w:t>
      </w:r>
      <w:r>
        <w:rPr>
          <w:rStyle w:val="29"/>
          <w:rFonts w:hint="eastAsia"/>
          <w:color w:val="auto"/>
          <w:sz w:val="24"/>
        </w:rPr>
        <w:t>总平面布置及其合理性</w:t>
      </w:r>
      <w:r>
        <w:rPr>
          <w:sz w:val="24"/>
        </w:rPr>
        <w:tab/>
      </w:r>
      <w:r>
        <w:rPr>
          <w:sz w:val="24"/>
        </w:rPr>
        <w:fldChar w:fldCharType="begin"/>
      </w:r>
      <w:r>
        <w:rPr>
          <w:sz w:val="24"/>
        </w:rPr>
        <w:instrText xml:space="preserve"> PAGEREF _Toc436902148 \h </w:instrText>
      </w:r>
      <w:r>
        <w:rPr>
          <w:sz w:val="24"/>
        </w:rPr>
        <w:fldChar w:fldCharType="separate"/>
      </w:r>
      <w:r>
        <w:rPr>
          <w:sz w:val="24"/>
        </w:rPr>
        <w:t>18</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"_Toc436902149" </w:instrText>
      </w:r>
      <w:r>
        <w:fldChar w:fldCharType="separate"/>
      </w:r>
      <w:r>
        <w:rPr>
          <w:rStyle w:val="29"/>
          <w:color w:val="auto"/>
          <w:sz w:val="24"/>
        </w:rPr>
        <w:t>2.6</w:t>
      </w:r>
      <w:r>
        <w:rPr>
          <w:rStyle w:val="29"/>
          <w:rFonts w:hint="eastAsia"/>
          <w:color w:val="auto"/>
          <w:sz w:val="24"/>
        </w:rPr>
        <w:t>组织机构及劳动定员</w:t>
      </w:r>
      <w:r>
        <w:rPr>
          <w:sz w:val="24"/>
        </w:rPr>
        <w:tab/>
      </w:r>
      <w:r>
        <w:rPr>
          <w:sz w:val="24"/>
        </w:rPr>
        <w:fldChar w:fldCharType="begin"/>
      </w:r>
      <w:r>
        <w:rPr>
          <w:sz w:val="24"/>
        </w:rPr>
        <w:instrText xml:space="preserve"> PAGEREF _Toc436902149 \h </w:instrText>
      </w:r>
      <w:r>
        <w:rPr>
          <w:sz w:val="24"/>
        </w:rPr>
        <w:fldChar w:fldCharType="separate"/>
      </w:r>
      <w:r>
        <w:rPr>
          <w:sz w:val="24"/>
        </w:rPr>
        <w:t>19</w:t>
      </w:r>
      <w:r>
        <w:rPr>
          <w:sz w:val="24"/>
        </w:rPr>
        <w:fldChar w:fldCharType="end"/>
      </w:r>
      <w:r>
        <w:rPr>
          <w:sz w:val="24"/>
        </w:rPr>
        <w:fldChar w:fldCharType="end"/>
      </w:r>
    </w:p>
    <w:p>
      <w:pPr>
        <w:pStyle w:val="19"/>
      </w:pPr>
      <w:r>
        <w:fldChar w:fldCharType="begin"/>
      </w:r>
      <w:r>
        <w:instrText xml:space="preserve"> HYPERLINK \l "_Toc436902150" </w:instrText>
      </w:r>
      <w:r>
        <w:fldChar w:fldCharType="separate"/>
      </w:r>
      <w:r>
        <w:rPr>
          <w:rStyle w:val="29"/>
          <w:color w:val="auto"/>
        </w:rPr>
        <w:t xml:space="preserve">3 </w:t>
      </w:r>
      <w:r>
        <w:rPr>
          <w:rStyle w:val="29"/>
          <w:rFonts w:hint="eastAsia"/>
          <w:color w:val="auto"/>
        </w:rPr>
        <w:t>工程分析</w:t>
      </w:r>
      <w:r>
        <w:rPr>
          <w:b w:val="0"/>
        </w:rPr>
        <w:tab/>
      </w:r>
      <w:r>
        <w:rPr>
          <w:b w:val="0"/>
        </w:rPr>
        <w:fldChar w:fldCharType="begin"/>
      </w:r>
      <w:r>
        <w:rPr>
          <w:b w:val="0"/>
        </w:rPr>
        <w:instrText xml:space="preserve"> PAGEREF _Toc436902150 \h </w:instrText>
      </w:r>
      <w:r>
        <w:rPr>
          <w:b w:val="0"/>
        </w:rPr>
        <w:fldChar w:fldCharType="separate"/>
      </w:r>
      <w:r>
        <w:rPr>
          <w:b w:val="0"/>
        </w:rPr>
        <w:t>21</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"_Toc436902151" </w:instrText>
      </w:r>
      <w:r>
        <w:fldChar w:fldCharType="separate"/>
      </w:r>
      <w:r>
        <w:rPr>
          <w:rStyle w:val="29"/>
          <w:bCs/>
          <w:color w:val="auto"/>
          <w:sz w:val="24"/>
        </w:rPr>
        <w:t>3.1</w:t>
      </w:r>
      <w:r>
        <w:rPr>
          <w:rStyle w:val="29"/>
          <w:rFonts w:hint="eastAsia"/>
          <w:color w:val="auto"/>
          <w:sz w:val="24"/>
        </w:rPr>
        <w:t>施工期污染源及污染物</w:t>
      </w:r>
      <w:r>
        <w:rPr>
          <w:sz w:val="24"/>
        </w:rPr>
        <w:tab/>
      </w:r>
      <w:r>
        <w:rPr>
          <w:sz w:val="24"/>
        </w:rPr>
        <w:fldChar w:fldCharType="begin"/>
      </w:r>
      <w:r>
        <w:rPr>
          <w:sz w:val="24"/>
        </w:rPr>
        <w:instrText xml:space="preserve"> PAGEREF _Toc436902151 \h </w:instrText>
      </w:r>
      <w:r>
        <w:rPr>
          <w:sz w:val="24"/>
        </w:rPr>
        <w:fldChar w:fldCharType="separate"/>
      </w:r>
      <w:r>
        <w:rPr>
          <w:sz w:val="24"/>
        </w:rPr>
        <w:t>21</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"_Toc436902152" </w:instrText>
      </w:r>
      <w:r>
        <w:fldChar w:fldCharType="separate"/>
      </w:r>
      <w:r>
        <w:rPr>
          <w:rStyle w:val="29"/>
          <w:bCs/>
          <w:color w:val="auto"/>
          <w:sz w:val="24"/>
        </w:rPr>
        <w:t>3.2</w:t>
      </w:r>
      <w:r>
        <w:rPr>
          <w:rStyle w:val="29"/>
          <w:rFonts w:hint="eastAsia"/>
          <w:color w:val="auto"/>
          <w:sz w:val="24"/>
        </w:rPr>
        <w:t>营运期污染源及污染物</w:t>
      </w:r>
      <w:r>
        <w:rPr>
          <w:sz w:val="24"/>
        </w:rPr>
        <w:tab/>
      </w:r>
      <w:r>
        <w:rPr>
          <w:sz w:val="24"/>
        </w:rPr>
        <w:fldChar w:fldCharType="begin"/>
      </w:r>
      <w:r>
        <w:rPr>
          <w:sz w:val="24"/>
        </w:rPr>
        <w:instrText xml:space="preserve"> PAGEREF _Toc436902152 \h </w:instrText>
      </w:r>
      <w:r>
        <w:rPr>
          <w:sz w:val="24"/>
        </w:rPr>
        <w:fldChar w:fldCharType="separate"/>
      </w:r>
      <w:r>
        <w:rPr>
          <w:sz w:val="24"/>
        </w:rPr>
        <w:t>25</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"_Toc436902153" </w:instrText>
      </w:r>
      <w:r>
        <w:fldChar w:fldCharType="separate"/>
      </w:r>
      <w:r>
        <w:rPr>
          <w:rStyle w:val="29"/>
          <w:bCs/>
          <w:color w:val="auto"/>
          <w:sz w:val="24"/>
        </w:rPr>
        <w:t>3.3</w:t>
      </w:r>
      <w:r>
        <w:rPr>
          <w:rStyle w:val="29"/>
          <w:rFonts w:hint="eastAsia"/>
          <w:color w:val="auto"/>
          <w:sz w:val="24"/>
        </w:rPr>
        <w:t>污染物排放情况汇总</w:t>
      </w:r>
      <w:r>
        <w:rPr>
          <w:sz w:val="24"/>
        </w:rPr>
        <w:tab/>
      </w:r>
      <w:r>
        <w:rPr>
          <w:sz w:val="24"/>
        </w:rPr>
        <w:fldChar w:fldCharType="begin"/>
      </w:r>
      <w:r>
        <w:rPr>
          <w:sz w:val="24"/>
        </w:rPr>
        <w:instrText xml:space="preserve"> PAGEREF _Toc436902153 \h </w:instrText>
      </w:r>
      <w:r>
        <w:rPr>
          <w:sz w:val="24"/>
        </w:rPr>
        <w:fldChar w:fldCharType="separate"/>
      </w:r>
      <w:r>
        <w:rPr>
          <w:sz w:val="24"/>
        </w:rPr>
        <w:t>29</w:t>
      </w:r>
      <w:r>
        <w:rPr>
          <w:sz w:val="24"/>
        </w:rPr>
        <w:fldChar w:fldCharType="end"/>
      </w:r>
      <w:r>
        <w:rPr>
          <w:sz w:val="24"/>
        </w:rPr>
        <w:fldChar w:fldCharType="end"/>
      </w:r>
    </w:p>
    <w:p>
      <w:pPr>
        <w:pStyle w:val="19"/>
      </w:pPr>
      <w:r>
        <w:fldChar w:fldCharType="begin"/>
      </w:r>
      <w:r>
        <w:instrText xml:space="preserve"> HYPERLINK \l "_Toc436902154" </w:instrText>
      </w:r>
      <w:r>
        <w:fldChar w:fldCharType="separate"/>
      </w:r>
      <w:r>
        <w:rPr>
          <w:rStyle w:val="29"/>
          <w:color w:val="auto"/>
        </w:rPr>
        <w:t xml:space="preserve">4 </w:t>
      </w:r>
      <w:r>
        <w:rPr>
          <w:rStyle w:val="29"/>
          <w:rFonts w:hint="eastAsia"/>
          <w:color w:val="auto"/>
        </w:rPr>
        <w:t>区域自然环境和社会环境概况</w:t>
      </w:r>
      <w:r>
        <w:rPr>
          <w:b w:val="0"/>
        </w:rPr>
        <w:tab/>
      </w:r>
      <w:r>
        <w:rPr>
          <w:b w:val="0"/>
        </w:rPr>
        <w:fldChar w:fldCharType="begin"/>
      </w:r>
      <w:r>
        <w:rPr>
          <w:b w:val="0"/>
        </w:rPr>
        <w:instrText xml:space="preserve"> PAGEREF _Toc436902154 \h </w:instrText>
      </w:r>
      <w:r>
        <w:rPr>
          <w:b w:val="0"/>
        </w:rPr>
        <w:fldChar w:fldCharType="separate"/>
      </w:r>
      <w:r>
        <w:rPr>
          <w:b w:val="0"/>
        </w:rPr>
        <w:t>30</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"_Toc436902155" </w:instrText>
      </w:r>
      <w:r>
        <w:fldChar w:fldCharType="separate"/>
      </w:r>
      <w:r>
        <w:rPr>
          <w:rStyle w:val="29"/>
          <w:bCs/>
          <w:color w:val="auto"/>
          <w:sz w:val="24"/>
        </w:rPr>
        <w:t>4.1</w:t>
      </w:r>
      <w:r>
        <w:rPr>
          <w:rStyle w:val="29"/>
          <w:rFonts w:hint="eastAsia"/>
          <w:color w:val="auto"/>
          <w:sz w:val="24"/>
        </w:rPr>
        <w:t>自然环境概况</w:t>
      </w:r>
      <w:r>
        <w:rPr>
          <w:sz w:val="24"/>
        </w:rPr>
        <w:tab/>
      </w:r>
      <w:r>
        <w:rPr>
          <w:sz w:val="24"/>
        </w:rPr>
        <w:fldChar w:fldCharType="begin"/>
      </w:r>
      <w:r>
        <w:rPr>
          <w:sz w:val="24"/>
        </w:rPr>
        <w:instrText xml:space="preserve"> PAGEREF _Toc436902155 \h </w:instrText>
      </w:r>
      <w:r>
        <w:rPr>
          <w:sz w:val="24"/>
        </w:rPr>
        <w:fldChar w:fldCharType="separate"/>
      </w:r>
      <w:r>
        <w:rPr>
          <w:sz w:val="24"/>
        </w:rPr>
        <w:t>30</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"_Toc436902156" </w:instrText>
      </w:r>
      <w:r>
        <w:fldChar w:fldCharType="separate"/>
      </w:r>
      <w:r>
        <w:rPr>
          <w:rStyle w:val="29"/>
          <w:color w:val="auto"/>
          <w:sz w:val="24"/>
        </w:rPr>
        <w:t>4.2</w:t>
      </w:r>
      <w:r>
        <w:rPr>
          <w:rStyle w:val="29"/>
          <w:rFonts w:hint="eastAsia"/>
          <w:color w:val="auto"/>
          <w:sz w:val="24"/>
        </w:rPr>
        <w:t>社会环境概况</w:t>
      </w:r>
      <w:r>
        <w:rPr>
          <w:sz w:val="24"/>
        </w:rPr>
        <w:tab/>
      </w:r>
      <w:r>
        <w:rPr>
          <w:sz w:val="24"/>
        </w:rPr>
        <w:fldChar w:fldCharType="begin"/>
      </w:r>
      <w:r>
        <w:rPr>
          <w:sz w:val="24"/>
        </w:rPr>
        <w:instrText xml:space="preserve"> PAGEREF _Toc436902156 \h </w:instrText>
      </w:r>
      <w:r>
        <w:rPr>
          <w:sz w:val="24"/>
        </w:rPr>
        <w:fldChar w:fldCharType="separate"/>
      </w:r>
      <w:r>
        <w:rPr>
          <w:sz w:val="24"/>
        </w:rPr>
        <w:t>35</w:t>
      </w:r>
      <w:r>
        <w:rPr>
          <w:sz w:val="24"/>
        </w:rPr>
        <w:fldChar w:fldCharType="end"/>
      </w:r>
      <w:r>
        <w:rPr>
          <w:sz w:val="24"/>
        </w:rPr>
        <w:fldChar w:fldCharType="end"/>
      </w:r>
    </w:p>
    <w:p>
      <w:pPr>
        <w:pStyle w:val="19"/>
      </w:pPr>
      <w:r>
        <w:fldChar w:fldCharType="begin"/>
      </w:r>
      <w:r>
        <w:instrText xml:space="preserve"> HYPERLINK \l "_Toc436902157" </w:instrText>
      </w:r>
      <w:r>
        <w:fldChar w:fldCharType="separate"/>
      </w:r>
      <w:r>
        <w:rPr>
          <w:rStyle w:val="29"/>
          <w:color w:val="auto"/>
        </w:rPr>
        <w:t xml:space="preserve">5 </w:t>
      </w:r>
      <w:r>
        <w:rPr>
          <w:rStyle w:val="29"/>
          <w:rFonts w:hint="eastAsia"/>
          <w:color w:val="auto"/>
        </w:rPr>
        <w:t>环境质量现状调查与评价</w:t>
      </w:r>
      <w:r>
        <w:rPr>
          <w:b w:val="0"/>
        </w:rPr>
        <w:tab/>
      </w:r>
      <w:r>
        <w:rPr>
          <w:b w:val="0"/>
        </w:rPr>
        <w:fldChar w:fldCharType="begin"/>
      </w:r>
      <w:r>
        <w:rPr>
          <w:b w:val="0"/>
        </w:rPr>
        <w:instrText xml:space="preserve"> PAGEREF _Toc436902157 \h </w:instrText>
      </w:r>
      <w:r>
        <w:rPr>
          <w:b w:val="0"/>
        </w:rPr>
        <w:fldChar w:fldCharType="separate"/>
      </w:r>
      <w:r>
        <w:rPr>
          <w:b w:val="0"/>
        </w:rPr>
        <w:t>38</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"_Toc436902158" </w:instrText>
      </w:r>
      <w:r>
        <w:fldChar w:fldCharType="separate"/>
      </w:r>
      <w:r>
        <w:rPr>
          <w:rStyle w:val="29"/>
          <w:bCs/>
          <w:color w:val="auto"/>
          <w:sz w:val="24"/>
        </w:rPr>
        <w:t>5.1</w:t>
      </w:r>
      <w:r>
        <w:rPr>
          <w:rStyle w:val="29"/>
          <w:rFonts w:hint="eastAsia"/>
          <w:color w:val="auto"/>
          <w:sz w:val="24"/>
        </w:rPr>
        <w:t>环境空气质量现状监测</w:t>
      </w:r>
      <w:r>
        <w:rPr>
          <w:sz w:val="24"/>
        </w:rPr>
        <w:tab/>
      </w:r>
      <w:r>
        <w:rPr>
          <w:sz w:val="24"/>
        </w:rPr>
        <w:fldChar w:fldCharType="begin"/>
      </w:r>
      <w:r>
        <w:rPr>
          <w:sz w:val="24"/>
        </w:rPr>
        <w:instrText xml:space="preserve"> PAGEREF _Toc436902158 \h </w:instrText>
      </w:r>
      <w:r>
        <w:rPr>
          <w:sz w:val="24"/>
        </w:rPr>
        <w:fldChar w:fldCharType="separate"/>
      </w:r>
      <w:r>
        <w:rPr>
          <w:sz w:val="24"/>
        </w:rPr>
        <w:t>38</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"_Toc436902159" </w:instrText>
      </w:r>
      <w:r>
        <w:fldChar w:fldCharType="separate"/>
      </w:r>
      <w:r>
        <w:rPr>
          <w:rStyle w:val="29"/>
          <w:color w:val="auto"/>
          <w:sz w:val="24"/>
        </w:rPr>
        <w:t>5.2</w:t>
      </w:r>
      <w:r>
        <w:rPr>
          <w:rStyle w:val="29"/>
          <w:rFonts w:hint="eastAsia"/>
          <w:color w:val="auto"/>
          <w:sz w:val="24"/>
        </w:rPr>
        <w:t>地表水现状调查与评价</w:t>
      </w:r>
      <w:r>
        <w:rPr>
          <w:sz w:val="24"/>
        </w:rPr>
        <w:tab/>
      </w:r>
      <w:r>
        <w:rPr>
          <w:sz w:val="24"/>
        </w:rPr>
        <w:fldChar w:fldCharType="begin"/>
      </w:r>
      <w:r>
        <w:rPr>
          <w:sz w:val="24"/>
        </w:rPr>
        <w:instrText xml:space="preserve"> PAGEREF _Toc436902159 \h </w:instrText>
      </w:r>
      <w:r>
        <w:rPr>
          <w:sz w:val="24"/>
        </w:rPr>
        <w:fldChar w:fldCharType="separate"/>
      </w:r>
      <w:r>
        <w:rPr>
          <w:sz w:val="24"/>
        </w:rPr>
        <w:t>40</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"_Toc436902160" </w:instrText>
      </w:r>
      <w:r>
        <w:fldChar w:fldCharType="separate"/>
      </w:r>
      <w:r>
        <w:rPr>
          <w:rStyle w:val="29"/>
          <w:color w:val="auto"/>
          <w:sz w:val="24"/>
        </w:rPr>
        <w:t>5.3</w:t>
      </w:r>
      <w:r>
        <w:rPr>
          <w:rStyle w:val="29"/>
          <w:rFonts w:hint="eastAsia"/>
          <w:color w:val="auto"/>
          <w:sz w:val="24"/>
        </w:rPr>
        <w:t>地下水现状调查与评价</w:t>
      </w:r>
      <w:r>
        <w:rPr>
          <w:sz w:val="24"/>
        </w:rPr>
        <w:tab/>
      </w:r>
      <w:r>
        <w:rPr>
          <w:sz w:val="24"/>
        </w:rPr>
        <w:fldChar w:fldCharType="begin"/>
      </w:r>
      <w:r>
        <w:rPr>
          <w:sz w:val="24"/>
        </w:rPr>
        <w:instrText xml:space="preserve"> PAGEREF _Toc436902160 \h </w:instrText>
      </w:r>
      <w:r>
        <w:rPr>
          <w:sz w:val="24"/>
        </w:rPr>
        <w:fldChar w:fldCharType="separate"/>
      </w:r>
      <w:r>
        <w:rPr>
          <w:sz w:val="24"/>
        </w:rPr>
        <w:t>41</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"_Toc436902161" </w:instrText>
      </w:r>
      <w:r>
        <w:fldChar w:fldCharType="separate"/>
      </w:r>
      <w:r>
        <w:rPr>
          <w:rStyle w:val="29"/>
          <w:bCs/>
          <w:color w:val="auto"/>
          <w:sz w:val="24"/>
        </w:rPr>
        <w:t>5.4</w:t>
      </w:r>
      <w:r>
        <w:rPr>
          <w:rStyle w:val="29"/>
          <w:rFonts w:hint="eastAsia"/>
          <w:color w:val="auto"/>
          <w:sz w:val="24"/>
        </w:rPr>
        <w:t>环境噪声现状调查与评价</w:t>
      </w:r>
      <w:r>
        <w:rPr>
          <w:sz w:val="24"/>
        </w:rPr>
        <w:tab/>
      </w:r>
      <w:r>
        <w:rPr>
          <w:sz w:val="24"/>
        </w:rPr>
        <w:fldChar w:fldCharType="begin"/>
      </w:r>
      <w:r>
        <w:rPr>
          <w:sz w:val="24"/>
        </w:rPr>
        <w:instrText xml:space="preserve"> PAGEREF _Toc436902161 \h </w:instrText>
      </w:r>
      <w:r>
        <w:rPr>
          <w:sz w:val="24"/>
        </w:rPr>
        <w:fldChar w:fldCharType="separate"/>
      </w:r>
      <w:r>
        <w:rPr>
          <w:sz w:val="24"/>
        </w:rPr>
        <w:t>44</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"_Toc436902162" </w:instrText>
      </w:r>
      <w:r>
        <w:fldChar w:fldCharType="separate"/>
      </w:r>
      <w:r>
        <w:rPr>
          <w:rStyle w:val="29"/>
          <w:color w:val="auto"/>
          <w:sz w:val="24"/>
        </w:rPr>
        <w:t>5.5</w:t>
      </w:r>
      <w:r>
        <w:rPr>
          <w:rStyle w:val="29"/>
          <w:rFonts w:hint="eastAsia"/>
          <w:color w:val="auto"/>
          <w:sz w:val="24"/>
        </w:rPr>
        <w:t>生态现状调查与评价</w:t>
      </w:r>
      <w:r>
        <w:rPr>
          <w:sz w:val="24"/>
        </w:rPr>
        <w:tab/>
      </w:r>
      <w:r>
        <w:rPr>
          <w:sz w:val="24"/>
        </w:rPr>
        <w:fldChar w:fldCharType="begin"/>
      </w:r>
      <w:r>
        <w:rPr>
          <w:sz w:val="24"/>
        </w:rPr>
        <w:instrText xml:space="preserve"> PAGEREF _Toc436902162 \h </w:instrText>
      </w:r>
      <w:r>
        <w:rPr>
          <w:sz w:val="24"/>
        </w:rPr>
        <w:fldChar w:fldCharType="separate"/>
      </w:r>
      <w:r>
        <w:rPr>
          <w:sz w:val="24"/>
        </w:rPr>
        <w:t>45</w:t>
      </w:r>
      <w:r>
        <w:rPr>
          <w:sz w:val="24"/>
        </w:rPr>
        <w:fldChar w:fldCharType="end"/>
      </w:r>
      <w:r>
        <w:rPr>
          <w:sz w:val="24"/>
        </w:rPr>
        <w:fldChar w:fldCharType="end"/>
      </w:r>
    </w:p>
    <w:p>
      <w:pPr>
        <w:pStyle w:val="19"/>
      </w:pPr>
      <w:r>
        <w:fldChar w:fldCharType="begin"/>
      </w:r>
      <w:r>
        <w:instrText xml:space="preserve"> HYPERLINK \l "_Toc436902163" </w:instrText>
      </w:r>
      <w:r>
        <w:fldChar w:fldCharType="separate"/>
      </w:r>
      <w:r>
        <w:rPr>
          <w:rStyle w:val="29"/>
          <w:color w:val="auto"/>
        </w:rPr>
        <w:t xml:space="preserve">6 </w:t>
      </w:r>
      <w:r>
        <w:rPr>
          <w:rStyle w:val="29"/>
          <w:rFonts w:hint="eastAsia"/>
          <w:color w:val="auto"/>
        </w:rPr>
        <w:t>环境影响预测与评价</w:t>
      </w:r>
      <w:r>
        <w:rPr>
          <w:b w:val="0"/>
        </w:rPr>
        <w:tab/>
      </w:r>
      <w:r>
        <w:rPr>
          <w:b w:val="0"/>
        </w:rPr>
        <w:fldChar w:fldCharType="begin"/>
      </w:r>
      <w:r>
        <w:rPr>
          <w:b w:val="0"/>
        </w:rPr>
        <w:instrText xml:space="preserve"> PAGEREF _Toc436902163 \h </w:instrText>
      </w:r>
      <w:r>
        <w:rPr>
          <w:b w:val="0"/>
        </w:rPr>
        <w:fldChar w:fldCharType="separate"/>
      </w:r>
      <w:r>
        <w:rPr>
          <w:b w:val="0"/>
        </w:rPr>
        <w:t>46</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"_Toc436902164" </w:instrText>
      </w:r>
      <w:r>
        <w:fldChar w:fldCharType="separate"/>
      </w:r>
      <w:r>
        <w:rPr>
          <w:rStyle w:val="29"/>
          <w:bCs/>
          <w:color w:val="auto"/>
          <w:sz w:val="24"/>
        </w:rPr>
        <w:t>6.1</w:t>
      </w:r>
      <w:r>
        <w:rPr>
          <w:rStyle w:val="29"/>
          <w:rFonts w:hint="eastAsia"/>
          <w:color w:val="auto"/>
          <w:sz w:val="24"/>
        </w:rPr>
        <w:t>施工期环境影响分析</w:t>
      </w:r>
      <w:r>
        <w:rPr>
          <w:sz w:val="24"/>
        </w:rPr>
        <w:tab/>
      </w:r>
      <w:r>
        <w:rPr>
          <w:sz w:val="24"/>
        </w:rPr>
        <w:fldChar w:fldCharType="begin"/>
      </w:r>
      <w:r>
        <w:rPr>
          <w:sz w:val="24"/>
        </w:rPr>
        <w:instrText xml:space="preserve"> PAGEREF _Toc436902164 \h </w:instrText>
      </w:r>
      <w:r>
        <w:rPr>
          <w:sz w:val="24"/>
        </w:rPr>
        <w:fldChar w:fldCharType="separate"/>
      </w:r>
      <w:r>
        <w:rPr>
          <w:sz w:val="24"/>
        </w:rPr>
        <w:t>46</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"_Toc436902165" </w:instrText>
      </w:r>
      <w:r>
        <w:fldChar w:fldCharType="separate"/>
      </w:r>
      <w:r>
        <w:rPr>
          <w:rStyle w:val="29"/>
          <w:color w:val="auto"/>
          <w:sz w:val="24"/>
        </w:rPr>
        <w:t>6.2</w:t>
      </w:r>
      <w:r>
        <w:rPr>
          <w:rStyle w:val="29"/>
          <w:rFonts w:hint="eastAsia"/>
          <w:color w:val="auto"/>
          <w:sz w:val="24"/>
        </w:rPr>
        <w:t>环境空气影响预测与评价</w:t>
      </w:r>
      <w:r>
        <w:rPr>
          <w:sz w:val="24"/>
        </w:rPr>
        <w:tab/>
      </w:r>
      <w:r>
        <w:rPr>
          <w:sz w:val="24"/>
        </w:rPr>
        <w:fldChar w:fldCharType="begin"/>
      </w:r>
      <w:r>
        <w:rPr>
          <w:sz w:val="24"/>
        </w:rPr>
        <w:instrText xml:space="preserve"> PAGEREF _Toc436902165 \h </w:instrText>
      </w:r>
      <w:r>
        <w:rPr>
          <w:sz w:val="24"/>
        </w:rPr>
        <w:fldChar w:fldCharType="separate"/>
      </w:r>
      <w:r>
        <w:rPr>
          <w:sz w:val="24"/>
        </w:rPr>
        <w:t>55</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"_Toc436902166" </w:instrText>
      </w:r>
      <w:r>
        <w:fldChar w:fldCharType="separate"/>
      </w:r>
      <w:r>
        <w:rPr>
          <w:rStyle w:val="29"/>
          <w:bCs/>
          <w:color w:val="auto"/>
          <w:sz w:val="24"/>
        </w:rPr>
        <w:t>6.3</w:t>
      </w:r>
      <w:r>
        <w:rPr>
          <w:rStyle w:val="29"/>
          <w:rFonts w:hint="eastAsia"/>
          <w:color w:val="auto"/>
          <w:sz w:val="24"/>
        </w:rPr>
        <w:t>噪声影响预测与评价</w:t>
      </w:r>
      <w:r>
        <w:rPr>
          <w:sz w:val="24"/>
        </w:rPr>
        <w:tab/>
      </w:r>
      <w:r>
        <w:rPr>
          <w:sz w:val="24"/>
        </w:rPr>
        <w:fldChar w:fldCharType="begin"/>
      </w:r>
      <w:r>
        <w:rPr>
          <w:sz w:val="24"/>
        </w:rPr>
        <w:instrText xml:space="preserve"> PAGEREF _Toc436902166 \h </w:instrText>
      </w:r>
      <w:r>
        <w:rPr>
          <w:sz w:val="24"/>
        </w:rPr>
        <w:fldChar w:fldCharType="separate"/>
      </w:r>
      <w:r>
        <w:rPr>
          <w:sz w:val="24"/>
        </w:rPr>
        <w:t>55</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"_Toc436902167" </w:instrText>
      </w:r>
      <w:r>
        <w:fldChar w:fldCharType="separate"/>
      </w:r>
      <w:r>
        <w:rPr>
          <w:rStyle w:val="29"/>
          <w:bCs/>
          <w:color w:val="auto"/>
          <w:sz w:val="24"/>
        </w:rPr>
        <w:t>6.4</w:t>
      </w:r>
      <w:r>
        <w:rPr>
          <w:rStyle w:val="29"/>
          <w:rFonts w:hint="eastAsia"/>
          <w:color w:val="auto"/>
          <w:sz w:val="24"/>
        </w:rPr>
        <w:t>水环境影响预测与评价</w:t>
      </w:r>
      <w:r>
        <w:rPr>
          <w:sz w:val="24"/>
        </w:rPr>
        <w:tab/>
      </w:r>
      <w:r>
        <w:rPr>
          <w:sz w:val="24"/>
        </w:rPr>
        <w:fldChar w:fldCharType="begin"/>
      </w:r>
      <w:r>
        <w:rPr>
          <w:sz w:val="24"/>
        </w:rPr>
        <w:instrText xml:space="preserve"> PAGEREF _Toc436902167 \h </w:instrText>
      </w:r>
      <w:r>
        <w:rPr>
          <w:sz w:val="24"/>
        </w:rPr>
        <w:fldChar w:fldCharType="separate"/>
      </w:r>
      <w:r>
        <w:rPr>
          <w:sz w:val="24"/>
        </w:rPr>
        <w:t>59</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"_Toc436902168" </w:instrText>
      </w:r>
      <w:r>
        <w:fldChar w:fldCharType="separate"/>
      </w:r>
      <w:r>
        <w:rPr>
          <w:rStyle w:val="29"/>
          <w:color w:val="auto"/>
          <w:sz w:val="24"/>
        </w:rPr>
        <w:t>6.5</w:t>
      </w:r>
      <w:r>
        <w:rPr>
          <w:rStyle w:val="29"/>
          <w:rFonts w:hint="eastAsia"/>
          <w:color w:val="auto"/>
          <w:sz w:val="24"/>
        </w:rPr>
        <w:t>固体废弃物影响分析</w:t>
      </w:r>
      <w:r>
        <w:rPr>
          <w:sz w:val="24"/>
        </w:rPr>
        <w:tab/>
      </w:r>
      <w:r>
        <w:rPr>
          <w:sz w:val="24"/>
        </w:rPr>
        <w:fldChar w:fldCharType="begin"/>
      </w:r>
      <w:r>
        <w:rPr>
          <w:sz w:val="24"/>
        </w:rPr>
        <w:instrText xml:space="preserve"> PAGEREF _Toc436902168 \h </w:instrText>
      </w:r>
      <w:r>
        <w:rPr>
          <w:sz w:val="24"/>
        </w:rPr>
        <w:fldChar w:fldCharType="separate"/>
      </w:r>
      <w:r>
        <w:rPr>
          <w:sz w:val="24"/>
        </w:rPr>
        <w:t>59</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"_Toc436902169" </w:instrText>
      </w:r>
      <w:r>
        <w:fldChar w:fldCharType="separate"/>
      </w:r>
      <w:r>
        <w:rPr>
          <w:rStyle w:val="29"/>
          <w:bCs/>
          <w:color w:val="auto"/>
          <w:sz w:val="24"/>
        </w:rPr>
        <w:t>6.6</w:t>
      </w:r>
      <w:r>
        <w:rPr>
          <w:rStyle w:val="29"/>
          <w:rFonts w:hint="eastAsia"/>
          <w:color w:val="auto"/>
          <w:sz w:val="24"/>
        </w:rPr>
        <w:t>生态环境影响分析</w:t>
      </w:r>
      <w:r>
        <w:rPr>
          <w:sz w:val="24"/>
        </w:rPr>
        <w:tab/>
      </w:r>
      <w:r>
        <w:rPr>
          <w:sz w:val="24"/>
        </w:rPr>
        <w:fldChar w:fldCharType="begin"/>
      </w:r>
      <w:r>
        <w:rPr>
          <w:sz w:val="24"/>
        </w:rPr>
        <w:instrText xml:space="preserve"> PAGEREF _Toc436902169 \h </w:instrText>
      </w:r>
      <w:r>
        <w:rPr>
          <w:sz w:val="24"/>
        </w:rPr>
        <w:fldChar w:fldCharType="separate"/>
      </w:r>
      <w:r>
        <w:rPr>
          <w:sz w:val="24"/>
        </w:rPr>
        <w:t>60</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"_Toc436902170" </w:instrText>
      </w:r>
      <w:r>
        <w:fldChar w:fldCharType="separate"/>
      </w:r>
      <w:r>
        <w:rPr>
          <w:rStyle w:val="29"/>
          <w:bCs/>
          <w:color w:val="auto"/>
          <w:sz w:val="24"/>
        </w:rPr>
        <w:t>6.7</w:t>
      </w:r>
      <w:r>
        <w:rPr>
          <w:rStyle w:val="29"/>
          <w:rFonts w:hint="eastAsia"/>
          <w:color w:val="auto"/>
          <w:sz w:val="24"/>
        </w:rPr>
        <w:t>外环境对本项目的影响分析</w:t>
      </w:r>
      <w:r>
        <w:rPr>
          <w:sz w:val="24"/>
        </w:rPr>
        <w:tab/>
      </w:r>
      <w:r>
        <w:rPr>
          <w:sz w:val="24"/>
        </w:rPr>
        <w:fldChar w:fldCharType="begin"/>
      </w:r>
      <w:r>
        <w:rPr>
          <w:sz w:val="24"/>
        </w:rPr>
        <w:instrText xml:space="preserve"> PAGEREF _Toc436902170 \h </w:instrText>
      </w:r>
      <w:r>
        <w:rPr>
          <w:sz w:val="24"/>
        </w:rPr>
        <w:fldChar w:fldCharType="separate"/>
      </w:r>
      <w:r>
        <w:rPr>
          <w:sz w:val="24"/>
        </w:rPr>
        <w:t>60</w:t>
      </w:r>
      <w:r>
        <w:rPr>
          <w:sz w:val="24"/>
        </w:rPr>
        <w:fldChar w:fldCharType="end"/>
      </w:r>
      <w:r>
        <w:rPr>
          <w:sz w:val="24"/>
        </w:rPr>
        <w:fldChar w:fldCharType="end"/>
      </w:r>
    </w:p>
    <w:p>
      <w:pPr>
        <w:pStyle w:val="19"/>
      </w:pPr>
      <w:r>
        <w:fldChar w:fldCharType="begin"/>
      </w:r>
      <w:r>
        <w:instrText xml:space="preserve"> HYPERLINK \l "_Toc436902171" </w:instrText>
      </w:r>
      <w:r>
        <w:fldChar w:fldCharType="separate"/>
      </w:r>
      <w:r>
        <w:rPr>
          <w:rStyle w:val="29"/>
          <w:color w:val="auto"/>
        </w:rPr>
        <w:t xml:space="preserve">7 </w:t>
      </w:r>
      <w:r>
        <w:rPr>
          <w:rStyle w:val="29"/>
          <w:rFonts w:hint="eastAsia"/>
          <w:color w:val="auto"/>
        </w:rPr>
        <w:t>地下水环境影响评价</w:t>
      </w:r>
      <w:r>
        <w:rPr>
          <w:b w:val="0"/>
        </w:rPr>
        <w:tab/>
      </w:r>
      <w:r>
        <w:rPr>
          <w:b w:val="0"/>
        </w:rPr>
        <w:fldChar w:fldCharType="begin"/>
      </w:r>
      <w:r>
        <w:rPr>
          <w:b w:val="0"/>
        </w:rPr>
        <w:instrText xml:space="preserve"> PAGEREF _Toc436902171 \h </w:instrText>
      </w:r>
      <w:r>
        <w:rPr>
          <w:b w:val="0"/>
        </w:rPr>
        <w:fldChar w:fldCharType="separate"/>
      </w:r>
      <w:r>
        <w:rPr>
          <w:b w:val="0"/>
        </w:rPr>
        <w:t>62</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"_Toc436902172" </w:instrText>
      </w:r>
      <w:r>
        <w:fldChar w:fldCharType="separate"/>
      </w:r>
      <w:r>
        <w:rPr>
          <w:rStyle w:val="29"/>
          <w:color w:val="auto"/>
          <w:sz w:val="24"/>
        </w:rPr>
        <w:t>7.1</w:t>
      </w:r>
      <w:r>
        <w:rPr>
          <w:rStyle w:val="29"/>
          <w:rFonts w:hint="eastAsia"/>
          <w:color w:val="auto"/>
          <w:sz w:val="24"/>
        </w:rPr>
        <w:t>地下水评价等级及范围</w:t>
      </w:r>
      <w:r>
        <w:rPr>
          <w:sz w:val="24"/>
        </w:rPr>
        <w:tab/>
      </w:r>
      <w:r>
        <w:rPr>
          <w:sz w:val="24"/>
        </w:rPr>
        <w:fldChar w:fldCharType="begin"/>
      </w:r>
      <w:r>
        <w:rPr>
          <w:sz w:val="24"/>
        </w:rPr>
        <w:instrText xml:space="preserve"> PAGEREF _Toc436902172 \h </w:instrText>
      </w:r>
      <w:r>
        <w:rPr>
          <w:sz w:val="24"/>
        </w:rPr>
        <w:fldChar w:fldCharType="separate"/>
      </w:r>
      <w:r>
        <w:rPr>
          <w:sz w:val="24"/>
        </w:rPr>
        <w:t>62</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"_Toc436902173" </w:instrText>
      </w:r>
      <w:r>
        <w:fldChar w:fldCharType="separate"/>
      </w:r>
      <w:r>
        <w:rPr>
          <w:rStyle w:val="29"/>
          <w:color w:val="auto"/>
          <w:sz w:val="24"/>
        </w:rPr>
        <w:t>7.2</w:t>
      </w:r>
      <w:r>
        <w:rPr>
          <w:rStyle w:val="29"/>
          <w:rFonts w:hint="eastAsia"/>
          <w:color w:val="auto"/>
          <w:sz w:val="24"/>
        </w:rPr>
        <w:t>评价区地形地貌</w:t>
      </w:r>
      <w:r>
        <w:rPr>
          <w:sz w:val="24"/>
        </w:rPr>
        <w:tab/>
      </w:r>
      <w:r>
        <w:rPr>
          <w:sz w:val="24"/>
        </w:rPr>
        <w:fldChar w:fldCharType="begin"/>
      </w:r>
      <w:r>
        <w:rPr>
          <w:sz w:val="24"/>
        </w:rPr>
        <w:instrText xml:space="preserve"> PAGEREF _Toc436902173 \h </w:instrText>
      </w:r>
      <w:r>
        <w:rPr>
          <w:sz w:val="24"/>
        </w:rPr>
        <w:fldChar w:fldCharType="separate"/>
      </w:r>
      <w:r>
        <w:rPr>
          <w:sz w:val="24"/>
        </w:rPr>
        <w:t>63</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"_Toc436902174" </w:instrText>
      </w:r>
      <w:r>
        <w:fldChar w:fldCharType="separate"/>
      </w:r>
      <w:r>
        <w:rPr>
          <w:rStyle w:val="29"/>
          <w:color w:val="auto"/>
          <w:sz w:val="24"/>
        </w:rPr>
        <w:t>7.3</w:t>
      </w:r>
      <w:r>
        <w:rPr>
          <w:rStyle w:val="29"/>
          <w:rFonts w:hint="eastAsia"/>
          <w:color w:val="auto"/>
          <w:sz w:val="24"/>
        </w:rPr>
        <w:t>评价区地层及构造</w:t>
      </w:r>
      <w:r>
        <w:rPr>
          <w:sz w:val="24"/>
        </w:rPr>
        <w:tab/>
      </w:r>
      <w:r>
        <w:rPr>
          <w:sz w:val="24"/>
        </w:rPr>
        <w:fldChar w:fldCharType="begin"/>
      </w:r>
      <w:r>
        <w:rPr>
          <w:sz w:val="24"/>
        </w:rPr>
        <w:instrText xml:space="preserve"> PAGEREF _Toc436902174 \h </w:instrText>
      </w:r>
      <w:r>
        <w:rPr>
          <w:sz w:val="24"/>
        </w:rPr>
        <w:fldChar w:fldCharType="separate"/>
      </w:r>
      <w:r>
        <w:rPr>
          <w:sz w:val="24"/>
        </w:rPr>
        <w:t>64</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"_Toc436902175" </w:instrText>
      </w:r>
      <w:r>
        <w:fldChar w:fldCharType="separate"/>
      </w:r>
      <w:r>
        <w:rPr>
          <w:rStyle w:val="29"/>
          <w:color w:val="auto"/>
          <w:sz w:val="24"/>
        </w:rPr>
        <w:t>7.4</w:t>
      </w:r>
      <w:r>
        <w:rPr>
          <w:rStyle w:val="29"/>
          <w:rFonts w:hint="eastAsia"/>
          <w:color w:val="auto"/>
          <w:sz w:val="24"/>
        </w:rPr>
        <w:t>评价区地下水环境现状调查</w:t>
      </w:r>
      <w:r>
        <w:rPr>
          <w:sz w:val="24"/>
        </w:rPr>
        <w:tab/>
      </w:r>
      <w:r>
        <w:rPr>
          <w:sz w:val="24"/>
        </w:rPr>
        <w:fldChar w:fldCharType="begin"/>
      </w:r>
      <w:r>
        <w:rPr>
          <w:sz w:val="24"/>
        </w:rPr>
        <w:instrText xml:space="preserve"> PAGEREF _Toc436902175 \h </w:instrText>
      </w:r>
      <w:r>
        <w:rPr>
          <w:sz w:val="24"/>
        </w:rPr>
        <w:fldChar w:fldCharType="separate"/>
      </w:r>
      <w:r>
        <w:rPr>
          <w:sz w:val="24"/>
        </w:rPr>
        <w:t>65</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"_Toc436902176" </w:instrText>
      </w:r>
      <w:r>
        <w:fldChar w:fldCharType="separate"/>
      </w:r>
      <w:r>
        <w:rPr>
          <w:rStyle w:val="29"/>
          <w:color w:val="auto"/>
          <w:sz w:val="24"/>
        </w:rPr>
        <w:t>7.5</w:t>
      </w:r>
      <w:r>
        <w:rPr>
          <w:rStyle w:val="29"/>
          <w:rFonts w:hint="eastAsia"/>
          <w:color w:val="auto"/>
          <w:sz w:val="24"/>
        </w:rPr>
        <w:t>地下水天然资源量计算</w:t>
      </w:r>
      <w:r>
        <w:rPr>
          <w:sz w:val="24"/>
        </w:rPr>
        <w:tab/>
      </w:r>
      <w:r>
        <w:rPr>
          <w:sz w:val="24"/>
        </w:rPr>
        <w:fldChar w:fldCharType="begin"/>
      </w:r>
      <w:r>
        <w:rPr>
          <w:sz w:val="24"/>
        </w:rPr>
        <w:instrText xml:space="preserve"> PAGEREF _Toc436902176 \h </w:instrText>
      </w:r>
      <w:r>
        <w:rPr>
          <w:sz w:val="24"/>
        </w:rPr>
        <w:fldChar w:fldCharType="separate"/>
      </w:r>
      <w:r>
        <w:rPr>
          <w:sz w:val="24"/>
        </w:rPr>
        <w:t>81</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"_Toc436902177" </w:instrText>
      </w:r>
      <w:r>
        <w:fldChar w:fldCharType="separate"/>
      </w:r>
      <w:r>
        <w:rPr>
          <w:rStyle w:val="29"/>
          <w:color w:val="auto"/>
          <w:sz w:val="24"/>
        </w:rPr>
        <w:t>7.6</w:t>
      </w:r>
      <w:r>
        <w:rPr>
          <w:rStyle w:val="29"/>
          <w:rFonts w:hint="eastAsia"/>
          <w:color w:val="auto"/>
          <w:sz w:val="24"/>
        </w:rPr>
        <w:t>施工期地下水环境影响分析</w:t>
      </w:r>
      <w:r>
        <w:rPr>
          <w:sz w:val="24"/>
        </w:rPr>
        <w:tab/>
      </w:r>
      <w:r>
        <w:rPr>
          <w:sz w:val="24"/>
        </w:rPr>
        <w:fldChar w:fldCharType="begin"/>
      </w:r>
      <w:r>
        <w:rPr>
          <w:sz w:val="24"/>
        </w:rPr>
        <w:instrText xml:space="preserve"> PAGEREF _Toc436902177 \h </w:instrText>
      </w:r>
      <w:r>
        <w:rPr>
          <w:sz w:val="24"/>
        </w:rPr>
        <w:fldChar w:fldCharType="separate"/>
      </w:r>
      <w:r>
        <w:rPr>
          <w:sz w:val="24"/>
        </w:rPr>
        <w:t>84</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"_Toc436902178" </w:instrText>
      </w:r>
      <w:r>
        <w:fldChar w:fldCharType="separate"/>
      </w:r>
      <w:r>
        <w:rPr>
          <w:rStyle w:val="29"/>
          <w:color w:val="auto"/>
          <w:sz w:val="24"/>
        </w:rPr>
        <w:t>7.7</w:t>
      </w:r>
      <w:r>
        <w:rPr>
          <w:rStyle w:val="29"/>
          <w:rFonts w:hint="eastAsia"/>
          <w:color w:val="auto"/>
          <w:sz w:val="24"/>
        </w:rPr>
        <w:t>运营期地下水环境影响分析</w:t>
      </w:r>
      <w:r>
        <w:rPr>
          <w:sz w:val="24"/>
        </w:rPr>
        <w:tab/>
      </w:r>
      <w:r>
        <w:rPr>
          <w:sz w:val="24"/>
        </w:rPr>
        <w:fldChar w:fldCharType="begin"/>
      </w:r>
      <w:r>
        <w:rPr>
          <w:sz w:val="24"/>
        </w:rPr>
        <w:instrText xml:space="preserve"> PAGEREF _Toc436902178 \h </w:instrText>
      </w:r>
      <w:r>
        <w:rPr>
          <w:sz w:val="24"/>
        </w:rPr>
        <w:fldChar w:fldCharType="separate"/>
      </w:r>
      <w:r>
        <w:rPr>
          <w:sz w:val="24"/>
        </w:rPr>
        <w:t>84</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"_Toc436902179" </w:instrText>
      </w:r>
      <w:r>
        <w:fldChar w:fldCharType="separate"/>
      </w:r>
      <w:r>
        <w:rPr>
          <w:rStyle w:val="29"/>
          <w:color w:val="auto"/>
          <w:sz w:val="24"/>
        </w:rPr>
        <w:t>7.8.</w:t>
      </w:r>
      <w:r>
        <w:rPr>
          <w:rStyle w:val="29"/>
          <w:rFonts w:hint="eastAsia"/>
          <w:color w:val="auto"/>
          <w:sz w:val="24"/>
        </w:rPr>
        <w:t>水源保护区的划分建议</w:t>
      </w:r>
      <w:r>
        <w:rPr>
          <w:sz w:val="24"/>
        </w:rPr>
        <w:tab/>
      </w:r>
      <w:r>
        <w:rPr>
          <w:sz w:val="24"/>
        </w:rPr>
        <w:fldChar w:fldCharType="begin"/>
      </w:r>
      <w:r>
        <w:rPr>
          <w:sz w:val="24"/>
        </w:rPr>
        <w:instrText xml:space="preserve"> PAGEREF _Toc436902179 \h </w:instrText>
      </w:r>
      <w:r>
        <w:rPr>
          <w:sz w:val="24"/>
        </w:rPr>
        <w:fldChar w:fldCharType="separate"/>
      </w:r>
      <w:r>
        <w:rPr>
          <w:sz w:val="24"/>
        </w:rPr>
        <w:t>94</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"_Toc436902180" </w:instrText>
      </w:r>
      <w:r>
        <w:fldChar w:fldCharType="separate"/>
      </w:r>
      <w:r>
        <w:rPr>
          <w:rStyle w:val="29"/>
          <w:color w:val="auto"/>
          <w:sz w:val="24"/>
        </w:rPr>
        <w:t>7.9.</w:t>
      </w:r>
      <w:r>
        <w:rPr>
          <w:rStyle w:val="29"/>
          <w:rFonts w:hint="eastAsia"/>
          <w:color w:val="auto"/>
          <w:sz w:val="24"/>
        </w:rPr>
        <w:t>地下水保护措施</w:t>
      </w:r>
      <w:r>
        <w:rPr>
          <w:sz w:val="24"/>
        </w:rPr>
        <w:tab/>
      </w:r>
      <w:r>
        <w:rPr>
          <w:sz w:val="24"/>
        </w:rPr>
        <w:fldChar w:fldCharType="begin"/>
      </w:r>
      <w:r>
        <w:rPr>
          <w:sz w:val="24"/>
        </w:rPr>
        <w:instrText xml:space="preserve"> PAGEREF _Toc436902180 \h </w:instrText>
      </w:r>
      <w:r>
        <w:rPr>
          <w:sz w:val="24"/>
        </w:rPr>
        <w:fldChar w:fldCharType="separate"/>
      </w:r>
      <w:r>
        <w:rPr>
          <w:sz w:val="24"/>
        </w:rPr>
        <w:t>97</w:t>
      </w:r>
      <w:r>
        <w:rPr>
          <w:sz w:val="24"/>
        </w:rPr>
        <w:fldChar w:fldCharType="end"/>
      </w:r>
      <w:r>
        <w:rPr>
          <w:sz w:val="24"/>
        </w:rPr>
        <w:fldChar w:fldCharType="end"/>
      </w:r>
    </w:p>
    <w:p>
      <w:pPr>
        <w:pStyle w:val="19"/>
      </w:pPr>
      <w:r>
        <w:fldChar w:fldCharType="begin"/>
      </w:r>
      <w:r>
        <w:instrText xml:space="preserve"> HYPERLINK \l "_Toc436902181" </w:instrText>
      </w:r>
      <w:r>
        <w:fldChar w:fldCharType="separate"/>
      </w:r>
      <w:r>
        <w:rPr>
          <w:rStyle w:val="29"/>
          <w:color w:val="auto"/>
        </w:rPr>
        <w:t xml:space="preserve">8 </w:t>
      </w:r>
      <w:r>
        <w:rPr>
          <w:rStyle w:val="29"/>
          <w:rFonts w:hint="eastAsia"/>
          <w:color w:val="auto"/>
        </w:rPr>
        <w:t>环境风险评价</w:t>
      </w:r>
      <w:r>
        <w:rPr>
          <w:b w:val="0"/>
        </w:rPr>
        <w:tab/>
      </w:r>
      <w:r>
        <w:rPr>
          <w:b w:val="0"/>
        </w:rPr>
        <w:fldChar w:fldCharType="begin"/>
      </w:r>
      <w:r>
        <w:rPr>
          <w:b w:val="0"/>
        </w:rPr>
        <w:instrText xml:space="preserve"> PAGEREF _Toc436902181 \h </w:instrText>
      </w:r>
      <w:r>
        <w:rPr>
          <w:b w:val="0"/>
        </w:rPr>
        <w:fldChar w:fldCharType="separate"/>
      </w:r>
      <w:r>
        <w:rPr>
          <w:b w:val="0"/>
        </w:rPr>
        <w:t>98</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"_Toc436902182" </w:instrText>
      </w:r>
      <w:r>
        <w:fldChar w:fldCharType="separate"/>
      </w:r>
      <w:r>
        <w:rPr>
          <w:rStyle w:val="29"/>
          <w:color w:val="auto"/>
          <w:sz w:val="24"/>
        </w:rPr>
        <w:t>8.1</w:t>
      </w:r>
      <w:r>
        <w:rPr>
          <w:rStyle w:val="29"/>
          <w:rFonts w:hint="eastAsia"/>
          <w:color w:val="auto"/>
          <w:sz w:val="24"/>
        </w:rPr>
        <w:t>评价等级及评价范围</w:t>
      </w:r>
      <w:r>
        <w:rPr>
          <w:sz w:val="24"/>
        </w:rPr>
        <w:tab/>
      </w:r>
      <w:r>
        <w:rPr>
          <w:sz w:val="24"/>
        </w:rPr>
        <w:fldChar w:fldCharType="begin"/>
      </w:r>
      <w:r>
        <w:rPr>
          <w:sz w:val="24"/>
        </w:rPr>
        <w:instrText xml:space="preserve"> PAGEREF _Toc436902182 \h </w:instrText>
      </w:r>
      <w:r>
        <w:rPr>
          <w:sz w:val="24"/>
        </w:rPr>
        <w:fldChar w:fldCharType="separate"/>
      </w:r>
      <w:r>
        <w:rPr>
          <w:sz w:val="24"/>
        </w:rPr>
        <w:t>98</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"_Toc436902183" </w:instrText>
      </w:r>
      <w:r>
        <w:fldChar w:fldCharType="separate"/>
      </w:r>
      <w:r>
        <w:rPr>
          <w:rStyle w:val="29"/>
          <w:color w:val="auto"/>
          <w:sz w:val="24"/>
        </w:rPr>
        <w:t>8.2</w:t>
      </w:r>
      <w:r>
        <w:rPr>
          <w:rStyle w:val="29"/>
          <w:rFonts w:hint="eastAsia"/>
          <w:color w:val="auto"/>
          <w:sz w:val="24"/>
        </w:rPr>
        <w:t>环境风险识别</w:t>
      </w:r>
      <w:r>
        <w:rPr>
          <w:sz w:val="24"/>
        </w:rPr>
        <w:tab/>
      </w:r>
      <w:r>
        <w:rPr>
          <w:sz w:val="24"/>
        </w:rPr>
        <w:fldChar w:fldCharType="begin"/>
      </w:r>
      <w:r>
        <w:rPr>
          <w:sz w:val="24"/>
        </w:rPr>
        <w:instrText xml:space="preserve"> PAGEREF _Toc436902183 \h </w:instrText>
      </w:r>
      <w:r>
        <w:rPr>
          <w:sz w:val="24"/>
        </w:rPr>
        <w:fldChar w:fldCharType="separate"/>
      </w:r>
      <w:r>
        <w:rPr>
          <w:sz w:val="24"/>
        </w:rPr>
        <w:t>99</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"_Toc436902184" </w:instrText>
      </w:r>
      <w:r>
        <w:fldChar w:fldCharType="separate"/>
      </w:r>
      <w:r>
        <w:rPr>
          <w:rStyle w:val="29"/>
          <w:color w:val="auto"/>
          <w:sz w:val="24"/>
        </w:rPr>
        <w:t>8.3</w:t>
      </w:r>
      <w:r>
        <w:rPr>
          <w:rStyle w:val="29"/>
          <w:rFonts w:hint="eastAsia"/>
          <w:color w:val="auto"/>
          <w:sz w:val="24"/>
        </w:rPr>
        <w:t>源项分析</w:t>
      </w:r>
      <w:r>
        <w:rPr>
          <w:sz w:val="24"/>
        </w:rPr>
        <w:tab/>
      </w:r>
      <w:r>
        <w:rPr>
          <w:sz w:val="24"/>
        </w:rPr>
        <w:fldChar w:fldCharType="begin"/>
      </w:r>
      <w:r>
        <w:rPr>
          <w:sz w:val="24"/>
        </w:rPr>
        <w:instrText xml:space="preserve"> PAGEREF _Toc436902184 \h </w:instrText>
      </w:r>
      <w:r>
        <w:rPr>
          <w:sz w:val="24"/>
        </w:rPr>
        <w:fldChar w:fldCharType="separate"/>
      </w:r>
      <w:r>
        <w:rPr>
          <w:sz w:val="24"/>
        </w:rPr>
        <w:t>101</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"_Toc436902185" </w:instrText>
      </w:r>
      <w:r>
        <w:fldChar w:fldCharType="separate"/>
      </w:r>
      <w:r>
        <w:rPr>
          <w:rStyle w:val="29"/>
          <w:color w:val="auto"/>
          <w:sz w:val="24"/>
        </w:rPr>
        <w:t>8.4</w:t>
      </w:r>
      <w:r>
        <w:rPr>
          <w:rStyle w:val="29"/>
          <w:rFonts w:hint="eastAsia"/>
          <w:color w:val="auto"/>
          <w:sz w:val="24"/>
        </w:rPr>
        <w:t>事故后果分析</w:t>
      </w:r>
      <w:r>
        <w:rPr>
          <w:sz w:val="24"/>
        </w:rPr>
        <w:tab/>
      </w:r>
      <w:r>
        <w:rPr>
          <w:sz w:val="24"/>
        </w:rPr>
        <w:fldChar w:fldCharType="begin"/>
      </w:r>
      <w:r>
        <w:rPr>
          <w:sz w:val="24"/>
        </w:rPr>
        <w:instrText xml:space="preserve"> PAGEREF _Toc436902185 \h </w:instrText>
      </w:r>
      <w:r>
        <w:rPr>
          <w:sz w:val="24"/>
        </w:rPr>
        <w:fldChar w:fldCharType="separate"/>
      </w:r>
      <w:r>
        <w:rPr>
          <w:sz w:val="24"/>
        </w:rPr>
        <w:t>102</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"_Toc436902187" </w:instrText>
      </w:r>
      <w:r>
        <w:fldChar w:fldCharType="separate"/>
      </w:r>
      <w:r>
        <w:rPr>
          <w:rStyle w:val="29"/>
          <w:color w:val="auto"/>
          <w:sz w:val="24"/>
        </w:rPr>
        <w:t>8.5</w:t>
      </w:r>
      <w:r>
        <w:rPr>
          <w:rStyle w:val="29"/>
          <w:rFonts w:hint="eastAsia"/>
          <w:color w:val="auto"/>
          <w:sz w:val="24"/>
        </w:rPr>
        <w:t>风险管理</w:t>
      </w:r>
      <w:r>
        <w:rPr>
          <w:sz w:val="24"/>
        </w:rPr>
        <w:tab/>
      </w:r>
      <w:r>
        <w:rPr>
          <w:sz w:val="24"/>
        </w:rPr>
        <w:fldChar w:fldCharType="begin"/>
      </w:r>
      <w:r>
        <w:rPr>
          <w:sz w:val="24"/>
        </w:rPr>
        <w:instrText xml:space="preserve"> PAGEREF _Toc436902187 \h </w:instrText>
      </w:r>
      <w:r>
        <w:rPr>
          <w:sz w:val="24"/>
        </w:rPr>
        <w:fldChar w:fldCharType="separate"/>
      </w:r>
      <w:r>
        <w:rPr>
          <w:sz w:val="24"/>
        </w:rPr>
        <w:t>103</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"_Toc436902188" </w:instrText>
      </w:r>
      <w:r>
        <w:fldChar w:fldCharType="separate"/>
      </w:r>
      <w:r>
        <w:rPr>
          <w:rStyle w:val="29"/>
          <w:color w:val="auto"/>
          <w:sz w:val="24"/>
        </w:rPr>
        <w:t>8.6</w:t>
      </w:r>
      <w:r>
        <w:rPr>
          <w:rStyle w:val="29"/>
          <w:rFonts w:hint="eastAsia"/>
          <w:color w:val="auto"/>
          <w:sz w:val="24"/>
        </w:rPr>
        <w:t>风险评价结论与建议</w:t>
      </w:r>
      <w:r>
        <w:rPr>
          <w:sz w:val="24"/>
        </w:rPr>
        <w:tab/>
      </w:r>
      <w:r>
        <w:rPr>
          <w:sz w:val="24"/>
        </w:rPr>
        <w:fldChar w:fldCharType="begin"/>
      </w:r>
      <w:r>
        <w:rPr>
          <w:sz w:val="24"/>
        </w:rPr>
        <w:instrText xml:space="preserve"> PAGEREF _Toc436902188 \h </w:instrText>
      </w:r>
      <w:r>
        <w:rPr>
          <w:sz w:val="24"/>
        </w:rPr>
        <w:fldChar w:fldCharType="separate"/>
      </w:r>
      <w:r>
        <w:rPr>
          <w:sz w:val="24"/>
        </w:rPr>
        <w:t>108</w:t>
      </w:r>
      <w:r>
        <w:rPr>
          <w:sz w:val="24"/>
        </w:rPr>
        <w:fldChar w:fldCharType="end"/>
      </w:r>
      <w:r>
        <w:rPr>
          <w:sz w:val="24"/>
        </w:rPr>
        <w:fldChar w:fldCharType="end"/>
      </w:r>
    </w:p>
    <w:p>
      <w:pPr>
        <w:pStyle w:val="19"/>
      </w:pPr>
      <w:r>
        <w:fldChar w:fldCharType="begin"/>
      </w:r>
      <w:r>
        <w:instrText xml:space="preserve"> HYPERLINK \l "_Toc436902189" </w:instrText>
      </w:r>
      <w:r>
        <w:fldChar w:fldCharType="separate"/>
      </w:r>
      <w:r>
        <w:rPr>
          <w:rStyle w:val="29"/>
          <w:color w:val="auto"/>
        </w:rPr>
        <w:t xml:space="preserve">9 </w:t>
      </w:r>
      <w:r>
        <w:rPr>
          <w:rStyle w:val="29"/>
          <w:rFonts w:hint="eastAsia"/>
          <w:color w:val="auto"/>
        </w:rPr>
        <w:t>污染防治措施可行性分析</w:t>
      </w:r>
      <w:r>
        <w:rPr>
          <w:b w:val="0"/>
        </w:rPr>
        <w:tab/>
      </w:r>
      <w:r>
        <w:rPr>
          <w:b w:val="0"/>
        </w:rPr>
        <w:fldChar w:fldCharType="begin"/>
      </w:r>
      <w:r>
        <w:rPr>
          <w:b w:val="0"/>
        </w:rPr>
        <w:instrText xml:space="preserve"> PAGEREF _Toc436902189 \h </w:instrText>
      </w:r>
      <w:r>
        <w:rPr>
          <w:b w:val="0"/>
        </w:rPr>
        <w:fldChar w:fldCharType="separate"/>
      </w:r>
      <w:r>
        <w:rPr>
          <w:b w:val="0"/>
        </w:rPr>
        <w:t>109</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"_Toc436902190" </w:instrText>
      </w:r>
      <w:r>
        <w:fldChar w:fldCharType="separate"/>
      </w:r>
      <w:r>
        <w:rPr>
          <w:rStyle w:val="29"/>
          <w:color w:val="auto"/>
          <w:sz w:val="24"/>
        </w:rPr>
        <w:t>9.1</w:t>
      </w:r>
      <w:r>
        <w:rPr>
          <w:rStyle w:val="29"/>
          <w:rFonts w:hint="eastAsia"/>
          <w:color w:val="auto"/>
          <w:sz w:val="24"/>
        </w:rPr>
        <w:t>施工期污染防治措施</w:t>
      </w:r>
      <w:r>
        <w:rPr>
          <w:sz w:val="24"/>
        </w:rPr>
        <w:tab/>
      </w:r>
      <w:r>
        <w:rPr>
          <w:sz w:val="24"/>
        </w:rPr>
        <w:fldChar w:fldCharType="begin"/>
      </w:r>
      <w:r>
        <w:rPr>
          <w:sz w:val="24"/>
        </w:rPr>
        <w:instrText xml:space="preserve"> PAGEREF _Toc436902190 \h </w:instrText>
      </w:r>
      <w:r>
        <w:rPr>
          <w:sz w:val="24"/>
        </w:rPr>
        <w:fldChar w:fldCharType="separate"/>
      </w:r>
      <w:r>
        <w:rPr>
          <w:sz w:val="24"/>
        </w:rPr>
        <w:t>109</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"_Toc436902191" </w:instrText>
      </w:r>
      <w:r>
        <w:fldChar w:fldCharType="separate"/>
      </w:r>
      <w:r>
        <w:rPr>
          <w:rStyle w:val="29"/>
          <w:color w:val="auto"/>
          <w:sz w:val="24"/>
        </w:rPr>
        <w:t>9.2</w:t>
      </w:r>
      <w:r>
        <w:rPr>
          <w:rStyle w:val="29"/>
          <w:rFonts w:hint="eastAsia"/>
          <w:color w:val="auto"/>
          <w:sz w:val="24"/>
        </w:rPr>
        <w:t>运营期污染防治措施</w:t>
      </w:r>
      <w:r>
        <w:rPr>
          <w:sz w:val="24"/>
        </w:rPr>
        <w:tab/>
      </w:r>
      <w:r>
        <w:rPr>
          <w:sz w:val="24"/>
        </w:rPr>
        <w:fldChar w:fldCharType="begin"/>
      </w:r>
      <w:r>
        <w:rPr>
          <w:sz w:val="24"/>
        </w:rPr>
        <w:instrText xml:space="preserve"> PAGEREF _Toc436902191 \h </w:instrText>
      </w:r>
      <w:r>
        <w:rPr>
          <w:sz w:val="24"/>
        </w:rPr>
        <w:fldChar w:fldCharType="separate"/>
      </w:r>
      <w:r>
        <w:rPr>
          <w:sz w:val="24"/>
        </w:rPr>
        <w:t>112</w:t>
      </w:r>
      <w:r>
        <w:rPr>
          <w:sz w:val="24"/>
        </w:rPr>
        <w:fldChar w:fldCharType="end"/>
      </w:r>
      <w:r>
        <w:rPr>
          <w:sz w:val="24"/>
        </w:rPr>
        <w:fldChar w:fldCharType="end"/>
      </w:r>
    </w:p>
    <w:p>
      <w:pPr>
        <w:pStyle w:val="19"/>
      </w:pPr>
      <w:r>
        <w:fldChar w:fldCharType="begin"/>
      </w:r>
      <w:r>
        <w:instrText xml:space="preserve"> HYPERLINK \l "_Toc436902192" </w:instrText>
      </w:r>
      <w:r>
        <w:fldChar w:fldCharType="separate"/>
      </w:r>
      <w:r>
        <w:rPr>
          <w:rStyle w:val="29"/>
          <w:color w:val="auto"/>
        </w:rPr>
        <w:t xml:space="preserve">10 </w:t>
      </w:r>
      <w:r>
        <w:rPr>
          <w:rStyle w:val="29"/>
          <w:rFonts w:hint="eastAsia"/>
          <w:color w:val="auto"/>
        </w:rPr>
        <w:t>清洁生产与总量控制</w:t>
      </w:r>
      <w:r>
        <w:rPr>
          <w:b w:val="0"/>
        </w:rPr>
        <w:tab/>
      </w:r>
      <w:r>
        <w:rPr>
          <w:b w:val="0"/>
        </w:rPr>
        <w:fldChar w:fldCharType="begin"/>
      </w:r>
      <w:r>
        <w:rPr>
          <w:b w:val="0"/>
        </w:rPr>
        <w:instrText xml:space="preserve"> PAGEREF _Toc436902192 \h </w:instrText>
      </w:r>
      <w:r>
        <w:rPr>
          <w:b w:val="0"/>
        </w:rPr>
        <w:fldChar w:fldCharType="separate"/>
      </w:r>
      <w:r>
        <w:rPr>
          <w:b w:val="0"/>
        </w:rPr>
        <w:t>115</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"_Toc436902193" </w:instrText>
      </w:r>
      <w:r>
        <w:fldChar w:fldCharType="separate"/>
      </w:r>
      <w:r>
        <w:rPr>
          <w:rStyle w:val="29"/>
          <w:color w:val="auto"/>
          <w:sz w:val="24"/>
        </w:rPr>
        <w:t>10.1</w:t>
      </w:r>
      <w:r>
        <w:rPr>
          <w:rStyle w:val="29"/>
          <w:rFonts w:hint="eastAsia"/>
          <w:color w:val="auto"/>
          <w:sz w:val="24"/>
        </w:rPr>
        <w:t>清洁生产</w:t>
      </w:r>
      <w:r>
        <w:rPr>
          <w:sz w:val="24"/>
        </w:rPr>
        <w:tab/>
      </w:r>
      <w:r>
        <w:rPr>
          <w:sz w:val="24"/>
        </w:rPr>
        <w:fldChar w:fldCharType="begin"/>
      </w:r>
      <w:r>
        <w:rPr>
          <w:sz w:val="24"/>
        </w:rPr>
        <w:instrText xml:space="preserve"> PAGEREF _Toc436902193 \h </w:instrText>
      </w:r>
      <w:r>
        <w:rPr>
          <w:sz w:val="24"/>
        </w:rPr>
        <w:fldChar w:fldCharType="separate"/>
      </w:r>
      <w:r>
        <w:rPr>
          <w:sz w:val="24"/>
        </w:rPr>
        <w:t>115</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"_Toc436902194" </w:instrText>
      </w:r>
      <w:r>
        <w:fldChar w:fldCharType="separate"/>
      </w:r>
      <w:r>
        <w:rPr>
          <w:rStyle w:val="29"/>
          <w:color w:val="auto"/>
          <w:sz w:val="24"/>
        </w:rPr>
        <w:t>10.2</w:t>
      </w:r>
      <w:r>
        <w:rPr>
          <w:rStyle w:val="29"/>
          <w:rFonts w:hint="eastAsia"/>
          <w:color w:val="auto"/>
          <w:sz w:val="24"/>
        </w:rPr>
        <w:t>总量控制</w:t>
      </w:r>
      <w:r>
        <w:rPr>
          <w:sz w:val="24"/>
        </w:rPr>
        <w:tab/>
      </w:r>
      <w:r>
        <w:rPr>
          <w:sz w:val="24"/>
        </w:rPr>
        <w:fldChar w:fldCharType="begin"/>
      </w:r>
      <w:r>
        <w:rPr>
          <w:sz w:val="24"/>
        </w:rPr>
        <w:instrText xml:space="preserve"> PAGEREF _Toc436902194 \h </w:instrText>
      </w:r>
      <w:r>
        <w:rPr>
          <w:sz w:val="24"/>
        </w:rPr>
        <w:fldChar w:fldCharType="separate"/>
      </w:r>
      <w:r>
        <w:rPr>
          <w:sz w:val="24"/>
        </w:rPr>
        <w:t>115</w:t>
      </w:r>
      <w:r>
        <w:rPr>
          <w:sz w:val="24"/>
        </w:rPr>
        <w:fldChar w:fldCharType="end"/>
      </w:r>
      <w:r>
        <w:rPr>
          <w:sz w:val="24"/>
        </w:rPr>
        <w:fldChar w:fldCharType="end"/>
      </w:r>
    </w:p>
    <w:p>
      <w:pPr>
        <w:pStyle w:val="19"/>
      </w:pPr>
      <w:r>
        <w:fldChar w:fldCharType="begin"/>
      </w:r>
      <w:r>
        <w:instrText xml:space="preserve"> HYPERLINK \l "_Toc436902195" </w:instrText>
      </w:r>
      <w:r>
        <w:fldChar w:fldCharType="separate"/>
      </w:r>
      <w:r>
        <w:rPr>
          <w:rStyle w:val="29"/>
          <w:color w:val="auto"/>
        </w:rPr>
        <w:t xml:space="preserve">11 </w:t>
      </w:r>
      <w:r>
        <w:rPr>
          <w:rStyle w:val="29"/>
          <w:rFonts w:hint="eastAsia"/>
          <w:color w:val="auto"/>
        </w:rPr>
        <w:t>环境经济损益分析</w:t>
      </w:r>
      <w:r>
        <w:rPr>
          <w:b w:val="0"/>
        </w:rPr>
        <w:tab/>
      </w:r>
      <w:r>
        <w:rPr>
          <w:b w:val="0"/>
        </w:rPr>
        <w:fldChar w:fldCharType="begin"/>
      </w:r>
      <w:r>
        <w:rPr>
          <w:b w:val="0"/>
        </w:rPr>
        <w:instrText xml:space="preserve"> PAGEREF _Toc436902195 \h </w:instrText>
      </w:r>
      <w:r>
        <w:rPr>
          <w:b w:val="0"/>
        </w:rPr>
        <w:fldChar w:fldCharType="separate"/>
      </w:r>
      <w:r>
        <w:rPr>
          <w:b w:val="0"/>
        </w:rPr>
        <w:t>117</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"_Toc436902196" </w:instrText>
      </w:r>
      <w:r>
        <w:fldChar w:fldCharType="separate"/>
      </w:r>
      <w:r>
        <w:rPr>
          <w:rStyle w:val="29"/>
          <w:color w:val="auto"/>
          <w:sz w:val="24"/>
        </w:rPr>
        <w:t>11.1</w:t>
      </w:r>
      <w:r>
        <w:rPr>
          <w:rStyle w:val="29"/>
          <w:rFonts w:hint="eastAsia"/>
          <w:color w:val="auto"/>
          <w:sz w:val="24"/>
        </w:rPr>
        <w:t>经济效益分析</w:t>
      </w:r>
      <w:r>
        <w:rPr>
          <w:sz w:val="24"/>
        </w:rPr>
        <w:tab/>
      </w:r>
      <w:r>
        <w:rPr>
          <w:sz w:val="24"/>
        </w:rPr>
        <w:fldChar w:fldCharType="begin"/>
      </w:r>
      <w:r>
        <w:rPr>
          <w:sz w:val="24"/>
        </w:rPr>
        <w:instrText xml:space="preserve"> PAGEREF _Toc436902196 \h </w:instrText>
      </w:r>
      <w:r>
        <w:rPr>
          <w:sz w:val="24"/>
        </w:rPr>
        <w:fldChar w:fldCharType="separate"/>
      </w:r>
      <w:r>
        <w:rPr>
          <w:sz w:val="24"/>
        </w:rPr>
        <w:t>117</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"_Toc436902197" </w:instrText>
      </w:r>
      <w:r>
        <w:fldChar w:fldCharType="separate"/>
      </w:r>
      <w:r>
        <w:rPr>
          <w:rStyle w:val="29"/>
          <w:color w:val="auto"/>
          <w:sz w:val="24"/>
        </w:rPr>
        <w:t>11.2</w:t>
      </w:r>
      <w:r>
        <w:rPr>
          <w:rStyle w:val="29"/>
          <w:rFonts w:hint="eastAsia"/>
          <w:color w:val="auto"/>
          <w:sz w:val="24"/>
        </w:rPr>
        <w:t>社会效益分析</w:t>
      </w:r>
      <w:r>
        <w:rPr>
          <w:sz w:val="24"/>
        </w:rPr>
        <w:tab/>
      </w:r>
      <w:r>
        <w:rPr>
          <w:sz w:val="24"/>
        </w:rPr>
        <w:fldChar w:fldCharType="begin"/>
      </w:r>
      <w:r>
        <w:rPr>
          <w:sz w:val="24"/>
        </w:rPr>
        <w:instrText xml:space="preserve"> PAGEREF _Toc436902197 \h </w:instrText>
      </w:r>
      <w:r>
        <w:rPr>
          <w:sz w:val="24"/>
        </w:rPr>
        <w:fldChar w:fldCharType="separate"/>
      </w:r>
      <w:r>
        <w:rPr>
          <w:sz w:val="24"/>
        </w:rPr>
        <w:t>117</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"_Toc436902198" </w:instrText>
      </w:r>
      <w:r>
        <w:fldChar w:fldCharType="separate"/>
      </w:r>
      <w:r>
        <w:rPr>
          <w:rStyle w:val="29"/>
          <w:color w:val="auto"/>
          <w:sz w:val="24"/>
        </w:rPr>
        <w:t>11.3</w:t>
      </w:r>
      <w:r>
        <w:rPr>
          <w:rStyle w:val="29"/>
          <w:rFonts w:hint="eastAsia"/>
          <w:color w:val="auto"/>
          <w:sz w:val="24"/>
        </w:rPr>
        <w:t>环境经济损益分析</w:t>
      </w:r>
      <w:r>
        <w:rPr>
          <w:sz w:val="24"/>
        </w:rPr>
        <w:tab/>
      </w:r>
      <w:r>
        <w:rPr>
          <w:sz w:val="24"/>
        </w:rPr>
        <w:fldChar w:fldCharType="begin"/>
      </w:r>
      <w:r>
        <w:rPr>
          <w:sz w:val="24"/>
        </w:rPr>
        <w:instrText xml:space="preserve"> PAGEREF _Toc436902198 \h </w:instrText>
      </w:r>
      <w:r>
        <w:rPr>
          <w:sz w:val="24"/>
        </w:rPr>
        <w:fldChar w:fldCharType="separate"/>
      </w:r>
      <w:r>
        <w:rPr>
          <w:sz w:val="24"/>
        </w:rPr>
        <w:t>118</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"_Toc436902199" </w:instrText>
      </w:r>
      <w:r>
        <w:fldChar w:fldCharType="separate"/>
      </w:r>
      <w:r>
        <w:rPr>
          <w:rStyle w:val="29"/>
          <w:color w:val="auto"/>
          <w:sz w:val="24"/>
        </w:rPr>
        <w:t>11.4</w:t>
      </w:r>
      <w:r>
        <w:rPr>
          <w:rStyle w:val="29"/>
          <w:rFonts w:hint="eastAsia"/>
          <w:color w:val="auto"/>
          <w:sz w:val="24"/>
        </w:rPr>
        <w:t>小结</w:t>
      </w:r>
      <w:r>
        <w:rPr>
          <w:sz w:val="24"/>
        </w:rPr>
        <w:tab/>
      </w:r>
      <w:r>
        <w:rPr>
          <w:sz w:val="24"/>
        </w:rPr>
        <w:fldChar w:fldCharType="begin"/>
      </w:r>
      <w:r>
        <w:rPr>
          <w:sz w:val="24"/>
        </w:rPr>
        <w:instrText xml:space="preserve"> PAGEREF _Toc436902199 \h </w:instrText>
      </w:r>
      <w:r>
        <w:rPr>
          <w:sz w:val="24"/>
        </w:rPr>
        <w:fldChar w:fldCharType="separate"/>
      </w:r>
      <w:r>
        <w:rPr>
          <w:sz w:val="24"/>
        </w:rPr>
        <w:t>119</w:t>
      </w:r>
      <w:r>
        <w:rPr>
          <w:sz w:val="24"/>
        </w:rPr>
        <w:fldChar w:fldCharType="end"/>
      </w:r>
      <w:r>
        <w:rPr>
          <w:sz w:val="24"/>
        </w:rPr>
        <w:fldChar w:fldCharType="end"/>
      </w:r>
    </w:p>
    <w:p>
      <w:pPr>
        <w:pStyle w:val="19"/>
      </w:pPr>
      <w:r>
        <w:fldChar w:fldCharType="begin"/>
      </w:r>
      <w:r>
        <w:instrText xml:space="preserve"> HYPERLINK \l "_Toc436902200" </w:instrText>
      </w:r>
      <w:r>
        <w:fldChar w:fldCharType="separate"/>
      </w:r>
      <w:r>
        <w:rPr>
          <w:rStyle w:val="29"/>
          <w:color w:val="auto"/>
        </w:rPr>
        <w:t xml:space="preserve">12 </w:t>
      </w:r>
      <w:r>
        <w:rPr>
          <w:rStyle w:val="29"/>
          <w:rFonts w:hint="eastAsia"/>
          <w:color w:val="auto"/>
        </w:rPr>
        <w:t>环境管理与监测计划</w:t>
      </w:r>
      <w:r>
        <w:rPr>
          <w:b w:val="0"/>
        </w:rPr>
        <w:tab/>
      </w:r>
      <w:r>
        <w:rPr>
          <w:b w:val="0"/>
        </w:rPr>
        <w:fldChar w:fldCharType="begin"/>
      </w:r>
      <w:r>
        <w:rPr>
          <w:b w:val="0"/>
        </w:rPr>
        <w:instrText xml:space="preserve"> PAGEREF _Toc436902200 \h </w:instrText>
      </w:r>
      <w:r>
        <w:rPr>
          <w:b w:val="0"/>
        </w:rPr>
        <w:fldChar w:fldCharType="separate"/>
      </w:r>
      <w:r>
        <w:rPr>
          <w:b w:val="0"/>
        </w:rPr>
        <w:t>121</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"_Toc436902201" </w:instrText>
      </w:r>
      <w:r>
        <w:fldChar w:fldCharType="separate"/>
      </w:r>
      <w:r>
        <w:rPr>
          <w:rStyle w:val="29"/>
          <w:color w:val="auto"/>
          <w:sz w:val="24"/>
        </w:rPr>
        <w:t>12.1</w:t>
      </w:r>
      <w:r>
        <w:rPr>
          <w:rStyle w:val="29"/>
          <w:rFonts w:hint="eastAsia"/>
          <w:color w:val="auto"/>
          <w:sz w:val="24"/>
        </w:rPr>
        <w:t>环境管理的要求</w:t>
      </w:r>
      <w:r>
        <w:rPr>
          <w:sz w:val="24"/>
        </w:rPr>
        <w:tab/>
      </w:r>
      <w:r>
        <w:rPr>
          <w:sz w:val="24"/>
        </w:rPr>
        <w:fldChar w:fldCharType="begin"/>
      </w:r>
      <w:r>
        <w:rPr>
          <w:sz w:val="24"/>
        </w:rPr>
        <w:instrText xml:space="preserve"> PAGEREF _Toc436902201 \h </w:instrText>
      </w:r>
      <w:r>
        <w:rPr>
          <w:sz w:val="24"/>
        </w:rPr>
        <w:fldChar w:fldCharType="separate"/>
      </w:r>
      <w:r>
        <w:rPr>
          <w:sz w:val="24"/>
        </w:rPr>
        <w:t>121</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"_Toc436902202" </w:instrText>
      </w:r>
      <w:r>
        <w:fldChar w:fldCharType="separate"/>
      </w:r>
      <w:r>
        <w:rPr>
          <w:rStyle w:val="29"/>
          <w:color w:val="auto"/>
          <w:sz w:val="24"/>
        </w:rPr>
        <w:t>12.2</w:t>
      </w:r>
      <w:r>
        <w:rPr>
          <w:rStyle w:val="29"/>
          <w:rFonts w:hint="eastAsia"/>
          <w:color w:val="auto"/>
          <w:sz w:val="24"/>
        </w:rPr>
        <w:t>环境监测计划</w:t>
      </w:r>
      <w:r>
        <w:rPr>
          <w:sz w:val="24"/>
        </w:rPr>
        <w:tab/>
      </w:r>
      <w:r>
        <w:rPr>
          <w:sz w:val="24"/>
        </w:rPr>
        <w:fldChar w:fldCharType="begin"/>
      </w:r>
      <w:r>
        <w:rPr>
          <w:sz w:val="24"/>
        </w:rPr>
        <w:instrText xml:space="preserve"> PAGEREF _Toc436902202 \h </w:instrText>
      </w:r>
      <w:r>
        <w:rPr>
          <w:sz w:val="24"/>
        </w:rPr>
        <w:fldChar w:fldCharType="separate"/>
      </w:r>
      <w:r>
        <w:rPr>
          <w:sz w:val="24"/>
        </w:rPr>
        <w:t>122</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"_Toc436902203" </w:instrText>
      </w:r>
      <w:r>
        <w:fldChar w:fldCharType="separate"/>
      </w:r>
      <w:r>
        <w:rPr>
          <w:rStyle w:val="29"/>
          <w:color w:val="auto"/>
          <w:sz w:val="24"/>
        </w:rPr>
        <w:t>12.3</w:t>
      </w:r>
      <w:r>
        <w:rPr>
          <w:rStyle w:val="29"/>
          <w:rFonts w:hint="eastAsia"/>
          <w:color w:val="auto"/>
          <w:sz w:val="24"/>
        </w:rPr>
        <w:t>施工期环境监理</w:t>
      </w:r>
      <w:r>
        <w:rPr>
          <w:sz w:val="24"/>
        </w:rPr>
        <w:tab/>
      </w:r>
      <w:r>
        <w:rPr>
          <w:sz w:val="24"/>
        </w:rPr>
        <w:fldChar w:fldCharType="begin"/>
      </w:r>
      <w:r>
        <w:rPr>
          <w:sz w:val="24"/>
        </w:rPr>
        <w:instrText xml:space="preserve"> PAGEREF _Toc436902203 \h </w:instrText>
      </w:r>
      <w:r>
        <w:rPr>
          <w:sz w:val="24"/>
        </w:rPr>
        <w:fldChar w:fldCharType="separate"/>
      </w:r>
      <w:r>
        <w:rPr>
          <w:sz w:val="24"/>
        </w:rPr>
        <w:t>123</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"_Toc436902204" </w:instrText>
      </w:r>
      <w:r>
        <w:fldChar w:fldCharType="separate"/>
      </w:r>
      <w:r>
        <w:rPr>
          <w:rStyle w:val="29"/>
          <w:color w:val="auto"/>
          <w:sz w:val="24"/>
        </w:rPr>
        <w:t>12.4</w:t>
      </w:r>
      <w:r>
        <w:rPr>
          <w:rStyle w:val="29"/>
          <w:rFonts w:hint="eastAsia"/>
          <w:color w:val="auto"/>
          <w:sz w:val="24"/>
        </w:rPr>
        <w:t>环保竣工验收清单</w:t>
      </w:r>
      <w:r>
        <w:rPr>
          <w:sz w:val="24"/>
        </w:rPr>
        <w:tab/>
      </w:r>
      <w:r>
        <w:rPr>
          <w:sz w:val="24"/>
        </w:rPr>
        <w:fldChar w:fldCharType="begin"/>
      </w:r>
      <w:r>
        <w:rPr>
          <w:sz w:val="24"/>
        </w:rPr>
        <w:instrText xml:space="preserve"> PAGEREF _Toc436902204 \h </w:instrText>
      </w:r>
      <w:r>
        <w:rPr>
          <w:sz w:val="24"/>
        </w:rPr>
        <w:fldChar w:fldCharType="separate"/>
      </w:r>
      <w:r>
        <w:rPr>
          <w:sz w:val="24"/>
        </w:rPr>
        <w:t>127</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"_Toc436902205" </w:instrText>
      </w:r>
      <w:r>
        <w:fldChar w:fldCharType="separate"/>
      </w:r>
      <w:r>
        <w:rPr>
          <w:rStyle w:val="29"/>
          <w:color w:val="auto"/>
          <w:sz w:val="24"/>
        </w:rPr>
        <w:t>12.5</w:t>
      </w:r>
      <w:r>
        <w:rPr>
          <w:rStyle w:val="29"/>
          <w:rFonts w:hint="eastAsia"/>
          <w:color w:val="auto"/>
          <w:sz w:val="24"/>
        </w:rPr>
        <w:t>环保监督管理</w:t>
      </w:r>
      <w:r>
        <w:rPr>
          <w:sz w:val="24"/>
        </w:rPr>
        <w:tab/>
      </w:r>
      <w:r>
        <w:rPr>
          <w:sz w:val="24"/>
        </w:rPr>
        <w:fldChar w:fldCharType="begin"/>
      </w:r>
      <w:r>
        <w:rPr>
          <w:sz w:val="24"/>
        </w:rPr>
        <w:instrText xml:space="preserve"> PAGEREF _Toc436902205 \h </w:instrText>
      </w:r>
      <w:r>
        <w:rPr>
          <w:sz w:val="24"/>
        </w:rPr>
        <w:fldChar w:fldCharType="separate"/>
      </w:r>
      <w:r>
        <w:rPr>
          <w:sz w:val="24"/>
        </w:rPr>
        <w:t>127</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"_Toc436902206" </w:instrText>
      </w:r>
      <w:r>
        <w:fldChar w:fldCharType="separate"/>
      </w:r>
      <w:r>
        <w:rPr>
          <w:rStyle w:val="29"/>
          <w:color w:val="auto"/>
          <w:sz w:val="24"/>
        </w:rPr>
        <w:t>12.6</w:t>
      </w:r>
      <w:r>
        <w:rPr>
          <w:rStyle w:val="29"/>
          <w:rFonts w:hint="eastAsia"/>
          <w:color w:val="auto"/>
          <w:sz w:val="24"/>
        </w:rPr>
        <w:t>排污口管理</w:t>
      </w:r>
      <w:r>
        <w:rPr>
          <w:sz w:val="24"/>
        </w:rPr>
        <w:tab/>
      </w:r>
      <w:r>
        <w:rPr>
          <w:sz w:val="24"/>
        </w:rPr>
        <w:fldChar w:fldCharType="begin"/>
      </w:r>
      <w:r>
        <w:rPr>
          <w:sz w:val="24"/>
        </w:rPr>
        <w:instrText xml:space="preserve"> PAGEREF _Toc436902206 \h </w:instrText>
      </w:r>
      <w:r>
        <w:rPr>
          <w:sz w:val="24"/>
        </w:rPr>
        <w:fldChar w:fldCharType="separate"/>
      </w:r>
      <w:r>
        <w:rPr>
          <w:sz w:val="24"/>
        </w:rPr>
        <w:t>127</w:t>
      </w:r>
      <w:r>
        <w:rPr>
          <w:sz w:val="24"/>
        </w:rPr>
        <w:fldChar w:fldCharType="end"/>
      </w:r>
      <w:r>
        <w:rPr>
          <w:sz w:val="24"/>
        </w:rPr>
        <w:fldChar w:fldCharType="end"/>
      </w:r>
    </w:p>
    <w:p>
      <w:pPr>
        <w:pStyle w:val="19"/>
      </w:pPr>
      <w:r>
        <w:fldChar w:fldCharType="begin"/>
      </w:r>
      <w:r>
        <w:instrText xml:space="preserve"> HYPERLINK \l "_Toc436902207" </w:instrText>
      </w:r>
      <w:r>
        <w:fldChar w:fldCharType="separate"/>
      </w:r>
      <w:r>
        <w:rPr>
          <w:rStyle w:val="29"/>
          <w:color w:val="auto"/>
        </w:rPr>
        <w:t xml:space="preserve">13 </w:t>
      </w:r>
      <w:r>
        <w:rPr>
          <w:rStyle w:val="29"/>
          <w:rFonts w:hint="eastAsia"/>
          <w:color w:val="auto"/>
        </w:rPr>
        <w:t>产业政策及规划符合性分析</w:t>
      </w:r>
      <w:r>
        <w:rPr>
          <w:b w:val="0"/>
        </w:rPr>
        <w:tab/>
      </w:r>
      <w:r>
        <w:rPr>
          <w:b w:val="0"/>
        </w:rPr>
        <w:fldChar w:fldCharType="begin"/>
      </w:r>
      <w:r>
        <w:rPr>
          <w:b w:val="0"/>
        </w:rPr>
        <w:instrText xml:space="preserve"> PAGEREF _Toc436902207 \h </w:instrText>
      </w:r>
      <w:r>
        <w:rPr>
          <w:b w:val="0"/>
        </w:rPr>
        <w:fldChar w:fldCharType="separate"/>
      </w:r>
      <w:r>
        <w:rPr>
          <w:b w:val="0"/>
        </w:rPr>
        <w:t>129</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"_Toc436902208" </w:instrText>
      </w:r>
      <w:r>
        <w:fldChar w:fldCharType="separate"/>
      </w:r>
      <w:r>
        <w:rPr>
          <w:rStyle w:val="29"/>
          <w:color w:val="auto"/>
          <w:sz w:val="24"/>
        </w:rPr>
        <w:t>13.1</w:t>
      </w:r>
      <w:r>
        <w:rPr>
          <w:rStyle w:val="29"/>
          <w:rFonts w:hint="eastAsia"/>
          <w:color w:val="auto"/>
          <w:sz w:val="24"/>
        </w:rPr>
        <w:t>产业政策符合性分析</w:t>
      </w:r>
      <w:r>
        <w:rPr>
          <w:sz w:val="24"/>
        </w:rPr>
        <w:tab/>
      </w:r>
      <w:r>
        <w:rPr>
          <w:sz w:val="24"/>
        </w:rPr>
        <w:fldChar w:fldCharType="begin"/>
      </w:r>
      <w:r>
        <w:rPr>
          <w:sz w:val="24"/>
        </w:rPr>
        <w:instrText xml:space="preserve"> PAGEREF _Toc436902208 \h </w:instrText>
      </w:r>
      <w:r>
        <w:rPr>
          <w:sz w:val="24"/>
        </w:rPr>
        <w:fldChar w:fldCharType="separate"/>
      </w:r>
      <w:r>
        <w:rPr>
          <w:sz w:val="24"/>
        </w:rPr>
        <w:t>129</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"_Toc436902209" </w:instrText>
      </w:r>
      <w:r>
        <w:fldChar w:fldCharType="separate"/>
      </w:r>
      <w:r>
        <w:rPr>
          <w:rStyle w:val="29"/>
          <w:color w:val="auto"/>
          <w:sz w:val="24"/>
        </w:rPr>
        <w:t>13.2</w:t>
      </w:r>
      <w:r>
        <w:rPr>
          <w:rStyle w:val="29"/>
          <w:rFonts w:hint="eastAsia"/>
          <w:color w:val="auto"/>
          <w:sz w:val="24"/>
        </w:rPr>
        <w:t>规划符合性分析</w:t>
      </w:r>
      <w:r>
        <w:rPr>
          <w:sz w:val="24"/>
        </w:rPr>
        <w:tab/>
      </w:r>
      <w:r>
        <w:rPr>
          <w:sz w:val="24"/>
        </w:rPr>
        <w:fldChar w:fldCharType="begin"/>
      </w:r>
      <w:r>
        <w:rPr>
          <w:sz w:val="24"/>
        </w:rPr>
        <w:instrText xml:space="preserve"> PAGEREF _Toc436902209 \h </w:instrText>
      </w:r>
      <w:r>
        <w:rPr>
          <w:sz w:val="24"/>
        </w:rPr>
        <w:fldChar w:fldCharType="separate"/>
      </w:r>
      <w:r>
        <w:rPr>
          <w:sz w:val="24"/>
        </w:rPr>
        <w:t>129</w:t>
      </w:r>
      <w:r>
        <w:rPr>
          <w:sz w:val="24"/>
        </w:rPr>
        <w:fldChar w:fldCharType="end"/>
      </w:r>
      <w:r>
        <w:rPr>
          <w:sz w:val="24"/>
        </w:rPr>
        <w:fldChar w:fldCharType="end"/>
      </w:r>
    </w:p>
    <w:p>
      <w:pPr>
        <w:pStyle w:val="19"/>
      </w:pPr>
      <w:r>
        <w:fldChar w:fldCharType="begin"/>
      </w:r>
      <w:r>
        <w:instrText xml:space="preserve"> HYPERLINK \l "_Toc436902210" </w:instrText>
      </w:r>
      <w:r>
        <w:fldChar w:fldCharType="separate"/>
      </w:r>
      <w:r>
        <w:rPr>
          <w:rStyle w:val="29"/>
          <w:color w:val="auto"/>
        </w:rPr>
        <w:t xml:space="preserve">14 </w:t>
      </w:r>
      <w:r>
        <w:rPr>
          <w:rStyle w:val="29"/>
          <w:rFonts w:hint="eastAsia"/>
          <w:color w:val="auto"/>
        </w:rPr>
        <w:t>公众参与</w:t>
      </w:r>
      <w:r>
        <w:rPr>
          <w:b w:val="0"/>
        </w:rPr>
        <w:tab/>
      </w:r>
      <w:r>
        <w:rPr>
          <w:b w:val="0"/>
        </w:rPr>
        <w:fldChar w:fldCharType="begin"/>
      </w:r>
      <w:r>
        <w:rPr>
          <w:b w:val="0"/>
        </w:rPr>
        <w:instrText xml:space="preserve"> PAGEREF _Toc436902210 \h </w:instrText>
      </w:r>
      <w:r>
        <w:rPr>
          <w:b w:val="0"/>
        </w:rPr>
        <w:fldChar w:fldCharType="separate"/>
      </w:r>
      <w:r>
        <w:rPr>
          <w:b w:val="0"/>
        </w:rPr>
        <w:t>132</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"_Toc436902211" </w:instrText>
      </w:r>
      <w:r>
        <w:fldChar w:fldCharType="separate"/>
      </w:r>
      <w:r>
        <w:rPr>
          <w:rStyle w:val="29"/>
          <w:color w:val="auto"/>
          <w:sz w:val="24"/>
        </w:rPr>
        <w:t>14.1</w:t>
      </w:r>
      <w:r>
        <w:rPr>
          <w:rStyle w:val="29"/>
          <w:rFonts w:hint="eastAsia"/>
          <w:color w:val="auto"/>
          <w:sz w:val="24"/>
        </w:rPr>
        <w:t>公众参与的目的和意义</w:t>
      </w:r>
      <w:r>
        <w:rPr>
          <w:sz w:val="24"/>
        </w:rPr>
        <w:tab/>
      </w:r>
      <w:r>
        <w:rPr>
          <w:sz w:val="24"/>
        </w:rPr>
        <w:fldChar w:fldCharType="begin"/>
      </w:r>
      <w:r>
        <w:rPr>
          <w:sz w:val="24"/>
        </w:rPr>
        <w:instrText xml:space="preserve"> PAGEREF _Toc436902211 \h </w:instrText>
      </w:r>
      <w:r>
        <w:rPr>
          <w:sz w:val="24"/>
        </w:rPr>
        <w:fldChar w:fldCharType="separate"/>
      </w:r>
      <w:r>
        <w:rPr>
          <w:sz w:val="24"/>
        </w:rPr>
        <w:t>132</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"_Toc436902212" </w:instrText>
      </w:r>
      <w:r>
        <w:fldChar w:fldCharType="separate"/>
      </w:r>
      <w:r>
        <w:rPr>
          <w:rStyle w:val="29"/>
          <w:color w:val="auto"/>
          <w:sz w:val="24"/>
        </w:rPr>
        <w:t>14.2</w:t>
      </w:r>
      <w:r>
        <w:rPr>
          <w:rStyle w:val="29"/>
          <w:rFonts w:hint="eastAsia"/>
          <w:color w:val="auto"/>
          <w:sz w:val="24"/>
        </w:rPr>
        <w:t>公众参与的方式和对象</w:t>
      </w:r>
      <w:r>
        <w:rPr>
          <w:sz w:val="24"/>
        </w:rPr>
        <w:tab/>
      </w:r>
      <w:r>
        <w:rPr>
          <w:sz w:val="24"/>
        </w:rPr>
        <w:fldChar w:fldCharType="begin"/>
      </w:r>
      <w:r>
        <w:rPr>
          <w:sz w:val="24"/>
        </w:rPr>
        <w:instrText xml:space="preserve"> PAGEREF _Toc436902212 \h </w:instrText>
      </w:r>
      <w:r>
        <w:rPr>
          <w:sz w:val="24"/>
        </w:rPr>
        <w:fldChar w:fldCharType="separate"/>
      </w:r>
      <w:r>
        <w:rPr>
          <w:sz w:val="24"/>
        </w:rPr>
        <w:t>132</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"_Toc436902213" </w:instrText>
      </w:r>
      <w:r>
        <w:fldChar w:fldCharType="separate"/>
      </w:r>
      <w:r>
        <w:rPr>
          <w:rStyle w:val="29"/>
          <w:color w:val="auto"/>
          <w:sz w:val="24"/>
        </w:rPr>
        <w:t>14.3</w:t>
      </w:r>
      <w:r>
        <w:rPr>
          <w:rStyle w:val="29"/>
          <w:rFonts w:hint="eastAsia"/>
          <w:color w:val="auto"/>
          <w:sz w:val="24"/>
        </w:rPr>
        <w:t>公众参与调查结果统计分析</w:t>
      </w:r>
      <w:r>
        <w:rPr>
          <w:sz w:val="24"/>
        </w:rPr>
        <w:tab/>
      </w:r>
      <w:r>
        <w:rPr>
          <w:sz w:val="24"/>
        </w:rPr>
        <w:fldChar w:fldCharType="begin"/>
      </w:r>
      <w:r>
        <w:rPr>
          <w:sz w:val="24"/>
        </w:rPr>
        <w:instrText xml:space="preserve"> PAGEREF _Toc436902213 \h </w:instrText>
      </w:r>
      <w:r>
        <w:rPr>
          <w:sz w:val="24"/>
        </w:rPr>
        <w:fldChar w:fldCharType="separate"/>
      </w:r>
      <w:r>
        <w:rPr>
          <w:sz w:val="24"/>
        </w:rPr>
        <w:t>132</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"_Toc436902214" </w:instrText>
      </w:r>
      <w:r>
        <w:fldChar w:fldCharType="separate"/>
      </w:r>
      <w:r>
        <w:rPr>
          <w:rStyle w:val="29"/>
          <w:color w:val="auto"/>
          <w:sz w:val="24"/>
        </w:rPr>
        <w:t>14.4</w:t>
      </w:r>
      <w:r>
        <w:rPr>
          <w:rStyle w:val="29"/>
          <w:rFonts w:hint="eastAsia"/>
          <w:color w:val="auto"/>
          <w:sz w:val="24"/>
        </w:rPr>
        <w:t>公众参与调查结果总结</w:t>
      </w:r>
      <w:r>
        <w:rPr>
          <w:sz w:val="24"/>
        </w:rPr>
        <w:tab/>
      </w:r>
      <w:r>
        <w:rPr>
          <w:sz w:val="24"/>
        </w:rPr>
        <w:fldChar w:fldCharType="begin"/>
      </w:r>
      <w:r>
        <w:rPr>
          <w:sz w:val="24"/>
        </w:rPr>
        <w:instrText xml:space="preserve"> PAGEREF _Toc436902214 \h </w:instrText>
      </w:r>
      <w:r>
        <w:rPr>
          <w:sz w:val="24"/>
        </w:rPr>
        <w:fldChar w:fldCharType="separate"/>
      </w:r>
      <w:r>
        <w:rPr>
          <w:sz w:val="24"/>
        </w:rPr>
        <w:t>134</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"_Toc436902215" </w:instrText>
      </w:r>
      <w:r>
        <w:fldChar w:fldCharType="separate"/>
      </w:r>
      <w:r>
        <w:rPr>
          <w:rStyle w:val="29"/>
          <w:color w:val="auto"/>
          <w:sz w:val="24"/>
        </w:rPr>
        <w:t>14.5</w:t>
      </w:r>
      <w:r>
        <w:rPr>
          <w:rStyle w:val="29"/>
          <w:rFonts w:hint="eastAsia"/>
          <w:color w:val="auto"/>
          <w:sz w:val="24"/>
        </w:rPr>
        <w:t>公众意见采纳处理情况</w:t>
      </w:r>
      <w:r>
        <w:rPr>
          <w:sz w:val="24"/>
        </w:rPr>
        <w:tab/>
      </w:r>
      <w:r>
        <w:rPr>
          <w:sz w:val="24"/>
        </w:rPr>
        <w:fldChar w:fldCharType="begin"/>
      </w:r>
      <w:r>
        <w:rPr>
          <w:sz w:val="24"/>
        </w:rPr>
        <w:instrText xml:space="preserve"> PAGEREF _Toc436902215 \h </w:instrText>
      </w:r>
      <w:r>
        <w:rPr>
          <w:sz w:val="24"/>
        </w:rPr>
        <w:fldChar w:fldCharType="separate"/>
      </w:r>
      <w:r>
        <w:rPr>
          <w:sz w:val="24"/>
        </w:rPr>
        <w:t>135</w:t>
      </w:r>
      <w:r>
        <w:rPr>
          <w:sz w:val="24"/>
        </w:rPr>
        <w:fldChar w:fldCharType="end"/>
      </w:r>
      <w:r>
        <w:rPr>
          <w:sz w:val="24"/>
        </w:rPr>
        <w:fldChar w:fldCharType="end"/>
      </w:r>
    </w:p>
    <w:p>
      <w:pPr>
        <w:pStyle w:val="19"/>
      </w:pPr>
      <w:r>
        <w:fldChar w:fldCharType="begin"/>
      </w:r>
      <w:r>
        <w:instrText xml:space="preserve"> HYPERLINK \l "_Toc436902216" </w:instrText>
      </w:r>
      <w:r>
        <w:fldChar w:fldCharType="separate"/>
      </w:r>
      <w:r>
        <w:rPr>
          <w:rStyle w:val="29"/>
          <w:color w:val="auto"/>
        </w:rPr>
        <w:t xml:space="preserve">15 </w:t>
      </w:r>
      <w:r>
        <w:rPr>
          <w:rStyle w:val="29"/>
          <w:rFonts w:hint="eastAsia"/>
          <w:color w:val="auto"/>
        </w:rPr>
        <w:t>结论</w:t>
      </w:r>
      <w:r>
        <w:rPr>
          <w:b w:val="0"/>
        </w:rPr>
        <w:tab/>
      </w:r>
      <w:r>
        <w:rPr>
          <w:b w:val="0"/>
        </w:rPr>
        <w:fldChar w:fldCharType="begin"/>
      </w:r>
      <w:r>
        <w:rPr>
          <w:b w:val="0"/>
        </w:rPr>
        <w:instrText xml:space="preserve"> PAGEREF _Toc436902216 \h </w:instrText>
      </w:r>
      <w:r>
        <w:rPr>
          <w:b w:val="0"/>
        </w:rPr>
        <w:fldChar w:fldCharType="separate"/>
      </w:r>
      <w:r>
        <w:rPr>
          <w:b w:val="0"/>
        </w:rPr>
        <w:t>137</w:t>
      </w:r>
      <w:r>
        <w:rPr>
          <w:b w:val="0"/>
        </w:rPr>
        <w:fldChar w:fldCharType="end"/>
      </w:r>
      <w:r>
        <w:rPr>
          <w:b w:val="0"/>
        </w:rPr>
        <w:fldChar w:fldCharType="end"/>
      </w:r>
    </w:p>
    <w:p>
      <w:pPr>
        <w:pStyle w:val="21"/>
        <w:tabs>
          <w:tab w:val="right" w:leader="dot" w:pos="9016"/>
        </w:tabs>
        <w:spacing w:line="360" w:lineRule="exact"/>
        <w:rPr>
          <w:sz w:val="24"/>
        </w:rPr>
      </w:pPr>
      <w:r>
        <w:fldChar w:fldCharType="begin"/>
      </w:r>
      <w:r>
        <w:instrText xml:space="preserve"> HYPERLINK \l "_Toc436902217" </w:instrText>
      </w:r>
      <w:r>
        <w:fldChar w:fldCharType="separate"/>
      </w:r>
      <w:r>
        <w:rPr>
          <w:rStyle w:val="29"/>
          <w:color w:val="auto"/>
          <w:sz w:val="24"/>
        </w:rPr>
        <w:t>15.1</w:t>
      </w:r>
      <w:r>
        <w:rPr>
          <w:rStyle w:val="29"/>
          <w:rFonts w:hint="eastAsia"/>
          <w:color w:val="auto"/>
          <w:sz w:val="24"/>
        </w:rPr>
        <w:t>项目概况</w:t>
      </w:r>
      <w:r>
        <w:rPr>
          <w:sz w:val="24"/>
        </w:rPr>
        <w:tab/>
      </w:r>
      <w:r>
        <w:rPr>
          <w:sz w:val="24"/>
        </w:rPr>
        <w:fldChar w:fldCharType="begin"/>
      </w:r>
      <w:r>
        <w:rPr>
          <w:sz w:val="24"/>
        </w:rPr>
        <w:instrText xml:space="preserve"> PAGEREF _Toc436902217 \h </w:instrText>
      </w:r>
      <w:r>
        <w:rPr>
          <w:sz w:val="24"/>
        </w:rPr>
        <w:fldChar w:fldCharType="separate"/>
      </w:r>
      <w:r>
        <w:rPr>
          <w:sz w:val="24"/>
        </w:rPr>
        <w:t>137</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"_Toc436902218" </w:instrText>
      </w:r>
      <w:r>
        <w:fldChar w:fldCharType="separate"/>
      </w:r>
      <w:r>
        <w:rPr>
          <w:rStyle w:val="29"/>
          <w:color w:val="auto"/>
          <w:sz w:val="24"/>
        </w:rPr>
        <w:t>15.2</w:t>
      </w:r>
      <w:r>
        <w:rPr>
          <w:rStyle w:val="29"/>
          <w:rFonts w:hint="eastAsia"/>
          <w:color w:val="auto"/>
          <w:sz w:val="24"/>
        </w:rPr>
        <w:t>环境现状与主要环境问题</w:t>
      </w:r>
      <w:r>
        <w:rPr>
          <w:sz w:val="24"/>
        </w:rPr>
        <w:tab/>
      </w:r>
      <w:r>
        <w:rPr>
          <w:sz w:val="24"/>
        </w:rPr>
        <w:fldChar w:fldCharType="begin"/>
      </w:r>
      <w:r>
        <w:rPr>
          <w:sz w:val="24"/>
        </w:rPr>
        <w:instrText xml:space="preserve"> PAGEREF _Toc436902218 \h </w:instrText>
      </w:r>
      <w:r>
        <w:rPr>
          <w:sz w:val="24"/>
        </w:rPr>
        <w:fldChar w:fldCharType="separate"/>
      </w:r>
      <w:r>
        <w:rPr>
          <w:sz w:val="24"/>
        </w:rPr>
        <w:t>137</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"_Toc436902219" </w:instrText>
      </w:r>
      <w:r>
        <w:fldChar w:fldCharType="separate"/>
      </w:r>
      <w:r>
        <w:rPr>
          <w:rStyle w:val="29"/>
          <w:color w:val="auto"/>
          <w:sz w:val="24"/>
        </w:rPr>
        <w:t>15.3</w:t>
      </w:r>
      <w:r>
        <w:rPr>
          <w:rStyle w:val="29"/>
          <w:rFonts w:hint="eastAsia"/>
          <w:color w:val="auto"/>
          <w:sz w:val="24"/>
        </w:rPr>
        <w:t>环境影响预测与评价结论</w:t>
      </w:r>
      <w:r>
        <w:rPr>
          <w:sz w:val="24"/>
        </w:rPr>
        <w:tab/>
      </w:r>
      <w:r>
        <w:rPr>
          <w:sz w:val="24"/>
        </w:rPr>
        <w:fldChar w:fldCharType="begin"/>
      </w:r>
      <w:r>
        <w:rPr>
          <w:sz w:val="24"/>
        </w:rPr>
        <w:instrText xml:space="preserve"> PAGEREF _Toc436902219 \h </w:instrText>
      </w:r>
      <w:r>
        <w:rPr>
          <w:sz w:val="24"/>
        </w:rPr>
        <w:fldChar w:fldCharType="separate"/>
      </w:r>
      <w:r>
        <w:rPr>
          <w:sz w:val="24"/>
        </w:rPr>
        <w:t>138</w:t>
      </w:r>
      <w:r>
        <w:rPr>
          <w:sz w:val="24"/>
        </w:rPr>
        <w:fldChar w:fldCharType="end"/>
      </w:r>
      <w:r>
        <w:rPr>
          <w:sz w:val="24"/>
        </w:rPr>
        <w:fldChar w:fldCharType="end"/>
      </w:r>
    </w:p>
    <w:p>
      <w:pPr>
        <w:pStyle w:val="21"/>
        <w:tabs>
          <w:tab w:val="right" w:leader="dot" w:pos="9016"/>
        </w:tabs>
        <w:spacing w:line="360" w:lineRule="exact"/>
        <w:rPr>
          <w:sz w:val="24"/>
        </w:rPr>
      </w:pPr>
      <w:r>
        <w:fldChar w:fldCharType="begin"/>
      </w:r>
      <w:r>
        <w:instrText xml:space="preserve"> HYPERLINK \l "_Toc436902220" </w:instrText>
      </w:r>
      <w:r>
        <w:fldChar w:fldCharType="separate"/>
      </w:r>
      <w:r>
        <w:rPr>
          <w:rStyle w:val="29"/>
          <w:color w:val="auto"/>
          <w:sz w:val="24"/>
        </w:rPr>
        <w:t>15.4</w:t>
      </w:r>
      <w:r>
        <w:rPr>
          <w:rStyle w:val="29"/>
          <w:rFonts w:hint="eastAsia"/>
          <w:color w:val="auto"/>
          <w:sz w:val="24"/>
        </w:rPr>
        <w:t>项目建设的环境可行性</w:t>
      </w:r>
      <w:r>
        <w:rPr>
          <w:sz w:val="24"/>
        </w:rPr>
        <w:tab/>
      </w:r>
      <w:r>
        <w:rPr>
          <w:sz w:val="24"/>
        </w:rPr>
        <w:fldChar w:fldCharType="begin"/>
      </w:r>
      <w:r>
        <w:rPr>
          <w:sz w:val="24"/>
        </w:rPr>
        <w:instrText xml:space="preserve"> PAGEREF _Toc436902220 \h </w:instrText>
      </w:r>
      <w:r>
        <w:rPr>
          <w:sz w:val="24"/>
        </w:rPr>
        <w:fldChar w:fldCharType="separate"/>
      </w:r>
      <w:r>
        <w:rPr>
          <w:sz w:val="24"/>
        </w:rPr>
        <w:t>140</w:t>
      </w:r>
      <w:r>
        <w:rPr>
          <w:sz w:val="24"/>
        </w:rPr>
        <w:fldChar w:fldCharType="end"/>
      </w:r>
      <w:r>
        <w:rPr>
          <w:sz w:val="24"/>
        </w:rPr>
        <w:fldChar w:fldCharType="end"/>
      </w:r>
    </w:p>
    <w:p>
      <w:pPr>
        <w:pStyle w:val="21"/>
        <w:tabs>
          <w:tab w:val="right" w:leader="dot" w:pos="9016"/>
        </w:tabs>
        <w:spacing w:line="360" w:lineRule="exact"/>
        <w:rPr>
          <w:sz w:val="24"/>
        </w:rPr>
        <w:sectPr>
          <w:headerReference r:id="rId6" w:type="first"/>
          <w:footerReference r:id="rId7" w:type="first"/>
          <w:pgSz w:w="11906" w:h="16838"/>
          <w:pgMar w:top="1440" w:right="1440" w:bottom="1440" w:left="1440" w:header="851" w:footer="992" w:gutter="0"/>
          <w:pgNumType w:fmt="lowerRoman" w:start="1"/>
          <w:cols w:space="720" w:num="1"/>
          <w:titlePg/>
          <w:docGrid w:type="lines" w:linePitch="312" w:charSpace="0"/>
        </w:sectPr>
      </w:pPr>
      <w:r>
        <w:fldChar w:fldCharType="begin"/>
      </w:r>
      <w:r>
        <w:instrText xml:space="preserve"> HYPERLINK \l "_Toc436902221" </w:instrText>
      </w:r>
      <w:r>
        <w:fldChar w:fldCharType="separate"/>
      </w:r>
      <w:r>
        <w:rPr>
          <w:rStyle w:val="29"/>
          <w:color w:val="auto"/>
          <w:sz w:val="24"/>
        </w:rPr>
        <w:t>15.5</w:t>
      </w:r>
      <w:r>
        <w:rPr>
          <w:rStyle w:val="29"/>
          <w:rFonts w:hint="eastAsia"/>
          <w:color w:val="auto"/>
          <w:sz w:val="24"/>
        </w:rPr>
        <w:t>结论与建议</w:t>
      </w:r>
      <w:r>
        <w:rPr>
          <w:sz w:val="24"/>
        </w:rPr>
        <w:tab/>
      </w:r>
      <w:r>
        <w:rPr>
          <w:sz w:val="24"/>
        </w:rPr>
        <w:fldChar w:fldCharType="begin"/>
      </w:r>
      <w:r>
        <w:rPr>
          <w:sz w:val="24"/>
        </w:rPr>
        <w:instrText xml:space="preserve"> PAGEREF _Toc436902221 \h </w:instrText>
      </w:r>
      <w:r>
        <w:rPr>
          <w:sz w:val="24"/>
        </w:rPr>
        <w:fldChar w:fldCharType="separate"/>
      </w:r>
      <w:r>
        <w:rPr>
          <w:sz w:val="24"/>
        </w:rPr>
        <w:t>142</w:t>
      </w:r>
      <w:r>
        <w:rPr>
          <w:sz w:val="24"/>
        </w:rPr>
        <w:fldChar w:fldCharType="end"/>
      </w:r>
      <w:r>
        <w:rPr>
          <w:sz w:val="24"/>
        </w:rPr>
        <w:fldChar w:fldCharType="end"/>
      </w:r>
    </w:p>
    <w:p>
      <w:pPr>
        <w:pStyle w:val="21"/>
        <w:tabs>
          <w:tab w:val="right" w:leader="dot" w:pos="9016"/>
        </w:tabs>
        <w:spacing w:line="360" w:lineRule="exact"/>
        <w:rPr>
          <w:sz w:val="24"/>
        </w:rPr>
      </w:pPr>
    </w:p>
    <w:p>
      <w:pPr>
        <w:widowControl/>
        <w:jc w:val="center"/>
        <w:rPr>
          <w:rFonts w:eastAsia="楷体_GB2312"/>
          <w:b/>
          <w:snapToGrid w:val="0"/>
          <w:kern w:val="0"/>
          <w:sz w:val="36"/>
          <w:szCs w:val="36"/>
        </w:rPr>
      </w:pPr>
      <w:r>
        <w:rPr>
          <w:rFonts w:eastAsia="楷体_GB2312"/>
          <w:b/>
          <w:snapToGrid w:val="0"/>
          <w:kern w:val="0"/>
          <w:sz w:val="36"/>
          <w:szCs w:val="36"/>
        </w:rPr>
        <w:fldChar w:fldCharType="end"/>
      </w:r>
    </w:p>
    <w:p>
      <w:pPr>
        <w:widowControl/>
        <w:jc w:val="center"/>
        <w:rPr>
          <w:rFonts w:eastAsia="楷体_GB2312"/>
          <w:b/>
          <w:snapToGrid w:val="0"/>
          <w:kern w:val="0"/>
          <w:sz w:val="36"/>
          <w:szCs w:val="36"/>
        </w:rPr>
        <w:sectPr>
          <w:headerReference r:id="rId8" w:type="first"/>
          <w:footerReference r:id="rId9" w:type="first"/>
          <w:pgSz w:w="11906" w:h="16838"/>
          <w:pgMar w:top="1440" w:right="1440" w:bottom="1440" w:left="1440" w:header="851" w:footer="992" w:gutter="0"/>
          <w:pgNumType w:fmt="lowerRoman" w:start="1"/>
          <w:cols w:space="720" w:num="1"/>
          <w:titlePg/>
          <w:docGrid w:type="lines" w:linePitch="312" w:charSpace="0"/>
        </w:sectPr>
      </w:pPr>
    </w:p>
    <w:p>
      <w:pPr>
        <w:pStyle w:val="60"/>
        <w:spacing w:before="156" w:after="156"/>
        <w:rPr>
          <w:szCs w:val="32"/>
        </w:rPr>
      </w:pPr>
      <w:bookmarkStart w:id="0" w:name="_Toc436902131"/>
      <w:r>
        <w:rPr>
          <w:rFonts w:hint="eastAsia"/>
        </w:rPr>
        <w:t>前言</w:t>
      </w:r>
      <w:bookmarkEnd w:id="0"/>
    </w:p>
    <w:p>
      <w:pPr>
        <w:pStyle w:val="61"/>
        <w:rPr>
          <w:color w:val="auto"/>
        </w:rPr>
      </w:pPr>
      <w:bookmarkStart w:id="1" w:name="_Toc436902132"/>
      <w:r>
        <w:rPr>
          <w:rFonts w:hint="eastAsia"/>
          <w:color w:val="auto"/>
        </w:rPr>
        <w:t>1. 项目背景</w:t>
      </w:r>
      <w:bookmarkEnd w:id="1"/>
    </w:p>
    <w:p>
      <w:pPr>
        <w:pStyle w:val="63"/>
        <w:ind w:firstLine="480"/>
        <w:rPr>
          <w:color w:val="auto"/>
        </w:rPr>
      </w:pPr>
      <w:r>
        <w:rPr>
          <w:color w:val="auto"/>
        </w:rPr>
        <w:t>城市供水安全是构建和谐社会的基础，是维持社会安定的重要因素。城市饮用水工程建设是城市发展的生命线工程</w:t>
      </w:r>
      <w:r>
        <w:rPr>
          <w:rFonts w:hint="eastAsia"/>
          <w:color w:val="auto"/>
        </w:rPr>
        <w:t>。</w:t>
      </w:r>
      <w:r>
        <w:rPr>
          <w:color w:val="auto"/>
        </w:rPr>
        <w:t>《关中—天水经济区发展规划》明确提出加快推进西咸一体化，西咸一体化由此跃升到国家战略层面。</w:t>
      </w:r>
      <w:r>
        <w:rPr>
          <w:rFonts w:hint="eastAsia"/>
          <w:color w:val="auto"/>
        </w:rPr>
        <w:t>泾河新城为西咸新区五大新城之一，</w:t>
      </w:r>
      <w:r>
        <w:rPr>
          <w:color w:val="auto"/>
        </w:rPr>
        <w:t>城市供水作为一项关乎国计民生的基础建设工程，是</w:t>
      </w:r>
      <w:r>
        <w:rPr>
          <w:rFonts w:hint="eastAsia"/>
          <w:color w:val="auto"/>
        </w:rPr>
        <w:t>“</w:t>
      </w:r>
      <w:r>
        <w:rPr>
          <w:color w:val="auto"/>
        </w:rPr>
        <w:t>西咸新区—泾河新城</w:t>
      </w:r>
      <w:r>
        <w:rPr>
          <w:rFonts w:hint="eastAsia"/>
          <w:color w:val="auto"/>
        </w:rPr>
        <w:t>”</w:t>
      </w:r>
      <w:r>
        <w:rPr>
          <w:color w:val="auto"/>
        </w:rPr>
        <w:t>建设的重中之重。</w:t>
      </w:r>
      <w:r>
        <w:rPr>
          <w:rFonts w:hint="eastAsia"/>
          <w:color w:val="auto"/>
        </w:rPr>
        <w:t>随着优惠政策的落实，极大地调动了投资方的热情。但供水设施的不完善，严重制约着泾河新城的发展。</w:t>
      </w:r>
    </w:p>
    <w:p>
      <w:pPr>
        <w:pStyle w:val="63"/>
        <w:ind w:firstLine="480"/>
        <w:rPr>
          <w:color w:val="auto"/>
        </w:rPr>
      </w:pPr>
      <w:r>
        <w:rPr>
          <w:rFonts w:hint="eastAsia"/>
          <w:color w:val="auto"/>
        </w:rPr>
        <w:t>泾河新城在近期规划区启动实施阶段，可维持现有供水模式，保持泾阳县城现有水源和给水设施不变。但泾河新城在建项目有乐华城、秦龙现代农业产业园、崇文重点镇等工程都即将交付使用，存在有网无水的状态，而给水规划中的水源张家山渠首泉水、西安市供水管网、引汉济渭工程短期内都难以解决，所以</w:t>
      </w:r>
      <w:r>
        <w:rPr>
          <w:color w:val="auto"/>
        </w:rPr>
        <w:t>建设</w:t>
      </w:r>
      <w:r>
        <w:rPr>
          <w:rFonts w:hint="eastAsia"/>
          <w:color w:val="auto"/>
        </w:rPr>
        <w:t>西咸新区泾河新城应急供水</w:t>
      </w:r>
      <w:r>
        <w:rPr>
          <w:color w:val="auto"/>
        </w:rPr>
        <w:t>工程</w:t>
      </w:r>
      <w:r>
        <w:rPr>
          <w:rFonts w:hint="eastAsia"/>
          <w:color w:val="auto"/>
        </w:rPr>
        <w:t>（水源地）工程</w:t>
      </w:r>
      <w:r>
        <w:rPr>
          <w:color w:val="auto"/>
        </w:rPr>
        <w:t>是十分必要的，也是非常紧迫的。</w:t>
      </w:r>
    </w:p>
    <w:p>
      <w:pPr>
        <w:pStyle w:val="63"/>
        <w:ind w:firstLine="480"/>
        <w:rPr>
          <w:color w:val="auto"/>
        </w:rPr>
      </w:pPr>
      <w:r>
        <w:rPr>
          <w:rFonts w:hint="eastAsia"/>
          <w:color w:val="auto"/>
        </w:rPr>
        <w:t>综上所述，为解决泾河新城近期供水，2014年10月建设单位委托西安市政设计研究院有限公司编制了《陕西省西咸新区泾河新城应急供水工程（水源地）》可行性研究报告，并取得泾河新城管理委员会经济发展和投资局《关于泾河新城应急供水工程（一期）项目建议书的批复》文件，确定项目主要建设内容为：布设26眼水源井（泾河北岸布设23眼水源井，泾河南岸布设3眼水井），输水管道23km，水源管理站一座，设计供水规模为22000m</w:t>
      </w:r>
      <w:r>
        <w:rPr>
          <w:rFonts w:hint="eastAsia"/>
          <w:color w:val="auto"/>
          <w:vertAlign w:val="superscript"/>
        </w:rPr>
        <w:t>3</w:t>
      </w:r>
      <w:r>
        <w:rPr>
          <w:rFonts w:hint="eastAsia"/>
          <w:color w:val="auto"/>
        </w:rPr>
        <w:t>/d，其中泾河北岸供水规模为20000m</w:t>
      </w:r>
      <w:r>
        <w:rPr>
          <w:rFonts w:hint="eastAsia"/>
          <w:color w:val="auto"/>
          <w:vertAlign w:val="superscript"/>
        </w:rPr>
        <w:t>3</w:t>
      </w:r>
      <w:r>
        <w:rPr>
          <w:rFonts w:hint="eastAsia"/>
          <w:color w:val="auto"/>
        </w:rPr>
        <w:t>/d，主要负责泾河新城秦汉大道以东规划区域的生活用水；泾河南岸供水规模为2000m</w:t>
      </w:r>
      <w:r>
        <w:rPr>
          <w:rFonts w:hint="eastAsia"/>
          <w:color w:val="auto"/>
          <w:vertAlign w:val="superscript"/>
        </w:rPr>
        <w:t>3</w:t>
      </w:r>
      <w:r>
        <w:rPr>
          <w:rFonts w:hint="eastAsia"/>
          <w:color w:val="auto"/>
        </w:rPr>
        <w:t>/d，主要负责FC1片区的生活用水。</w:t>
      </w:r>
    </w:p>
    <w:p>
      <w:pPr>
        <w:pStyle w:val="63"/>
        <w:ind w:firstLine="480"/>
        <w:rPr>
          <w:color w:val="auto"/>
        </w:rPr>
      </w:pPr>
      <w:r>
        <w:rPr>
          <w:rFonts w:hint="eastAsia"/>
          <w:color w:val="auto"/>
        </w:rPr>
        <w:t>在设计过程中13#和14#、29#和30#连接需要穿越延西高速，因考虑施工困难，加之存在2015年12底交付的使用的崇文重点镇保障房一期工程存在有管网无水问题，进行了方案，取消了14#、15#、31#、32#、33#水源井，在保障房附近正阳大道绿化带建设一座处理规模为2000m</w:t>
      </w:r>
      <w:r>
        <w:rPr>
          <w:rFonts w:hint="eastAsia"/>
          <w:color w:val="auto"/>
          <w:vertAlign w:val="superscript"/>
        </w:rPr>
        <w:t>3</w:t>
      </w:r>
      <w:r>
        <w:rPr>
          <w:rFonts w:hint="eastAsia"/>
          <w:color w:val="auto"/>
        </w:rPr>
        <w:t>/d，以保证近期崇文重点镇保障房一期工程供水，待泾阳县第三水厂扩建工程或张家山泉供水工程实施后，保障房给水处理站将作为备用水源。</w:t>
      </w:r>
    </w:p>
    <w:p>
      <w:pPr>
        <w:pStyle w:val="63"/>
        <w:ind w:firstLine="480"/>
        <w:rPr>
          <w:color w:val="auto"/>
        </w:rPr>
      </w:pPr>
      <w:r>
        <w:rPr>
          <w:rFonts w:hint="eastAsia"/>
          <w:color w:val="auto"/>
        </w:rPr>
        <w:t>方案调整后，本项目建设内容为：布设21眼水源井（北岸18眼，南岸3眼），建设水源管理站一座，处理规模16250m</w:t>
      </w:r>
      <w:r>
        <w:rPr>
          <w:rFonts w:hint="eastAsia"/>
          <w:color w:val="auto"/>
          <w:vertAlign w:val="superscript"/>
        </w:rPr>
        <w:t>3</w:t>
      </w:r>
      <w:r>
        <w:rPr>
          <w:rFonts w:hint="eastAsia"/>
          <w:color w:val="auto"/>
        </w:rPr>
        <w:t>/d，保障房给水处理站一座，处理规模2000m</w:t>
      </w:r>
      <w:r>
        <w:rPr>
          <w:rFonts w:hint="eastAsia"/>
          <w:color w:val="auto"/>
          <w:vertAlign w:val="superscript"/>
        </w:rPr>
        <w:t>3</w:t>
      </w:r>
      <w:r>
        <w:rPr>
          <w:rFonts w:hint="eastAsia"/>
          <w:color w:val="auto"/>
        </w:rPr>
        <w:t>/d，输水管线</w:t>
      </w:r>
      <w:r>
        <w:rPr>
          <w:rFonts w:hint="eastAsia"/>
          <w:color w:val="auto"/>
          <w:szCs w:val="28"/>
        </w:rPr>
        <w:t>15840m，建成后</w:t>
      </w:r>
      <w:r>
        <w:rPr>
          <w:rFonts w:hint="eastAsia"/>
          <w:color w:val="auto"/>
        </w:rPr>
        <w:t>泾河北岸水源管理站取水规模16250</w:t>
      </w:r>
      <w:r>
        <w:rPr>
          <w:color w:val="auto"/>
        </w:rPr>
        <w:t>m</w:t>
      </w:r>
      <w:r>
        <w:rPr>
          <w:color w:val="auto"/>
          <w:vertAlign w:val="superscript"/>
        </w:rPr>
        <w:t>3</w:t>
      </w:r>
      <w:r>
        <w:rPr>
          <w:color w:val="auto"/>
        </w:rPr>
        <w:t>/d</w:t>
      </w:r>
      <w:r>
        <w:rPr>
          <w:rFonts w:hint="eastAsia"/>
          <w:color w:val="auto"/>
        </w:rPr>
        <w:t>，泾河北岸保障房给水处理站工程供水规模2000</w:t>
      </w:r>
      <w:r>
        <w:rPr>
          <w:color w:val="auto"/>
        </w:rPr>
        <w:t>m</w:t>
      </w:r>
      <w:r>
        <w:rPr>
          <w:color w:val="auto"/>
          <w:vertAlign w:val="superscript"/>
        </w:rPr>
        <w:t>3</w:t>
      </w:r>
      <w:r>
        <w:rPr>
          <w:color w:val="auto"/>
        </w:rPr>
        <w:t>/d</w:t>
      </w:r>
      <w:r>
        <w:rPr>
          <w:rFonts w:hint="eastAsia"/>
          <w:color w:val="auto"/>
        </w:rPr>
        <w:t>，泾河南岸取水规模1500</w:t>
      </w:r>
      <w:r>
        <w:rPr>
          <w:color w:val="auto"/>
        </w:rPr>
        <w:t>m</w:t>
      </w:r>
      <w:r>
        <w:rPr>
          <w:color w:val="auto"/>
          <w:vertAlign w:val="superscript"/>
        </w:rPr>
        <w:t>3</w:t>
      </w:r>
      <w:r>
        <w:rPr>
          <w:color w:val="auto"/>
        </w:rPr>
        <w:t>/d</w:t>
      </w:r>
      <w:r>
        <w:rPr>
          <w:rFonts w:hint="eastAsia"/>
          <w:color w:val="auto"/>
        </w:rPr>
        <w:t>。</w:t>
      </w:r>
    </w:p>
    <w:p>
      <w:pPr>
        <w:pStyle w:val="63"/>
        <w:ind w:firstLine="480"/>
        <w:rPr>
          <w:color w:val="auto"/>
        </w:rPr>
      </w:pPr>
      <w:r>
        <w:rPr>
          <w:rFonts w:hint="eastAsia"/>
          <w:color w:val="auto"/>
        </w:rPr>
        <w:t>本工程建成后，可以彻底解决泾河新城近期用水的供需矛盾，促进经济的发展，而且从远期来看，该工程的建成将产生巨大的社会效益和经济效益。</w:t>
      </w:r>
    </w:p>
    <w:p>
      <w:pPr>
        <w:pStyle w:val="61"/>
        <w:rPr>
          <w:color w:val="auto"/>
        </w:rPr>
      </w:pPr>
      <w:bookmarkStart w:id="2" w:name="_Toc436902133"/>
      <w:r>
        <w:rPr>
          <w:rFonts w:hint="eastAsia"/>
          <w:color w:val="auto"/>
        </w:rPr>
        <w:t xml:space="preserve">2. </w:t>
      </w:r>
      <w:r>
        <w:rPr>
          <w:color w:val="auto"/>
        </w:rPr>
        <w:t>评价工作过程简况</w:t>
      </w:r>
      <w:bookmarkEnd w:id="2"/>
    </w:p>
    <w:p>
      <w:pPr>
        <w:pStyle w:val="58"/>
        <w:spacing w:line="360" w:lineRule="auto"/>
        <w:ind w:firstLine="480" w:firstLineChars="200"/>
        <w:rPr>
          <w:rFonts w:ascii="Times New Roman" w:hAnsi="宋体" w:cs="Times New Roman"/>
          <w:color w:val="auto"/>
          <w:lang w:eastAsia="zh-CN"/>
        </w:rPr>
      </w:pPr>
      <w:r>
        <w:rPr>
          <w:rFonts w:ascii="Times New Roman" w:hAnsi="宋体" w:cs="Times New Roman"/>
          <w:color w:val="auto"/>
          <w:lang w:eastAsia="zh-CN"/>
        </w:rPr>
        <w:t>根据《中华人民共和国环境保护法》、《中华人民共和国环境影响评价法》和《建设项目环境保护管理条例》中的有关规定，</w:t>
      </w:r>
      <w:r>
        <w:rPr>
          <w:rFonts w:hint="eastAsia" w:ascii="Times New Roman" w:hAnsi="宋体" w:cs="Times New Roman"/>
          <w:color w:val="auto"/>
          <w:lang w:eastAsia="zh-CN"/>
        </w:rPr>
        <w:t>陕西省西咸新区泾河新城水务有限公司</w:t>
      </w:r>
      <w:r>
        <w:rPr>
          <w:rFonts w:ascii="Times New Roman" w:hAnsi="宋体" w:cs="Times New Roman"/>
          <w:color w:val="auto"/>
          <w:lang w:eastAsia="zh-CN"/>
        </w:rPr>
        <w:t>于</w:t>
      </w:r>
      <w:r>
        <w:rPr>
          <w:rFonts w:ascii="Times New Roman" w:hAnsi="Times New Roman" w:cs="Times New Roman"/>
          <w:color w:val="auto"/>
          <w:lang w:eastAsia="zh-CN"/>
        </w:rPr>
        <w:t>2015</w:t>
      </w:r>
      <w:r>
        <w:rPr>
          <w:rFonts w:ascii="Times New Roman" w:hAnsi="宋体" w:cs="Times New Roman"/>
          <w:color w:val="auto"/>
          <w:lang w:eastAsia="zh-CN"/>
        </w:rPr>
        <w:t>年</w:t>
      </w:r>
      <w:r>
        <w:rPr>
          <w:rFonts w:hint="eastAsia" w:ascii="Times New Roman" w:hAnsi="Times New Roman" w:cs="Times New Roman"/>
          <w:color w:val="auto"/>
          <w:lang w:eastAsia="zh-CN"/>
        </w:rPr>
        <w:t>9</w:t>
      </w:r>
      <w:r>
        <w:rPr>
          <w:rFonts w:ascii="Times New Roman" w:hAnsi="宋体" w:cs="Times New Roman"/>
          <w:color w:val="auto"/>
          <w:lang w:eastAsia="zh-CN"/>
        </w:rPr>
        <w:t>月</w:t>
      </w:r>
      <w:r>
        <w:rPr>
          <w:rFonts w:hint="eastAsia" w:ascii="Times New Roman" w:hAnsi="Times New Roman" w:cs="Times New Roman"/>
          <w:color w:val="auto"/>
          <w:lang w:eastAsia="zh-CN"/>
        </w:rPr>
        <w:t>10</w:t>
      </w:r>
      <w:r>
        <w:rPr>
          <w:rFonts w:ascii="Times New Roman" w:hAnsi="宋体" w:cs="Times New Roman"/>
          <w:color w:val="auto"/>
          <w:lang w:eastAsia="zh-CN"/>
        </w:rPr>
        <w:t>日正式委托</w:t>
      </w:r>
      <w:r>
        <w:rPr>
          <w:rFonts w:hint="eastAsia" w:ascii="Times New Roman" w:hAnsi="宋体" w:cs="Times New Roman"/>
          <w:color w:val="auto"/>
          <w:lang w:eastAsia="zh-CN"/>
        </w:rPr>
        <w:t>广州市环境保护工程设计院有限公司和延安市环境科学研究所</w:t>
      </w:r>
      <w:r>
        <w:rPr>
          <w:rFonts w:ascii="Times New Roman" w:hAnsi="宋体" w:cs="Times New Roman"/>
          <w:color w:val="auto"/>
          <w:lang w:eastAsia="zh-CN"/>
        </w:rPr>
        <w:t>承担本项目环境影响评价报告书的编制工作。</w:t>
      </w:r>
      <w:r>
        <w:rPr>
          <w:rFonts w:hint="eastAsia" w:ascii="Times New Roman" w:hAnsi="宋体" w:cs="Times New Roman"/>
          <w:color w:val="auto"/>
          <w:lang w:eastAsia="zh-CN"/>
        </w:rPr>
        <w:t>环评单位</w:t>
      </w:r>
      <w:r>
        <w:rPr>
          <w:rFonts w:ascii="Times New Roman" w:hAnsi="宋体" w:cs="Times New Roman"/>
          <w:color w:val="auto"/>
          <w:lang w:eastAsia="zh-CN"/>
        </w:rPr>
        <w:t>接受委托后，在认真研究该项目的有关材料，进行实地踏勘、调研和环境现状监测的基础上，编制了《</w:t>
      </w:r>
      <w:r>
        <w:rPr>
          <w:rFonts w:hint="eastAsia"/>
          <w:color w:val="auto"/>
          <w:lang w:eastAsia="zh-CN"/>
        </w:rPr>
        <w:t>泾河新城应急供水工程（一期）项目</w:t>
      </w:r>
      <w:r>
        <w:rPr>
          <w:rFonts w:ascii="Times New Roman" w:hAnsi="宋体" w:cs="Times New Roman"/>
          <w:color w:val="auto"/>
          <w:lang w:eastAsia="zh-CN"/>
        </w:rPr>
        <w:t>环境影响报告书》。</w:t>
      </w:r>
    </w:p>
    <w:p>
      <w:pPr>
        <w:pStyle w:val="58"/>
        <w:spacing w:line="360" w:lineRule="auto"/>
        <w:ind w:firstLine="480" w:firstLineChars="200"/>
        <w:rPr>
          <w:rFonts w:ascii="Times New Roman" w:hAnsi="Times New Roman" w:cs="Times New Roman"/>
          <w:color w:val="auto"/>
          <w:lang w:eastAsia="zh-CN"/>
        </w:rPr>
      </w:pPr>
      <w:r>
        <w:rPr>
          <w:rFonts w:ascii="Times New Roman" w:hAnsi="宋体" w:cs="Times New Roman"/>
          <w:color w:val="auto"/>
          <w:lang w:eastAsia="zh-CN"/>
        </w:rPr>
        <w:t>本报告编制过程中，得到了</w:t>
      </w:r>
      <w:r>
        <w:rPr>
          <w:rFonts w:hint="eastAsia" w:ascii="Times New Roman" w:hAnsi="宋体" w:cs="Times New Roman"/>
          <w:color w:val="auto"/>
          <w:lang w:eastAsia="zh-CN"/>
        </w:rPr>
        <w:t>泾河新城建设规划环保局</w:t>
      </w:r>
      <w:r>
        <w:rPr>
          <w:rFonts w:ascii="Times New Roman" w:hAnsi="宋体" w:cs="Times New Roman"/>
          <w:color w:val="auto"/>
          <w:lang w:eastAsia="zh-CN"/>
        </w:rPr>
        <w:t>等有关单位和领导的大力支持和帮助，在此表示真诚地感谢。</w:t>
      </w:r>
    </w:p>
    <w:p>
      <w:pPr>
        <w:pStyle w:val="61"/>
        <w:rPr>
          <w:color w:val="auto"/>
        </w:rPr>
      </w:pPr>
      <w:bookmarkStart w:id="3" w:name="_Toc436902134"/>
      <w:r>
        <w:rPr>
          <w:rFonts w:hint="eastAsia"/>
          <w:color w:val="auto"/>
        </w:rPr>
        <w:t xml:space="preserve">3. </w:t>
      </w:r>
      <w:r>
        <w:rPr>
          <w:color w:val="auto"/>
        </w:rPr>
        <w:t>建设项目特点</w:t>
      </w:r>
      <w:bookmarkEnd w:id="3"/>
    </w:p>
    <w:p>
      <w:pPr>
        <w:pStyle w:val="58"/>
        <w:spacing w:line="360" w:lineRule="auto"/>
        <w:ind w:firstLine="480" w:firstLineChars="200"/>
        <w:rPr>
          <w:rFonts w:ascii="Times New Roman" w:hAnsi="宋体" w:cs="Times New Roman"/>
          <w:color w:val="auto"/>
          <w:lang w:eastAsia="zh-CN"/>
        </w:rPr>
      </w:pPr>
      <w:r>
        <w:rPr>
          <w:rFonts w:ascii="Times New Roman" w:hAnsi="宋体" w:cs="Times New Roman"/>
          <w:color w:val="auto"/>
          <w:lang w:eastAsia="zh-CN"/>
        </w:rPr>
        <w:t>本项目</w:t>
      </w:r>
      <w:r>
        <w:rPr>
          <w:rFonts w:hint="eastAsia" w:ascii="Times New Roman" w:hAnsi="宋体" w:cs="Times New Roman"/>
          <w:color w:val="auto"/>
          <w:lang w:eastAsia="zh-CN"/>
        </w:rPr>
        <w:t>为地下水开采生态影响型项目，</w:t>
      </w:r>
      <w:r>
        <w:rPr>
          <w:rFonts w:ascii="Times New Roman" w:hAnsi="宋体" w:cs="Times New Roman"/>
          <w:color w:val="auto"/>
          <w:lang w:eastAsia="zh-CN"/>
        </w:rPr>
        <w:t>生态环境影响主要是占地对植被、土壤的破坏，建设过程造成的水土流失和对现有生态系统的扰动；大气污染物主要是</w:t>
      </w:r>
      <w:r>
        <w:rPr>
          <w:rFonts w:hint="eastAsia" w:ascii="Times New Roman" w:hAnsi="宋体" w:cs="Times New Roman"/>
          <w:color w:val="auto"/>
          <w:lang w:eastAsia="zh-CN"/>
        </w:rPr>
        <w:t>油烟废气</w:t>
      </w:r>
      <w:r>
        <w:rPr>
          <w:rFonts w:ascii="Times New Roman" w:hAnsi="宋体" w:cs="Times New Roman"/>
          <w:color w:val="auto"/>
          <w:lang w:eastAsia="zh-CN"/>
        </w:rPr>
        <w:t>；废水主要</w:t>
      </w:r>
      <w:r>
        <w:rPr>
          <w:rFonts w:hint="eastAsia" w:ascii="Times New Roman" w:hAnsi="宋体" w:cs="Times New Roman"/>
          <w:color w:val="auto"/>
          <w:lang w:eastAsia="zh-CN"/>
        </w:rPr>
        <w:t>为</w:t>
      </w:r>
      <w:r>
        <w:rPr>
          <w:rFonts w:ascii="Times New Roman" w:hAnsi="宋体" w:cs="Times New Roman"/>
          <w:color w:val="auto"/>
          <w:lang w:eastAsia="zh-CN"/>
        </w:rPr>
        <w:t>生活污水；高噪声源水泵等设备；固废</w:t>
      </w:r>
      <w:r>
        <w:rPr>
          <w:rFonts w:hint="eastAsia" w:ascii="Times New Roman" w:hAnsi="宋体" w:cs="Times New Roman"/>
          <w:color w:val="auto"/>
          <w:lang w:eastAsia="zh-CN"/>
        </w:rPr>
        <w:t>主要为</w:t>
      </w:r>
      <w:r>
        <w:rPr>
          <w:rFonts w:ascii="Times New Roman" w:hAnsi="宋体" w:cs="Times New Roman"/>
          <w:color w:val="auto"/>
          <w:lang w:eastAsia="zh-CN"/>
        </w:rPr>
        <w:t>生活垃圾；在严格落实污染治理措施的前提下，各项污染物可达标排放，环境影响可接受。</w:t>
      </w:r>
    </w:p>
    <w:p>
      <w:pPr>
        <w:pStyle w:val="61"/>
        <w:rPr>
          <w:color w:val="auto"/>
        </w:rPr>
      </w:pPr>
      <w:bookmarkStart w:id="4" w:name="_Toc436902135"/>
      <w:r>
        <w:rPr>
          <w:rFonts w:hint="eastAsia"/>
          <w:color w:val="auto"/>
        </w:rPr>
        <w:t xml:space="preserve">4. </w:t>
      </w:r>
      <w:r>
        <w:rPr>
          <w:color w:val="auto"/>
        </w:rPr>
        <w:t>关注的主要环境问题</w:t>
      </w:r>
      <w:bookmarkEnd w:id="4"/>
    </w:p>
    <w:p>
      <w:pPr>
        <w:pStyle w:val="58"/>
        <w:spacing w:line="360" w:lineRule="auto"/>
        <w:ind w:firstLine="480" w:firstLineChars="200"/>
        <w:rPr>
          <w:rFonts w:ascii="Times New Roman" w:hAnsi="宋体" w:cs="Times New Roman"/>
          <w:color w:val="auto"/>
          <w:lang w:eastAsia="zh-CN"/>
        </w:rPr>
      </w:pPr>
      <w:r>
        <w:rPr>
          <w:rFonts w:ascii="Times New Roman" w:hAnsi="宋体" w:cs="Times New Roman"/>
          <w:color w:val="auto"/>
          <w:lang w:eastAsia="zh-CN"/>
        </w:rPr>
        <w:t>本报告关注的主要环境问题包括施工期生态环境影响，地下水开采对区域地下水位的影响，环境风险事故的影响，以及外环境对本项目的影响等。</w:t>
      </w:r>
    </w:p>
    <w:p>
      <w:pPr>
        <w:pStyle w:val="61"/>
        <w:rPr>
          <w:color w:val="auto"/>
        </w:rPr>
      </w:pPr>
      <w:bookmarkStart w:id="5" w:name="_Toc436902136"/>
      <w:r>
        <w:rPr>
          <w:rFonts w:hint="eastAsia"/>
          <w:color w:val="auto"/>
        </w:rPr>
        <w:t xml:space="preserve">5. </w:t>
      </w:r>
      <w:r>
        <w:rPr>
          <w:color w:val="auto"/>
        </w:rPr>
        <w:t>报告书主要结论</w:t>
      </w:r>
      <w:bookmarkEnd w:id="5"/>
    </w:p>
    <w:p>
      <w:pPr>
        <w:pStyle w:val="58"/>
        <w:spacing w:line="360" w:lineRule="auto"/>
        <w:ind w:firstLine="480" w:firstLineChars="200"/>
        <w:rPr>
          <w:rFonts w:ascii="Times New Roman" w:hAnsi="宋体" w:cs="Times New Roman"/>
          <w:color w:val="auto"/>
          <w:lang w:eastAsia="zh-CN"/>
        </w:rPr>
      </w:pPr>
      <w:r>
        <w:rPr>
          <w:rFonts w:ascii="Times New Roman" w:hAnsi="宋体" w:cs="Times New Roman"/>
          <w:color w:val="auto"/>
          <w:lang w:eastAsia="zh-CN"/>
        </w:rPr>
        <w:t>本报告分析认为：本项目建设可有效缓解城区供水紧张局势，解决</w:t>
      </w:r>
      <w:r>
        <w:rPr>
          <w:rFonts w:hint="eastAsia" w:ascii="Times New Roman" w:hAnsi="宋体" w:cs="Times New Roman"/>
          <w:color w:val="auto"/>
          <w:lang w:eastAsia="zh-CN"/>
        </w:rPr>
        <w:t>泾河新城南、北两岸</w:t>
      </w:r>
      <w:r>
        <w:rPr>
          <w:rFonts w:ascii="Times New Roman" w:hAnsi="宋体" w:cs="Times New Roman"/>
          <w:color w:val="auto"/>
          <w:lang w:eastAsia="zh-CN"/>
        </w:rPr>
        <w:t>发展用水问题，是完善</w:t>
      </w:r>
      <w:r>
        <w:rPr>
          <w:rFonts w:hint="eastAsia" w:ascii="Times New Roman" w:hAnsi="宋体" w:cs="Times New Roman"/>
          <w:color w:val="auto"/>
          <w:lang w:eastAsia="zh-CN"/>
        </w:rPr>
        <w:t>泾河新城</w:t>
      </w:r>
      <w:r>
        <w:rPr>
          <w:rFonts w:ascii="Times New Roman" w:hAnsi="宋体" w:cs="Times New Roman"/>
          <w:color w:val="auto"/>
          <w:lang w:eastAsia="zh-CN"/>
        </w:rPr>
        <w:t>供水系统的重要举措，社会效益显著。项目符合产业政策及相关规划的要求，各污染物产生环节均有相应的污染物控制措施，可做到污染物达标排放，对周边环境的影响可接受，符合清洁生产的要求；大多数群众支持该项目建设。因此，在严格执行“三同时”制度，强化环境保护管理，保证各类环境保护设施正常运行，控制污染物总量排放达到指标要求的前提下，从环境保护角度看，本项目建设可行。</w:t>
      </w:r>
    </w:p>
    <w:p>
      <w:pPr>
        <w:pStyle w:val="60"/>
        <w:spacing w:before="156" w:after="156"/>
      </w:pPr>
      <w:r>
        <w:rPr>
          <w:rFonts w:hAnsi="宋体"/>
        </w:rPr>
        <w:br w:type="page"/>
      </w:r>
      <w:bookmarkStart w:id="6" w:name="_Toc436902137"/>
      <w:r>
        <w:t>1 总论</w:t>
      </w:r>
      <w:bookmarkEnd w:id="6"/>
      <w:r>
        <w:t xml:space="preserve"> </w:t>
      </w:r>
    </w:p>
    <w:p>
      <w:pPr>
        <w:pStyle w:val="61"/>
        <w:rPr>
          <w:color w:val="auto"/>
        </w:rPr>
      </w:pPr>
      <w:bookmarkStart w:id="7" w:name="_Toc436902138"/>
      <w:r>
        <w:rPr>
          <w:color w:val="auto"/>
        </w:rPr>
        <w:t xml:space="preserve">1.1 </w:t>
      </w:r>
      <w:r>
        <w:rPr>
          <w:rFonts w:hint="eastAsia"/>
          <w:color w:val="auto"/>
        </w:rPr>
        <w:t>编制依据</w:t>
      </w:r>
      <w:bookmarkEnd w:id="7"/>
    </w:p>
    <w:p>
      <w:pPr>
        <w:pStyle w:val="62"/>
        <w:rPr>
          <w:color w:val="auto"/>
        </w:rPr>
      </w:pPr>
      <w:r>
        <w:rPr>
          <w:bCs/>
          <w:color w:val="auto"/>
        </w:rPr>
        <w:t xml:space="preserve">1.1.1 </w:t>
      </w:r>
      <w:r>
        <w:rPr>
          <w:rFonts w:hint="eastAsia" w:ascii="宋体" w:cs="宋体"/>
          <w:color w:val="auto"/>
        </w:rPr>
        <w:t>法律法规依据</w:t>
      </w:r>
      <w:r>
        <w:rPr>
          <w:rFonts w:ascii="宋体" w:cs="宋体"/>
          <w:color w:val="auto"/>
        </w:rPr>
        <w:t xml:space="preserve"> </w:t>
      </w:r>
    </w:p>
    <w:p>
      <w:pPr>
        <w:pStyle w:val="63"/>
        <w:ind w:firstLine="480"/>
        <w:rPr>
          <w:color w:val="auto"/>
        </w:rPr>
      </w:pPr>
      <w:r>
        <w:rPr>
          <w:rFonts w:hint="eastAsia"/>
          <w:color w:val="auto"/>
        </w:rPr>
        <w:t>（</w:t>
      </w:r>
      <w:r>
        <w:rPr>
          <w:color w:val="auto"/>
        </w:rPr>
        <w:t>1</w:t>
      </w:r>
      <w:r>
        <w:rPr>
          <w:rFonts w:hint="eastAsia"/>
          <w:color w:val="auto"/>
        </w:rPr>
        <w:t>）《中华人民共和国环境保护法》，</w:t>
      </w:r>
      <w:r>
        <w:rPr>
          <w:color w:val="auto"/>
        </w:rPr>
        <w:t>2014</w:t>
      </w:r>
      <w:r>
        <w:rPr>
          <w:rFonts w:hint="eastAsia"/>
          <w:color w:val="auto"/>
        </w:rPr>
        <w:t>年</w:t>
      </w:r>
      <w:r>
        <w:rPr>
          <w:color w:val="auto"/>
        </w:rPr>
        <w:t>4</w:t>
      </w:r>
      <w:r>
        <w:rPr>
          <w:rFonts w:hint="eastAsia"/>
          <w:color w:val="auto"/>
        </w:rPr>
        <w:t>月</w:t>
      </w:r>
      <w:r>
        <w:rPr>
          <w:color w:val="auto"/>
        </w:rPr>
        <w:t>24</w:t>
      </w:r>
      <w:r>
        <w:rPr>
          <w:rFonts w:hint="eastAsia"/>
          <w:color w:val="auto"/>
        </w:rPr>
        <w:t>日；</w:t>
      </w:r>
      <w:r>
        <w:rPr>
          <w:color w:val="auto"/>
        </w:rPr>
        <w:t>.</w:t>
      </w:r>
    </w:p>
    <w:p>
      <w:pPr>
        <w:pStyle w:val="63"/>
        <w:ind w:firstLine="480"/>
        <w:rPr>
          <w:color w:val="auto"/>
        </w:rPr>
      </w:pPr>
      <w:r>
        <w:rPr>
          <w:rFonts w:hint="eastAsia"/>
          <w:color w:val="auto"/>
        </w:rPr>
        <w:t>（</w:t>
      </w:r>
      <w:r>
        <w:rPr>
          <w:color w:val="auto"/>
        </w:rPr>
        <w:t>2</w:t>
      </w:r>
      <w:r>
        <w:rPr>
          <w:rFonts w:hint="eastAsia"/>
          <w:color w:val="auto"/>
        </w:rPr>
        <w:t>）《中华人民共和国环境影响评价法》，</w:t>
      </w:r>
      <w:r>
        <w:rPr>
          <w:color w:val="auto"/>
        </w:rPr>
        <w:t>2002</w:t>
      </w:r>
      <w:r>
        <w:rPr>
          <w:rFonts w:hint="eastAsia"/>
          <w:color w:val="auto"/>
        </w:rPr>
        <w:t>年</w:t>
      </w:r>
      <w:r>
        <w:rPr>
          <w:color w:val="auto"/>
        </w:rPr>
        <w:t>10</w:t>
      </w:r>
      <w:r>
        <w:rPr>
          <w:rFonts w:hint="eastAsia"/>
          <w:color w:val="auto"/>
        </w:rPr>
        <w:t>月</w:t>
      </w:r>
      <w:r>
        <w:rPr>
          <w:color w:val="auto"/>
        </w:rPr>
        <w:t>28</w:t>
      </w:r>
      <w:r>
        <w:rPr>
          <w:rFonts w:hint="eastAsia"/>
          <w:color w:val="auto"/>
        </w:rPr>
        <w:t>日；</w:t>
      </w:r>
    </w:p>
    <w:p>
      <w:pPr>
        <w:pStyle w:val="63"/>
        <w:ind w:firstLine="480"/>
        <w:rPr>
          <w:color w:val="auto"/>
        </w:rPr>
      </w:pPr>
      <w:r>
        <w:rPr>
          <w:rFonts w:hint="eastAsia"/>
          <w:color w:val="auto"/>
        </w:rPr>
        <w:t>（</w:t>
      </w:r>
      <w:r>
        <w:rPr>
          <w:color w:val="auto"/>
        </w:rPr>
        <w:t>3</w:t>
      </w:r>
      <w:r>
        <w:rPr>
          <w:rFonts w:hint="eastAsia"/>
          <w:color w:val="auto"/>
        </w:rPr>
        <w:t>）《中华人民共和国水法》，</w:t>
      </w:r>
      <w:r>
        <w:rPr>
          <w:color w:val="auto"/>
        </w:rPr>
        <w:t>2002</w:t>
      </w:r>
      <w:r>
        <w:rPr>
          <w:rFonts w:hint="eastAsia"/>
          <w:color w:val="auto"/>
        </w:rPr>
        <w:t>年</w:t>
      </w:r>
      <w:r>
        <w:rPr>
          <w:color w:val="auto"/>
        </w:rPr>
        <w:t>8</w:t>
      </w:r>
      <w:r>
        <w:rPr>
          <w:rFonts w:hint="eastAsia"/>
          <w:color w:val="auto"/>
        </w:rPr>
        <w:t>月</w:t>
      </w:r>
      <w:r>
        <w:rPr>
          <w:color w:val="auto"/>
        </w:rPr>
        <w:t>29</w:t>
      </w:r>
      <w:r>
        <w:rPr>
          <w:rFonts w:hint="eastAsia"/>
          <w:color w:val="auto"/>
        </w:rPr>
        <w:t>日；</w:t>
      </w:r>
    </w:p>
    <w:p>
      <w:pPr>
        <w:pStyle w:val="63"/>
        <w:ind w:firstLine="480"/>
        <w:rPr>
          <w:color w:val="auto"/>
        </w:rPr>
      </w:pPr>
      <w:r>
        <w:rPr>
          <w:rFonts w:hint="eastAsia"/>
          <w:color w:val="auto"/>
        </w:rPr>
        <w:t>（</w:t>
      </w:r>
      <w:r>
        <w:rPr>
          <w:color w:val="auto"/>
        </w:rPr>
        <w:t>4</w:t>
      </w:r>
      <w:r>
        <w:rPr>
          <w:rFonts w:hint="eastAsia"/>
          <w:color w:val="auto"/>
        </w:rPr>
        <w:t>）《中华人民共和国水污染防治法》，</w:t>
      </w:r>
      <w:r>
        <w:rPr>
          <w:color w:val="auto"/>
        </w:rPr>
        <w:t>2008</w:t>
      </w:r>
      <w:r>
        <w:rPr>
          <w:rFonts w:hint="eastAsia"/>
          <w:color w:val="auto"/>
        </w:rPr>
        <w:t>年</w:t>
      </w:r>
      <w:r>
        <w:rPr>
          <w:color w:val="auto"/>
        </w:rPr>
        <w:t>6</w:t>
      </w:r>
      <w:r>
        <w:rPr>
          <w:rFonts w:hint="eastAsia"/>
          <w:color w:val="auto"/>
        </w:rPr>
        <w:t>月</w:t>
      </w:r>
      <w:r>
        <w:rPr>
          <w:color w:val="auto"/>
        </w:rPr>
        <w:t>1</w:t>
      </w:r>
      <w:r>
        <w:rPr>
          <w:rFonts w:hint="eastAsia"/>
          <w:color w:val="auto"/>
        </w:rPr>
        <w:t>日；</w:t>
      </w:r>
    </w:p>
    <w:p>
      <w:pPr>
        <w:pStyle w:val="63"/>
        <w:ind w:firstLine="480"/>
        <w:rPr>
          <w:color w:val="auto"/>
        </w:rPr>
      </w:pPr>
      <w:r>
        <w:rPr>
          <w:rFonts w:hint="eastAsia"/>
          <w:color w:val="auto"/>
        </w:rPr>
        <w:t>（</w:t>
      </w:r>
      <w:r>
        <w:rPr>
          <w:color w:val="auto"/>
        </w:rPr>
        <w:t>5</w:t>
      </w:r>
      <w:r>
        <w:rPr>
          <w:rFonts w:hint="eastAsia"/>
          <w:color w:val="auto"/>
        </w:rPr>
        <w:t>）《中华人民共和国大气污染防治法》，</w:t>
      </w:r>
      <w:r>
        <w:rPr>
          <w:color w:val="auto"/>
        </w:rPr>
        <w:t>20</w:t>
      </w:r>
      <w:r>
        <w:rPr>
          <w:rFonts w:hint="eastAsia"/>
          <w:color w:val="auto"/>
        </w:rPr>
        <w:t>15年8月</w:t>
      </w:r>
      <w:r>
        <w:rPr>
          <w:color w:val="auto"/>
        </w:rPr>
        <w:t>29</w:t>
      </w:r>
      <w:r>
        <w:rPr>
          <w:rFonts w:hint="eastAsia"/>
          <w:color w:val="auto"/>
        </w:rPr>
        <w:t>日；</w:t>
      </w:r>
    </w:p>
    <w:p>
      <w:pPr>
        <w:pStyle w:val="63"/>
        <w:ind w:firstLine="480"/>
        <w:rPr>
          <w:color w:val="auto"/>
        </w:rPr>
      </w:pPr>
      <w:r>
        <w:rPr>
          <w:rFonts w:hint="eastAsia"/>
          <w:color w:val="auto"/>
        </w:rPr>
        <w:t>（</w:t>
      </w:r>
      <w:r>
        <w:rPr>
          <w:color w:val="auto"/>
        </w:rPr>
        <w:t>6</w:t>
      </w:r>
      <w:r>
        <w:rPr>
          <w:rFonts w:hint="eastAsia"/>
          <w:color w:val="auto"/>
        </w:rPr>
        <w:t>）《中华人民共和国环境噪声污染防治法》，</w:t>
      </w:r>
      <w:r>
        <w:rPr>
          <w:color w:val="auto"/>
        </w:rPr>
        <w:t>1996</w:t>
      </w:r>
      <w:r>
        <w:rPr>
          <w:rFonts w:hint="eastAsia"/>
          <w:color w:val="auto"/>
        </w:rPr>
        <w:t>年</w:t>
      </w:r>
      <w:r>
        <w:rPr>
          <w:color w:val="auto"/>
        </w:rPr>
        <w:t>10</w:t>
      </w:r>
      <w:r>
        <w:rPr>
          <w:rFonts w:hint="eastAsia"/>
          <w:color w:val="auto"/>
        </w:rPr>
        <w:t>月</w:t>
      </w:r>
      <w:r>
        <w:rPr>
          <w:color w:val="auto"/>
        </w:rPr>
        <w:t>29</w:t>
      </w:r>
      <w:r>
        <w:rPr>
          <w:rFonts w:hint="eastAsia"/>
          <w:color w:val="auto"/>
        </w:rPr>
        <w:t>日；</w:t>
      </w:r>
    </w:p>
    <w:p>
      <w:pPr>
        <w:pStyle w:val="63"/>
        <w:ind w:firstLine="480"/>
        <w:rPr>
          <w:color w:val="auto"/>
        </w:rPr>
      </w:pPr>
      <w:r>
        <w:rPr>
          <w:rFonts w:hint="eastAsia"/>
          <w:color w:val="auto"/>
        </w:rPr>
        <w:t>（</w:t>
      </w:r>
      <w:r>
        <w:rPr>
          <w:color w:val="auto"/>
        </w:rPr>
        <w:t>7</w:t>
      </w:r>
      <w:r>
        <w:rPr>
          <w:rFonts w:hint="eastAsia"/>
          <w:color w:val="auto"/>
        </w:rPr>
        <w:t>）《中华人民共和国固体废物污染环境防治法》，</w:t>
      </w:r>
      <w:r>
        <w:rPr>
          <w:color w:val="auto"/>
        </w:rPr>
        <w:t>2005</w:t>
      </w:r>
      <w:r>
        <w:rPr>
          <w:rFonts w:hint="eastAsia"/>
          <w:color w:val="auto"/>
        </w:rPr>
        <w:t>年</w:t>
      </w:r>
      <w:r>
        <w:rPr>
          <w:color w:val="auto"/>
        </w:rPr>
        <w:t>4</w:t>
      </w:r>
      <w:r>
        <w:rPr>
          <w:rFonts w:hint="eastAsia"/>
          <w:color w:val="auto"/>
        </w:rPr>
        <w:t>月</w:t>
      </w:r>
      <w:r>
        <w:rPr>
          <w:color w:val="auto"/>
        </w:rPr>
        <w:t>1</w:t>
      </w:r>
      <w:r>
        <w:rPr>
          <w:rFonts w:hint="eastAsia"/>
          <w:color w:val="auto"/>
        </w:rPr>
        <w:t>日；</w:t>
      </w:r>
    </w:p>
    <w:p>
      <w:pPr>
        <w:pStyle w:val="63"/>
        <w:ind w:firstLine="480"/>
        <w:rPr>
          <w:color w:val="auto"/>
        </w:rPr>
      </w:pPr>
      <w:r>
        <w:rPr>
          <w:rFonts w:hint="eastAsia"/>
          <w:color w:val="auto"/>
        </w:rPr>
        <w:t>（</w:t>
      </w:r>
      <w:r>
        <w:rPr>
          <w:color w:val="auto"/>
        </w:rPr>
        <w:t>8</w:t>
      </w:r>
      <w:r>
        <w:rPr>
          <w:rFonts w:hint="eastAsia"/>
          <w:color w:val="auto"/>
        </w:rPr>
        <w:t>）《中华人民共和国清洁生产促进法（</w:t>
      </w:r>
      <w:r>
        <w:rPr>
          <w:color w:val="auto"/>
        </w:rPr>
        <w:t>2012</w:t>
      </w:r>
      <w:r>
        <w:rPr>
          <w:rFonts w:hint="eastAsia"/>
          <w:color w:val="auto"/>
        </w:rPr>
        <w:t>年修正）》，</w:t>
      </w:r>
      <w:r>
        <w:rPr>
          <w:color w:val="auto"/>
        </w:rPr>
        <w:t>2012</w:t>
      </w:r>
      <w:r>
        <w:rPr>
          <w:rFonts w:hint="eastAsia"/>
          <w:color w:val="auto"/>
        </w:rPr>
        <w:t>年</w:t>
      </w:r>
      <w:r>
        <w:rPr>
          <w:color w:val="auto"/>
        </w:rPr>
        <w:t>2</w:t>
      </w:r>
      <w:r>
        <w:rPr>
          <w:rFonts w:hint="eastAsia"/>
          <w:color w:val="auto"/>
        </w:rPr>
        <w:t>月</w:t>
      </w:r>
      <w:r>
        <w:rPr>
          <w:color w:val="auto"/>
        </w:rPr>
        <w:t>29</w:t>
      </w:r>
      <w:r>
        <w:rPr>
          <w:rFonts w:hint="eastAsia"/>
          <w:color w:val="auto"/>
        </w:rPr>
        <w:t>日；</w:t>
      </w:r>
    </w:p>
    <w:p>
      <w:pPr>
        <w:pStyle w:val="63"/>
        <w:ind w:firstLine="480"/>
        <w:rPr>
          <w:color w:val="auto"/>
        </w:rPr>
      </w:pPr>
      <w:r>
        <w:rPr>
          <w:rFonts w:hint="eastAsia"/>
          <w:color w:val="auto"/>
        </w:rPr>
        <w:t>（</w:t>
      </w:r>
      <w:r>
        <w:rPr>
          <w:color w:val="auto"/>
        </w:rPr>
        <w:t>9</w:t>
      </w:r>
      <w:r>
        <w:rPr>
          <w:rFonts w:hint="eastAsia"/>
          <w:color w:val="auto"/>
        </w:rPr>
        <w:t>）《中华人民共和国循环经济促进法》，</w:t>
      </w:r>
      <w:r>
        <w:rPr>
          <w:color w:val="auto"/>
        </w:rPr>
        <w:t>2008</w:t>
      </w:r>
      <w:r>
        <w:rPr>
          <w:rFonts w:hint="eastAsia"/>
          <w:color w:val="auto"/>
        </w:rPr>
        <w:t>年</w:t>
      </w:r>
      <w:r>
        <w:rPr>
          <w:color w:val="auto"/>
        </w:rPr>
        <w:t>9</w:t>
      </w:r>
      <w:r>
        <w:rPr>
          <w:rFonts w:hint="eastAsia"/>
          <w:color w:val="auto"/>
        </w:rPr>
        <w:t>月</w:t>
      </w:r>
      <w:r>
        <w:rPr>
          <w:color w:val="auto"/>
        </w:rPr>
        <w:t>1</w:t>
      </w:r>
      <w:r>
        <w:rPr>
          <w:rFonts w:hint="eastAsia"/>
          <w:color w:val="auto"/>
        </w:rPr>
        <w:t>日；</w:t>
      </w:r>
    </w:p>
    <w:p>
      <w:pPr>
        <w:pStyle w:val="63"/>
        <w:ind w:firstLine="480"/>
        <w:rPr>
          <w:color w:val="auto"/>
        </w:rPr>
      </w:pPr>
      <w:r>
        <w:rPr>
          <w:rFonts w:hint="eastAsia"/>
          <w:color w:val="auto"/>
        </w:rPr>
        <w:t>（</w:t>
      </w:r>
      <w:r>
        <w:rPr>
          <w:color w:val="auto"/>
        </w:rPr>
        <w:t>10</w:t>
      </w:r>
      <w:r>
        <w:rPr>
          <w:rFonts w:hint="eastAsia"/>
          <w:color w:val="auto"/>
        </w:rPr>
        <w:t>）《中华人民共和国节约能源法》，</w:t>
      </w:r>
      <w:r>
        <w:rPr>
          <w:color w:val="auto"/>
        </w:rPr>
        <w:t>2008</w:t>
      </w:r>
      <w:r>
        <w:rPr>
          <w:rFonts w:hint="eastAsia"/>
          <w:color w:val="auto"/>
        </w:rPr>
        <w:t>年</w:t>
      </w:r>
      <w:r>
        <w:rPr>
          <w:color w:val="auto"/>
        </w:rPr>
        <w:t>4</w:t>
      </w:r>
      <w:r>
        <w:rPr>
          <w:rFonts w:hint="eastAsia"/>
          <w:color w:val="auto"/>
        </w:rPr>
        <w:t>月</w:t>
      </w:r>
      <w:r>
        <w:rPr>
          <w:color w:val="auto"/>
        </w:rPr>
        <w:t>1</w:t>
      </w:r>
      <w:r>
        <w:rPr>
          <w:rFonts w:hint="eastAsia"/>
          <w:color w:val="auto"/>
        </w:rPr>
        <w:t>日；</w:t>
      </w:r>
    </w:p>
    <w:p>
      <w:pPr>
        <w:pStyle w:val="63"/>
        <w:ind w:firstLine="480"/>
        <w:rPr>
          <w:color w:val="auto"/>
        </w:rPr>
      </w:pPr>
      <w:r>
        <w:rPr>
          <w:rFonts w:hint="eastAsia"/>
          <w:color w:val="auto"/>
        </w:rPr>
        <w:t>（</w:t>
      </w:r>
      <w:r>
        <w:rPr>
          <w:color w:val="auto"/>
        </w:rPr>
        <w:t>11</w:t>
      </w:r>
      <w:r>
        <w:rPr>
          <w:rFonts w:hint="eastAsia"/>
          <w:color w:val="auto"/>
        </w:rPr>
        <w:t>）国务院</w:t>
      </w:r>
      <w:r>
        <w:rPr>
          <w:color w:val="auto"/>
        </w:rPr>
        <w:t>1998</w:t>
      </w:r>
      <w:r>
        <w:rPr>
          <w:rFonts w:hint="eastAsia"/>
          <w:color w:val="auto"/>
        </w:rPr>
        <w:t>年第</w:t>
      </w:r>
      <w:r>
        <w:rPr>
          <w:color w:val="auto"/>
        </w:rPr>
        <w:t>253</w:t>
      </w:r>
      <w:r>
        <w:rPr>
          <w:rFonts w:hint="eastAsia"/>
          <w:color w:val="auto"/>
        </w:rPr>
        <w:t>号令《建设项目环境保护管理条例》，</w:t>
      </w:r>
      <w:r>
        <w:rPr>
          <w:color w:val="auto"/>
        </w:rPr>
        <w:t>1998</w:t>
      </w:r>
      <w:r>
        <w:rPr>
          <w:rFonts w:hint="eastAsia"/>
          <w:color w:val="auto"/>
        </w:rPr>
        <w:t>年</w:t>
      </w:r>
      <w:r>
        <w:rPr>
          <w:color w:val="auto"/>
        </w:rPr>
        <w:t>11</w:t>
      </w:r>
      <w:r>
        <w:rPr>
          <w:rFonts w:hint="eastAsia"/>
          <w:color w:val="auto"/>
        </w:rPr>
        <w:t>月</w:t>
      </w:r>
      <w:r>
        <w:rPr>
          <w:color w:val="auto"/>
        </w:rPr>
        <w:t>29</w:t>
      </w:r>
      <w:r>
        <w:rPr>
          <w:rFonts w:hint="eastAsia"/>
          <w:color w:val="auto"/>
        </w:rPr>
        <w:t>日；</w:t>
      </w:r>
    </w:p>
    <w:p>
      <w:pPr>
        <w:pStyle w:val="63"/>
        <w:ind w:firstLine="480"/>
        <w:rPr>
          <w:color w:val="auto"/>
        </w:rPr>
      </w:pPr>
      <w:r>
        <w:rPr>
          <w:rFonts w:hint="eastAsia"/>
          <w:color w:val="auto"/>
        </w:rPr>
        <w:t>（</w:t>
      </w:r>
      <w:r>
        <w:rPr>
          <w:color w:val="auto"/>
        </w:rPr>
        <w:t>12</w:t>
      </w:r>
      <w:r>
        <w:rPr>
          <w:rFonts w:hint="eastAsia"/>
          <w:color w:val="auto"/>
        </w:rPr>
        <w:t>）《陕西省城市饮用水水源保护区环境保护条例》</w:t>
      </w:r>
      <w:r>
        <w:rPr>
          <w:color w:val="auto"/>
        </w:rPr>
        <w:t>2002</w:t>
      </w:r>
      <w:r>
        <w:rPr>
          <w:rFonts w:hint="eastAsia"/>
          <w:color w:val="auto"/>
        </w:rPr>
        <w:t>年</w:t>
      </w:r>
      <w:r>
        <w:rPr>
          <w:color w:val="auto"/>
        </w:rPr>
        <w:t>3</w:t>
      </w:r>
      <w:r>
        <w:rPr>
          <w:rFonts w:hint="eastAsia"/>
          <w:color w:val="auto"/>
        </w:rPr>
        <w:t>月</w:t>
      </w:r>
      <w:r>
        <w:rPr>
          <w:color w:val="auto"/>
        </w:rPr>
        <w:t>28</w:t>
      </w:r>
      <w:r>
        <w:rPr>
          <w:rFonts w:hint="eastAsia"/>
          <w:color w:val="auto"/>
        </w:rPr>
        <w:t>日。</w:t>
      </w:r>
    </w:p>
    <w:p>
      <w:pPr>
        <w:pStyle w:val="62"/>
        <w:rPr>
          <w:color w:val="auto"/>
        </w:rPr>
      </w:pPr>
      <w:r>
        <w:rPr>
          <w:bCs/>
          <w:color w:val="auto"/>
        </w:rPr>
        <w:t xml:space="preserve">1.1.2 </w:t>
      </w:r>
      <w:r>
        <w:rPr>
          <w:rFonts w:hint="eastAsia"/>
          <w:color w:val="auto"/>
        </w:rPr>
        <w:t>评价技术规范</w:t>
      </w:r>
      <w:r>
        <w:rPr>
          <w:color w:val="auto"/>
        </w:rPr>
        <w:t xml:space="preserve"> </w:t>
      </w:r>
    </w:p>
    <w:p>
      <w:pPr>
        <w:pStyle w:val="63"/>
        <w:ind w:firstLine="480"/>
        <w:rPr>
          <w:color w:val="auto"/>
        </w:rPr>
      </w:pPr>
      <w:r>
        <w:rPr>
          <w:rFonts w:hint="eastAsia"/>
          <w:color w:val="auto"/>
        </w:rPr>
        <w:t>（</w:t>
      </w:r>
      <w:r>
        <w:rPr>
          <w:color w:val="auto"/>
        </w:rPr>
        <w:t>1</w:t>
      </w:r>
      <w:r>
        <w:rPr>
          <w:rFonts w:hint="eastAsia"/>
          <w:color w:val="auto"/>
        </w:rPr>
        <w:t>）《环境影响评价技术导则总纲》</w:t>
      </w:r>
      <w:r>
        <w:rPr>
          <w:color w:val="auto"/>
        </w:rPr>
        <w:t>(HJ2.1-2011)</w:t>
      </w:r>
      <w:r>
        <w:rPr>
          <w:rFonts w:hint="eastAsia"/>
          <w:color w:val="auto"/>
        </w:rPr>
        <w:t>；</w:t>
      </w:r>
    </w:p>
    <w:p>
      <w:pPr>
        <w:pStyle w:val="63"/>
        <w:ind w:firstLine="480"/>
        <w:rPr>
          <w:color w:val="auto"/>
        </w:rPr>
      </w:pPr>
      <w:r>
        <w:rPr>
          <w:rFonts w:hint="eastAsia"/>
          <w:color w:val="auto"/>
        </w:rPr>
        <w:t>（</w:t>
      </w:r>
      <w:r>
        <w:rPr>
          <w:color w:val="auto"/>
        </w:rPr>
        <w:t>2</w:t>
      </w:r>
      <w:r>
        <w:rPr>
          <w:rFonts w:hint="eastAsia"/>
          <w:color w:val="auto"/>
        </w:rPr>
        <w:t>）《环境影响评价技术导则大气环境》（</w:t>
      </w:r>
      <w:r>
        <w:rPr>
          <w:color w:val="auto"/>
        </w:rPr>
        <w:t>HJ2.2-2008</w:t>
      </w:r>
      <w:r>
        <w:rPr>
          <w:rFonts w:hint="eastAsia"/>
          <w:color w:val="auto"/>
        </w:rPr>
        <w:t>）；</w:t>
      </w:r>
    </w:p>
    <w:p>
      <w:pPr>
        <w:pStyle w:val="63"/>
        <w:ind w:firstLine="480"/>
        <w:rPr>
          <w:color w:val="auto"/>
        </w:rPr>
      </w:pPr>
      <w:r>
        <w:rPr>
          <w:rFonts w:hint="eastAsia"/>
          <w:color w:val="auto"/>
        </w:rPr>
        <w:t>（</w:t>
      </w:r>
      <w:r>
        <w:rPr>
          <w:color w:val="auto"/>
        </w:rPr>
        <w:t>3</w:t>
      </w:r>
      <w:r>
        <w:rPr>
          <w:rFonts w:hint="eastAsia"/>
          <w:color w:val="auto"/>
        </w:rPr>
        <w:t>）《环境影响评价技术导则地面水环境》</w:t>
      </w:r>
      <w:r>
        <w:rPr>
          <w:color w:val="auto"/>
        </w:rPr>
        <w:t>(HJ.T2.3-93)</w:t>
      </w:r>
      <w:r>
        <w:rPr>
          <w:rFonts w:hint="eastAsia"/>
          <w:color w:val="auto"/>
        </w:rPr>
        <w:t>；</w:t>
      </w:r>
    </w:p>
    <w:p>
      <w:pPr>
        <w:pStyle w:val="63"/>
        <w:ind w:firstLine="480"/>
        <w:rPr>
          <w:color w:val="auto"/>
        </w:rPr>
      </w:pPr>
      <w:r>
        <w:rPr>
          <w:rFonts w:hint="eastAsia"/>
          <w:color w:val="auto"/>
        </w:rPr>
        <w:t>（</w:t>
      </w:r>
      <w:r>
        <w:rPr>
          <w:color w:val="auto"/>
        </w:rPr>
        <w:t>4</w:t>
      </w:r>
      <w:r>
        <w:rPr>
          <w:rFonts w:hint="eastAsia"/>
          <w:color w:val="auto"/>
        </w:rPr>
        <w:t>）《环境影响评价技术导则声环境》</w:t>
      </w:r>
      <w:r>
        <w:rPr>
          <w:color w:val="auto"/>
        </w:rPr>
        <w:t>(HJ2.4-2009)</w:t>
      </w:r>
      <w:r>
        <w:rPr>
          <w:rFonts w:hint="eastAsia"/>
          <w:color w:val="auto"/>
        </w:rPr>
        <w:t>；</w:t>
      </w:r>
    </w:p>
    <w:p>
      <w:pPr>
        <w:pStyle w:val="63"/>
        <w:ind w:firstLine="480"/>
        <w:rPr>
          <w:color w:val="auto"/>
        </w:rPr>
      </w:pPr>
      <w:r>
        <w:rPr>
          <w:rFonts w:hint="eastAsia"/>
          <w:color w:val="auto"/>
        </w:rPr>
        <w:t>（</w:t>
      </w:r>
      <w:r>
        <w:rPr>
          <w:color w:val="auto"/>
        </w:rPr>
        <w:t>5</w:t>
      </w:r>
      <w:r>
        <w:rPr>
          <w:rFonts w:hint="eastAsia"/>
          <w:color w:val="auto"/>
        </w:rPr>
        <w:t>）《环境影响评价技术导则地下水环境》（</w:t>
      </w:r>
      <w:r>
        <w:rPr>
          <w:color w:val="auto"/>
        </w:rPr>
        <w:t>HJ610-2011</w:t>
      </w:r>
      <w:r>
        <w:rPr>
          <w:rFonts w:hint="eastAsia"/>
          <w:color w:val="auto"/>
        </w:rPr>
        <w:t>）；</w:t>
      </w:r>
    </w:p>
    <w:p>
      <w:pPr>
        <w:pStyle w:val="63"/>
        <w:ind w:firstLine="480"/>
        <w:rPr>
          <w:color w:val="auto"/>
        </w:rPr>
      </w:pPr>
      <w:r>
        <w:rPr>
          <w:rFonts w:hint="eastAsia"/>
          <w:color w:val="auto"/>
        </w:rPr>
        <w:t>（</w:t>
      </w:r>
      <w:r>
        <w:rPr>
          <w:color w:val="auto"/>
        </w:rPr>
        <w:t>6</w:t>
      </w:r>
      <w:r>
        <w:rPr>
          <w:rFonts w:hint="eastAsia"/>
          <w:color w:val="auto"/>
        </w:rPr>
        <w:t>）《环境影响评价技术导则生态影响》（</w:t>
      </w:r>
      <w:r>
        <w:rPr>
          <w:color w:val="auto"/>
        </w:rPr>
        <w:t>HJ19-2011</w:t>
      </w:r>
      <w:r>
        <w:rPr>
          <w:rFonts w:hint="eastAsia"/>
          <w:color w:val="auto"/>
        </w:rPr>
        <w:t>）；</w:t>
      </w:r>
    </w:p>
    <w:p>
      <w:pPr>
        <w:pStyle w:val="63"/>
        <w:ind w:firstLine="480"/>
        <w:rPr>
          <w:color w:val="auto"/>
        </w:rPr>
      </w:pPr>
      <w:r>
        <w:rPr>
          <w:rFonts w:hint="eastAsia"/>
          <w:color w:val="auto"/>
        </w:rPr>
        <w:t>（</w:t>
      </w:r>
      <w:r>
        <w:rPr>
          <w:color w:val="auto"/>
        </w:rPr>
        <w:t>7</w:t>
      </w:r>
      <w:r>
        <w:rPr>
          <w:rFonts w:hint="eastAsia"/>
          <w:color w:val="auto"/>
        </w:rPr>
        <w:t>）《建设项目环境风险评价技术导则》</w:t>
      </w:r>
      <w:r>
        <w:rPr>
          <w:color w:val="auto"/>
        </w:rPr>
        <w:t>(HJ/T169-2004)</w:t>
      </w:r>
      <w:r>
        <w:rPr>
          <w:rFonts w:hint="eastAsia"/>
          <w:color w:val="auto"/>
        </w:rPr>
        <w:t>；</w:t>
      </w:r>
    </w:p>
    <w:p>
      <w:pPr>
        <w:pStyle w:val="63"/>
        <w:ind w:firstLine="480"/>
        <w:rPr>
          <w:color w:val="auto"/>
        </w:rPr>
      </w:pPr>
      <w:r>
        <w:rPr>
          <w:rFonts w:hint="eastAsia"/>
          <w:color w:val="auto"/>
        </w:rPr>
        <w:t>（</w:t>
      </w:r>
      <w:r>
        <w:rPr>
          <w:color w:val="auto"/>
        </w:rPr>
        <w:t>8</w:t>
      </w:r>
      <w:r>
        <w:rPr>
          <w:rFonts w:hint="eastAsia"/>
          <w:color w:val="auto"/>
        </w:rPr>
        <w:t>）《饮用水水源保护区划分技术规范》（</w:t>
      </w:r>
      <w:r>
        <w:rPr>
          <w:color w:val="auto"/>
        </w:rPr>
        <w:t>HJ/T 338-2007</w:t>
      </w:r>
      <w:r>
        <w:rPr>
          <w:rFonts w:hint="eastAsia"/>
          <w:color w:val="auto"/>
        </w:rPr>
        <w:t>）。</w:t>
      </w:r>
    </w:p>
    <w:p>
      <w:pPr>
        <w:pStyle w:val="62"/>
        <w:rPr>
          <w:color w:val="auto"/>
        </w:rPr>
      </w:pPr>
      <w:r>
        <w:rPr>
          <w:bCs/>
          <w:color w:val="auto"/>
        </w:rPr>
        <w:t xml:space="preserve">1.1.3 </w:t>
      </w:r>
      <w:r>
        <w:rPr>
          <w:rFonts w:hint="eastAsia"/>
          <w:color w:val="auto"/>
        </w:rPr>
        <w:t>相关规章规划及产业政策</w:t>
      </w:r>
      <w:r>
        <w:rPr>
          <w:color w:val="auto"/>
        </w:rPr>
        <w:t xml:space="preserve"> </w:t>
      </w:r>
    </w:p>
    <w:p>
      <w:pPr>
        <w:pStyle w:val="63"/>
        <w:ind w:firstLine="480"/>
        <w:rPr>
          <w:color w:val="auto"/>
        </w:rPr>
      </w:pPr>
      <w:r>
        <w:rPr>
          <w:rFonts w:hint="eastAsia"/>
          <w:color w:val="auto"/>
        </w:rPr>
        <w:t>（</w:t>
      </w:r>
      <w:r>
        <w:rPr>
          <w:color w:val="auto"/>
        </w:rPr>
        <w:t>1</w:t>
      </w:r>
      <w:r>
        <w:rPr>
          <w:rFonts w:hint="eastAsia"/>
          <w:color w:val="auto"/>
        </w:rPr>
        <w:t>）环境保护部《国家环境保护</w:t>
      </w:r>
      <w:r>
        <w:rPr>
          <w:color w:val="auto"/>
        </w:rPr>
        <w:t>“</w:t>
      </w:r>
      <w:r>
        <w:rPr>
          <w:rFonts w:hint="eastAsia"/>
          <w:color w:val="auto"/>
        </w:rPr>
        <w:t>十二五</w:t>
      </w:r>
      <w:r>
        <w:rPr>
          <w:color w:val="auto"/>
        </w:rPr>
        <w:t>”</w:t>
      </w:r>
      <w:r>
        <w:rPr>
          <w:rFonts w:hint="eastAsia"/>
          <w:color w:val="auto"/>
        </w:rPr>
        <w:t>规划》；</w:t>
      </w:r>
    </w:p>
    <w:p>
      <w:pPr>
        <w:pStyle w:val="63"/>
        <w:ind w:firstLine="480"/>
        <w:rPr>
          <w:color w:val="auto"/>
        </w:rPr>
      </w:pPr>
      <w:r>
        <w:rPr>
          <w:rFonts w:hint="eastAsia"/>
          <w:color w:val="auto"/>
        </w:rPr>
        <w:t>（</w:t>
      </w:r>
      <w:r>
        <w:rPr>
          <w:color w:val="auto"/>
        </w:rPr>
        <w:t>2</w:t>
      </w:r>
      <w:r>
        <w:rPr>
          <w:rFonts w:hint="eastAsia"/>
          <w:color w:val="auto"/>
        </w:rPr>
        <w:t>）《公众参与暂行办法》环发</w:t>
      </w:r>
      <w:r>
        <w:rPr>
          <w:color w:val="auto"/>
        </w:rPr>
        <w:t>2006[28</w:t>
      </w:r>
      <w:r>
        <w:rPr>
          <w:rFonts w:hint="eastAsia"/>
          <w:color w:val="auto"/>
        </w:rPr>
        <w:t>号</w:t>
      </w:r>
      <w:r>
        <w:rPr>
          <w:color w:val="auto"/>
        </w:rPr>
        <w:t>]</w:t>
      </w:r>
      <w:r>
        <w:rPr>
          <w:rFonts w:hint="eastAsia"/>
          <w:color w:val="auto"/>
        </w:rPr>
        <w:t>，</w:t>
      </w:r>
      <w:r>
        <w:rPr>
          <w:color w:val="auto"/>
        </w:rPr>
        <w:t>2006</w:t>
      </w:r>
      <w:r>
        <w:rPr>
          <w:rFonts w:hint="eastAsia"/>
          <w:color w:val="auto"/>
        </w:rPr>
        <w:t>年</w:t>
      </w:r>
      <w:r>
        <w:rPr>
          <w:color w:val="auto"/>
        </w:rPr>
        <w:t>2</w:t>
      </w:r>
      <w:r>
        <w:rPr>
          <w:rFonts w:hint="eastAsia"/>
          <w:color w:val="auto"/>
        </w:rPr>
        <w:t>月</w:t>
      </w:r>
      <w:r>
        <w:rPr>
          <w:color w:val="auto"/>
        </w:rPr>
        <w:t>14</w:t>
      </w:r>
      <w:r>
        <w:rPr>
          <w:rFonts w:hint="eastAsia"/>
          <w:color w:val="auto"/>
        </w:rPr>
        <w:t>日；</w:t>
      </w:r>
    </w:p>
    <w:p>
      <w:pPr>
        <w:pStyle w:val="63"/>
        <w:ind w:firstLine="480"/>
        <w:rPr>
          <w:color w:val="auto"/>
          <w:szCs w:val="24"/>
        </w:rPr>
      </w:pPr>
      <w:r>
        <w:rPr>
          <w:rFonts w:hint="eastAsia"/>
          <w:color w:val="auto"/>
          <w:szCs w:val="24"/>
        </w:rPr>
        <w:t>（</w:t>
      </w:r>
      <w:r>
        <w:rPr>
          <w:rFonts w:cs="Times New Roman"/>
          <w:color w:val="auto"/>
          <w:szCs w:val="24"/>
        </w:rPr>
        <w:t>3</w:t>
      </w:r>
      <w:r>
        <w:rPr>
          <w:rFonts w:hint="eastAsia"/>
          <w:color w:val="auto"/>
          <w:szCs w:val="24"/>
        </w:rPr>
        <w:t>）《建设项目环境影响评价分类管理名录》，</w:t>
      </w:r>
      <w:r>
        <w:rPr>
          <w:rFonts w:cs="Times New Roman"/>
          <w:color w:val="auto"/>
          <w:szCs w:val="24"/>
        </w:rPr>
        <w:t>20</w:t>
      </w:r>
      <w:r>
        <w:rPr>
          <w:rFonts w:hint="eastAsia" w:cs="Times New Roman"/>
          <w:color w:val="auto"/>
          <w:szCs w:val="24"/>
        </w:rPr>
        <w:t>15</w:t>
      </w:r>
      <w:r>
        <w:rPr>
          <w:rFonts w:hint="eastAsia"/>
          <w:color w:val="auto"/>
          <w:szCs w:val="24"/>
        </w:rPr>
        <w:t>年</w:t>
      </w:r>
      <w:r>
        <w:rPr>
          <w:rFonts w:hint="eastAsia" w:cs="Times New Roman"/>
          <w:color w:val="auto"/>
          <w:szCs w:val="24"/>
        </w:rPr>
        <w:t>6</w:t>
      </w:r>
      <w:r>
        <w:rPr>
          <w:rFonts w:hint="eastAsia"/>
          <w:color w:val="auto"/>
          <w:szCs w:val="24"/>
        </w:rPr>
        <w:t>月1日；</w:t>
      </w:r>
    </w:p>
    <w:p>
      <w:pPr>
        <w:pStyle w:val="63"/>
        <w:ind w:firstLine="480"/>
        <w:rPr>
          <w:color w:val="auto"/>
        </w:rPr>
      </w:pPr>
      <w:r>
        <w:rPr>
          <w:color w:val="auto"/>
        </w:rPr>
        <w:t>（4）《关于进一步加强环境影响评价管理防范环境风险的通知》</w:t>
      </w:r>
      <w:r>
        <w:rPr>
          <w:rFonts w:hint="eastAsia"/>
          <w:color w:val="auto"/>
        </w:rPr>
        <w:t>，</w:t>
      </w:r>
      <w:r>
        <w:rPr>
          <w:color w:val="auto"/>
        </w:rPr>
        <w:t>环发[2012]77号</w:t>
      </w:r>
      <w:r>
        <w:rPr>
          <w:rFonts w:hint="eastAsia"/>
          <w:color w:val="auto"/>
        </w:rPr>
        <w:t>；</w:t>
      </w:r>
    </w:p>
    <w:p>
      <w:pPr>
        <w:pStyle w:val="63"/>
        <w:ind w:firstLine="480"/>
        <w:rPr>
          <w:color w:val="auto"/>
        </w:rPr>
      </w:pPr>
      <w:r>
        <w:rPr>
          <w:color w:val="auto"/>
        </w:rPr>
        <w:t>（5）国家发展</w:t>
      </w:r>
      <w:r>
        <w:rPr>
          <w:rFonts w:hint="eastAsia"/>
          <w:color w:val="auto"/>
          <w:lang w:val="en-US" w:eastAsia="zh-CN"/>
        </w:rPr>
        <w:t>和</w:t>
      </w:r>
      <w:bookmarkStart w:id="139" w:name="_GoBack"/>
      <w:bookmarkEnd w:id="139"/>
      <w:r>
        <w:rPr>
          <w:color w:val="auto"/>
        </w:rPr>
        <w:t>改革委员会令第9号《产业结构调整指导目录(2011年本)》及2013年修订本；</w:t>
      </w:r>
    </w:p>
    <w:p>
      <w:pPr>
        <w:pStyle w:val="63"/>
        <w:ind w:firstLine="480"/>
        <w:rPr>
          <w:color w:val="auto"/>
        </w:rPr>
      </w:pPr>
      <w:r>
        <w:rPr>
          <w:color w:val="auto"/>
        </w:rPr>
        <w:t>（6）《环境保护行政主管部门突发环境事件信息报告办法（试行）》，环发【2006】50号，2006年；</w:t>
      </w:r>
    </w:p>
    <w:p>
      <w:pPr>
        <w:pStyle w:val="63"/>
        <w:ind w:firstLine="480"/>
        <w:rPr>
          <w:color w:val="auto"/>
        </w:rPr>
      </w:pPr>
      <w:r>
        <w:rPr>
          <w:color w:val="auto"/>
        </w:rPr>
        <w:t>（7）《陕西省环境保护厅关于进一步加强风险防范严格环境影响评价管理的通知》</w:t>
      </w:r>
      <w:r>
        <w:rPr>
          <w:rFonts w:hint="eastAsia"/>
          <w:color w:val="auto"/>
        </w:rPr>
        <w:t>（</w:t>
      </w:r>
      <w:r>
        <w:rPr>
          <w:color w:val="auto"/>
        </w:rPr>
        <w:t>陕环函〔2012〕764号</w:t>
      </w:r>
      <w:r>
        <w:rPr>
          <w:rFonts w:hint="eastAsia"/>
          <w:color w:val="auto"/>
        </w:rPr>
        <w:t>）</w:t>
      </w:r>
      <w:r>
        <w:rPr>
          <w:color w:val="auto"/>
        </w:rPr>
        <w:t>，2012年8月；</w:t>
      </w:r>
    </w:p>
    <w:p>
      <w:pPr>
        <w:pStyle w:val="63"/>
        <w:ind w:firstLine="480"/>
        <w:rPr>
          <w:color w:val="auto"/>
        </w:rPr>
      </w:pPr>
      <w:r>
        <w:rPr>
          <w:color w:val="auto"/>
        </w:rPr>
        <w:t>（8）《</w:t>
      </w:r>
      <w:r>
        <w:rPr>
          <w:rFonts w:hint="eastAsia"/>
          <w:color w:val="auto"/>
        </w:rPr>
        <w:t>渭河流域水污染防治巩固提高三年行动方案</w:t>
      </w:r>
      <w:r>
        <w:rPr>
          <w:color w:val="auto"/>
        </w:rPr>
        <w:t>（201</w:t>
      </w:r>
      <w:r>
        <w:rPr>
          <w:rFonts w:hint="eastAsia"/>
          <w:color w:val="auto"/>
        </w:rPr>
        <w:t>5</w:t>
      </w:r>
      <w:r>
        <w:rPr>
          <w:color w:val="auto"/>
        </w:rPr>
        <w:t>—201</w:t>
      </w:r>
      <w:r>
        <w:rPr>
          <w:rFonts w:hint="eastAsia"/>
          <w:color w:val="auto"/>
        </w:rPr>
        <w:t>7</w:t>
      </w:r>
      <w:r>
        <w:rPr>
          <w:color w:val="auto"/>
        </w:rPr>
        <w:t>年）》</w:t>
      </w:r>
      <w:r>
        <w:rPr>
          <w:rFonts w:hint="eastAsia"/>
          <w:color w:val="auto"/>
        </w:rPr>
        <w:t>（</w:t>
      </w:r>
      <w:r>
        <w:rPr>
          <w:color w:val="auto"/>
        </w:rPr>
        <w:t>陕政办发〔2015〕38号</w:t>
      </w:r>
      <w:r>
        <w:rPr>
          <w:rFonts w:hint="eastAsia"/>
          <w:color w:val="auto"/>
        </w:rPr>
        <w:t>）</w:t>
      </w:r>
      <w:r>
        <w:rPr>
          <w:color w:val="auto"/>
        </w:rPr>
        <w:t>，</w:t>
      </w:r>
      <w:r>
        <w:rPr>
          <w:rFonts w:hint="eastAsia"/>
          <w:color w:val="auto"/>
        </w:rPr>
        <w:t>2015</w:t>
      </w:r>
      <w:r>
        <w:rPr>
          <w:color w:val="auto"/>
        </w:rPr>
        <w:t>年</w:t>
      </w:r>
      <w:r>
        <w:rPr>
          <w:rFonts w:hint="eastAsia"/>
          <w:color w:val="auto"/>
        </w:rPr>
        <w:t>5月17日</w:t>
      </w:r>
      <w:r>
        <w:rPr>
          <w:color w:val="auto"/>
        </w:rPr>
        <w:t>。</w:t>
      </w:r>
    </w:p>
    <w:p>
      <w:pPr>
        <w:pStyle w:val="62"/>
        <w:rPr>
          <w:rFonts w:ascii="宋体" w:cs="宋体"/>
          <w:color w:val="auto"/>
        </w:rPr>
      </w:pPr>
      <w:r>
        <w:rPr>
          <w:color w:val="auto"/>
        </w:rPr>
        <w:t xml:space="preserve">1.1.4 </w:t>
      </w:r>
      <w:r>
        <w:rPr>
          <w:rFonts w:hint="eastAsia" w:ascii="宋体" w:cs="宋体"/>
          <w:color w:val="auto"/>
        </w:rPr>
        <w:t>项目依据</w:t>
      </w:r>
      <w:r>
        <w:rPr>
          <w:rFonts w:ascii="宋体" w:cs="宋体"/>
          <w:color w:val="auto"/>
        </w:rPr>
        <w:t xml:space="preserve"> </w:t>
      </w:r>
    </w:p>
    <w:p>
      <w:pPr>
        <w:pStyle w:val="63"/>
        <w:ind w:firstLine="480"/>
        <w:rPr>
          <w:color w:val="auto"/>
        </w:rPr>
      </w:pPr>
      <w:r>
        <w:rPr>
          <w:rFonts w:hint="eastAsia"/>
          <w:color w:val="auto"/>
        </w:rPr>
        <w:t>（</w:t>
      </w:r>
      <w:r>
        <w:rPr>
          <w:color w:val="auto"/>
        </w:rPr>
        <w:t>1</w:t>
      </w:r>
      <w:r>
        <w:rPr>
          <w:rFonts w:hint="eastAsia"/>
          <w:color w:val="auto"/>
        </w:rPr>
        <w:t>）</w:t>
      </w:r>
      <w:r>
        <w:rPr>
          <w:rFonts w:hint="eastAsia" w:hAnsi="宋体" w:cs="Times New Roman"/>
          <w:color w:val="auto"/>
        </w:rPr>
        <w:t>陕西省西咸新区泾河新城水务有限公司</w:t>
      </w:r>
      <w:r>
        <w:rPr>
          <w:rFonts w:hint="eastAsia"/>
          <w:color w:val="auto"/>
        </w:rPr>
        <w:t>委托广州市环境保护工程设计院有限公司承担该项目环境影响评价工作的委托书（附件</w:t>
      </w:r>
      <w:r>
        <w:rPr>
          <w:color w:val="auto"/>
        </w:rPr>
        <w:t>1</w:t>
      </w:r>
      <w:r>
        <w:rPr>
          <w:rFonts w:hint="eastAsia"/>
          <w:color w:val="auto"/>
        </w:rPr>
        <w:t>），</w:t>
      </w:r>
      <w:r>
        <w:rPr>
          <w:color w:val="auto"/>
        </w:rPr>
        <w:t>2015</w:t>
      </w:r>
      <w:r>
        <w:rPr>
          <w:rFonts w:hint="eastAsia"/>
          <w:color w:val="auto"/>
        </w:rPr>
        <w:t>年9月；</w:t>
      </w:r>
    </w:p>
    <w:p>
      <w:pPr>
        <w:pStyle w:val="63"/>
        <w:ind w:firstLine="480"/>
        <w:rPr>
          <w:color w:val="auto"/>
        </w:rPr>
      </w:pPr>
      <w:r>
        <w:rPr>
          <w:rFonts w:hint="eastAsia"/>
          <w:color w:val="auto"/>
        </w:rPr>
        <w:t>（</w:t>
      </w:r>
      <w:r>
        <w:rPr>
          <w:color w:val="auto"/>
        </w:rPr>
        <w:t>2</w:t>
      </w:r>
      <w:r>
        <w:rPr>
          <w:rFonts w:hint="eastAsia"/>
          <w:color w:val="auto"/>
        </w:rPr>
        <w:t>）《陕西省西咸新区泾河新城应急供水工程（水源地）项目可行性研究报告》，</w:t>
      </w:r>
      <w:r>
        <w:rPr>
          <w:color w:val="auto"/>
        </w:rPr>
        <w:t>2014</w:t>
      </w:r>
      <w:r>
        <w:rPr>
          <w:rFonts w:hint="eastAsia"/>
          <w:color w:val="auto"/>
        </w:rPr>
        <w:t>年</w:t>
      </w:r>
      <w:r>
        <w:rPr>
          <w:color w:val="auto"/>
        </w:rPr>
        <w:t>10</w:t>
      </w:r>
      <w:r>
        <w:rPr>
          <w:rFonts w:hint="eastAsia"/>
          <w:color w:val="auto"/>
        </w:rPr>
        <w:t>月；</w:t>
      </w:r>
    </w:p>
    <w:p>
      <w:pPr>
        <w:pStyle w:val="63"/>
        <w:ind w:firstLine="480"/>
        <w:rPr>
          <w:color w:val="auto"/>
        </w:rPr>
      </w:pPr>
      <w:r>
        <w:rPr>
          <w:rFonts w:hint="eastAsia"/>
          <w:color w:val="auto"/>
        </w:rPr>
        <w:t>（</w:t>
      </w:r>
      <w:r>
        <w:rPr>
          <w:color w:val="auto"/>
        </w:rPr>
        <w:t>3</w:t>
      </w:r>
      <w:r>
        <w:rPr>
          <w:rFonts w:hint="eastAsia"/>
          <w:color w:val="auto"/>
        </w:rPr>
        <w:t>）《</w:t>
      </w:r>
      <w:bookmarkStart w:id="8" w:name="_Toc400954691"/>
      <w:r>
        <w:rPr>
          <w:rFonts w:hint="eastAsia"/>
          <w:color w:val="auto"/>
        </w:rPr>
        <w:t>西咸新区泾河新城城市供水工程</w:t>
      </w:r>
      <w:bookmarkEnd w:id="8"/>
      <w:bookmarkStart w:id="9" w:name="_Toc400954692"/>
      <w:r>
        <w:rPr>
          <w:rFonts w:hint="eastAsia"/>
          <w:color w:val="auto"/>
        </w:rPr>
        <w:t>应急水源地地下水勘查报告</w:t>
      </w:r>
      <w:bookmarkEnd w:id="9"/>
      <w:r>
        <w:rPr>
          <w:rFonts w:hint="eastAsia"/>
          <w:color w:val="auto"/>
        </w:rPr>
        <w:t>》，</w:t>
      </w:r>
      <w:r>
        <w:rPr>
          <w:color w:val="auto"/>
        </w:rPr>
        <w:t>2014</w:t>
      </w:r>
      <w:r>
        <w:rPr>
          <w:rFonts w:hint="eastAsia"/>
          <w:color w:val="auto"/>
        </w:rPr>
        <w:t>年10月；</w:t>
      </w:r>
    </w:p>
    <w:p>
      <w:pPr>
        <w:pStyle w:val="63"/>
        <w:ind w:firstLine="480"/>
        <w:rPr>
          <w:color w:val="auto"/>
        </w:rPr>
      </w:pPr>
      <w:r>
        <w:rPr>
          <w:rFonts w:hint="eastAsia"/>
          <w:color w:val="auto"/>
        </w:rPr>
        <w:t>（</w:t>
      </w:r>
      <w:r>
        <w:rPr>
          <w:color w:val="auto"/>
        </w:rPr>
        <w:t>4</w:t>
      </w:r>
      <w:r>
        <w:rPr>
          <w:rFonts w:hint="eastAsia"/>
          <w:color w:val="auto"/>
        </w:rPr>
        <w:t>）《西咸新区泾河新城</w:t>
      </w:r>
      <w:r>
        <w:rPr>
          <w:color w:val="auto"/>
        </w:rPr>
        <w:t>水资源论证报告</w:t>
      </w:r>
      <w:r>
        <w:rPr>
          <w:rFonts w:hint="eastAsia"/>
          <w:color w:val="auto"/>
        </w:rPr>
        <w:t>》，</w:t>
      </w:r>
      <w:r>
        <w:rPr>
          <w:color w:val="auto"/>
        </w:rPr>
        <w:t>2014</w:t>
      </w:r>
      <w:r>
        <w:rPr>
          <w:rFonts w:hint="eastAsia"/>
          <w:color w:val="auto"/>
        </w:rPr>
        <w:t>年</w:t>
      </w:r>
      <w:r>
        <w:rPr>
          <w:color w:val="auto"/>
        </w:rPr>
        <w:t>12</w:t>
      </w:r>
      <w:r>
        <w:rPr>
          <w:rFonts w:hint="eastAsia"/>
          <w:color w:val="auto"/>
        </w:rPr>
        <w:t>月；</w:t>
      </w:r>
    </w:p>
    <w:p>
      <w:pPr>
        <w:pStyle w:val="63"/>
        <w:ind w:firstLine="480"/>
        <w:rPr>
          <w:color w:val="auto"/>
        </w:rPr>
      </w:pPr>
      <w:r>
        <w:rPr>
          <w:rFonts w:hint="eastAsia"/>
          <w:color w:val="auto"/>
        </w:rPr>
        <w:t>（</w:t>
      </w:r>
      <w:r>
        <w:rPr>
          <w:color w:val="auto"/>
        </w:rPr>
        <w:t>5</w:t>
      </w:r>
      <w:r>
        <w:rPr>
          <w:rFonts w:hint="eastAsia"/>
          <w:color w:val="auto"/>
        </w:rPr>
        <w:t>）陕泾河经发发﹝</w:t>
      </w:r>
      <w:r>
        <w:rPr>
          <w:color w:val="auto"/>
        </w:rPr>
        <w:t>201</w:t>
      </w:r>
      <w:r>
        <w:rPr>
          <w:rFonts w:hint="eastAsia"/>
          <w:color w:val="auto"/>
        </w:rPr>
        <w:t>5﹞19号《泾河新城管理委员会经济发展和投资局关于泾河新城应急供水工程（一期）项目建议书的批复》（附件</w:t>
      </w:r>
      <w:r>
        <w:rPr>
          <w:color w:val="auto"/>
        </w:rPr>
        <w:t>2</w:t>
      </w:r>
      <w:r>
        <w:rPr>
          <w:rFonts w:hint="eastAsia"/>
          <w:color w:val="auto"/>
        </w:rPr>
        <w:t>），</w:t>
      </w:r>
      <w:r>
        <w:rPr>
          <w:color w:val="auto"/>
        </w:rPr>
        <w:t>2014</w:t>
      </w:r>
      <w:r>
        <w:rPr>
          <w:rFonts w:hint="eastAsia"/>
          <w:color w:val="auto"/>
        </w:rPr>
        <w:t>年</w:t>
      </w:r>
      <w:r>
        <w:rPr>
          <w:color w:val="auto"/>
        </w:rPr>
        <w:t>9</w:t>
      </w:r>
      <w:r>
        <w:rPr>
          <w:rFonts w:hint="eastAsia"/>
          <w:color w:val="auto"/>
        </w:rPr>
        <w:t>月</w:t>
      </w:r>
      <w:r>
        <w:rPr>
          <w:color w:val="auto"/>
        </w:rPr>
        <w:t>26</w:t>
      </w:r>
      <w:r>
        <w:rPr>
          <w:rFonts w:hint="eastAsia"/>
          <w:color w:val="auto"/>
        </w:rPr>
        <w:t>日；</w:t>
      </w:r>
    </w:p>
    <w:p>
      <w:pPr>
        <w:pStyle w:val="63"/>
        <w:ind w:firstLine="480"/>
        <w:rPr>
          <w:color w:val="auto"/>
        </w:rPr>
      </w:pPr>
      <w:r>
        <w:rPr>
          <w:rFonts w:hint="eastAsia"/>
          <w:color w:val="auto"/>
        </w:rPr>
        <w:t>（</w:t>
      </w:r>
      <w:r>
        <w:rPr>
          <w:color w:val="auto"/>
        </w:rPr>
        <w:t>6</w:t>
      </w:r>
      <w:r>
        <w:rPr>
          <w:rFonts w:hint="eastAsia"/>
          <w:color w:val="auto"/>
        </w:rPr>
        <w:t>）建设单位提供的其他技术资料、相关部门意见等。</w:t>
      </w:r>
    </w:p>
    <w:p>
      <w:pPr>
        <w:pStyle w:val="61"/>
        <w:rPr>
          <w:color w:val="auto"/>
        </w:rPr>
      </w:pPr>
      <w:bookmarkStart w:id="10" w:name="_Toc436902139"/>
      <w:r>
        <w:rPr>
          <w:bCs/>
          <w:color w:val="auto"/>
        </w:rPr>
        <w:t xml:space="preserve">1.2 </w:t>
      </w:r>
      <w:r>
        <w:rPr>
          <w:rFonts w:hint="eastAsia"/>
          <w:color w:val="auto"/>
        </w:rPr>
        <w:t>评价因子与评价标准</w:t>
      </w:r>
      <w:bookmarkEnd w:id="10"/>
    </w:p>
    <w:p>
      <w:pPr>
        <w:pStyle w:val="62"/>
        <w:rPr>
          <w:color w:val="auto"/>
        </w:rPr>
      </w:pPr>
      <w:r>
        <w:rPr>
          <w:bCs/>
          <w:color w:val="auto"/>
        </w:rPr>
        <w:t xml:space="preserve">1.2.1 </w:t>
      </w:r>
      <w:r>
        <w:rPr>
          <w:rFonts w:hint="eastAsia"/>
          <w:color w:val="auto"/>
        </w:rPr>
        <w:t>评价因子识别与筛选</w:t>
      </w:r>
    </w:p>
    <w:p>
      <w:pPr>
        <w:pStyle w:val="63"/>
        <w:ind w:firstLine="480"/>
        <w:rPr>
          <w:color w:val="auto"/>
        </w:rPr>
      </w:pPr>
      <w:r>
        <w:rPr>
          <w:rFonts w:hint="eastAsia"/>
          <w:color w:val="auto"/>
        </w:rPr>
        <w:t>（</w:t>
      </w:r>
      <w:r>
        <w:rPr>
          <w:color w:val="auto"/>
        </w:rPr>
        <w:t>1</w:t>
      </w:r>
      <w:r>
        <w:rPr>
          <w:rFonts w:hint="eastAsia"/>
          <w:color w:val="auto"/>
        </w:rPr>
        <w:t>）环境空气影响因子的识别及评价因子筛选</w:t>
      </w:r>
    </w:p>
    <w:p>
      <w:pPr>
        <w:pStyle w:val="63"/>
        <w:ind w:firstLine="480"/>
        <w:rPr>
          <w:color w:val="auto"/>
        </w:rPr>
      </w:pPr>
      <w:r>
        <w:rPr>
          <w:rFonts w:hint="eastAsia"/>
          <w:color w:val="auto"/>
        </w:rPr>
        <w:t>本项目大气污染物仅为</w:t>
      </w:r>
      <w:r>
        <w:rPr>
          <w:color w:val="auto"/>
        </w:rPr>
        <w:t>加氯车间微量泄漏的Cl</w:t>
      </w:r>
      <w:r>
        <w:rPr>
          <w:color w:val="auto"/>
          <w:vertAlign w:val="subscript"/>
        </w:rPr>
        <w:t>2</w:t>
      </w:r>
      <w:r>
        <w:rPr>
          <w:rFonts w:hint="eastAsia"/>
          <w:color w:val="auto"/>
        </w:rPr>
        <w:t>和餐饮油烟。</w:t>
      </w:r>
    </w:p>
    <w:p>
      <w:pPr>
        <w:pStyle w:val="63"/>
        <w:ind w:firstLine="480"/>
        <w:rPr>
          <w:color w:val="auto"/>
        </w:rPr>
      </w:pPr>
      <w:r>
        <w:rPr>
          <w:rFonts w:hint="eastAsia"/>
          <w:color w:val="auto"/>
        </w:rPr>
        <w:t>环境空气质量现状评价因子选择：</w:t>
      </w:r>
      <w:r>
        <w:rPr>
          <w:color w:val="auto"/>
        </w:rPr>
        <w:t>SO</w:t>
      </w:r>
      <w:r>
        <w:rPr>
          <w:color w:val="auto"/>
          <w:szCs w:val="16"/>
          <w:vertAlign w:val="subscript"/>
        </w:rPr>
        <w:t>2</w:t>
      </w:r>
      <w:r>
        <w:rPr>
          <w:rFonts w:hint="eastAsia"/>
          <w:color w:val="auto"/>
        </w:rPr>
        <w:t>、</w:t>
      </w:r>
      <w:r>
        <w:rPr>
          <w:color w:val="auto"/>
        </w:rPr>
        <w:t>NO</w:t>
      </w:r>
      <w:r>
        <w:rPr>
          <w:color w:val="auto"/>
          <w:vertAlign w:val="subscript"/>
        </w:rPr>
        <w:t>x</w:t>
      </w:r>
      <w:r>
        <w:rPr>
          <w:rFonts w:hint="eastAsia"/>
          <w:color w:val="auto"/>
        </w:rPr>
        <w:t>、</w:t>
      </w:r>
      <w:r>
        <w:rPr>
          <w:color w:val="auto"/>
        </w:rPr>
        <w:t>PM</w:t>
      </w:r>
      <w:r>
        <w:rPr>
          <w:color w:val="auto"/>
          <w:szCs w:val="16"/>
          <w:vertAlign w:val="subscript"/>
        </w:rPr>
        <w:t>10</w:t>
      </w:r>
      <w:r>
        <w:rPr>
          <w:rFonts w:hint="eastAsia"/>
          <w:color w:val="auto"/>
        </w:rPr>
        <w:t>、</w:t>
      </w:r>
      <w:r>
        <w:rPr>
          <w:color w:val="auto"/>
        </w:rPr>
        <w:t>PM</w:t>
      </w:r>
      <w:r>
        <w:rPr>
          <w:color w:val="auto"/>
          <w:szCs w:val="16"/>
          <w:vertAlign w:val="subscript"/>
        </w:rPr>
        <w:t>2.5</w:t>
      </w:r>
      <w:r>
        <w:rPr>
          <w:rFonts w:hint="eastAsia"/>
          <w:color w:val="auto"/>
          <w:szCs w:val="16"/>
        </w:rPr>
        <w:t>、Cl</w:t>
      </w:r>
      <w:r>
        <w:rPr>
          <w:rFonts w:hint="eastAsia"/>
          <w:color w:val="auto"/>
          <w:szCs w:val="16"/>
          <w:vertAlign w:val="subscript"/>
        </w:rPr>
        <w:t>2</w:t>
      </w:r>
      <w:r>
        <w:rPr>
          <w:rFonts w:hint="eastAsia"/>
          <w:color w:val="auto"/>
        </w:rPr>
        <w:t>共5项。</w:t>
      </w:r>
    </w:p>
    <w:p>
      <w:pPr>
        <w:pStyle w:val="63"/>
        <w:ind w:firstLine="480"/>
        <w:rPr>
          <w:color w:val="auto"/>
        </w:rPr>
      </w:pPr>
      <w:r>
        <w:rPr>
          <w:color w:val="auto"/>
        </w:rPr>
        <w:t>（2）水环境影响因子的识别及评价因子筛选</w:t>
      </w:r>
    </w:p>
    <w:p>
      <w:pPr>
        <w:pStyle w:val="63"/>
        <w:ind w:firstLine="480"/>
        <w:rPr>
          <w:rFonts w:ascii="宋体" w:hAnsi="宋体" w:cs="宋体"/>
          <w:color w:val="auto"/>
          <w:szCs w:val="24"/>
        </w:rPr>
      </w:pPr>
      <w:r>
        <w:rPr>
          <w:color w:val="auto"/>
          <w:szCs w:val="24"/>
        </w:rPr>
        <w:t>项目产生的废水主要为</w:t>
      </w:r>
      <w:r>
        <w:rPr>
          <w:rFonts w:ascii="宋体" w:hAnsi="宋体" w:cs="宋体"/>
          <w:color w:val="auto"/>
          <w:szCs w:val="24"/>
        </w:rPr>
        <w:t>生活污水</w:t>
      </w:r>
      <w:r>
        <w:rPr>
          <w:rFonts w:hint="eastAsia" w:ascii="宋体" w:hAnsi="宋体" w:cs="宋体"/>
          <w:color w:val="auto"/>
          <w:szCs w:val="24"/>
        </w:rPr>
        <w:t>，</w:t>
      </w:r>
      <w:r>
        <w:rPr>
          <w:rFonts w:ascii="宋体" w:hAnsi="宋体" w:cs="宋体"/>
          <w:color w:val="auto"/>
          <w:szCs w:val="24"/>
        </w:rPr>
        <w:t>生活污水建议经地埋式污水处理设备处理后</w:t>
      </w:r>
      <w:r>
        <w:rPr>
          <w:rFonts w:hint="eastAsia"/>
          <w:color w:val="auto"/>
        </w:rPr>
        <w:t>回用于水源管理站厂区内绿化，废水无外排。</w:t>
      </w:r>
      <w:r>
        <w:rPr>
          <w:rFonts w:ascii="宋体" w:hAnsi="宋体" w:cs="宋体"/>
          <w:color w:val="auto"/>
          <w:szCs w:val="24"/>
        </w:rPr>
        <w:t>因此，本次环评不进行</w:t>
      </w:r>
      <w:r>
        <w:rPr>
          <w:color w:val="auto"/>
        </w:rPr>
        <w:t>地表水影响预测评价工作，仅分析生产废水</w:t>
      </w:r>
      <w:r>
        <w:rPr>
          <w:rFonts w:ascii="宋体" w:hAnsi="宋体" w:cs="宋体"/>
          <w:color w:val="auto"/>
          <w:szCs w:val="24"/>
        </w:rPr>
        <w:t>处理后</w:t>
      </w:r>
      <w:r>
        <w:rPr>
          <w:rFonts w:hint="eastAsia"/>
          <w:color w:val="auto"/>
        </w:rPr>
        <w:t>回用于水源管理站厂区内绿化的</w:t>
      </w:r>
      <w:r>
        <w:rPr>
          <w:color w:val="auto"/>
        </w:rPr>
        <w:t>可行性和可靠性。</w:t>
      </w:r>
    </w:p>
    <w:p>
      <w:pPr>
        <w:pStyle w:val="63"/>
        <w:ind w:firstLine="480"/>
        <w:rPr>
          <w:rFonts w:ascii="宋体" w:hAnsi="宋体" w:cs="宋体"/>
          <w:color w:val="auto"/>
          <w:szCs w:val="24"/>
        </w:rPr>
      </w:pPr>
      <w:r>
        <w:rPr>
          <w:rFonts w:ascii="宋体" w:hAnsi="宋体" w:cs="宋体"/>
          <w:color w:val="auto"/>
          <w:szCs w:val="24"/>
        </w:rPr>
        <w:t>地表水环境质量现状评价因子选择：</w:t>
      </w:r>
      <w:r>
        <w:rPr>
          <w:color w:val="auto"/>
          <w:szCs w:val="24"/>
        </w:rPr>
        <w:t>pH</w:t>
      </w:r>
      <w:r>
        <w:rPr>
          <w:rFonts w:ascii="宋体" w:hAnsi="宋体" w:cs="宋体"/>
          <w:color w:val="auto"/>
          <w:szCs w:val="24"/>
        </w:rPr>
        <w:t>、</w:t>
      </w:r>
      <w:r>
        <w:rPr>
          <w:color w:val="auto"/>
          <w:szCs w:val="24"/>
        </w:rPr>
        <w:t>COD</w:t>
      </w:r>
      <w:r>
        <w:rPr>
          <w:rFonts w:ascii="宋体" w:hAnsi="宋体" w:cs="宋体"/>
          <w:color w:val="auto"/>
          <w:szCs w:val="24"/>
        </w:rPr>
        <w:t>、</w:t>
      </w:r>
      <w:r>
        <w:rPr>
          <w:color w:val="auto"/>
          <w:szCs w:val="24"/>
        </w:rPr>
        <w:t>BOD</w:t>
      </w:r>
      <w:r>
        <w:rPr>
          <w:color w:val="auto"/>
          <w:szCs w:val="24"/>
          <w:vertAlign w:val="subscript"/>
        </w:rPr>
        <w:t>5</w:t>
      </w:r>
      <w:r>
        <w:rPr>
          <w:rFonts w:ascii="宋体" w:hAnsi="宋体" w:cs="宋体"/>
          <w:color w:val="auto"/>
          <w:szCs w:val="24"/>
        </w:rPr>
        <w:t>、氨氮、石油类、阴离子表面活性剂、氯化物共</w:t>
      </w:r>
      <w:r>
        <w:rPr>
          <w:color w:val="auto"/>
          <w:szCs w:val="24"/>
        </w:rPr>
        <w:t>7</w:t>
      </w:r>
      <w:r>
        <w:rPr>
          <w:rFonts w:ascii="宋体" w:hAnsi="宋体" w:cs="宋体"/>
          <w:color w:val="auto"/>
          <w:szCs w:val="24"/>
        </w:rPr>
        <w:t>项。</w:t>
      </w:r>
    </w:p>
    <w:p>
      <w:pPr>
        <w:pStyle w:val="63"/>
        <w:ind w:firstLine="480"/>
        <w:rPr>
          <w:rFonts w:ascii="宋体" w:hAnsi="宋体" w:cs="宋体"/>
          <w:color w:val="auto"/>
          <w:szCs w:val="24"/>
        </w:rPr>
      </w:pPr>
      <w:r>
        <w:rPr>
          <w:rFonts w:ascii="宋体" w:hAnsi="宋体" w:cs="宋体"/>
          <w:color w:val="auto"/>
          <w:szCs w:val="24"/>
        </w:rPr>
        <w:t>项目对地下水水质影响很小，造成土壤盐渍化的可能性较小，但是由于集中开采，对地下水水位会产生一定的影响，属于</w:t>
      </w:r>
      <w:r>
        <w:rPr>
          <w:rFonts w:hint="eastAsia" w:ascii="宋体" w:hAnsi="宋体"/>
          <w:color w:val="auto"/>
          <w:szCs w:val="24"/>
        </w:rPr>
        <w:t>Ⅱ</w:t>
      </w:r>
      <w:r>
        <w:rPr>
          <w:rFonts w:ascii="宋体" w:hAnsi="宋体" w:cs="宋体"/>
          <w:color w:val="auto"/>
          <w:szCs w:val="24"/>
        </w:rPr>
        <w:t>类项目，现状及预测均可不考虑水质。考虑到项目取水用途为饮用水，因此，在自然环境概况中对区域地下水水质进行分析。</w:t>
      </w:r>
    </w:p>
    <w:p>
      <w:pPr>
        <w:pStyle w:val="63"/>
        <w:ind w:firstLine="480"/>
        <w:rPr>
          <w:color w:val="auto"/>
          <w:szCs w:val="24"/>
        </w:rPr>
      </w:pPr>
      <w:r>
        <w:rPr>
          <w:color w:val="auto"/>
          <w:szCs w:val="24"/>
        </w:rPr>
        <w:t>（3）声环境评价因子的识别及筛选</w:t>
      </w:r>
    </w:p>
    <w:p>
      <w:pPr>
        <w:pStyle w:val="63"/>
        <w:ind w:firstLine="480"/>
        <w:rPr>
          <w:color w:val="auto"/>
          <w:szCs w:val="24"/>
        </w:rPr>
      </w:pPr>
      <w:r>
        <w:rPr>
          <w:color w:val="auto"/>
          <w:szCs w:val="24"/>
        </w:rPr>
        <w:t>本项目噪声源对厂界环境噪声影响不大；水源地泵房及</w:t>
      </w:r>
      <w:r>
        <w:rPr>
          <w:rFonts w:hint="eastAsia"/>
          <w:color w:val="auto"/>
          <w:szCs w:val="24"/>
        </w:rPr>
        <w:t>水源管理站周围</w:t>
      </w:r>
      <w:r>
        <w:rPr>
          <w:color w:val="auto"/>
          <w:szCs w:val="24"/>
        </w:rPr>
        <w:t>敏感点处声环境质量可以达标。声环境影响评价现状调查因子和预测因子均为场界</w:t>
      </w:r>
      <w:r>
        <w:rPr>
          <w:rFonts w:cs="Times New Roman"/>
          <w:color w:val="auto"/>
          <w:szCs w:val="24"/>
        </w:rPr>
        <w:t>/</w:t>
      </w:r>
      <w:r>
        <w:rPr>
          <w:color w:val="auto"/>
          <w:szCs w:val="24"/>
        </w:rPr>
        <w:t>厂界外</w:t>
      </w:r>
      <w:r>
        <w:rPr>
          <w:rFonts w:cs="Times New Roman"/>
          <w:color w:val="auto"/>
          <w:szCs w:val="24"/>
        </w:rPr>
        <w:t>1m</w:t>
      </w:r>
      <w:r>
        <w:rPr>
          <w:color w:val="auto"/>
          <w:szCs w:val="24"/>
        </w:rPr>
        <w:t>处的等效</w:t>
      </w:r>
      <w:r>
        <w:rPr>
          <w:rFonts w:cs="Times New Roman"/>
          <w:color w:val="auto"/>
          <w:szCs w:val="24"/>
        </w:rPr>
        <w:t>A</w:t>
      </w:r>
      <w:r>
        <w:rPr>
          <w:color w:val="auto"/>
          <w:szCs w:val="24"/>
        </w:rPr>
        <w:t>声级。</w:t>
      </w:r>
    </w:p>
    <w:p>
      <w:pPr>
        <w:pStyle w:val="63"/>
        <w:ind w:firstLine="480"/>
        <w:rPr>
          <w:color w:val="auto"/>
          <w:szCs w:val="24"/>
        </w:rPr>
      </w:pPr>
      <w:r>
        <w:rPr>
          <w:color w:val="auto"/>
          <w:szCs w:val="24"/>
        </w:rPr>
        <w:t>（</w:t>
      </w:r>
      <w:r>
        <w:rPr>
          <w:rFonts w:cs="Times New Roman"/>
          <w:color w:val="auto"/>
          <w:szCs w:val="24"/>
        </w:rPr>
        <w:t>4</w:t>
      </w:r>
      <w:r>
        <w:rPr>
          <w:color w:val="auto"/>
          <w:szCs w:val="24"/>
        </w:rPr>
        <w:t>）固体废物评价因子的识别与筛选</w:t>
      </w:r>
    </w:p>
    <w:p>
      <w:pPr>
        <w:pStyle w:val="63"/>
        <w:ind w:firstLine="480"/>
        <w:rPr>
          <w:color w:val="auto"/>
          <w:szCs w:val="24"/>
        </w:rPr>
      </w:pPr>
      <w:r>
        <w:rPr>
          <w:color w:val="auto"/>
          <w:szCs w:val="24"/>
        </w:rPr>
        <w:t>本项目所产生的固体废物均可做到妥善处理处置，因此选择固体废物处理和处置率、固体废物处置方式进行环境影响评价。</w:t>
      </w:r>
    </w:p>
    <w:p>
      <w:pPr>
        <w:pStyle w:val="63"/>
        <w:ind w:firstLine="480"/>
        <w:rPr>
          <w:color w:val="auto"/>
          <w:szCs w:val="24"/>
        </w:rPr>
      </w:pPr>
      <w:r>
        <w:rPr>
          <w:color w:val="auto"/>
          <w:szCs w:val="24"/>
        </w:rPr>
        <w:t>（5）生态影响评价因子的识别与筛选</w:t>
      </w:r>
    </w:p>
    <w:p>
      <w:pPr>
        <w:pStyle w:val="63"/>
        <w:ind w:firstLine="480"/>
        <w:rPr>
          <w:color w:val="auto"/>
          <w:szCs w:val="24"/>
        </w:rPr>
      </w:pPr>
      <w:r>
        <w:rPr>
          <w:color w:val="auto"/>
          <w:szCs w:val="24"/>
        </w:rPr>
        <w:t>项目占地面积小，基本不会对区域植被覆盖和物种多样性产生影响，土地理化性质的改变也局限在永久占地范围之内。因此生态环境影响评价主要分析土地利用、植被、土壤、水土流失等。</w:t>
      </w:r>
    </w:p>
    <w:p>
      <w:pPr>
        <w:pStyle w:val="63"/>
        <w:ind w:firstLine="480"/>
        <w:rPr>
          <w:color w:val="auto"/>
        </w:rPr>
      </w:pPr>
      <w:r>
        <w:rPr>
          <w:color w:val="auto"/>
          <w:szCs w:val="24"/>
        </w:rPr>
        <w:t>根据环境影响识别结果和以上分析，本项目各个专题、各环境要素的评价因子筛选结果汇总见表</w:t>
      </w:r>
      <w:r>
        <w:rPr>
          <w:rFonts w:cs="Times New Roman"/>
          <w:color w:val="auto"/>
          <w:szCs w:val="24"/>
        </w:rPr>
        <w:t>1.2-1</w:t>
      </w:r>
      <w:r>
        <w:rPr>
          <w:color w:val="auto"/>
          <w:szCs w:val="24"/>
        </w:rPr>
        <w:t>。</w:t>
      </w:r>
    </w:p>
    <w:p>
      <w:pPr>
        <w:pStyle w:val="65"/>
      </w:pPr>
      <w:r>
        <w:t>表1.2-1  环境评价因子筛选结果汇总</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1299"/>
        <w:gridCol w:w="1083"/>
        <w:gridCol w:w="62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 w:hRule="atLeast"/>
          <w:tblHeader/>
          <w:jc w:val="center"/>
        </w:trPr>
        <w:tc>
          <w:tcPr>
            <w:tcW w:w="353" w:type="pct"/>
            <w:vAlign w:val="center"/>
          </w:tcPr>
          <w:p>
            <w:pPr>
              <w:autoSpaceDE w:val="0"/>
              <w:autoSpaceDN w:val="0"/>
              <w:adjustRightInd w:val="0"/>
              <w:jc w:val="center"/>
              <w:rPr>
                <w:rFonts w:ascii="宋体" w:hAnsi="宋体" w:cs="宋体"/>
                <w:b/>
                <w:kern w:val="0"/>
                <w:szCs w:val="21"/>
              </w:rPr>
            </w:pPr>
            <w:r>
              <w:rPr>
                <w:rFonts w:ascii="宋体" w:hAnsi="宋体" w:cs="宋体"/>
                <w:b/>
                <w:kern w:val="0"/>
                <w:szCs w:val="21"/>
              </w:rPr>
              <w:t>序号</w:t>
            </w:r>
          </w:p>
        </w:tc>
        <w:tc>
          <w:tcPr>
            <w:tcW w:w="703" w:type="pct"/>
            <w:vAlign w:val="center"/>
          </w:tcPr>
          <w:p>
            <w:pPr>
              <w:autoSpaceDE w:val="0"/>
              <w:autoSpaceDN w:val="0"/>
              <w:adjustRightInd w:val="0"/>
              <w:jc w:val="center"/>
              <w:rPr>
                <w:rFonts w:ascii="宋体" w:hAnsi="宋体" w:cs="宋体"/>
                <w:b/>
                <w:kern w:val="0"/>
                <w:szCs w:val="21"/>
              </w:rPr>
            </w:pPr>
            <w:r>
              <w:rPr>
                <w:rFonts w:ascii="宋体" w:hAnsi="宋体" w:cs="宋体"/>
                <w:b/>
                <w:kern w:val="0"/>
                <w:szCs w:val="21"/>
              </w:rPr>
              <w:t>环境要素</w:t>
            </w:r>
          </w:p>
        </w:tc>
        <w:tc>
          <w:tcPr>
            <w:tcW w:w="586" w:type="pct"/>
            <w:vAlign w:val="center"/>
          </w:tcPr>
          <w:p>
            <w:pPr>
              <w:autoSpaceDE w:val="0"/>
              <w:autoSpaceDN w:val="0"/>
              <w:adjustRightInd w:val="0"/>
              <w:jc w:val="center"/>
              <w:rPr>
                <w:rFonts w:ascii="宋体" w:hAnsi="宋体" w:cs="宋体"/>
                <w:b/>
                <w:kern w:val="0"/>
                <w:szCs w:val="21"/>
              </w:rPr>
            </w:pPr>
            <w:r>
              <w:rPr>
                <w:rFonts w:ascii="宋体" w:hAnsi="宋体" w:cs="宋体"/>
                <w:b/>
                <w:kern w:val="0"/>
                <w:szCs w:val="21"/>
              </w:rPr>
              <w:t>专题</w:t>
            </w:r>
          </w:p>
        </w:tc>
        <w:tc>
          <w:tcPr>
            <w:tcW w:w="3358" w:type="pct"/>
            <w:vAlign w:val="center"/>
          </w:tcPr>
          <w:p>
            <w:pPr>
              <w:autoSpaceDE w:val="0"/>
              <w:autoSpaceDN w:val="0"/>
              <w:adjustRightInd w:val="0"/>
              <w:jc w:val="center"/>
              <w:rPr>
                <w:rFonts w:ascii="宋体" w:hAnsi="宋体" w:cs="宋体"/>
                <w:b/>
                <w:kern w:val="0"/>
                <w:szCs w:val="21"/>
              </w:rPr>
            </w:pPr>
            <w:r>
              <w:rPr>
                <w:rFonts w:ascii="宋体" w:hAnsi="宋体" w:cs="宋体"/>
                <w:b/>
                <w:kern w:val="0"/>
                <w:szCs w:val="21"/>
              </w:rPr>
              <w:t>评价因子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353" w:type="pct"/>
            <w:vMerge w:val="restart"/>
            <w:vAlign w:val="center"/>
          </w:tcPr>
          <w:p>
            <w:pPr>
              <w:autoSpaceDE w:val="0"/>
              <w:autoSpaceDN w:val="0"/>
              <w:adjustRightInd w:val="0"/>
              <w:jc w:val="center"/>
              <w:rPr>
                <w:kern w:val="0"/>
                <w:szCs w:val="21"/>
              </w:rPr>
            </w:pPr>
            <w:r>
              <w:rPr>
                <w:kern w:val="0"/>
                <w:szCs w:val="21"/>
              </w:rPr>
              <w:t>1</w:t>
            </w:r>
          </w:p>
        </w:tc>
        <w:tc>
          <w:tcPr>
            <w:tcW w:w="703" w:type="pct"/>
            <w:vMerge w:val="restart"/>
            <w:vAlign w:val="center"/>
          </w:tcPr>
          <w:p>
            <w:pPr>
              <w:autoSpaceDE w:val="0"/>
              <w:autoSpaceDN w:val="0"/>
              <w:adjustRightInd w:val="0"/>
              <w:jc w:val="center"/>
              <w:rPr>
                <w:rFonts w:ascii="宋体" w:hAnsi="宋体" w:cs="宋体"/>
                <w:kern w:val="0"/>
                <w:szCs w:val="21"/>
              </w:rPr>
            </w:pPr>
            <w:r>
              <w:rPr>
                <w:rFonts w:ascii="宋体" w:hAnsi="宋体" w:cs="宋体"/>
                <w:kern w:val="0"/>
                <w:szCs w:val="21"/>
              </w:rPr>
              <w:t>环境空气</w:t>
            </w:r>
          </w:p>
        </w:tc>
        <w:tc>
          <w:tcPr>
            <w:tcW w:w="586"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现状评价</w:t>
            </w:r>
          </w:p>
        </w:tc>
        <w:tc>
          <w:tcPr>
            <w:tcW w:w="3358" w:type="pct"/>
            <w:vAlign w:val="center"/>
          </w:tcPr>
          <w:p>
            <w:pPr>
              <w:autoSpaceDE w:val="0"/>
              <w:autoSpaceDN w:val="0"/>
              <w:adjustRightInd w:val="0"/>
              <w:jc w:val="center"/>
              <w:rPr>
                <w:kern w:val="0"/>
                <w:szCs w:val="21"/>
              </w:rPr>
            </w:pPr>
            <w:r>
              <w:rPr>
                <w:kern w:val="0"/>
                <w:szCs w:val="21"/>
              </w:rPr>
              <w:t>SO</w:t>
            </w:r>
            <w:r>
              <w:rPr>
                <w:kern w:val="0"/>
                <w:szCs w:val="21"/>
                <w:vertAlign w:val="subscript"/>
              </w:rPr>
              <w:t>2</w:t>
            </w:r>
            <w:r>
              <w:rPr>
                <w:rFonts w:ascii="宋体" w:hAnsi="宋体" w:cs="宋体"/>
                <w:kern w:val="0"/>
                <w:szCs w:val="21"/>
              </w:rPr>
              <w:t>、</w:t>
            </w:r>
            <w:r>
              <w:rPr>
                <w:kern w:val="0"/>
                <w:szCs w:val="21"/>
              </w:rPr>
              <w:t>NO</w:t>
            </w:r>
            <w:r>
              <w:rPr>
                <w:kern w:val="0"/>
                <w:szCs w:val="21"/>
                <w:vertAlign w:val="subscript"/>
              </w:rPr>
              <w:t>2</w:t>
            </w:r>
            <w:r>
              <w:rPr>
                <w:rFonts w:ascii="宋体" w:hAnsi="宋体" w:cs="宋体"/>
                <w:kern w:val="0"/>
                <w:szCs w:val="21"/>
              </w:rPr>
              <w:t>、</w:t>
            </w:r>
            <w:r>
              <w:rPr>
                <w:kern w:val="0"/>
                <w:szCs w:val="21"/>
              </w:rPr>
              <w:t>PM</w:t>
            </w:r>
            <w:r>
              <w:rPr>
                <w:kern w:val="0"/>
                <w:szCs w:val="21"/>
                <w:vertAlign w:val="subscript"/>
              </w:rPr>
              <w:t>2.5</w:t>
            </w:r>
            <w:r>
              <w:rPr>
                <w:rFonts w:ascii="宋体" w:hAnsi="宋体" w:cs="宋体"/>
                <w:kern w:val="0"/>
                <w:szCs w:val="21"/>
              </w:rPr>
              <w:t>、</w:t>
            </w:r>
            <w:r>
              <w:rPr>
                <w:kern w:val="0"/>
                <w:szCs w:val="21"/>
              </w:rPr>
              <w:t>PM</w:t>
            </w:r>
            <w:r>
              <w:rPr>
                <w:kern w:val="0"/>
                <w:szCs w:val="21"/>
                <w:vertAlign w:val="subscript"/>
              </w:rPr>
              <w:t>10</w:t>
            </w:r>
            <w:r>
              <w:rPr>
                <w:rFonts w:hint="eastAsia"/>
                <w:kern w:val="0"/>
                <w:szCs w:val="21"/>
              </w:rPr>
              <w:t>、Cl</w:t>
            </w:r>
            <w:r>
              <w:rPr>
                <w:rFonts w:hint="eastAsia"/>
                <w:kern w:val="0"/>
                <w:szCs w:val="21"/>
                <w:vertAlign w:val="subscript"/>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353" w:type="pct"/>
            <w:vMerge w:val="continue"/>
            <w:vAlign w:val="center"/>
          </w:tcPr>
          <w:p>
            <w:pPr>
              <w:autoSpaceDE w:val="0"/>
              <w:autoSpaceDN w:val="0"/>
              <w:adjustRightInd w:val="0"/>
              <w:jc w:val="center"/>
              <w:rPr>
                <w:rFonts w:ascii="宋体" w:hAnsi="宋体" w:cs="宋体"/>
                <w:kern w:val="0"/>
                <w:szCs w:val="21"/>
              </w:rPr>
            </w:pPr>
          </w:p>
        </w:tc>
        <w:tc>
          <w:tcPr>
            <w:tcW w:w="703" w:type="pct"/>
            <w:vMerge w:val="continue"/>
            <w:vAlign w:val="center"/>
          </w:tcPr>
          <w:p>
            <w:pPr>
              <w:autoSpaceDE w:val="0"/>
              <w:autoSpaceDN w:val="0"/>
              <w:adjustRightInd w:val="0"/>
              <w:jc w:val="center"/>
              <w:rPr>
                <w:rFonts w:ascii="宋体" w:hAnsi="宋体" w:cs="宋体"/>
                <w:kern w:val="0"/>
                <w:szCs w:val="21"/>
              </w:rPr>
            </w:pPr>
          </w:p>
        </w:tc>
        <w:tc>
          <w:tcPr>
            <w:tcW w:w="586" w:type="pct"/>
            <w:vAlign w:val="center"/>
          </w:tcPr>
          <w:p>
            <w:pPr>
              <w:autoSpaceDE w:val="0"/>
              <w:autoSpaceDN w:val="0"/>
              <w:adjustRightInd w:val="0"/>
              <w:jc w:val="center"/>
              <w:rPr>
                <w:kern w:val="0"/>
                <w:sz w:val="14"/>
                <w:szCs w:val="14"/>
              </w:rPr>
            </w:pPr>
            <w:r>
              <w:rPr>
                <w:rFonts w:ascii="宋体" w:hAnsi="宋体" w:cs="宋体"/>
                <w:kern w:val="0"/>
                <w:szCs w:val="21"/>
              </w:rPr>
              <w:t>预测评价</w:t>
            </w:r>
          </w:p>
        </w:tc>
        <w:tc>
          <w:tcPr>
            <w:tcW w:w="3358" w:type="pct"/>
            <w:vAlign w:val="center"/>
          </w:tcPr>
          <w:p>
            <w:pPr>
              <w:autoSpaceDE w:val="0"/>
              <w:autoSpaceDN w:val="0"/>
              <w:adjustRightInd w:val="0"/>
              <w:jc w:val="center"/>
              <w:rPr>
                <w:b/>
                <w:kern w:val="0"/>
                <w:sz w:val="14"/>
                <w:szCs w:val="14"/>
              </w:rPr>
            </w:pPr>
            <w:r>
              <w:rPr>
                <w:rFonts w:hint="eastAsia"/>
                <w:b/>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353" w:type="pct"/>
            <w:vAlign w:val="center"/>
          </w:tcPr>
          <w:p>
            <w:pPr>
              <w:autoSpaceDE w:val="0"/>
              <w:autoSpaceDN w:val="0"/>
              <w:adjustRightInd w:val="0"/>
              <w:jc w:val="center"/>
              <w:rPr>
                <w:kern w:val="0"/>
                <w:szCs w:val="21"/>
              </w:rPr>
            </w:pPr>
            <w:r>
              <w:rPr>
                <w:kern w:val="0"/>
                <w:szCs w:val="21"/>
              </w:rPr>
              <w:t>2</w:t>
            </w:r>
          </w:p>
        </w:tc>
        <w:tc>
          <w:tcPr>
            <w:tcW w:w="703"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地表水环境</w:t>
            </w:r>
          </w:p>
        </w:tc>
        <w:tc>
          <w:tcPr>
            <w:tcW w:w="586"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现状评价</w:t>
            </w:r>
          </w:p>
        </w:tc>
        <w:tc>
          <w:tcPr>
            <w:tcW w:w="3358" w:type="pct"/>
            <w:vAlign w:val="center"/>
          </w:tcPr>
          <w:p>
            <w:pPr>
              <w:autoSpaceDE w:val="0"/>
              <w:autoSpaceDN w:val="0"/>
              <w:adjustRightInd w:val="0"/>
              <w:jc w:val="center"/>
              <w:rPr>
                <w:rFonts w:ascii="宋体" w:hAnsi="宋体" w:cs="宋体"/>
                <w:kern w:val="0"/>
                <w:szCs w:val="21"/>
              </w:rPr>
            </w:pPr>
            <w:r>
              <w:rPr>
                <w:kern w:val="0"/>
                <w:szCs w:val="21"/>
              </w:rPr>
              <w:t>pH</w:t>
            </w:r>
            <w:r>
              <w:rPr>
                <w:rFonts w:ascii="宋体" w:hAnsi="宋体" w:cs="宋体"/>
                <w:kern w:val="0"/>
                <w:szCs w:val="21"/>
              </w:rPr>
              <w:t>、</w:t>
            </w:r>
            <w:r>
              <w:rPr>
                <w:kern w:val="0"/>
                <w:szCs w:val="21"/>
              </w:rPr>
              <w:t>COD</w:t>
            </w:r>
            <w:r>
              <w:rPr>
                <w:rFonts w:ascii="宋体" w:hAnsi="宋体" w:cs="宋体"/>
                <w:kern w:val="0"/>
                <w:szCs w:val="21"/>
              </w:rPr>
              <w:t>、</w:t>
            </w:r>
            <w:r>
              <w:rPr>
                <w:kern w:val="0"/>
                <w:szCs w:val="21"/>
              </w:rPr>
              <w:t>BOD</w:t>
            </w:r>
            <w:r>
              <w:rPr>
                <w:kern w:val="0"/>
                <w:sz w:val="14"/>
                <w:szCs w:val="14"/>
              </w:rPr>
              <w:t>5</w:t>
            </w:r>
            <w:r>
              <w:rPr>
                <w:rFonts w:ascii="宋体" w:hAnsi="宋体" w:cs="宋体"/>
                <w:kern w:val="0"/>
                <w:szCs w:val="21"/>
              </w:rPr>
              <w:t>、氨氮、石油类、阴离子表面活性剂、氯化物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353" w:type="pct"/>
            <w:vMerge w:val="restart"/>
            <w:vAlign w:val="center"/>
          </w:tcPr>
          <w:p>
            <w:pPr>
              <w:autoSpaceDE w:val="0"/>
              <w:autoSpaceDN w:val="0"/>
              <w:adjustRightInd w:val="0"/>
              <w:jc w:val="center"/>
              <w:rPr>
                <w:kern w:val="0"/>
                <w:szCs w:val="21"/>
              </w:rPr>
            </w:pPr>
            <w:r>
              <w:rPr>
                <w:kern w:val="0"/>
                <w:szCs w:val="21"/>
              </w:rPr>
              <w:t>3</w:t>
            </w:r>
          </w:p>
        </w:tc>
        <w:tc>
          <w:tcPr>
            <w:tcW w:w="703" w:type="pct"/>
            <w:vMerge w:val="restart"/>
            <w:vAlign w:val="center"/>
          </w:tcPr>
          <w:p>
            <w:pPr>
              <w:autoSpaceDE w:val="0"/>
              <w:autoSpaceDN w:val="0"/>
              <w:adjustRightInd w:val="0"/>
              <w:jc w:val="center"/>
              <w:rPr>
                <w:rFonts w:ascii="宋体" w:hAnsi="宋体" w:cs="宋体"/>
                <w:kern w:val="0"/>
                <w:szCs w:val="21"/>
              </w:rPr>
            </w:pPr>
            <w:r>
              <w:rPr>
                <w:rFonts w:ascii="宋体" w:hAnsi="宋体" w:cs="宋体"/>
                <w:kern w:val="0"/>
                <w:szCs w:val="21"/>
              </w:rPr>
              <w:t>地下水环境</w:t>
            </w:r>
          </w:p>
        </w:tc>
        <w:tc>
          <w:tcPr>
            <w:tcW w:w="586"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现状评价</w:t>
            </w:r>
          </w:p>
        </w:tc>
        <w:tc>
          <w:tcPr>
            <w:tcW w:w="3358" w:type="pct"/>
            <w:vAlign w:val="center"/>
          </w:tcPr>
          <w:p>
            <w:pPr>
              <w:autoSpaceDE w:val="0"/>
              <w:autoSpaceDN w:val="0"/>
              <w:adjustRightInd w:val="0"/>
              <w:jc w:val="center"/>
              <w:rPr>
                <w:rFonts w:ascii="宋体" w:hAnsi="宋体" w:cs="宋体"/>
                <w:kern w:val="0"/>
                <w:szCs w:val="21"/>
              </w:rPr>
            </w:pPr>
            <w:r>
              <w:rPr>
                <w:rFonts w:hint="eastAsia" w:ascii="宋体" w:hAnsi="宋体" w:cs="宋体"/>
                <w:kern w:val="0"/>
                <w:szCs w:val="21"/>
              </w:rPr>
              <w:t>水质、</w:t>
            </w:r>
            <w:r>
              <w:rPr>
                <w:rFonts w:ascii="宋体" w:hAnsi="宋体" w:cs="宋体"/>
                <w:kern w:val="0"/>
                <w:szCs w:val="21"/>
              </w:rPr>
              <w:t>水位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353" w:type="pct"/>
            <w:vMerge w:val="continue"/>
            <w:vAlign w:val="center"/>
          </w:tcPr>
          <w:p>
            <w:pPr>
              <w:autoSpaceDE w:val="0"/>
              <w:autoSpaceDN w:val="0"/>
              <w:adjustRightInd w:val="0"/>
              <w:jc w:val="center"/>
              <w:rPr>
                <w:rFonts w:ascii="宋体" w:hAnsi="宋体" w:cs="宋体"/>
                <w:kern w:val="0"/>
                <w:szCs w:val="21"/>
              </w:rPr>
            </w:pPr>
          </w:p>
        </w:tc>
        <w:tc>
          <w:tcPr>
            <w:tcW w:w="703" w:type="pct"/>
            <w:vMerge w:val="continue"/>
            <w:vAlign w:val="center"/>
          </w:tcPr>
          <w:p>
            <w:pPr>
              <w:autoSpaceDE w:val="0"/>
              <w:autoSpaceDN w:val="0"/>
              <w:adjustRightInd w:val="0"/>
              <w:jc w:val="center"/>
              <w:rPr>
                <w:rFonts w:ascii="宋体" w:hAnsi="宋体" w:cs="宋体"/>
                <w:kern w:val="0"/>
                <w:szCs w:val="21"/>
              </w:rPr>
            </w:pPr>
          </w:p>
        </w:tc>
        <w:tc>
          <w:tcPr>
            <w:tcW w:w="586"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预测评价</w:t>
            </w:r>
          </w:p>
        </w:tc>
        <w:tc>
          <w:tcPr>
            <w:tcW w:w="3358"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水位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53" w:type="pct"/>
            <w:vMerge w:val="restart"/>
            <w:vAlign w:val="center"/>
          </w:tcPr>
          <w:p>
            <w:pPr>
              <w:autoSpaceDE w:val="0"/>
              <w:autoSpaceDN w:val="0"/>
              <w:adjustRightInd w:val="0"/>
              <w:jc w:val="center"/>
              <w:rPr>
                <w:kern w:val="0"/>
                <w:szCs w:val="21"/>
              </w:rPr>
            </w:pPr>
            <w:r>
              <w:rPr>
                <w:kern w:val="0"/>
                <w:szCs w:val="21"/>
              </w:rPr>
              <w:t>4</w:t>
            </w:r>
          </w:p>
        </w:tc>
        <w:tc>
          <w:tcPr>
            <w:tcW w:w="703" w:type="pct"/>
            <w:vMerge w:val="restart"/>
            <w:vAlign w:val="center"/>
          </w:tcPr>
          <w:p>
            <w:pPr>
              <w:autoSpaceDE w:val="0"/>
              <w:autoSpaceDN w:val="0"/>
              <w:adjustRightInd w:val="0"/>
              <w:jc w:val="center"/>
              <w:rPr>
                <w:rFonts w:ascii="宋体" w:hAnsi="宋体" w:cs="宋体"/>
                <w:kern w:val="0"/>
                <w:szCs w:val="21"/>
              </w:rPr>
            </w:pPr>
            <w:r>
              <w:rPr>
                <w:rFonts w:ascii="宋体" w:hAnsi="宋体" w:cs="宋体"/>
                <w:kern w:val="0"/>
                <w:szCs w:val="21"/>
              </w:rPr>
              <w:t>声环境</w:t>
            </w:r>
          </w:p>
        </w:tc>
        <w:tc>
          <w:tcPr>
            <w:tcW w:w="586"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现状评价</w:t>
            </w:r>
          </w:p>
        </w:tc>
        <w:tc>
          <w:tcPr>
            <w:tcW w:w="3358"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厂界外</w:t>
            </w:r>
            <w:r>
              <w:rPr>
                <w:kern w:val="0"/>
                <w:szCs w:val="21"/>
              </w:rPr>
              <w:t>1m</w:t>
            </w:r>
            <w:r>
              <w:rPr>
                <w:rFonts w:ascii="宋体" w:hAnsi="宋体" w:cs="宋体"/>
                <w:kern w:val="0"/>
                <w:szCs w:val="21"/>
              </w:rPr>
              <w:t>处等效</w:t>
            </w:r>
            <w:r>
              <w:rPr>
                <w:kern w:val="0"/>
                <w:szCs w:val="21"/>
              </w:rPr>
              <w:t>A</w:t>
            </w:r>
            <w:r>
              <w:rPr>
                <w:rFonts w:ascii="宋体" w:hAnsi="宋体" w:cs="宋体"/>
                <w:kern w:val="0"/>
                <w:szCs w:val="21"/>
              </w:rPr>
              <w:t>声级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353" w:type="pct"/>
            <w:vMerge w:val="continue"/>
            <w:vAlign w:val="center"/>
          </w:tcPr>
          <w:p>
            <w:pPr>
              <w:autoSpaceDE w:val="0"/>
              <w:autoSpaceDN w:val="0"/>
              <w:adjustRightInd w:val="0"/>
              <w:jc w:val="center"/>
              <w:rPr>
                <w:rFonts w:ascii="宋体" w:hAnsi="宋体" w:cs="宋体"/>
                <w:kern w:val="0"/>
                <w:szCs w:val="21"/>
              </w:rPr>
            </w:pPr>
          </w:p>
        </w:tc>
        <w:tc>
          <w:tcPr>
            <w:tcW w:w="703" w:type="pct"/>
            <w:vMerge w:val="continue"/>
            <w:vAlign w:val="center"/>
          </w:tcPr>
          <w:p>
            <w:pPr>
              <w:autoSpaceDE w:val="0"/>
              <w:autoSpaceDN w:val="0"/>
              <w:adjustRightInd w:val="0"/>
              <w:jc w:val="center"/>
              <w:rPr>
                <w:rFonts w:ascii="宋体" w:hAnsi="宋体" w:cs="宋体"/>
                <w:kern w:val="0"/>
                <w:szCs w:val="21"/>
              </w:rPr>
            </w:pPr>
          </w:p>
        </w:tc>
        <w:tc>
          <w:tcPr>
            <w:tcW w:w="586"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预测评价</w:t>
            </w:r>
          </w:p>
        </w:tc>
        <w:tc>
          <w:tcPr>
            <w:tcW w:w="3358"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厂界外</w:t>
            </w:r>
            <w:r>
              <w:rPr>
                <w:kern w:val="0"/>
                <w:szCs w:val="21"/>
              </w:rPr>
              <w:t>1m</w:t>
            </w:r>
            <w:r>
              <w:rPr>
                <w:rFonts w:ascii="宋体" w:hAnsi="宋体" w:cs="宋体"/>
                <w:kern w:val="0"/>
                <w:szCs w:val="21"/>
              </w:rPr>
              <w:t>处等效</w:t>
            </w:r>
            <w:r>
              <w:rPr>
                <w:kern w:val="0"/>
                <w:szCs w:val="21"/>
              </w:rPr>
              <w:t>A</w:t>
            </w:r>
            <w:r>
              <w:rPr>
                <w:rFonts w:ascii="宋体" w:hAnsi="宋体" w:cs="宋体"/>
                <w:kern w:val="0"/>
                <w:szCs w:val="21"/>
              </w:rPr>
              <w:t>声级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353" w:type="pct"/>
            <w:vAlign w:val="center"/>
          </w:tcPr>
          <w:p>
            <w:pPr>
              <w:autoSpaceDE w:val="0"/>
              <w:autoSpaceDN w:val="0"/>
              <w:adjustRightInd w:val="0"/>
              <w:jc w:val="center"/>
              <w:rPr>
                <w:kern w:val="0"/>
                <w:szCs w:val="21"/>
              </w:rPr>
            </w:pPr>
            <w:r>
              <w:rPr>
                <w:kern w:val="0"/>
                <w:szCs w:val="21"/>
              </w:rPr>
              <w:t>5</w:t>
            </w:r>
          </w:p>
        </w:tc>
        <w:tc>
          <w:tcPr>
            <w:tcW w:w="703"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固废</w:t>
            </w:r>
          </w:p>
        </w:tc>
        <w:tc>
          <w:tcPr>
            <w:tcW w:w="586"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预测评价</w:t>
            </w:r>
          </w:p>
        </w:tc>
        <w:tc>
          <w:tcPr>
            <w:tcW w:w="3358"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固体废物处理或处置措施的可行性与综合利用效果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353" w:type="pct"/>
            <w:vMerge w:val="restart"/>
            <w:vAlign w:val="center"/>
          </w:tcPr>
          <w:p>
            <w:pPr>
              <w:autoSpaceDE w:val="0"/>
              <w:autoSpaceDN w:val="0"/>
              <w:adjustRightInd w:val="0"/>
              <w:jc w:val="center"/>
              <w:rPr>
                <w:kern w:val="0"/>
                <w:szCs w:val="21"/>
              </w:rPr>
            </w:pPr>
            <w:r>
              <w:rPr>
                <w:kern w:val="0"/>
                <w:szCs w:val="21"/>
              </w:rPr>
              <w:t>6</w:t>
            </w:r>
          </w:p>
        </w:tc>
        <w:tc>
          <w:tcPr>
            <w:tcW w:w="703" w:type="pct"/>
            <w:vMerge w:val="restart"/>
            <w:vAlign w:val="center"/>
          </w:tcPr>
          <w:p>
            <w:pPr>
              <w:autoSpaceDE w:val="0"/>
              <w:autoSpaceDN w:val="0"/>
              <w:adjustRightInd w:val="0"/>
              <w:jc w:val="center"/>
              <w:rPr>
                <w:rFonts w:ascii="宋体" w:hAnsi="宋体" w:cs="宋体"/>
                <w:kern w:val="0"/>
                <w:szCs w:val="21"/>
              </w:rPr>
            </w:pPr>
            <w:r>
              <w:rPr>
                <w:rFonts w:ascii="宋体" w:hAnsi="宋体" w:cs="宋体"/>
                <w:kern w:val="0"/>
                <w:szCs w:val="21"/>
              </w:rPr>
              <w:t>生态影响</w:t>
            </w:r>
          </w:p>
        </w:tc>
        <w:tc>
          <w:tcPr>
            <w:tcW w:w="586"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现状评价</w:t>
            </w:r>
          </w:p>
        </w:tc>
        <w:tc>
          <w:tcPr>
            <w:tcW w:w="3358"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拟建地土地利用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353" w:type="pct"/>
            <w:vMerge w:val="continue"/>
            <w:vAlign w:val="center"/>
          </w:tcPr>
          <w:p>
            <w:pPr>
              <w:autoSpaceDE w:val="0"/>
              <w:autoSpaceDN w:val="0"/>
              <w:adjustRightInd w:val="0"/>
              <w:jc w:val="center"/>
              <w:rPr>
                <w:rFonts w:ascii="宋体" w:hAnsi="宋体" w:cs="宋体"/>
                <w:kern w:val="0"/>
                <w:szCs w:val="21"/>
              </w:rPr>
            </w:pPr>
          </w:p>
        </w:tc>
        <w:tc>
          <w:tcPr>
            <w:tcW w:w="703" w:type="pct"/>
            <w:vMerge w:val="continue"/>
            <w:vAlign w:val="center"/>
          </w:tcPr>
          <w:p>
            <w:pPr>
              <w:autoSpaceDE w:val="0"/>
              <w:autoSpaceDN w:val="0"/>
              <w:adjustRightInd w:val="0"/>
              <w:jc w:val="center"/>
              <w:rPr>
                <w:rFonts w:ascii="宋体" w:hAnsi="宋体" w:cs="宋体"/>
                <w:kern w:val="0"/>
                <w:szCs w:val="21"/>
              </w:rPr>
            </w:pPr>
          </w:p>
        </w:tc>
        <w:tc>
          <w:tcPr>
            <w:tcW w:w="586"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预测评价</w:t>
            </w:r>
          </w:p>
        </w:tc>
        <w:tc>
          <w:tcPr>
            <w:tcW w:w="3358"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土地利用、植被、土壤、水土流失等影响</w:t>
            </w:r>
          </w:p>
        </w:tc>
      </w:tr>
    </w:tbl>
    <w:p>
      <w:pPr>
        <w:pStyle w:val="62"/>
        <w:rPr>
          <w:color w:val="auto"/>
        </w:rPr>
      </w:pPr>
      <w:r>
        <w:rPr>
          <w:bCs/>
          <w:color w:val="auto"/>
        </w:rPr>
        <w:t xml:space="preserve">1.2.2 </w:t>
      </w:r>
      <w:r>
        <w:rPr>
          <w:rFonts w:hint="eastAsia"/>
          <w:color w:val="auto"/>
        </w:rPr>
        <w:t>环境质量标准</w:t>
      </w:r>
      <w:r>
        <w:rPr>
          <w:color w:val="auto"/>
        </w:rPr>
        <w:t xml:space="preserve"> </w:t>
      </w:r>
    </w:p>
    <w:p>
      <w:pPr>
        <w:pStyle w:val="63"/>
        <w:ind w:firstLine="480"/>
        <w:rPr>
          <w:color w:val="auto"/>
        </w:rPr>
      </w:pPr>
      <w:r>
        <w:rPr>
          <w:rFonts w:hint="eastAsia"/>
          <w:color w:val="auto"/>
        </w:rPr>
        <w:t>项目拟建地位于西咸新区泾河新城，项目相关执行标准如下：</w:t>
      </w:r>
    </w:p>
    <w:p>
      <w:pPr>
        <w:pStyle w:val="63"/>
        <w:ind w:firstLine="480"/>
        <w:rPr>
          <w:color w:val="auto"/>
        </w:rPr>
      </w:pPr>
      <w:r>
        <w:rPr>
          <w:rFonts w:hint="eastAsia"/>
          <w:color w:val="auto"/>
        </w:rPr>
        <w:t>（</w:t>
      </w:r>
      <w:r>
        <w:rPr>
          <w:color w:val="auto"/>
        </w:rPr>
        <w:t>1</w:t>
      </w:r>
      <w:r>
        <w:rPr>
          <w:rFonts w:hint="eastAsia"/>
          <w:color w:val="auto"/>
        </w:rPr>
        <w:t>）环境空气</w:t>
      </w:r>
    </w:p>
    <w:p>
      <w:pPr>
        <w:pStyle w:val="63"/>
        <w:ind w:firstLine="480"/>
        <w:rPr>
          <w:color w:val="auto"/>
        </w:rPr>
      </w:pPr>
      <w:r>
        <w:rPr>
          <w:rFonts w:hint="eastAsia"/>
          <w:color w:val="auto"/>
        </w:rPr>
        <w:t>环境空气质量执行《环境空气质量标准》（</w:t>
      </w:r>
      <w:r>
        <w:rPr>
          <w:color w:val="auto"/>
        </w:rPr>
        <w:t>GB3095-2012</w:t>
      </w:r>
      <w:r>
        <w:rPr>
          <w:rFonts w:hint="eastAsia"/>
          <w:color w:val="auto"/>
        </w:rPr>
        <w:t>）二级标准，特征污染物参照原《工企业设计卫生标准》（TJ36-79）中居住区大气中有害有毒物质的最高容许浓度限值要求。</w:t>
      </w:r>
    </w:p>
    <w:p>
      <w:pPr>
        <w:pStyle w:val="63"/>
        <w:ind w:firstLine="480"/>
        <w:rPr>
          <w:color w:val="auto"/>
        </w:rPr>
      </w:pPr>
      <w:r>
        <w:rPr>
          <w:rFonts w:hint="eastAsia"/>
          <w:color w:val="auto"/>
        </w:rPr>
        <w:t>（</w:t>
      </w:r>
      <w:r>
        <w:rPr>
          <w:color w:val="auto"/>
        </w:rPr>
        <w:t>2</w:t>
      </w:r>
      <w:r>
        <w:rPr>
          <w:rFonts w:hint="eastAsia"/>
          <w:color w:val="auto"/>
        </w:rPr>
        <w:t>）地表水</w:t>
      </w:r>
    </w:p>
    <w:p>
      <w:pPr>
        <w:pStyle w:val="63"/>
        <w:ind w:firstLine="480"/>
        <w:rPr>
          <w:color w:val="auto"/>
        </w:rPr>
      </w:pPr>
      <w:r>
        <w:rPr>
          <w:rFonts w:hint="eastAsia"/>
          <w:color w:val="auto"/>
        </w:rPr>
        <w:t>地表水水质执行《地表水环境质量标准》（</w:t>
      </w:r>
      <w:r>
        <w:rPr>
          <w:color w:val="auto"/>
        </w:rPr>
        <w:t>GB3838-2002</w:t>
      </w:r>
      <w:r>
        <w:rPr>
          <w:rFonts w:hint="eastAsia"/>
          <w:color w:val="auto"/>
        </w:rPr>
        <w:t>）Ⅲ类标准。</w:t>
      </w:r>
    </w:p>
    <w:p>
      <w:pPr>
        <w:pStyle w:val="63"/>
        <w:ind w:firstLine="480"/>
        <w:rPr>
          <w:color w:val="auto"/>
        </w:rPr>
      </w:pPr>
      <w:r>
        <w:rPr>
          <w:rFonts w:hint="eastAsia"/>
          <w:color w:val="auto"/>
        </w:rPr>
        <w:t>（</w:t>
      </w:r>
      <w:r>
        <w:rPr>
          <w:color w:val="auto"/>
        </w:rPr>
        <w:t>3</w:t>
      </w:r>
      <w:r>
        <w:rPr>
          <w:rFonts w:hint="eastAsia"/>
          <w:color w:val="auto"/>
        </w:rPr>
        <w:t>）地下水</w:t>
      </w:r>
    </w:p>
    <w:p>
      <w:pPr>
        <w:pStyle w:val="63"/>
        <w:ind w:firstLine="480"/>
        <w:rPr>
          <w:color w:val="auto"/>
        </w:rPr>
      </w:pPr>
      <w:r>
        <w:rPr>
          <w:rFonts w:hint="eastAsia"/>
          <w:color w:val="auto"/>
        </w:rPr>
        <w:t>地下水水质执行《地下水质量标准》（</w:t>
      </w:r>
      <w:r>
        <w:rPr>
          <w:color w:val="auto"/>
        </w:rPr>
        <w:t>GB/T14848-93</w:t>
      </w:r>
      <w:r>
        <w:rPr>
          <w:rFonts w:hint="eastAsia"/>
          <w:color w:val="auto"/>
        </w:rPr>
        <w:t>）Ⅲ类标准。</w:t>
      </w:r>
    </w:p>
    <w:p>
      <w:pPr>
        <w:pStyle w:val="63"/>
        <w:ind w:firstLine="480"/>
        <w:rPr>
          <w:color w:val="auto"/>
        </w:rPr>
      </w:pPr>
      <w:r>
        <w:rPr>
          <w:rFonts w:hint="eastAsia"/>
          <w:color w:val="auto"/>
        </w:rPr>
        <w:t>（</w:t>
      </w:r>
      <w:r>
        <w:rPr>
          <w:color w:val="auto"/>
        </w:rPr>
        <w:t>4</w:t>
      </w:r>
      <w:r>
        <w:rPr>
          <w:rFonts w:hint="eastAsia"/>
          <w:color w:val="auto"/>
        </w:rPr>
        <w:t>）声环境</w:t>
      </w:r>
    </w:p>
    <w:p>
      <w:pPr>
        <w:pStyle w:val="63"/>
        <w:ind w:firstLine="480"/>
        <w:rPr>
          <w:color w:val="auto"/>
        </w:rPr>
      </w:pPr>
      <w:r>
        <w:rPr>
          <w:rFonts w:hint="eastAsia"/>
          <w:color w:val="auto"/>
        </w:rPr>
        <w:t>声环境质量执行《声环境质量标准》（</w:t>
      </w:r>
      <w:r>
        <w:rPr>
          <w:rFonts w:cs="Times New Roman"/>
          <w:color w:val="auto"/>
        </w:rPr>
        <w:t>GB3096-2008</w:t>
      </w:r>
      <w:r>
        <w:rPr>
          <w:rFonts w:hint="eastAsia"/>
          <w:color w:val="auto"/>
        </w:rPr>
        <w:t>）的</w:t>
      </w:r>
      <w:r>
        <w:rPr>
          <w:rFonts w:cs="Times New Roman"/>
          <w:color w:val="auto"/>
        </w:rPr>
        <w:t>2</w:t>
      </w:r>
      <w:r>
        <w:rPr>
          <w:rFonts w:hint="eastAsia"/>
          <w:color w:val="auto"/>
        </w:rPr>
        <w:t>类区及</w:t>
      </w:r>
      <w:r>
        <w:rPr>
          <w:rFonts w:cs="Times New Roman"/>
          <w:color w:val="auto"/>
        </w:rPr>
        <w:t>4a</w:t>
      </w:r>
      <w:r>
        <w:rPr>
          <w:rFonts w:hint="eastAsia"/>
          <w:color w:val="auto"/>
        </w:rPr>
        <w:t>类区标准。</w:t>
      </w:r>
    </w:p>
    <w:p>
      <w:pPr>
        <w:pStyle w:val="63"/>
        <w:ind w:firstLine="480"/>
        <w:rPr>
          <w:color w:val="auto"/>
        </w:rPr>
      </w:pPr>
      <w:r>
        <w:rPr>
          <w:color w:val="auto"/>
        </w:rPr>
        <w:t>（5）生态环境</w:t>
      </w:r>
    </w:p>
    <w:p>
      <w:pPr>
        <w:pStyle w:val="63"/>
        <w:ind w:firstLine="480"/>
        <w:rPr>
          <w:color w:val="auto"/>
        </w:rPr>
      </w:pPr>
      <w:r>
        <w:rPr>
          <w:color w:val="auto"/>
        </w:rPr>
        <w:t>生态环境质量执行《土壤环境质量标准》（GB15168-1995）中的二级旱作农田标准。具体评价指标见表1.2-2。</w:t>
      </w:r>
    </w:p>
    <w:p>
      <w:pPr>
        <w:pStyle w:val="65"/>
      </w:pPr>
      <w:r>
        <w:t>表1.2-2  环境质量标准</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877"/>
        <w:gridCol w:w="2350"/>
        <w:gridCol w:w="1702"/>
        <w:gridCol w:w="1275"/>
        <w:gridCol w:w="244"/>
        <w:gridCol w:w="1264"/>
        <w:gridCol w:w="1530"/>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474" w:type="pct"/>
            <w:vMerge w:val="restart"/>
            <w:vAlign w:val="center"/>
          </w:tcPr>
          <w:p>
            <w:pPr>
              <w:pStyle w:val="65"/>
              <w:wordWrap w:val="0"/>
              <w:rPr>
                <w:szCs w:val="21"/>
              </w:rPr>
            </w:pPr>
            <w:r>
              <w:rPr>
                <w:rFonts w:hAnsi="宋体"/>
                <w:kern w:val="0"/>
                <w:szCs w:val="21"/>
              </w:rPr>
              <w:t>类别</w:t>
            </w:r>
          </w:p>
        </w:tc>
        <w:tc>
          <w:tcPr>
            <w:tcW w:w="1271" w:type="pct"/>
            <w:vMerge w:val="restart"/>
            <w:vAlign w:val="center"/>
          </w:tcPr>
          <w:p>
            <w:pPr>
              <w:pStyle w:val="65"/>
              <w:wordWrap w:val="0"/>
              <w:rPr>
                <w:szCs w:val="21"/>
              </w:rPr>
            </w:pPr>
            <w:r>
              <w:rPr>
                <w:rFonts w:hAnsi="宋体"/>
                <w:kern w:val="0"/>
                <w:szCs w:val="21"/>
              </w:rPr>
              <w:t>标准名称及级</w:t>
            </w:r>
            <w:r>
              <w:rPr>
                <w:kern w:val="0"/>
                <w:szCs w:val="21"/>
              </w:rPr>
              <w:t>(</w:t>
            </w:r>
            <w:r>
              <w:rPr>
                <w:rFonts w:hAnsi="宋体"/>
                <w:kern w:val="0"/>
                <w:szCs w:val="21"/>
              </w:rPr>
              <w:t>类</w:t>
            </w:r>
            <w:r>
              <w:rPr>
                <w:kern w:val="0"/>
                <w:szCs w:val="21"/>
              </w:rPr>
              <w:t>)</w:t>
            </w:r>
            <w:r>
              <w:rPr>
                <w:rFonts w:hAnsi="宋体"/>
                <w:kern w:val="0"/>
                <w:szCs w:val="21"/>
              </w:rPr>
              <w:t>别</w:t>
            </w:r>
          </w:p>
        </w:tc>
        <w:tc>
          <w:tcPr>
            <w:tcW w:w="921" w:type="pct"/>
            <w:vMerge w:val="restart"/>
            <w:vAlign w:val="center"/>
          </w:tcPr>
          <w:p>
            <w:pPr>
              <w:pStyle w:val="65"/>
              <w:wordWrap w:val="0"/>
              <w:rPr>
                <w:szCs w:val="21"/>
              </w:rPr>
            </w:pPr>
            <w:r>
              <w:rPr>
                <w:rFonts w:hAnsi="宋体"/>
                <w:kern w:val="0"/>
                <w:szCs w:val="21"/>
              </w:rPr>
              <w:t>污染因子</w:t>
            </w:r>
          </w:p>
        </w:tc>
        <w:tc>
          <w:tcPr>
            <w:tcW w:w="2333" w:type="pct"/>
            <w:gridSpan w:val="4"/>
            <w:vAlign w:val="center"/>
          </w:tcPr>
          <w:p>
            <w:pPr>
              <w:pStyle w:val="65"/>
              <w:wordWrap w:val="0"/>
              <w:rPr>
                <w:szCs w:val="21"/>
              </w:rPr>
            </w:pPr>
            <w:r>
              <w:rPr>
                <w:rFonts w:hAnsi="宋体"/>
                <w:kern w:val="0"/>
                <w:szCs w:val="21"/>
              </w:rPr>
              <w:t>标准值</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474" w:type="pct"/>
            <w:vMerge w:val="continue"/>
            <w:vAlign w:val="center"/>
          </w:tcPr>
          <w:p>
            <w:pPr>
              <w:pStyle w:val="65"/>
              <w:wordWrap w:val="0"/>
              <w:rPr>
                <w:szCs w:val="21"/>
              </w:rPr>
            </w:pPr>
          </w:p>
        </w:tc>
        <w:tc>
          <w:tcPr>
            <w:tcW w:w="1271" w:type="pct"/>
            <w:vMerge w:val="continue"/>
            <w:vAlign w:val="center"/>
          </w:tcPr>
          <w:p>
            <w:pPr>
              <w:pStyle w:val="65"/>
              <w:wordWrap w:val="0"/>
              <w:rPr>
                <w:szCs w:val="21"/>
              </w:rPr>
            </w:pPr>
          </w:p>
        </w:tc>
        <w:tc>
          <w:tcPr>
            <w:tcW w:w="921" w:type="pct"/>
            <w:vMerge w:val="continue"/>
            <w:vAlign w:val="center"/>
          </w:tcPr>
          <w:p>
            <w:pPr>
              <w:pStyle w:val="65"/>
              <w:wordWrap w:val="0"/>
              <w:rPr>
                <w:szCs w:val="21"/>
              </w:rPr>
            </w:pPr>
          </w:p>
        </w:tc>
        <w:tc>
          <w:tcPr>
            <w:tcW w:w="1506" w:type="pct"/>
            <w:gridSpan w:val="3"/>
            <w:vAlign w:val="center"/>
          </w:tcPr>
          <w:p>
            <w:pPr>
              <w:pStyle w:val="65"/>
              <w:wordWrap w:val="0"/>
              <w:rPr>
                <w:szCs w:val="21"/>
              </w:rPr>
            </w:pPr>
            <w:r>
              <w:rPr>
                <w:rFonts w:hAnsi="宋体"/>
                <w:kern w:val="0"/>
                <w:szCs w:val="21"/>
              </w:rPr>
              <w:t>单位</w:t>
            </w:r>
          </w:p>
        </w:tc>
        <w:tc>
          <w:tcPr>
            <w:tcW w:w="828" w:type="pct"/>
            <w:vAlign w:val="center"/>
          </w:tcPr>
          <w:p>
            <w:pPr>
              <w:pStyle w:val="65"/>
              <w:wordWrap w:val="0"/>
              <w:rPr>
                <w:szCs w:val="21"/>
              </w:rPr>
            </w:pPr>
            <w:r>
              <w:rPr>
                <w:rFonts w:hAnsi="宋体"/>
                <w:kern w:val="0"/>
                <w:szCs w:val="21"/>
              </w:rPr>
              <w:t>数值</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restart"/>
            <w:vAlign w:val="center"/>
          </w:tcPr>
          <w:p>
            <w:pPr>
              <w:pStyle w:val="65"/>
              <w:wordWrap w:val="0"/>
              <w:rPr>
                <w:b w:val="0"/>
                <w:szCs w:val="21"/>
              </w:rPr>
            </w:pPr>
            <w:r>
              <w:rPr>
                <w:rFonts w:hint="eastAsia"/>
                <w:b w:val="0"/>
                <w:szCs w:val="21"/>
              </w:rPr>
              <w:t>环境空气</w:t>
            </w:r>
          </w:p>
        </w:tc>
        <w:tc>
          <w:tcPr>
            <w:tcW w:w="1271" w:type="pct"/>
            <w:vMerge w:val="restart"/>
            <w:vAlign w:val="center"/>
          </w:tcPr>
          <w:p>
            <w:pPr>
              <w:pStyle w:val="65"/>
              <w:wordWrap w:val="0"/>
              <w:rPr>
                <w:b w:val="0"/>
                <w:szCs w:val="21"/>
              </w:rPr>
            </w:pPr>
            <w:r>
              <w:rPr>
                <w:rFonts w:hAnsi="宋体"/>
                <w:b w:val="0"/>
                <w:kern w:val="0"/>
                <w:szCs w:val="21"/>
              </w:rPr>
              <w:t>《环境空气质量标准》（</w:t>
            </w:r>
            <w:r>
              <w:rPr>
                <w:b w:val="0"/>
                <w:kern w:val="0"/>
                <w:szCs w:val="21"/>
              </w:rPr>
              <w:t>GB3095-2012</w:t>
            </w:r>
            <w:r>
              <w:rPr>
                <w:rFonts w:hAnsi="宋体"/>
                <w:b w:val="0"/>
                <w:kern w:val="0"/>
                <w:szCs w:val="21"/>
              </w:rPr>
              <w:t>）二级标准</w:t>
            </w:r>
          </w:p>
        </w:tc>
        <w:tc>
          <w:tcPr>
            <w:tcW w:w="921" w:type="pct"/>
            <w:vMerge w:val="restart"/>
            <w:vAlign w:val="center"/>
          </w:tcPr>
          <w:p>
            <w:pPr>
              <w:pStyle w:val="65"/>
              <w:wordWrap w:val="0"/>
              <w:rPr>
                <w:b w:val="0"/>
                <w:szCs w:val="21"/>
              </w:rPr>
            </w:pPr>
            <w:r>
              <w:rPr>
                <w:b w:val="0"/>
                <w:kern w:val="0"/>
                <w:szCs w:val="21"/>
              </w:rPr>
              <w:t>SO</w:t>
            </w:r>
            <w:r>
              <w:rPr>
                <w:b w:val="0"/>
                <w:kern w:val="0"/>
                <w:szCs w:val="21"/>
                <w:vertAlign w:val="subscript"/>
              </w:rPr>
              <w:t>2</w:t>
            </w:r>
          </w:p>
        </w:tc>
        <w:tc>
          <w:tcPr>
            <w:tcW w:w="822" w:type="pct"/>
            <w:gridSpan w:val="2"/>
            <w:vAlign w:val="center"/>
          </w:tcPr>
          <w:p>
            <w:pPr>
              <w:pStyle w:val="65"/>
              <w:wordWrap w:val="0"/>
              <w:rPr>
                <w:b w:val="0"/>
                <w:szCs w:val="21"/>
              </w:rPr>
            </w:pPr>
            <w:r>
              <w:rPr>
                <w:rFonts w:hAnsi="宋体"/>
                <w:b w:val="0"/>
                <w:kern w:val="0"/>
                <w:szCs w:val="21"/>
              </w:rPr>
              <w:t>年平均</w:t>
            </w:r>
          </w:p>
        </w:tc>
        <w:tc>
          <w:tcPr>
            <w:tcW w:w="684" w:type="pct"/>
            <w:vAlign w:val="center"/>
          </w:tcPr>
          <w:p>
            <w:pPr>
              <w:pStyle w:val="65"/>
              <w:wordWrap w:val="0"/>
              <w:rPr>
                <w:b w:val="0"/>
                <w:szCs w:val="21"/>
              </w:rPr>
            </w:pPr>
            <w:r>
              <w:rPr>
                <w:b w:val="0"/>
                <w:kern w:val="0"/>
                <w:szCs w:val="21"/>
              </w:rPr>
              <w:t>μg/m</w:t>
            </w:r>
            <w:r>
              <w:rPr>
                <w:b w:val="0"/>
                <w:kern w:val="0"/>
                <w:szCs w:val="21"/>
                <w:vertAlign w:val="superscript"/>
              </w:rPr>
              <w:t>3</w:t>
            </w:r>
          </w:p>
        </w:tc>
        <w:tc>
          <w:tcPr>
            <w:tcW w:w="828" w:type="pct"/>
            <w:vAlign w:val="center"/>
          </w:tcPr>
          <w:p>
            <w:pPr>
              <w:wordWrap w:val="0"/>
              <w:autoSpaceDE w:val="0"/>
              <w:autoSpaceDN w:val="0"/>
              <w:adjustRightInd w:val="0"/>
              <w:jc w:val="center"/>
              <w:rPr>
                <w:kern w:val="0"/>
                <w:szCs w:val="21"/>
              </w:rPr>
            </w:pPr>
            <w:r>
              <w:rPr>
                <w:kern w:val="0"/>
                <w:szCs w:val="21"/>
              </w:rPr>
              <w:t>60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pStyle w:val="65"/>
              <w:wordWrap w:val="0"/>
              <w:rPr>
                <w:b w:val="0"/>
                <w:szCs w:val="21"/>
              </w:rPr>
            </w:pPr>
          </w:p>
        </w:tc>
        <w:tc>
          <w:tcPr>
            <w:tcW w:w="921" w:type="pct"/>
            <w:vMerge w:val="continue"/>
            <w:vAlign w:val="center"/>
          </w:tcPr>
          <w:p>
            <w:pPr>
              <w:pStyle w:val="65"/>
              <w:wordWrap w:val="0"/>
              <w:rPr>
                <w:b w:val="0"/>
                <w:szCs w:val="21"/>
              </w:rPr>
            </w:pPr>
          </w:p>
        </w:tc>
        <w:tc>
          <w:tcPr>
            <w:tcW w:w="822" w:type="pct"/>
            <w:gridSpan w:val="2"/>
            <w:vAlign w:val="center"/>
          </w:tcPr>
          <w:p>
            <w:pPr>
              <w:wordWrap w:val="0"/>
              <w:autoSpaceDE w:val="0"/>
              <w:autoSpaceDN w:val="0"/>
              <w:adjustRightInd w:val="0"/>
              <w:jc w:val="center"/>
              <w:rPr>
                <w:kern w:val="0"/>
                <w:szCs w:val="21"/>
              </w:rPr>
            </w:pPr>
            <w:r>
              <w:rPr>
                <w:kern w:val="0"/>
                <w:szCs w:val="21"/>
              </w:rPr>
              <w:t>24</w:t>
            </w:r>
            <w:r>
              <w:rPr>
                <w:rFonts w:hAnsi="宋体"/>
                <w:kern w:val="0"/>
                <w:szCs w:val="21"/>
              </w:rPr>
              <w:t>小时平均</w:t>
            </w:r>
          </w:p>
        </w:tc>
        <w:tc>
          <w:tcPr>
            <w:tcW w:w="684" w:type="pct"/>
            <w:vAlign w:val="center"/>
          </w:tcPr>
          <w:p>
            <w:pPr>
              <w:wordWrap w:val="0"/>
              <w:jc w:val="center"/>
            </w:pPr>
            <w:r>
              <w:rPr>
                <w:kern w:val="0"/>
                <w:szCs w:val="21"/>
              </w:rPr>
              <w:t>μg/m</w:t>
            </w:r>
            <w:r>
              <w:rPr>
                <w:kern w:val="0"/>
                <w:szCs w:val="21"/>
                <w:vertAlign w:val="superscript"/>
              </w:rPr>
              <w:t>3</w:t>
            </w:r>
          </w:p>
        </w:tc>
        <w:tc>
          <w:tcPr>
            <w:tcW w:w="828" w:type="pct"/>
            <w:vAlign w:val="center"/>
          </w:tcPr>
          <w:p>
            <w:pPr>
              <w:wordWrap w:val="0"/>
              <w:autoSpaceDE w:val="0"/>
              <w:autoSpaceDN w:val="0"/>
              <w:adjustRightInd w:val="0"/>
              <w:jc w:val="center"/>
              <w:rPr>
                <w:kern w:val="0"/>
                <w:szCs w:val="21"/>
              </w:rPr>
            </w:pPr>
            <w:r>
              <w:rPr>
                <w:kern w:val="0"/>
                <w:szCs w:val="21"/>
              </w:rPr>
              <w:t>150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pStyle w:val="65"/>
              <w:wordWrap w:val="0"/>
              <w:rPr>
                <w:b w:val="0"/>
                <w:szCs w:val="21"/>
              </w:rPr>
            </w:pPr>
          </w:p>
        </w:tc>
        <w:tc>
          <w:tcPr>
            <w:tcW w:w="921" w:type="pct"/>
            <w:vMerge w:val="continue"/>
            <w:vAlign w:val="center"/>
          </w:tcPr>
          <w:p>
            <w:pPr>
              <w:pStyle w:val="65"/>
              <w:wordWrap w:val="0"/>
              <w:rPr>
                <w:b w:val="0"/>
                <w:szCs w:val="21"/>
              </w:rPr>
            </w:pPr>
          </w:p>
        </w:tc>
        <w:tc>
          <w:tcPr>
            <w:tcW w:w="822" w:type="pct"/>
            <w:gridSpan w:val="2"/>
            <w:vAlign w:val="center"/>
          </w:tcPr>
          <w:p>
            <w:pPr>
              <w:wordWrap w:val="0"/>
              <w:autoSpaceDE w:val="0"/>
              <w:autoSpaceDN w:val="0"/>
              <w:adjustRightInd w:val="0"/>
              <w:jc w:val="center"/>
              <w:rPr>
                <w:kern w:val="0"/>
                <w:szCs w:val="21"/>
              </w:rPr>
            </w:pPr>
            <w:r>
              <w:rPr>
                <w:kern w:val="0"/>
                <w:szCs w:val="21"/>
              </w:rPr>
              <w:t>1</w:t>
            </w:r>
            <w:r>
              <w:rPr>
                <w:rFonts w:hAnsi="宋体"/>
                <w:kern w:val="0"/>
                <w:szCs w:val="21"/>
              </w:rPr>
              <w:t>小时平均</w:t>
            </w:r>
          </w:p>
        </w:tc>
        <w:tc>
          <w:tcPr>
            <w:tcW w:w="684" w:type="pct"/>
            <w:vAlign w:val="center"/>
          </w:tcPr>
          <w:p>
            <w:pPr>
              <w:wordWrap w:val="0"/>
              <w:jc w:val="center"/>
            </w:pPr>
            <w:r>
              <w:rPr>
                <w:kern w:val="0"/>
                <w:szCs w:val="21"/>
              </w:rPr>
              <w:t>μg/m</w:t>
            </w:r>
            <w:r>
              <w:rPr>
                <w:kern w:val="0"/>
                <w:szCs w:val="21"/>
                <w:vertAlign w:val="superscript"/>
              </w:rPr>
              <w:t>3</w:t>
            </w:r>
          </w:p>
        </w:tc>
        <w:tc>
          <w:tcPr>
            <w:tcW w:w="828" w:type="pct"/>
            <w:vAlign w:val="center"/>
          </w:tcPr>
          <w:p>
            <w:pPr>
              <w:wordWrap w:val="0"/>
              <w:autoSpaceDE w:val="0"/>
              <w:autoSpaceDN w:val="0"/>
              <w:adjustRightInd w:val="0"/>
              <w:jc w:val="center"/>
              <w:rPr>
                <w:kern w:val="0"/>
                <w:szCs w:val="21"/>
              </w:rPr>
            </w:pPr>
            <w:r>
              <w:rPr>
                <w:kern w:val="0"/>
                <w:szCs w:val="21"/>
              </w:rPr>
              <w:t>500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pStyle w:val="65"/>
              <w:wordWrap w:val="0"/>
              <w:rPr>
                <w:b w:val="0"/>
                <w:szCs w:val="21"/>
              </w:rPr>
            </w:pPr>
          </w:p>
        </w:tc>
        <w:tc>
          <w:tcPr>
            <w:tcW w:w="921" w:type="pct"/>
            <w:vMerge w:val="restart"/>
            <w:vAlign w:val="center"/>
          </w:tcPr>
          <w:p>
            <w:pPr>
              <w:pStyle w:val="58"/>
              <w:wordWrap w:val="0"/>
              <w:jc w:val="center"/>
              <w:rPr>
                <w:rFonts w:ascii="Times New Roman" w:hAnsi="Times New Roman" w:cs="Times New Roman"/>
                <w:color w:val="auto"/>
                <w:sz w:val="21"/>
                <w:szCs w:val="21"/>
              </w:rPr>
            </w:pPr>
            <w:r>
              <w:rPr>
                <w:rFonts w:ascii="Times New Roman" w:hAnsi="Times New Roman" w:cs="Times New Roman"/>
                <w:color w:val="auto"/>
                <w:sz w:val="21"/>
                <w:szCs w:val="21"/>
              </w:rPr>
              <w:t>NO</w:t>
            </w:r>
            <w:r>
              <w:rPr>
                <w:rFonts w:ascii="Times New Roman" w:hAnsi="Times New Roman" w:cs="Times New Roman"/>
                <w:color w:val="auto"/>
                <w:sz w:val="21"/>
                <w:szCs w:val="21"/>
                <w:vertAlign w:val="subscript"/>
              </w:rPr>
              <w:t>2</w:t>
            </w:r>
          </w:p>
        </w:tc>
        <w:tc>
          <w:tcPr>
            <w:tcW w:w="822" w:type="pct"/>
            <w:gridSpan w:val="2"/>
            <w:vAlign w:val="center"/>
          </w:tcPr>
          <w:p>
            <w:pPr>
              <w:pStyle w:val="65"/>
              <w:wordWrap w:val="0"/>
              <w:rPr>
                <w:b w:val="0"/>
                <w:szCs w:val="21"/>
              </w:rPr>
            </w:pPr>
            <w:r>
              <w:rPr>
                <w:rFonts w:hAnsi="宋体"/>
                <w:b w:val="0"/>
                <w:kern w:val="0"/>
                <w:szCs w:val="21"/>
              </w:rPr>
              <w:t>年平均</w:t>
            </w:r>
          </w:p>
        </w:tc>
        <w:tc>
          <w:tcPr>
            <w:tcW w:w="684" w:type="pct"/>
            <w:vAlign w:val="center"/>
          </w:tcPr>
          <w:p>
            <w:pPr>
              <w:wordWrap w:val="0"/>
              <w:jc w:val="center"/>
            </w:pPr>
            <w:r>
              <w:rPr>
                <w:kern w:val="0"/>
                <w:szCs w:val="21"/>
              </w:rPr>
              <w:t>μg/m</w:t>
            </w:r>
            <w:r>
              <w:rPr>
                <w:kern w:val="0"/>
                <w:szCs w:val="21"/>
                <w:vertAlign w:val="superscript"/>
              </w:rPr>
              <w:t>3</w:t>
            </w:r>
          </w:p>
        </w:tc>
        <w:tc>
          <w:tcPr>
            <w:tcW w:w="828" w:type="pct"/>
            <w:vAlign w:val="center"/>
          </w:tcPr>
          <w:p>
            <w:pPr>
              <w:wordWrap w:val="0"/>
              <w:autoSpaceDE w:val="0"/>
              <w:autoSpaceDN w:val="0"/>
              <w:adjustRightInd w:val="0"/>
              <w:jc w:val="center"/>
              <w:rPr>
                <w:kern w:val="0"/>
                <w:szCs w:val="21"/>
              </w:rPr>
            </w:pPr>
            <w:r>
              <w:rPr>
                <w:kern w:val="0"/>
                <w:szCs w:val="21"/>
              </w:rPr>
              <w:t>40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pStyle w:val="65"/>
              <w:wordWrap w:val="0"/>
              <w:rPr>
                <w:b w:val="0"/>
                <w:szCs w:val="21"/>
              </w:rPr>
            </w:pPr>
          </w:p>
        </w:tc>
        <w:tc>
          <w:tcPr>
            <w:tcW w:w="921" w:type="pct"/>
            <w:vMerge w:val="continue"/>
            <w:vAlign w:val="center"/>
          </w:tcPr>
          <w:p>
            <w:pPr>
              <w:pStyle w:val="65"/>
              <w:wordWrap w:val="0"/>
              <w:rPr>
                <w:b w:val="0"/>
                <w:szCs w:val="21"/>
              </w:rPr>
            </w:pPr>
          </w:p>
        </w:tc>
        <w:tc>
          <w:tcPr>
            <w:tcW w:w="822" w:type="pct"/>
            <w:gridSpan w:val="2"/>
            <w:vAlign w:val="center"/>
          </w:tcPr>
          <w:p>
            <w:pPr>
              <w:wordWrap w:val="0"/>
              <w:autoSpaceDE w:val="0"/>
              <w:autoSpaceDN w:val="0"/>
              <w:adjustRightInd w:val="0"/>
              <w:jc w:val="center"/>
              <w:rPr>
                <w:kern w:val="0"/>
                <w:szCs w:val="21"/>
              </w:rPr>
            </w:pPr>
            <w:r>
              <w:rPr>
                <w:kern w:val="0"/>
                <w:szCs w:val="21"/>
              </w:rPr>
              <w:t>24</w:t>
            </w:r>
            <w:r>
              <w:rPr>
                <w:rFonts w:hAnsi="宋体"/>
                <w:kern w:val="0"/>
                <w:szCs w:val="21"/>
              </w:rPr>
              <w:t>小时平均</w:t>
            </w:r>
          </w:p>
        </w:tc>
        <w:tc>
          <w:tcPr>
            <w:tcW w:w="684" w:type="pct"/>
            <w:vAlign w:val="center"/>
          </w:tcPr>
          <w:p>
            <w:pPr>
              <w:wordWrap w:val="0"/>
              <w:jc w:val="center"/>
            </w:pPr>
            <w:r>
              <w:rPr>
                <w:kern w:val="0"/>
                <w:szCs w:val="21"/>
              </w:rPr>
              <w:t>μg/m</w:t>
            </w:r>
            <w:r>
              <w:rPr>
                <w:kern w:val="0"/>
                <w:szCs w:val="21"/>
                <w:vertAlign w:val="superscript"/>
              </w:rPr>
              <w:t>3</w:t>
            </w:r>
          </w:p>
        </w:tc>
        <w:tc>
          <w:tcPr>
            <w:tcW w:w="828" w:type="pct"/>
            <w:vAlign w:val="center"/>
          </w:tcPr>
          <w:p>
            <w:pPr>
              <w:wordWrap w:val="0"/>
              <w:autoSpaceDE w:val="0"/>
              <w:autoSpaceDN w:val="0"/>
              <w:adjustRightInd w:val="0"/>
              <w:jc w:val="center"/>
              <w:rPr>
                <w:kern w:val="0"/>
                <w:szCs w:val="21"/>
              </w:rPr>
            </w:pPr>
            <w:r>
              <w:rPr>
                <w:kern w:val="0"/>
                <w:szCs w:val="21"/>
              </w:rPr>
              <w:t>80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pStyle w:val="65"/>
              <w:wordWrap w:val="0"/>
              <w:rPr>
                <w:b w:val="0"/>
                <w:szCs w:val="21"/>
              </w:rPr>
            </w:pPr>
          </w:p>
        </w:tc>
        <w:tc>
          <w:tcPr>
            <w:tcW w:w="921" w:type="pct"/>
            <w:vMerge w:val="continue"/>
            <w:vAlign w:val="center"/>
          </w:tcPr>
          <w:p>
            <w:pPr>
              <w:pStyle w:val="65"/>
              <w:wordWrap w:val="0"/>
              <w:rPr>
                <w:b w:val="0"/>
                <w:szCs w:val="21"/>
              </w:rPr>
            </w:pPr>
          </w:p>
        </w:tc>
        <w:tc>
          <w:tcPr>
            <w:tcW w:w="822" w:type="pct"/>
            <w:gridSpan w:val="2"/>
            <w:vAlign w:val="center"/>
          </w:tcPr>
          <w:p>
            <w:pPr>
              <w:wordWrap w:val="0"/>
              <w:autoSpaceDE w:val="0"/>
              <w:autoSpaceDN w:val="0"/>
              <w:adjustRightInd w:val="0"/>
              <w:jc w:val="center"/>
              <w:rPr>
                <w:kern w:val="0"/>
                <w:szCs w:val="21"/>
              </w:rPr>
            </w:pPr>
            <w:r>
              <w:rPr>
                <w:kern w:val="0"/>
                <w:szCs w:val="21"/>
              </w:rPr>
              <w:t>1</w:t>
            </w:r>
            <w:r>
              <w:rPr>
                <w:rFonts w:hAnsi="宋体"/>
                <w:kern w:val="0"/>
                <w:szCs w:val="21"/>
              </w:rPr>
              <w:t>小时平均</w:t>
            </w:r>
          </w:p>
        </w:tc>
        <w:tc>
          <w:tcPr>
            <w:tcW w:w="684" w:type="pct"/>
            <w:vAlign w:val="center"/>
          </w:tcPr>
          <w:p>
            <w:pPr>
              <w:wordWrap w:val="0"/>
              <w:jc w:val="center"/>
            </w:pPr>
            <w:r>
              <w:rPr>
                <w:kern w:val="0"/>
                <w:szCs w:val="21"/>
              </w:rPr>
              <w:t>μg/m</w:t>
            </w:r>
            <w:r>
              <w:rPr>
                <w:kern w:val="0"/>
                <w:szCs w:val="21"/>
                <w:vertAlign w:val="superscript"/>
              </w:rPr>
              <w:t>3</w:t>
            </w:r>
          </w:p>
        </w:tc>
        <w:tc>
          <w:tcPr>
            <w:tcW w:w="828" w:type="pct"/>
            <w:vAlign w:val="center"/>
          </w:tcPr>
          <w:p>
            <w:pPr>
              <w:wordWrap w:val="0"/>
              <w:autoSpaceDE w:val="0"/>
              <w:autoSpaceDN w:val="0"/>
              <w:adjustRightInd w:val="0"/>
              <w:jc w:val="center"/>
              <w:rPr>
                <w:kern w:val="0"/>
                <w:szCs w:val="21"/>
              </w:rPr>
            </w:pPr>
            <w:r>
              <w:rPr>
                <w:kern w:val="0"/>
                <w:szCs w:val="21"/>
              </w:rPr>
              <w:t>200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pStyle w:val="65"/>
              <w:wordWrap w:val="0"/>
              <w:rPr>
                <w:b w:val="0"/>
                <w:szCs w:val="21"/>
              </w:rPr>
            </w:pPr>
          </w:p>
        </w:tc>
        <w:tc>
          <w:tcPr>
            <w:tcW w:w="921" w:type="pct"/>
            <w:vMerge w:val="restart"/>
            <w:vAlign w:val="center"/>
          </w:tcPr>
          <w:p>
            <w:pPr>
              <w:pStyle w:val="65"/>
              <w:wordWrap w:val="0"/>
              <w:rPr>
                <w:b w:val="0"/>
                <w:szCs w:val="21"/>
              </w:rPr>
            </w:pPr>
            <w:r>
              <w:rPr>
                <w:b w:val="0"/>
                <w:kern w:val="0"/>
                <w:szCs w:val="21"/>
              </w:rPr>
              <w:t>PM</w:t>
            </w:r>
            <w:r>
              <w:rPr>
                <w:b w:val="0"/>
                <w:kern w:val="0"/>
                <w:szCs w:val="21"/>
                <w:vertAlign w:val="subscript"/>
              </w:rPr>
              <w:t>10</w:t>
            </w:r>
          </w:p>
        </w:tc>
        <w:tc>
          <w:tcPr>
            <w:tcW w:w="822" w:type="pct"/>
            <w:gridSpan w:val="2"/>
            <w:vAlign w:val="center"/>
          </w:tcPr>
          <w:p>
            <w:pPr>
              <w:pStyle w:val="65"/>
              <w:wordWrap w:val="0"/>
              <w:rPr>
                <w:b w:val="0"/>
                <w:szCs w:val="21"/>
              </w:rPr>
            </w:pPr>
            <w:r>
              <w:rPr>
                <w:rFonts w:hAnsi="宋体"/>
                <w:b w:val="0"/>
                <w:kern w:val="0"/>
                <w:szCs w:val="21"/>
              </w:rPr>
              <w:t>年平均</w:t>
            </w:r>
          </w:p>
        </w:tc>
        <w:tc>
          <w:tcPr>
            <w:tcW w:w="684" w:type="pct"/>
            <w:vAlign w:val="center"/>
          </w:tcPr>
          <w:p>
            <w:pPr>
              <w:wordWrap w:val="0"/>
              <w:jc w:val="center"/>
            </w:pPr>
            <w:r>
              <w:rPr>
                <w:kern w:val="0"/>
                <w:szCs w:val="21"/>
              </w:rPr>
              <w:t>μg/m</w:t>
            </w:r>
            <w:r>
              <w:rPr>
                <w:kern w:val="0"/>
                <w:szCs w:val="21"/>
                <w:vertAlign w:val="superscript"/>
              </w:rPr>
              <w:t>3</w:t>
            </w:r>
          </w:p>
        </w:tc>
        <w:tc>
          <w:tcPr>
            <w:tcW w:w="828" w:type="pct"/>
            <w:vAlign w:val="center"/>
          </w:tcPr>
          <w:p>
            <w:pPr>
              <w:wordWrap w:val="0"/>
              <w:autoSpaceDE w:val="0"/>
              <w:autoSpaceDN w:val="0"/>
              <w:adjustRightInd w:val="0"/>
              <w:jc w:val="center"/>
              <w:rPr>
                <w:kern w:val="0"/>
                <w:szCs w:val="21"/>
              </w:rPr>
            </w:pPr>
            <w:r>
              <w:rPr>
                <w:kern w:val="0"/>
                <w:szCs w:val="21"/>
              </w:rPr>
              <w:t>70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pStyle w:val="65"/>
              <w:wordWrap w:val="0"/>
              <w:rPr>
                <w:b w:val="0"/>
                <w:szCs w:val="21"/>
              </w:rPr>
            </w:pPr>
          </w:p>
        </w:tc>
        <w:tc>
          <w:tcPr>
            <w:tcW w:w="921" w:type="pct"/>
            <w:vMerge w:val="continue"/>
            <w:vAlign w:val="center"/>
          </w:tcPr>
          <w:p>
            <w:pPr>
              <w:pStyle w:val="65"/>
              <w:wordWrap w:val="0"/>
              <w:rPr>
                <w:b w:val="0"/>
                <w:szCs w:val="21"/>
              </w:rPr>
            </w:pPr>
          </w:p>
        </w:tc>
        <w:tc>
          <w:tcPr>
            <w:tcW w:w="822" w:type="pct"/>
            <w:gridSpan w:val="2"/>
            <w:vAlign w:val="center"/>
          </w:tcPr>
          <w:p>
            <w:pPr>
              <w:wordWrap w:val="0"/>
              <w:autoSpaceDE w:val="0"/>
              <w:autoSpaceDN w:val="0"/>
              <w:adjustRightInd w:val="0"/>
              <w:jc w:val="center"/>
              <w:rPr>
                <w:kern w:val="0"/>
                <w:szCs w:val="21"/>
              </w:rPr>
            </w:pPr>
            <w:r>
              <w:rPr>
                <w:kern w:val="0"/>
                <w:szCs w:val="21"/>
              </w:rPr>
              <w:t>24</w:t>
            </w:r>
            <w:r>
              <w:rPr>
                <w:rFonts w:hAnsi="宋体"/>
                <w:kern w:val="0"/>
                <w:szCs w:val="21"/>
              </w:rPr>
              <w:t>小时平均</w:t>
            </w:r>
          </w:p>
        </w:tc>
        <w:tc>
          <w:tcPr>
            <w:tcW w:w="684" w:type="pct"/>
            <w:vAlign w:val="center"/>
          </w:tcPr>
          <w:p>
            <w:pPr>
              <w:wordWrap w:val="0"/>
              <w:jc w:val="center"/>
            </w:pPr>
            <w:r>
              <w:rPr>
                <w:kern w:val="0"/>
                <w:szCs w:val="21"/>
              </w:rPr>
              <w:t>μg/m</w:t>
            </w:r>
            <w:r>
              <w:rPr>
                <w:kern w:val="0"/>
                <w:szCs w:val="21"/>
                <w:vertAlign w:val="superscript"/>
              </w:rPr>
              <w:t>3</w:t>
            </w:r>
          </w:p>
        </w:tc>
        <w:tc>
          <w:tcPr>
            <w:tcW w:w="828" w:type="pct"/>
            <w:vAlign w:val="center"/>
          </w:tcPr>
          <w:p>
            <w:pPr>
              <w:pStyle w:val="65"/>
              <w:wordWrap w:val="0"/>
              <w:rPr>
                <w:b w:val="0"/>
                <w:szCs w:val="21"/>
              </w:rPr>
            </w:pPr>
            <w:r>
              <w:rPr>
                <w:rFonts w:hint="eastAsia"/>
                <w:b w:val="0"/>
                <w:szCs w:val="21"/>
              </w:rPr>
              <w:t>150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pStyle w:val="65"/>
              <w:wordWrap w:val="0"/>
              <w:rPr>
                <w:b w:val="0"/>
                <w:szCs w:val="21"/>
              </w:rPr>
            </w:pPr>
          </w:p>
        </w:tc>
        <w:tc>
          <w:tcPr>
            <w:tcW w:w="921" w:type="pct"/>
            <w:vMerge w:val="restart"/>
            <w:vAlign w:val="center"/>
          </w:tcPr>
          <w:p>
            <w:pPr>
              <w:pStyle w:val="65"/>
              <w:wordWrap w:val="0"/>
              <w:rPr>
                <w:b w:val="0"/>
                <w:kern w:val="0"/>
                <w:szCs w:val="21"/>
              </w:rPr>
            </w:pPr>
            <w:r>
              <w:rPr>
                <w:b w:val="0"/>
                <w:kern w:val="0"/>
                <w:szCs w:val="21"/>
              </w:rPr>
              <w:t>PM</w:t>
            </w:r>
            <w:r>
              <w:rPr>
                <w:b w:val="0"/>
                <w:kern w:val="0"/>
                <w:szCs w:val="21"/>
                <w:vertAlign w:val="subscript"/>
              </w:rPr>
              <w:t>2.5</w:t>
            </w:r>
          </w:p>
        </w:tc>
        <w:tc>
          <w:tcPr>
            <w:tcW w:w="822" w:type="pct"/>
            <w:gridSpan w:val="2"/>
            <w:vAlign w:val="center"/>
          </w:tcPr>
          <w:p>
            <w:pPr>
              <w:pStyle w:val="65"/>
              <w:wordWrap w:val="0"/>
              <w:rPr>
                <w:b w:val="0"/>
                <w:szCs w:val="21"/>
              </w:rPr>
            </w:pPr>
            <w:r>
              <w:rPr>
                <w:rFonts w:hAnsi="宋体"/>
                <w:b w:val="0"/>
                <w:kern w:val="0"/>
                <w:szCs w:val="21"/>
              </w:rPr>
              <w:t>年平均</w:t>
            </w:r>
          </w:p>
        </w:tc>
        <w:tc>
          <w:tcPr>
            <w:tcW w:w="684" w:type="pct"/>
            <w:vAlign w:val="center"/>
          </w:tcPr>
          <w:p>
            <w:pPr>
              <w:wordWrap w:val="0"/>
              <w:jc w:val="center"/>
            </w:pPr>
            <w:r>
              <w:rPr>
                <w:kern w:val="0"/>
                <w:szCs w:val="21"/>
              </w:rPr>
              <w:t>μg/m</w:t>
            </w:r>
            <w:r>
              <w:rPr>
                <w:kern w:val="0"/>
                <w:szCs w:val="21"/>
                <w:vertAlign w:val="superscript"/>
              </w:rPr>
              <w:t>3</w:t>
            </w:r>
          </w:p>
        </w:tc>
        <w:tc>
          <w:tcPr>
            <w:tcW w:w="828" w:type="pct"/>
            <w:vAlign w:val="center"/>
          </w:tcPr>
          <w:p>
            <w:pPr>
              <w:pStyle w:val="65"/>
              <w:wordWrap w:val="0"/>
              <w:rPr>
                <w:b w:val="0"/>
                <w:szCs w:val="21"/>
              </w:rPr>
            </w:pPr>
            <w:r>
              <w:rPr>
                <w:rFonts w:hint="eastAsia"/>
                <w:b w:val="0"/>
                <w:szCs w:val="21"/>
              </w:rPr>
              <w:t>35</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pStyle w:val="65"/>
              <w:wordWrap w:val="0"/>
              <w:rPr>
                <w:b w:val="0"/>
                <w:szCs w:val="21"/>
              </w:rPr>
            </w:pPr>
          </w:p>
        </w:tc>
        <w:tc>
          <w:tcPr>
            <w:tcW w:w="921" w:type="pct"/>
            <w:vMerge w:val="continue"/>
            <w:vAlign w:val="center"/>
          </w:tcPr>
          <w:p>
            <w:pPr>
              <w:pStyle w:val="65"/>
              <w:wordWrap w:val="0"/>
              <w:rPr>
                <w:b w:val="0"/>
                <w:kern w:val="0"/>
                <w:szCs w:val="21"/>
              </w:rPr>
            </w:pPr>
          </w:p>
        </w:tc>
        <w:tc>
          <w:tcPr>
            <w:tcW w:w="822" w:type="pct"/>
            <w:gridSpan w:val="2"/>
            <w:vAlign w:val="center"/>
          </w:tcPr>
          <w:p>
            <w:pPr>
              <w:wordWrap w:val="0"/>
              <w:autoSpaceDE w:val="0"/>
              <w:autoSpaceDN w:val="0"/>
              <w:adjustRightInd w:val="0"/>
              <w:jc w:val="center"/>
              <w:rPr>
                <w:kern w:val="0"/>
                <w:szCs w:val="21"/>
              </w:rPr>
            </w:pPr>
            <w:r>
              <w:rPr>
                <w:kern w:val="0"/>
                <w:szCs w:val="21"/>
              </w:rPr>
              <w:t>24</w:t>
            </w:r>
            <w:r>
              <w:rPr>
                <w:rFonts w:hAnsi="宋体"/>
                <w:kern w:val="0"/>
                <w:szCs w:val="21"/>
              </w:rPr>
              <w:t>小时平均</w:t>
            </w:r>
          </w:p>
        </w:tc>
        <w:tc>
          <w:tcPr>
            <w:tcW w:w="684" w:type="pct"/>
            <w:vAlign w:val="center"/>
          </w:tcPr>
          <w:p>
            <w:pPr>
              <w:wordWrap w:val="0"/>
              <w:jc w:val="center"/>
            </w:pPr>
            <w:r>
              <w:rPr>
                <w:kern w:val="0"/>
                <w:szCs w:val="21"/>
              </w:rPr>
              <w:t>μg/m</w:t>
            </w:r>
            <w:r>
              <w:rPr>
                <w:kern w:val="0"/>
                <w:szCs w:val="21"/>
                <w:vertAlign w:val="superscript"/>
              </w:rPr>
              <w:t>3</w:t>
            </w:r>
          </w:p>
        </w:tc>
        <w:tc>
          <w:tcPr>
            <w:tcW w:w="828" w:type="pct"/>
            <w:vAlign w:val="center"/>
          </w:tcPr>
          <w:p>
            <w:pPr>
              <w:pStyle w:val="65"/>
              <w:wordWrap w:val="0"/>
              <w:rPr>
                <w:b w:val="0"/>
                <w:szCs w:val="21"/>
              </w:rPr>
            </w:pPr>
            <w:r>
              <w:rPr>
                <w:rFonts w:hint="eastAsia"/>
                <w:b w:val="0"/>
                <w:szCs w:val="21"/>
              </w:rPr>
              <w:t>75</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restart"/>
            <w:vAlign w:val="center"/>
          </w:tcPr>
          <w:p>
            <w:pPr>
              <w:pStyle w:val="65"/>
              <w:wordWrap w:val="0"/>
              <w:rPr>
                <w:b w:val="0"/>
                <w:szCs w:val="21"/>
              </w:rPr>
            </w:pPr>
            <w:r>
              <w:rPr>
                <w:rFonts w:hint="eastAsia"/>
                <w:b w:val="0"/>
              </w:rPr>
              <w:t>《工企业设计卫生标准》（TJ36-79）</w:t>
            </w:r>
          </w:p>
        </w:tc>
        <w:tc>
          <w:tcPr>
            <w:tcW w:w="921" w:type="pct"/>
            <w:vMerge w:val="restart"/>
            <w:vAlign w:val="center"/>
          </w:tcPr>
          <w:p>
            <w:pPr>
              <w:pStyle w:val="65"/>
              <w:wordWrap w:val="0"/>
              <w:rPr>
                <w:b w:val="0"/>
                <w:kern w:val="0"/>
                <w:szCs w:val="21"/>
              </w:rPr>
            </w:pPr>
            <w:r>
              <w:rPr>
                <w:rFonts w:hint="eastAsia"/>
                <w:b w:val="0"/>
                <w:kern w:val="0"/>
                <w:szCs w:val="21"/>
              </w:rPr>
              <w:t>Cl</w:t>
            </w:r>
            <w:r>
              <w:rPr>
                <w:rFonts w:hint="eastAsia"/>
                <w:b w:val="0"/>
                <w:kern w:val="0"/>
                <w:szCs w:val="21"/>
                <w:vertAlign w:val="subscript"/>
              </w:rPr>
              <w:t>2</w:t>
            </w:r>
          </w:p>
        </w:tc>
        <w:tc>
          <w:tcPr>
            <w:tcW w:w="822" w:type="pct"/>
            <w:gridSpan w:val="2"/>
            <w:vAlign w:val="center"/>
          </w:tcPr>
          <w:p>
            <w:pPr>
              <w:wordWrap w:val="0"/>
              <w:autoSpaceDE w:val="0"/>
              <w:autoSpaceDN w:val="0"/>
              <w:adjustRightInd w:val="0"/>
              <w:jc w:val="center"/>
              <w:rPr>
                <w:kern w:val="0"/>
                <w:szCs w:val="21"/>
              </w:rPr>
            </w:pPr>
            <w:r>
              <w:rPr>
                <w:rFonts w:hint="eastAsia"/>
                <w:kern w:val="0"/>
                <w:szCs w:val="21"/>
              </w:rPr>
              <w:t>一次</w:t>
            </w:r>
          </w:p>
        </w:tc>
        <w:tc>
          <w:tcPr>
            <w:tcW w:w="684" w:type="pct"/>
            <w:vAlign w:val="center"/>
          </w:tcPr>
          <w:p>
            <w:pPr>
              <w:wordWrap w:val="0"/>
              <w:jc w:val="center"/>
              <w:rPr>
                <w:kern w:val="0"/>
                <w:szCs w:val="21"/>
              </w:rPr>
            </w:pPr>
            <w:r>
              <w:rPr>
                <w:rFonts w:hint="eastAsia"/>
                <w:kern w:val="0"/>
                <w:szCs w:val="21"/>
              </w:rPr>
              <w:t>mg/m</w:t>
            </w:r>
            <w:r>
              <w:rPr>
                <w:rFonts w:hint="eastAsia"/>
                <w:kern w:val="0"/>
                <w:szCs w:val="21"/>
                <w:vertAlign w:val="superscript"/>
              </w:rPr>
              <w:t>3</w:t>
            </w:r>
          </w:p>
        </w:tc>
        <w:tc>
          <w:tcPr>
            <w:tcW w:w="828" w:type="pct"/>
            <w:vAlign w:val="center"/>
          </w:tcPr>
          <w:p>
            <w:pPr>
              <w:pStyle w:val="65"/>
              <w:wordWrap w:val="0"/>
              <w:rPr>
                <w:b w:val="0"/>
                <w:szCs w:val="21"/>
              </w:rPr>
            </w:pPr>
            <w:r>
              <w:rPr>
                <w:rFonts w:hint="eastAsia"/>
                <w:b w:val="0"/>
                <w:szCs w:val="21"/>
              </w:rPr>
              <w:t>0.10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pStyle w:val="65"/>
              <w:wordWrap w:val="0"/>
              <w:rPr>
                <w:b w:val="0"/>
                <w:szCs w:val="21"/>
              </w:rPr>
            </w:pPr>
          </w:p>
        </w:tc>
        <w:tc>
          <w:tcPr>
            <w:tcW w:w="921" w:type="pct"/>
            <w:vMerge w:val="continue"/>
            <w:vAlign w:val="center"/>
          </w:tcPr>
          <w:p>
            <w:pPr>
              <w:pStyle w:val="65"/>
              <w:wordWrap w:val="0"/>
              <w:rPr>
                <w:b w:val="0"/>
                <w:kern w:val="0"/>
                <w:szCs w:val="21"/>
              </w:rPr>
            </w:pPr>
          </w:p>
        </w:tc>
        <w:tc>
          <w:tcPr>
            <w:tcW w:w="822" w:type="pct"/>
            <w:gridSpan w:val="2"/>
            <w:vAlign w:val="center"/>
          </w:tcPr>
          <w:p>
            <w:pPr>
              <w:wordWrap w:val="0"/>
              <w:autoSpaceDE w:val="0"/>
              <w:autoSpaceDN w:val="0"/>
              <w:adjustRightInd w:val="0"/>
              <w:jc w:val="center"/>
              <w:rPr>
                <w:kern w:val="0"/>
                <w:szCs w:val="21"/>
              </w:rPr>
            </w:pPr>
            <w:r>
              <w:rPr>
                <w:rFonts w:hint="eastAsia"/>
                <w:kern w:val="0"/>
                <w:szCs w:val="21"/>
              </w:rPr>
              <w:t>日均值</w:t>
            </w:r>
          </w:p>
        </w:tc>
        <w:tc>
          <w:tcPr>
            <w:tcW w:w="684" w:type="pct"/>
            <w:vAlign w:val="center"/>
          </w:tcPr>
          <w:p>
            <w:pPr>
              <w:wordWrap w:val="0"/>
              <w:jc w:val="center"/>
              <w:rPr>
                <w:kern w:val="0"/>
                <w:szCs w:val="21"/>
              </w:rPr>
            </w:pPr>
            <w:r>
              <w:rPr>
                <w:rFonts w:hint="eastAsia"/>
                <w:kern w:val="0"/>
                <w:szCs w:val="21"/>
              </w:rPr>
              <w:t>mg/m</w:t>
            </w:r>
            <w:r>
              <w:rPr>
                <w:rFonts w:hint="eastAsia"/>
                <w:kern w:val="0"/>
                <w:szCs w:val="21"/>
                <w:vertAlign w:val="superscript"/>
              </w:rPr>
              <w:t>3</w:t>
            </w:r>
          </w:p>
        </w:tc>
        <w:tc>
          <w:tcPr>
            <w:tcW w:w="828" w:type="pct"/>
            <w:vAlign w:val="center"/>
          </w:tcPr>
          <w:p>
            <w:pPr>
              <w:pStyle w:val="65"/>
              <w:wordWrap w:val="0"/>
              <w:rPr>
                <w:b w:val="0"/>
                <w:szCs w:val="21"/>
              </w:rPr>
            </w:pPr>
            <w:r>
              <w:rPr>
                <w:rFonts w:hint="eastAsia"/>
                <w:b w:val="0"/>
                <w:szCs w:val="21"/>
              </w:rPr>
              <w:t>0.03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restart"/>
            <w:vAlign w:val="center"/>
          </w:tcPr>
          <w:p>
            <w:pPr>
              <w:pStyle w:val="65"/>
              <w:wordWrap w:val="0"/>
              <w:rPr>
                <w:b w:val="0"/>
                <w:szCs w:val="21"/>
              </w:rPr>
            </w:pPr>
            <w:r>
              <w:rPr>
                <w:rFonts w:hint="eastAsia"/>
                <w:b w:val="0"/>
                <w:szCs w:val="21"/>
              </w:rPr>
              <w:t>地表水</w:t>
            </w:r>
          </w:p>
        </w:tc>
        <w:tc>
          <w:tcPr>
            <w:tcW w:w="1271" w:type="pct"/>
            <w:vMerge w:val="restart"/>
            <w:vAlign w:val="center"/>
          </w:tcPr>
          <w:p>
            <w:pPr>
              <w:wordWrap w:val="0"/>
              <w:autoSpaceDE w:val="0"/>
              <w:autoSpaceDN w:val="0"/>
              <w:adjustRightInd w:val="0"/>
              <w:jc w:val="center"/>
              <w:rPr>
                <w:kern w:val="0"/>
                <w:szCs w:val="21"/>
              </w:rPr>
            </w:pPr>
            <w:r>
              <w:rPr>
                <w:rFonts w:hint="eastAsia"/>
                <w:kern w:val="0"/>
              </w:rPr>
              <w:t>《</w:t>
            </w:r>
            <w:r>
              <w:rPr>
                <w:rFonts w:hint="eastAsia"/>
                <w:kern w:val="0"/>
                <w:szCs w:val="21"/>
              </w:rPr>
              <w:t>地表水环境质量标准》（</w:t>
            </w:r>
            <w:r>
              <w:rPr>
                <w:kern w:val="0"/>
                <w:szCs w:val="21"/>
              </w:rPr>
              <w:t>GB3838-2002</w:t>
            </w:r>
            <w:r>
              <w:rPr>
                <w:rFonts w:hint="eastAsia"/>
                <w:kern w:val="0"/>
                <w:szCs w:val="21"/>
              </w:rPr>
              <w:t>）</w:t>
            </w:r>
            <w:r>
              <w:rPr>
                <w:rFonts w:hint="eastAsia"/>
                <w:kern w:val="0"/>
              </w:rPr>
              <w:t>Ⅲ类标准</w:t>
            </w:r>
          </w:p>
        </w:tc>
        <w:tc>
          <w:tcPr>
            <w:tcW w:w="921" w:type="pct"/>
            <w:vAlign w:val="center"/>
          </w:tcPr>
          <w:p>
            <w:pPr>
              <w:wordWrap w:val="0"/>
              <w:autoSpaceDE w:val="0"/>
              <w:autoSpaceDN w:val="0"/>
              <w:adjustRightInd w:val="0"/>
              <w:jc w:val="center"/>
              <w:rPr>
                <w:kern w:val="0"/>
                <w:szCs w:val="21"/>
              </w:rPr>
            </w:pPr>
            <w:r>
              <w:rPr>
                <w:rFonts w:hint="eastAsia"/>
                <w:kern w:val="0"/>
                <w:szCs w:val="21"/>
              </w:rPr>
              <w:t>PH</w:t>
            </w:r>
          </w:p>
        </w:tc>
        <w:tc>
          <w:tcPr>
            <w:tcW w:w="1506" w:type="pct"/>
            <w:gridSpan w:val="3"/>
            <w:vAlign w:val="center"/>
          </w:tcPr>
          <w:p>
            <w:pPr>
              <w:pStyle w:val="65"/>
              <w:wordWrap w:val="0"/>
              <w:rPr>
                <w:b w:val="0"/>
                <w:szCs w:val="21"/>
              </w:rPr>
            </w:pPr>
            <w:r>
              <w:rPr>
                <w:rFonts w:hint="eastAsia"/>
                <w:b w:val="0"/>
                <w:szCs w:val="21"/>
              </w:rPr>
              <w:t>无量纲</w:t>
            </w:r>
          </w:p>
        </w:tc>
        <w:tc>
          <w:tcPr>
            <w:tcW w:w="828" w:type="pct"/>
            <w:vAlign w:val="center"/>
          </w:tcPr>
          <w:p>
            <w:pPr>
              <w:pStyle w:val="65"/>
              <w:wordWrap w:val="0"/>
              <w:rPr>
                <w:b w:val="0"/>
                <w:szCs w:val="21"/>
              </w:rPr>
            </w:pPr>
            <w:r>
              <w:rPr>
                <w:rFonts w:hint="eastAsia"/>
                <w:b w:val="0"/>
                <w:szCs w:val="21"/>
              </w:rPr>
              <w:t>6~9</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wordWrap w:val="0"/>
              <w:autoSpaceDE w:val="0"/>
              <w:autoSpaceDN w:val="0"/>
              <w:adjustRightInd w:val="0"/>
              <w:jc w:val="center"/>
              <w:rPr>
                <w:kern w:val="0"/>
                <w:szCs w:val="21"/>
              </w:rPr>
            </w:pPr>
            <w:r>
              <w:rPr>
                <w:kern w:val="0"/>
                <w:szCs w:val="21"/>
              </w:rPr>
              <w:t>COD</w:t>
            </w:r>
          </w:p>
        </w:tc>
        <w:tc>
          <w:tcPr>
            <w:tcW w:w="1506" w:type="pct"/>
            <w:gridSpan w:val="3"/>
            <w:vMerge w:val="restart"/>
            <w:vAlign w:val="center"/>
          </w:tcPr>
          <w:p>
            <w:pPr>
              <w:pStyle w:val="65"/>
              <w:wordWrap w:val="0"/>
              <w:rPr>
                <w:b w:val="0"/>
                <w:szCs w:val="21"/>
              </w:rPr>
            </w:pPr>
            <w:r>
              <w:rPr>
                <w:rFonts w:hint="eastAsia"/>
                <w:b w:val="0"/>
                <w:szCs w:val="21"/>
              </w:rPr>
              <w:t>mg/L</w:t>
            </w:r>
          </w:p>
        </w:tc>
        <w:tc>
          <w:tcPr>
            <w:tcW w:w="828" w:type="pct"/>
            <w:vAlign w:val="center"/>
          </w:tcPr>
          <w:p>
            <w:pPr>
              <w:wordWrap w:val="0"/>
              <w:autoSpaceDE w:val="0"/>
              <w:autoSpaceDN w:val="0"/>
              <w:adjustRightInd w:val="0"/>
              <w:jc w:val="center"/>
              <w:rPr>
                <w:kern w:val="0"/>
                <w:szCs w:val="21"/>
              </w:rPr>
            </w:pPr>
            <w:r>
              <w:rPr>
                <w:kern w:val="0"/>
                <w:szCs w:val="21"/>
              </w:rPr>
              <w:t>≤</w:t>
            </w:r>
            <w:r>
              <w:rPr>
                <w:rFonts w:hint="eastAsia"/>
                <w:kern w:val="0"/>
                <w:szCs w:val="21"/>
              </w:rPr>
              <w:t>20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 w:val="14"/>
                <w:szCs w:val="14"/>
              </w:rPr>
            </w:pPr>
          </w:p>
        </w:tc>
        <w:tc>
          <w:tcPr>
            <w:tcW w:w="921" w:type="pct"/>
            <w:vAlign w:val="center"/>
          </w:tcPr>
          <w:p>
            <w:pPr>
              <w:wordWrap w:val="0"/>
              <w:autoSpaceDE w:val="0"/>
              <w:autoSpaceDN w:val="0"/>
              <w:adjustRightInd w:val="0"/>
              <w:jc w:val="center"/>
              <w:rPr>
                <w:kern w:val="0"/>
                <w:sz w:val="14"/>
                <w:szCs w:val="14"/>
              </w:rPr>
            </w:pPr>
            <w:r>
              <w:rPr>
                <w:kern w:val="0"/>
                <w:szCs w:val="21"/>
              </w:rPr>
              <w:t>BOD</w:t>
            </w:r>
            <w:r>
              <w:rPr>
                <w:kern w:val="0"/>
                <w:sz w:val="14"/>
                <w:szCs w:val="14"/>
              </w:rPr>
              <w:t>5</w:t>
            </w:r>
          </w:p>
        </w:tc>
        <w:tc>
          <w:tcPr>
            <w:tcW w:w="1506" w:type="pct"/>
            <w:gridSpan w:val="3"/>
            <w:vMerge w:val="continue"/>
            <w:vAlign w:val="center"/>
          </w:tcPr>
          <w:p>
            <w:pPr>
              <w:pStyle w:val="65"/>
              <w:wordWrap w:val="0"/>
              <w:rPr>
                <w:b w:val="0"/>
                <w:szCs w:val="21"/>
              </w:rPr>
            </w:pPr>
          </w:p>
        </w:tc>
        <w:tc>
          <w:tcPr>
            <w:tcW w:w="828" w:type="pct"/>
            <w:vAlign w:val="center"/>
          </w:tcPr>
          <w:p>
            <w:pPr>
              <w:wordWrap w:val="0"/>
              <w:autoSpaceDE w:val="0"/>
              <w:autoSpaceDN w:val="0"/>
              <w:adjustRightInd w:val="0"/>
              <w:jc w:val="center"/>
              <w:rPr>
                <w:kern w:val="0"/>
                <w:szCs w:val="21"/>
              </w:rPr>
            </w:pPr>
            <w:r>
              <w:rPr>
                <w:kern w:val="0"/>
                <w:szCs w:val="21"/>
              </w:rPr>
              <w:t>≤</w:t>
            </w:r>
            <w:r>
              <w:rPr>
                <w:rFonts w:hint="eastAsia"/>
                <w:kern w:val="0"/>
                <w:szCs w:val="21"/>
              </w:rPr>
              <w:t>4</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wordWrap w:val="0"/>
              <w:autoSpaceDE w:val="0"/>
              <w:autoSpaceDN w:val="0"/>
              <w:adjustRightInd w:val="0"/>
              <w:jc w:val="center"/>
              <w:rPr>
                <w:kern w:val="0"/>
                <w:szCs w:val="21"/>
              </w:rPr>
            </w:pPr>
            <w:r>
              <w:rPr>
                <w:kern w:val="0"/>
                <w:szCs w:val="21"/>
              </w:rPr>
              <w:t>NH</w:t>
            </w:r>
            <w:r>
              <w:rPr>
                <w:kern w:val="0"/>
                <w:sz w:val="14"/>
                <w:szCs w:val="14"/>
              </w:rPr>
              <w:t>3</w:t>
            </w:r>
            <w:r>
              <w:rPr>
                <w:kern w:val="0"/>
                <w:szCs w:val="21"/>
              </w:rPr>
              <w:t>-N</w:t>
            </w:r>
          </w:p>
        </w:tc>
        <w:tc>
          <w:tcPr>
            <w:tcW w:w="1506" w:type="pct"/>
            <w:gridSpan w:val="3"/>
            <w:vMerge w:val="continue"/>
            <w:vAlign w:val="center"/>
          </w:tcPr>
          <w:p>
            <w:pPr>
              <w:pStyle w:val="65"/>
              <w:wordWrap w:val="0"/>
              <w:rPr>
                <w:b w:val="0"/>
                <w:szCs w:val="21"/>
              </w:rPr>
            </w:pPr>
          </w:p>
        </w:tc>
        <w:tc>
          <w:tcPr>
            <w:tcW w:w="828" w:type="pct"/>
            <w:vAlign w:val="center"/>
          </w:tcPr>
          <w:p>
            <w:pPr>
              <w:wordWrap w:val="0"/>
              <w:autoSpaceDE w:val="0"/>
              <w:autoSpaceDN w:val="0"/>
              <w:adjustRightInd w:val="0"/>
              <w:jc w:val="center"/>
              <w:rPr>
                <w:kern w:val="0"/>
                <w:szCs w:val="21"/>
              </w:rPr>
            </w:pPr>
            <w:r>
              <w:rPr>
                <w:kern w:val="0"/>
                <w:szCs w:val="21"/>
              </w:rPr>
              <w:t>≤1.</w:t>
            </w:r>
            <w:r>
              <w:rPr>
                <w:rFonts w:hint="eastAsia"/>
                <w:kern w:val="0"/>
                <w:szCs w:val="21"/>
              </w:rPr>
              <w:t>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rFonts w:ascii="宋体" w:hAnsi="宋体" w:cs="宋体"/>
                <w:kern w:val="0"/>
                <w:szCs w:val="21"/>
              </w:rPr>
            </w:pPr>
          </w:p>
        </w:tc>
        <w:tc>
          <w:tcPr>
            <w:tcW w:w="921" w:type="pct"/>
            <w:vAlign w:val="center"/>
          </w:tcPr>
          <w:p>
            <w:pPr>
              <w:wordWrap w:val="0"/>
              <w:autoSpaceDE w:val="0"/>
              <w:autoSpaceDN w:val="0"/>
              <w:adjustRightInd w:val="0"/>
              <w:jc w:val="center"/>
              <w:rPr>
                <w:rFonts w:ascii="宋体" w:hAnsi="宋体" w:cs="宋体"/>
                <w:kern w:val="0"/>
                <w:szCs w:val="21"/>
              </w:rPr>
            </w:pPr>
            <w:r>
              <w:rPr>
                <w:rFonts w:ascii="宋体" w:hAnsi="宋体" w:cs="宋体"/>
                <w:kern w:val="0"/>
                <w:szCs w:val="21"/>
              </w:rPr>
              <w:t>石油类</w:t>
            </w:r>
          </w:p>
        </w:tc>
        <w:tc>
          <w:tcPr>
            <w:tcW w:w="1506" w:type="pct"/>
            <w:gridSpan w:val="3"/>
            <w:vMerge w:val="continue"/>
            <w:vAlign w:val="center"/>
          </w:tcPr>
          <w:p>
            <w:pPr>
              <w:pStyle w:val="65"/>
              <w:wordWrap w:val="0"/>
              <w:rPr>
                <w:b w:val="0"/>
                <w:szCs w:val="21"/>
              </w:rPr>
            </w:pPr>
          </w:p>
        </w:tc>
        <w:tc>
          <w:tcPr>
            <w:tcW w:w="828" w:type="pct"/>
            <w:vAlign w:val="center"/>
          </w:tcPr>
          <w:p>
            <w:pPr>
              <w:wordWrap w:val="0"/>
              <w:autoSpaceDE w:val="0"/>
              <w:autoSpaceDN w:val="0"/>
              <w:adjustRightInd w:val="0"/>
              <w:jc w:val="center"/>
              <w:rPr>
                <w:kern w:val="0"/>
                <w:szCs w:val="21"/>
              </w:rPr>
            </w:pPr>
            <w:r>
              <w:rPr>
                <w:kern w:val="0"/>
                <w:szCs w:val="21"/>
              </w:rPr>
              <w:t>≤0.</w:t>
            </w:r>
            <w:r>
              <w:rPr>
                <w:rFonts w:hint="eastAsia"/>
                <w:kern w:val="0"/>
                <w:szCs w:val="21"/>
              </w:rPr>
              <w:t>05</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rFonts w:ascii="宋体" w:hAnsi="宋体" w:cs="宋体"/>
                <w:kern w:val="0"/>
                <w:szCs w:val="21"/>
              </w:rPr>
            </w:pPr>
          </w:p>
        </w:tc>
        <w:tc>
          <w:tcPr>
            <w:tcW w:w="921" w:type="pct"/>
            <w:vAlign w:val="center"/>
          </w:tcPr>
          <w:p>
            <w:pPr>
              <w:wordWrap w:val="0"/>
              <w:autoSpaceDE w:val="0"/>
              <w:autoSpaceDN w:val="0"/>
              <w:adjustRightInd w:val="0"/>
              <w:jc w:val="center"/>
              <w:rPr>
                <w:rFonts w:ascii="宋体" w:hAnsi="宋体" w:cs="宋体"/>
                <w:kern w:val="0"/>
                <w:szCs w:val="21"/>
              </w:rPr>
            </w:pPr>
            <w:r>
              <w:rPr>
                <w:rFonts w:ascii="宋体" w:hAnsi="宋体" w:cs="宋体"/>
                <w:kern w:val="0"/>
                <w:szCs w:val="21"/>
              </w:rPr>
              <w:t>阴离子表面活性剂</w:t>
            </w:r>
          </w:p>
        </w:tc>
        <w:tc>
          <w:tcPr>
            <w:tcW w:w="1506" w:type="pct"/>
            <w:gridSpan w:val="3"/>
            <w:vMerge w:val="continue"/>
            <w:vAlign w:val="center"/>
          </w:tcPr>
          <w:p>
            <w:pPr>
              <w:pStyle w:val="65"/>
              <w:wordWrap w:val="0"/>
              <w:rPr>
                <w:b w:val="0"/>
                <w:szCs w:val="21"/>
              </w:rPr>
            </w:pPr>
          </w:p>
        </w:tc>
        <w:tc>
          <w:tcPr>
            <w:tcW w:w="828" w:type="pct"/>
            <w:vAlign w:val="center"/>
          </w:tcPr>
          <w:p>
            <w:pPr>
              <w:wordWrap w:val="0"/>
              <w:autoSpaceDE w:val="0"/>
              <w:autoSpaceDN w:val="0"/>
              <w:adjustRightInd w:val="0"/>
              <w:jc w:val="center"/>
              <w:rPr>
                <w:kern w:val="0"/>
                <w:szCs w:val="21"/>
              </w:rPr>
            </w:pPr>
            <w:r>
              <w:rPr>
                <w:kern w:val="0"/>
                <w:szCs w:val="21"/>
              </w:rPr>
              <w:t>≤0.</w:t>
            </w:r>
            <w:r>
              <w:rPr>
                <w:rFonts w:hint="eastAsia"/>
                <w:kern w:val="0"/>
                <w:szCs w:val="21"/>
              </w:rPr>
              <w:t>2</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rFonts w:ascii="宋体" w:hAnsi="宋体" w:cs="宋体"/>
                <w:kern w:val="0"/>
                <w:szCs w:val="21"/>
              </w:rPr>
            </w:pPr>
          </w:p>
        </w:tc>
        <w:tc>
          <w:tcPr>
            <w:tcW w:w="921" w:type="pct"/>
            <w:vAlign w:val="center"/>
          </w:tcPr>
          <w:p>
            <w:pPr>
              <w:wordWrap w:val="0"/>
              <w:autoSpaceDE w:val="0"/>
              <w:autoSpaceDN w:val="0"/>
              <w:adjustRightInd w:val="0"/>
              <w:jc w:val="center"/>
              <w:rPr>
                <w:rFonts w:ascii="宋体" w:hAnsi="宋体" w:cs="宋体"/>
                <w:kern w:val="0"/>
                <w:szCs w:val="21"/>
              </w:rPr>
            </w:pPr>
            <w:r>
              <w:rPr>
                <w:rFonts w:ascii="宋体" w:hAnsi="宋体" w:cs="宋体"/>
                <w:kern w:val="0"/>
                <w:szCs w:val="21"/>
              </w:rPr>
              <w:t>氯化物</w:t>
            </w:r>
            <w:r>
              <w:rPr>
                <w:kern w:val="0"/>
                <w:szCs w:val="21"/>
              </w:rPr>
              <w:t>*</w:t>
            </w:r>
          </w:p>
        </w:tc>
        <w:tc>
          <w:tcPr>
            <w:tcW w:w="1506" w:type="pct"/>
            <w:gridSpan w:val="3"/>
            <w:vMerge w:val="continue"/>
            <w:vAlign w:val="center"/>
          </w:tcPr>
          <w:p>
            <w:pPr>
              <w:pStyle w:val="65"/>
              <w:wordWrap w:val="0"/>
              <w:rPr>
                <w:b w:val="0"/>
                <w:szCs w:val="21"/>
              </w:rPr>
            </w:pPr>
          </w:p>
        </w:tc>
        <w:tc>
          <w:tcPr>
            <w:tcW w:w="828" w:type="pct"/>
            <w:vAlign w:val="center"/>
          </w:tcPr>
          <w:p>
            <w:pPr>
              <w:wordWrap w:val="0"/>
              <w:autoSpaceDE w:val="0"/>
              <w:autoSpaceDN w:val="0"/>
              <w:adjustRightInd w:val="0"/>
              <w:jc w:val="center"/>
              <w:rPr>
                <w:kern w:val="0"/>
                <w:szCs w:val="21"/>
              </w:rPr>
            </w:pPr>
            <w:r>
              <w:rPr>
                <w:kern w:val="0"/>
                <w:szCs w:val="21"/>
              </w:rPr>
              <w:t>250*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restart"/>
            <w:vAlign w:val="center"/>
          </w:tcPr>
          <w:p>
            <w:pPr>
              <w:pStyle w:val="65"/>
              <w:wordWrap w:val="0"/>
              <w:rPr>
                <w:b w:val="0"/>
                <w:szCs w:val="21"/>
              </w:rPr>
            </w:pPr>
            <w:r>
              <w:rPr>
                <w:rFonts w:hint="eastAsia"/>
                <w:b w:val="0"/>
                <w:szCs w:val="21"/>
              </w:rPr>
              <w:t>地下水</w:t>
            </w:r>
          </w:p>
        </w:tc>
        <w:tc>
          <w:tcPr>
            <w:tcW w:w="1271" w:type="pct"/>
            <w:vMerge w:val="restart"/>
            <w:vAlign w:val="center"/>
          </w:tcPr>
          <w:p>
            <w:pPr>
              <w:wordWrap w:val="0"/>
              <w:autoSpaceDE w:val="0"/>
              <w:autoSpaceDN w:val="0"/>
              <w:adjustRightInd w:val="0"/>
              <w:jc w:val="center"/>
              <w:rPr>
                <w:kern w:val="0"/>
                <w:szCs w:val="21"/>
              </w:rPr>
            </w:pPr>
            <w:r>
              <w:rPr>
                <w:rFonts w:hint="eastAsia"/>
                <w:kern w:val="0"/>
              </w:rPr>
              <w:t>《地下水质量标准》（</w:t>
            </w:r>
            <w:r>
              <w:rPr>
                <w:kern w:val="0"/>
              </w:rPr>
              <w:t>GB/T14848-93</w:t>
            </w:r>
            <w:r>
              <w:rPr>
                <w:rFonts w:hint="eastAsia"/>
                <w:kern w:val="0"/>
              </w:rPr>
              <w:t>）Ⅲ类标准</w:t>
            </w:r>
          </w:p>
        </w:tc>
        <w:tc>
          <w:tcPr>
            <w:tcW w:w="921" w:type="pct"/>
            <w:vAlign w:val="center"/>
          </w:tcPr>
          <w:p>
            <w:pPr>
              <w:wordWrap w:val="0"/>
              <w:autoSpaceDE w:val="0"/>
              <w:autoSpaceDN w:val="0"/>
              <w:adjustRightInd w:val="0"/>
              <w:jc w:val="center"/>
              <w:rPr>
                <w:kern w:val="0"/>
                <w:szCs w:val="21"/>
              </w:rPr>
            </w:pPr>
            <w:r>
              <w:rPr>
                <w:rFonts w:hint="eastAsia"/>
                <w:kern w:val="0"/>
                <w:szCs w:val="21"/>
              </w:rPr>
              <w:t>PH</w:t>
            </w:r>
          </w:p>
        </w:tc>
        <w:tc>
          <w:tcPr>
            <w:tcW w:w="1506" w:type="pct"/>
            <w:gridSpan w:val="3"/>
            <w:vMerge w:val="restart"/>
            <w:vAlign w:val="center"/>
          </w:tcPr>
          <w:p>
            <w:pPr>
              <w:pStyle w:val="65"/>
              <w:wordWrap w:val="0"/>
              <w:rPr>
                <w:b w:val="0"/>
                <w:szCs w:val="21"/>
              </w:rPr>
            </w:pPr>
            <w:r>
              <w:rPr>
                <w:rFonts w:hint="eastAsia"/>
                <w:b w:val="0"/>
                <w:szCs w:val="21"/>
              </w:rPr>
              <w:t>无量纲</w:t>
            </w:r>
          </w:p>
        </w:tc>
        <w:tc>
          <w:tcPr>
            <w:tcW w:w="828" w:type="pct"/>
            <w:vAlign w:val="center"/>
          </w:tcPr>
          <w:p>
            <w:pPr>
              <w:pStyle w:val="65"/>
              <w:wordWrap w:val="0"/>
              <w:rPr>
                <w:b w:val="0"/>
                <w:szCs w:val="21"/>
              </w:rPr>
            </w:pPr>
            <w:r>
              <w:rPr>
                <w:b w:val="0"/>
                <w:kern w:val="0"/>
                <w:szCs w:val="21"/>
              </w:rPr>
              <w:t>6.5~8.5</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wordWrap w:val="0"/>
              <w:autoSpaceDE w:val="0"/>
              <w:autoSpaceDN w:val="0"/>
              <w:adjustRightInd w:val="0"/>
              <w:jc w:val="center"/>
              <w:rPr>
                <w:kern w:val="0"/>
                <w:szCs w:val="21"/>
              </w:rPr>
            </w:pPr>
            <w:r>
              <w:rPr>
                <w:rFonts w:hint="eastAsia"/>
                <w:kern w:val="0"/>
                <w:szCs w:val="21"/>
              </w:rPr>
              <w:t>色度</w:t>
            </w:r>
          </w:p>
        </w:tc>
        <w:tc>
          <w:tcPr>
            <w:tcW w:w="1506" w:type="pct"/>
            <w:gridSpan w:val="3"/>
            <w:vMerge w:val="continue"/>
            <w:vAlign w:val="center"/>
          </w:tcPr>
          <w:p>
            <w:pPr>
              <w:pStyle w:val="65"/>
              <w:wordWrap w:val="0"/>
              <w:rPr>
                <w:b w:val="0"/>
                <w:szCs w:val="21"/>
              </w:rPr>
            </w:pPr>
          </w:p>
        </w:tc>
        <w:tc>
          <w:tcPr>
            <w:tcW w:w="828" w:type="pct"/>
            <w:vAlign w:val="center"/>
          </w:tcPr>
          <w:p>
            <w:pPr>
              <w:pStyle w:val="65"/>
              <w:wordWrap w:val="0"/>
              <w:rPr>
                <w:b w:val="0"/>
                <w:szCs w:val="21"/>
              </w:rPr>
            </w:pPr>
            <w:r>
              <w:rPr>
                <w:kern w:val="0"/>
                <w:szCs w:val="21"/>
              </w:rPr>
              <w:t>≤</w:t>
            </w:r>
            <w:r>
              <w:rPr>
                <w:rFonts w:hint="eastAsia"/>
                <w:b w:val="0"/>
                <w:szCs w:val="21"/>
              </w:rPr>
              <w:t>15</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浑浊度</w:t>
            </w:r>
          </w:p>
        </w:tc>
        <w:tc>
          <w:tcPr>
            <w:tcW w:w="1506" w:type="pct"/>
            <w:gridSpan w:val="3"/>
            <w:vMerge w:val="continue"/>
            <w:vAlign w:val="center"/>
          </w:tcPr>
          <w:p>
            <w:pPr>
              <w:pStyle w:val="65"/>
              <w:wordWrap w:val="0"/>
              <w:rPr>
                <w:b w:val="0"/>
                <w:szCs w:val="21"/>
              </w:rPr>
            </w:pPr>
          </w:p>
        </w:tc>
        <w:tc>
          <w:tcPr>
            <w:tcW w:w="828" w:type="pct"/>
            <w:vAlign w:val="center"/>
          </w:tcPr>
          <w:p>
            <w:pPr>
              <w:pStyle w:val="65"/>
              <w:wordWrap w:val="0"/>
              <w:rPr>
                <w:b w:val="0"/>
                <w:szCs w:val="21"/>
              </w:rPr>
            </w:pPr>
            <w:r>
              <w:rPr>
                <w:kern w:val="0"/>
                <w:szCs w:val="21"/>
              </w:rPr>
              <w:t>≤</w:t>
            </w:r>
            <w:r>
              <w:rPr>
                <w:rFonts w:hint="eastAsia"/>
                <w:b w:val="0"/>
                <w:szCs w:val="21"/>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嗅和味</w:t>
            </w:r>
          </w:p>
        </w:tc>
        <w:tc>
          <w:tcPr>
            <w:tcW w:w="1506" w:type="pct"/>
            <w:gridSpan w:val="3"/>
            <w:vMerge w:val="continue"/>
            <w:vAlign w:val="center"/>
          </w:tcPr>
          <w:p>
            <w:pPr>
              <w:pStyle w:val="65"/>
              <w:wordWrap w:val="0"/>
              <w:rPr>
                <w:b w:val="0"/>
                <w:szCs w:val="21"/>
              </w:rPr>
            </w:pPr>
          </w:p>
        </w:tc>
        <w:tc>
          <w:tcPr>
            <w:tcW w:w="828" w:type="pct"/>
            <w:vAlign w:val="center"/>
          </w:tcPr>
          <w:p>
            <w:pPr>
              <w:pStyle w:val="65"/>
              <w:wordWrap w:val="0"/>
              <w:rPr>
                <w:b w:val="0"/>
                <w:szCs w:val="21"/>
              </w:rPr>
            </w:pPr>
            <w:r>
              <w:rPr>
                <w:rFonts w:hint="eastAsia"/>
                <w:b w:val="0"/>
                <w:szCs w:val="21"/>
              </w:rPr>
              <w:t>无</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肉眼可见物</w:t>
            </w:r>
          </w:p>
        </w:tc>
        <w:tc>
          <w:tcPr>
            <w:tcW w:w="1506" w:type="pct"/>
            <w:gridSpan w:val="3"/>
            <w:vMerge w:val="continue"/>
            <w:vAlign w:val="center"/>
          </w:tcPr>
          <w:p>
            <w:pPr>
              <w:pStyle w:val="65"/>
              <w:wordWrap w:val="0"/>
              <w:rPr>
                <w:b w:val="0"/>
                <w:szCs w:val="21"/>
              </w:rPr>
            </w:pPr>
          </w:p>
        </w:tc>
        <w:tc>
          <w:tcPr>
            <w:tcW w:w="828" w:type="pct"/>
            <w:vAlign w:val="center"/>
          </w:tcPr>
          <w:p>
            <w:pPr>
              <w:pStyle w:val="65"/>
              <w:wordWrap w:val="0"/>
              <w:rPr>
                <w:b w:val="0"/>
                <w:szCs w:val="21"/>
              </w:rPr>
            </w:pPr>
            <w:r>
              <w:rPr>
                <w:rFonts w:hint="eastAsia"/>
                <w:b w:val="0"/>
                <w:szCs w:val="21"/>
              </w:rPr>
              <w:t>无</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砷</w:t>
            </w:r>
          </w:p>
        </w:tc>
        <w:tc>
          <w:tcPr>
            <w:tcW w:w="1506" w:type="pct"/>
            <w:gridSpan w:val="3"/>
            <w:vMerge w:val="restart"/>
            <w:vAlign w:val="center"/>
          </w:tcPr>
          <w:p>
            <w:pPr>
              <w:pStyle w:val="65"/>
              <w:wordWrap w:val="0"/>
              <w:rPr>
                <w:b w:val="0"/>
                <w:szCs w:val="21"/>
              </w:rPr>
            </w:pPr>
            <w:r>
              <w:rPr>
                <w:rFonts w:hint="eastAsia"/>
                <w:b w:val="0"/>
                <w:szCs w:val="21"/>
              </w:rPr>
              <w:t>mg/L</w:t>
            </w:r>
          </w:p>
        </w:tc>
        <w:tc>
          <w:tcPr>
            <w:tcW w:w="828" w:type="pct"/>
            <w:vAlign w:val="center"/>
          </w:tcPr>
          <w:p>
            <w:pPr>
              <w:pStyle w:val="65"/>
              <w:wordWrap w:val="0"/>
              <w:rPr>
                <w:b w:val="0"/>
                <w:szCs w:val="21"/>
              </w:rPr>
            </w:pPr>
            <w:r>
              <w:rPr>
                <w:kern w:val="0"/>
                <w:szCs w:val="21"/>
              </w:rPr>
              <w:t>≤</w:t>
            </w:r>
            <w:r>
              <w:rPr>
                <w:rFonts w:hint="eastAsia"/>
                <w:b w:val="0"/>
                <w:szCs w:val="21"/>
              </w:rPr>
              <w:t>0.05</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镉</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w:t>
            </w:r>
            <w:r>
              <w:rPr>
                <w:rFonts w:hint="eastAsia"/>
                <w:kern w:val="0"/>
                <w:szCs w:val="21"/>
              </w:rPr>
              <w:t>0.01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铬（六价）</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≤0.05</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铅</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≤0.0</w:t>
            </w:r>
            <w:r>
              <w:rPr>
                <w:rFonts w:hint="eastAsia"/>
                <w:kern w:val="0"/>
                <w:szCs w:val="21"/>
              </w:rPr>
              <w:t>5</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氰化物</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≤0.05</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氟化物</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≤1.0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汞</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≤0.001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硝酸盐氮</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≤20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铁</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≤0.3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锰</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≤0.1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氯化物</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≤250.0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硫酸盐</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≤250.0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溶解性固体</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≤1000.0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总硬度</w:t>
            </w:r>
          </w:p>
        </w:tc>
        <w:tc>
          <w:tcPr>
            <w:tcW w:w="1506" w:type="pct"/>
            <w:gridSpan w:val="3"/>
            <w:vMerge w:val="continue"/>
            <w:vAlign w:val="center"/>
          </w:tcPr>
          <w:p>
            <w:pPr>
              <w:pStyle w:val="65"/>
              <w:wordWrap w:val="0"/>
              <w:rPr>
                <w:b w:val="0"/>
                <w:szCs w:val="21"/>
              </w:rPr>
            </w:pPr>
          </w:p>
        </w:tc>
        <w:tc>
          <w:tcPr>
            <w:tcW w:w="828" w:type="pct"/>
            <w:vAlign w:val="center"/>
          </w:tcPr>
          <w:p>
            <w:pPr>
              <w:autoSpaceDE w:val="0"/>
              <w:autoSpaceDN w:val="0"/>
              <w:adjustRightInd w:val="0"/>
              <w:jc w:val="center"/>
              <w:rPr>
                <w:kern w:val="0"/>
                <w:szCs w:val="21"/>
              </w:rPr>
            </w:pPr>
            <w:r>
              <w:rPr>
                <w:kern w:val="0"/>
                <w:szCs w:val="21"/>
              </w:rPr>
              <w:t>≤450.0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Align w:val="center"/>
          </w:tcPr>
          <w:p>
            <w:pPr>
              <w:autoSpaceDE w:val="0"/>
              <w:autoSpaceDN w:val="0"/>
              <w:adjustRightInd w:val="0"/>
              <w:jc w:val="center"/>
              <w:rPr>
                <w:rFonts w:ascii="宋体" w:hAnsi="宋体" w:cs="宋体"/>
                <w:kern w:val="0"/>
                <w:szCs w:val="21"/>
              </w:rPr>
            </w:pPr>
            <w:r>
              <w:rPr>
                <w:rFonts w:ascii="宋体" w:hAnsi="宋体" w:cs="宋体"/>
                <w:kern w:val="0"/>
                <w:szCs w:val="21"/>
              </w:rPr>
              <w:t>挥发酚</w:t>
            </w:r>
          </w:p>
        </w:tc>
        <w:tc>
          <w:tcPr>
            <w:tcW w:w="1506" w:type="pct"/>
            <w:gridSpan w:val="3"/>
            <w:vMerge w:val="continue"/>
            <w:vAlign w:val="center"/>
          </w:tcPr>
          <w:p>
            <w:pPr>
              <w:pStyle w:val="65"/>
              <w:wordWrap w:val="0"/>
              <w:rPr>
                <w:b w:val="0"/>
                <w:szCs w:val="21"/>
              </w:rPr>
            </w:pPr>
          </w:p>
        </w:tc>
        <w:tc>
          <w:tcPr>
            <w:tcW w:w="828" w:type="pct"/>
            <w:vAlign w:val="center"/>
          </w:tcPr>
          <w:p>
            <w:pPr>
              <w:pStyle w:val="65"/>
              <w:wordWrap w:val="0"/>
              <w:rPr>
                <w:b w:val="0"/>
                <w:szCs w:val="21"/>
              </w:rPr>
            </w:pPr>
            <w:r>
              <w:rPr>
                <w:kern w:val="0"/>
                <w:szCs w:val="21"/>
              </w:rPr>
              <w:t>≤</w:t>
            </w:r>
            <w:r>
              <w:rPr>
                <w:rFonts w:hint="eastAsia"/>
                <w:b w:val="0"/>
                <w:szCs w:val="21"/>
              </w:rPr>
              <w:t>0.002</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restart"/>
            <w:vAlign w:val="center"/>
          </w:tcPr>
          <w:p>
            <w:pPr>
              <w:pStyle w:val="65"/>
              <w:wordWrap w:val="0"/>
              <w:rPr>
                <w:b w:val="0"/>
                <w:szCs w:val="21"/>
              </w:rPr>
            </w:pPr>
            <w:r>
              <w:rPr>
                <w:rFonts w:hint="eastAsia"/>
                <w:b w:val="0"/>
                <w:szCs w:val="21"/>
              </w:rPr>
              <w:t>声环境</w:t>
            </w:r>
          </w:p>
        </w:tc>
        <w:tc>
          <w:tcPr>
            <w:tcW w:w="1271" w:type="pct"/>
            <w:vMerge w:val="restart"/>
            <w:vAlign w:val="center"/>
          </w:tcPr>
          <w:p>
            <w:pPr>
              <w:wordWrap w:val="0"/>
              <w:autoSpaceDE w:val="0"/>
              <w:autoSpaceDN w:val="0"/>
              <w:adjustRightInd w:val="0"/>
              <w:jc w:val="center"/>
              <w:rPr>
                <w:kern w:val="0"/>
                <w:szCs w:val="21"/>
              </w:rPr>
            </w:pPr>
            <w:r>
              <w:rPr>
                <w:rFonts w:ascii="宋体" w:hAnsi="宋体" w:cs="宋体"/>
                <w:kern w:val="0"/>
                <w:szCs w:val="21"/>
              </w:rPr>
              <w:t>《声环境质量标准》（</w:t>
            </w:r>
            <w:r>
              <w:rPr>
                <w:kern w:val="0"/>
                <w:szCs w:val="21"/>
              </w:rPr>
              <w:t>GB3096-2008</w:t>
            </w:r>
            <w:r>
              <w:rPr>
                <w:rFonts w:ascii="宋体" w:hAnsi="宋体" w:cs="宋体"/>
                <w:kern w:val="0"/>
                <w:szCs w:val="21"/>
              </w:rPr>
              <w:t>）</w:t>
            </w:r>
            <w:r>
              <w:rPr>
                <w:kern w:val="0"/>
                <w:szCs w:val="21"/>
              </w:rPr>
              <w:t>2</w:t>
            </w:r>
            <w:r>
              <w:rPr>
                <w:rFonts w:ascii="宋体" w:hAnsi="宋体" w:cs="宋体"/>
                <w:kern w:val="0"/>
                <w:szCs w:val="21"/>
              </w:rPr>
              <w:t>类</w:t>
            </w:r>
          </w:p>
        </w:tc>
        <w:tc>
          <w:tcPr>
            <w:tcW w:w="921" w:type="pct"/>
            <w:vMerge w:val="restart"/>
            <w:vAlign w:val="center"/>
          </w:tcPr>
          <w:p>
            <w:pPr>
              <w:autoSpaceDE w:val="0"/>
              <w:autoSpaceDN w:val="0"/>
              <w:adjustRightInd w:val="0"/>
              <w:jc w:val="center"/>
              <w:rPr>
                <w:rFonts w:ascii="宋体" w:hAnsi="宋体" w:cs="宋体"/>
                <w:kern w:val="0"/>
                <w:szCs w:val="21"/>
              </w:rPr>
            </w:pPr>
            <w:r>
              <w:rPr>
                <w:rFonts w:ascii="宋体" w:hAnsi="宋体" w:cs="宋体"/>
                <w:kern w:val="0"/>
                <w:szCs w:val="21"/>
              </w:rPr>
              <w:t>等效连续</w:t>
            </w:r>
            <w:r>
              <w:rPr>
                <w:kern w:val="0"/>
                <w:szCs w:val="21"/>
              </w:rPr>
              <w:t>A</w:t>
            </w:r>
            <w:r>
              <w:rPr>
                <w:rFonts w:ascii="宋体" w:hAnsi="宋体" w:cs="宋体"/>
                <w:kern w:val="0"/>
                <w:szCs w:val="21"/>
              </w:rPr>
              <w:t>声级</w:t>
            </w:r>
          </w:p>
        </w:tc>
        <w:tc>
          <w:tcPr>
            <w:tcW w:w="690" w:type="pct"/>
            <w:vMerge w:val="restart"/>
            <w:vAlign w:val="center"/>
          </w:tcPr>
          <w:p>
            <w:pPr>
              <w:wordWrap w:val="0"/>
              <w:autoSpaceDE w:val="0"/>
              <w:autoSpaceDN w:val="0"/>
              <w:adjustRightInd w:val="0"/>
              <w:jc w:val="center"/>
              <w:rPr>
                <w:kern w:val="0"/>
                <w:szCs w:val="21"/>
              </w:rPr>
            </w:pPr>
            <w:r>
              <w:rPr>
                <w:kern w:val="0"/>
                <w:szCs w:val="21"/>
              </w:rPr>
              <w:t>dB(A)</w:t>
            </w:r>
          </w:p>
        </w:tc>
        <w:tc>
          <w:tcPr>
            <w:tcW w:w="816" w:type="pct"/>
            <w:gridSpan w:val="2"/>
            <w:vAlign w:val="center"/>
          </w:tcPr>
          <w:p>
            <w:pPr>
              <w:pStyle w:val="65"/>
              <w:wordWrap w:val="0"/>
              <w:rPr>
                <w:b w:val="0"/>
                <w:szCs w:val="21"/>
              </w:rPr>
            </w:pPr>
            <w:r>
              <w:rPr>
                <w:rFonts w:ascii="宋体" w:hAnsi="宋体" w:cs="宋体"/>
                <w:b w:val="0"/>
                <w:kern w:val="0"/>
                <w:szCs w:val="21"/>
              </w:rPr>
              <w:t>昼间</w:t>
            </w:r>
          </w:p>
        </w:tc>
        <w:tc>
          <w:tcPr>
            <w:tcW w:w="828" w:type="pct"/>
            <w:vAlign w:val="center"/>
          </w:tcPr>
          <w:p>
            <w:pPr>
              <w:pStyle w:val="65"/>
              <w:wordWrap w:val="0"/>
              <w:rPr>
                <w:b w:val="0"/>
                <w:szCs w:val="21"/>
              </w:rPr>
            </w:pPr>
            <w:r>
              <w:rPr>
                <w:rFonts w:hint="eastAsia"/>
                <w:b w:val="0"/>
                <w:szCs w:val="21"/>
              </w:rPr>
              <w:t>60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Merge w:val="continue"/>
            <w:vAlign w:val="center"/>
          </w:tcPr>
          <w:p>
            <w:pPr>
              <w:autoSpaceDE w:val="0"/>
              <w:autoSpaceDN w:val="0"/>
              <w:adjustRightInd w:val="0"/>
              <w:jc w:val="center"/>
              <w:rPr>
                <w:rFonts w:ascii="宋体" w:hAnsi="宋体" w:cs="宋体"/>
                <w:kern w:val="0"/>
                <w:szCs w:val="21"/>
              </w:rPr>
            </w:pPr>
          </w:p>
        </w:tc>
        <w:tc>
          <w:tcPr>
            <w:tcW w:w="690" w:type="pct"/>
            <w:vMerge w:val="continue"/>
            <w:vAlign w:val="center"/>
          </w:tcPr>
          <w:p>
            <w:pPr>
              <w:wordWrap w:val="0"/>
              <w:autoSpaceDE w:val="0"/>
              <w:autoSpaceDN w:val="0"/>
              <w:adjustRightInd w:val="0"/>
              <w:jc w:val="center"/>
              <w:rPr>
                <w:kern w:val="0"/>
                <w:szCs w:val="21"/>
              </w:rPr>
            </w:pPr>
          </w:p>
        </w:tc>
        <w:tc>
          <w:tcPr>
            <w:tcW w:w="816" w:type="pct"/>
            <w:gridSpan w:val="2"/>
            <w:vAlign w:val="center"/>
          </w:tcPr>
          <w:p>
            <w:pPr>
              <w:pStyle w:val="65"/>
              <w:wordWrap w:val="0"/>
              <w:rPr>
                <w:b w:val="0"/>
                <w:szCs w:val="21"/>
              </w:rPr>
            </w:pPr>
            <w:r>
              <w:rPr>
                <w:rFonts w:ascii="宋体" w:hAnsi="宋体" w:cs="宋体"/>
                <w:b w:val="0"/>
                <w:kern w:val="0"/>
                <w:szCs w:val="21"/>
              </w:rPr>
              <w:t>夜间</w:t>
            </w:r>
          </w:p>
        </w:tc>
        <w:tc>
          <w:tcPr>
            <w:tcW w:w="828" w:type="pct"/>
            <w:vAlign w:val="center"/>
          </w:tcPr>
          <w:p>
            <w:pPr>
              <w:pStyle w:val="65"/>
              <w:wordWrap w:val="0"/>
              <w:rPr>
                <w:b w:val="0"/>
                <w:szCs w:val="21"/>
              </w:rPr>
            </w:pPr>
            <w:r>
              <w:rPr>
                <w:rFonts w:hint="eastAsia"/>
                <w:b w:val="0"/>
                <w:szCs w:val="21"/>
              </w:rPr>
              <w:t>50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165" w:hRule="atLeast"/>
        </w:trPr>
        <w:tc>
          <w:tcPr>
            <w:tcW w:w="474" w:type="pct"/>
            <w:vMerge w:val="continue"/>
            <w:vAlign w:val="center"/>
          </w:tcPr>
          <w:p>
            <w:pPr>
              <w:pStyle w:val="65"/>
              <w:wordWrap w:val="0"/>
              <w:rPr>
                <w:b w:val="0"/>
                <w:szCs w:val="21"/>
              </w:rPr>
            </w:pPr>
          </w:p>
        </w:tc>
        <w:tc>
          <w:tcPr>
            <w:tcW w:w="1271" w:type="pct"/>
            <w:vMerge w:val="restart"/>
            <w:vAlign w:val="center"/>
          </w:tcPr>
          <w:p>
            <w:pPr>
              <w:wordWrap w:val="0"/>
              <w:autoSpaceDE w:val="0"/>
              <w:autoSpaceDN w:val="0"/>
              <w:adjustRightInd w:val="0"/>
              <w:jc w:val="center"/>
              <w:rPr>
                <w:kern w:val="0"/>
                <w:szCs w:val="21"/>
              </w:rPr>
            </w:pPr>
            <w:r>
              <w:rPr>
                <w:rFonts w:ascii="宋体" w:hAnsi="宋体" w:cs="宋体"/>
                <w:kern w:val="0"/>
                <w:szCs w:val="21"/>
              </w:rPr>
              <w:t>《声环境质量标准》（</w:t>
            </w:r>
            <w:r>
              <w:rPr>
                <w:kern w:val="0"/>
                <w:szCs w:val="21"/>
              </w:rPr>
              <w:t>GB3096-2008</w:t>
            </w:r>
            <w:r>
              <w:rPr>
                <w:rFonts w:ascii="宋体" w:hAnsi="宋体" w:cs="宋体"/>
                <w:kern w:val="0"/>
                <w:szCs w:val="21"/>
              </w:rPr>
              <w:t>）</w:t>
            </w:r>
            <w:r>
              <w:rPr>
                <w:kern w:val="0"/>
                <w:szCs w:val="21"/>
              </w:rPr>
              <w:t>4a</w:t>
            </w:r>
            <w:r>
              <w:rPr>
                <w:rFonts w:ascii="宋体" w:hAnsi="宋体" w:cs="宋体"/>
                <w:kern w:val="0"/>
                <w:szCs w:val="21"/>
              </w:rPr>
              <w:t>类</w:t>
            </w:r>
          </w:p>
        </w:tc>
        <w:tc>
          <w:tcPr>
            <w:tcW w:w="921" w:type="pct"/>
            <w:vMerge w:val="restart"/>
            <w:vAlign w:val="center"/>
          </w:tcPr>
          <w:p>
            <w:pPr>
              <w:autoSpaceDE w:val="0"/>
              <w:autoSpaceDN w:val="0"/>
              <w:adjustRightInd w:val="0"/>
              <w:jc w:val="center"/>
              <w:rPr>
                <w:rFonts w:ascii="宋体" w:hAnsi="宋体" w:cs="宋体"/>
                <w:kern w:val="0"/>
                <w:szCs w:val="21"/>
              </w:rPr>
            </w:pPr>
            <w:r>
              <w:rPr>
                <w:rFonts w:ascii="宋体" w:hAnsi="宋体" w:cs="宋体"/>
                <w:kern w:val="0"/>
                <w:szCs w:val="21"/>
              </w:rPr>
              <w:t>等效连续</w:t>
            </w:r>
            <w:r>
              <w:rPr>
                <w:kern w:val="0"/>
                <w:szCs w:val="21"/>
              </w:rPr>
              <w:t>A</w:t>
            </w:r>
            <w:r>
              <w:rPr>
                <w:rFonts w:ascii="宋体" w:hAnsi="宋体" w:cs="宋体"/>
                <w:kern w:val="0"/>
                <w:szCs w:val="21"/>
              </w:rPr>
              <w:t>声级</w:t>
            </w:r>
          </w:p>
        </w:tc>
        <w:tc>
          <w:tcPr>
            <w:tcW w:w="690" w:type="pct"/>
            <w:vMerge w:val="restart"/>
            <w:vAlign w:val="center"/>
          </w:tcPr>
          <w:p>
            <w:pPr>
              <w:wordWrap w:val="0"/>
              <w:autoSpaceDE w:val="0"/>
              <w:autoSpaceDN w:val="0"/>
              <w:adjustRightInd w:val="0"/>
              <w:jc w:val="center"/>
              <w:rPr>
                <w:kern w:val="0"/>
                <w:szCs w:val="21"/>
              </w:rPr>
            </w:pPr>
            <w:r>
              <w:rPr>
                <w:kern w:val="0"/>
                <w:szCs w:val="21"/>
              </w:rPr>
              <w:t>dB(A)</w:t>
            </w:r>
          </w:p>
        </w:tc>
        <w:tc>
          <w:tcPr>
            <w:tcW w:w="816" w:type="pct"/>
            <w:gridSpan w:val="2"/>
            <w:vAlign w:val="center"/>
          </w:tcPr>
          <w:p>
            <w:pPr>
              <w:pStyle w:val="65"/>
              <w:wordWrap w:val="0"/>
              <w:rPr>
                <w:b w:val="0"/>
                <w:szCs w:val="21"/>
              </w:rPr>
            </w:pPr>
            <w:r>
              <w:rPr>
                <w:rFonts w:ascii="宋体" w:hAnsi="宋体" w:cs="宋体"/>
                <w:b w:val="0"/>
                <w:kern w:val="0"/>
                <w:szCs w:val="21"/>
              </w:rPr>
              <w:t>昼间</w:t>
            </w:r>
          </w:p>
        </w:tc>
        <w:tc>
          <w:tcPr>
            <w:tcW w:w="828" w:type="pct"/>
            <w:vAlign w:val="center"/>
          </w:tcPr>
          <w:p>
            <w:pPr>
              <w:pStyle w:val="65"/>
              <w:wordWrap w:val="0"/>
              <w:rPr>
                <w:b w:val="0"/>
                <w:szCs w:val="21"/>
              </w:rPr>
            </w:pPr>
            <w:r>
              <w:rPr>
                <w:rFonts w:hint="eastAsia"/>
                <w:b w:val="0"/>
                <w:szCs w:val="21"/>
              </w:rPr>
              <w:t>70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74" w:type="pct"/>
            <w:vMerge w:val="continue"/>
            <w:vAlign w:val="center"/>
          </w:tcPr>
          <w:p>
            <w:pPr>
              <w:pStyle w:val="65"/>
              <w:wordWrap w:val="0"/>
              <w:rPr>
                <w:b w:val="0"/>
                <w:szCs w:val="21"/>
              </w:rPr>
            </w:pPr>
          </w:p>
        </w:tc>
        <w:tc>
          <w:tcPr>
            <w:tcW w:w="1271" w:type="pct"/>
            <w:vMerge w:val="continue"/>
            <w:vAlign w:val="center"/>
          </w:tcPr>
          <w:p>
            <w:pPr>
              <w:wordWrap w:val="0"/>
              <w:autoSpaceDE w:val="0"/>
              <w:autoSpaceDN w:val="0"/>
              <w:adjustRightInd w:val="0"/>
              <w:jc w:val="center"/>
              <w:rPr>
                <w:kern w:val="0"/>
                <w:szCs w:val="21"/>
              </w:rPr>
            </w:pPr>
          </w:p>
        </w:tc>
        <w:tc>
          <w:tcPr>
            <w:tcW w:w="921" w:type="pct"/>
            <w:vMerge w:val="continue"/>
            <w:vAlign w:val="center"/>
          </w:tcPr>
          <w:p>
            <w:pPr>
              <w:autoSpaceDE w:val="0"/>
              <w:autoSpaceDN w:val="0"/>
              <w:adjustRightInd w:val="0"/>
              <w:jc w:val="center"/>
              <w:rPr>
                <w:rFonts w:ascii="宋体" w:hAnsi="宋体" w:cs="宋体"/>
                <w:kern w:val="0"/>
                <w:szCs w:val="21"/>
              </w:rPr>
            </w:pPr>
          </w:p>
        </w:tc>
        <w:tc>
          <w:tcPr>
            <w:tcW w:w="690" w:type="pct"/>
            <w:vMerge w:val="continue"/>
            <w:vAlign w:val="center"/>
          </w:tcPr>
          <w:p>
            <w:pPr>
              <w:wordWrap w:val="0"/>
              <w:autoSpaceDE w:val="0"/>
              <w:autoSpaceDN w:val="0"/>
              <w:adjustRightInd w:val="0"/>
              <w:jc w:val="center"/>
              <w:rPr>
                <w:kern w:val="0"/>
                <w:szCs w:val="21"/>
              </w:rPr>
            </w:pPr>
          </w:p>
        </w:tc>
        <w:tc>
          <w:tcPr>
            <w:tcW w:w="816" w:type="pct"/>
            <w:gridSpan w:val="2"/>
            <w:vAlign w:val="center"/>
          </w:tcPr>
          <w:p>
            <w:pPr>
              <w:pStyle w:val="65"/>
              <w:wordWrap w:val="0"/>
              <w:rPr>
                <w:b w:val="0"/>
                <w:szCs w:val="21"/>
              </w:rPr>
            </w:pPr>
            <w:r>
              <w:rPr>
                <w:rFonts w:ascii="宋体" w:hAnsi="宋体" w:cs="宋体"/>
                <w:b w:val="0"/>
                <w:kern w:val="0"/>
                <w:szCs w:val="21"/>
              </w:rPr>
              <w:t>夜间</w:t>
            </w:r>
          </w:p>
        </w:tc>
        <w:tc>
          <w:tcPr>
            <w:tcW w:w="828" w:type="pct"/>
            <w:vAlign w:val="center"/>
          </w:tcPr>
          <w:p>
            <w:pPr>
              <w:pStyle w:val="65"/>
              <w:wordWrap w:val="0"/>
              <w:rPr>
                <w:b w:val="0"/>
                <w:szCs w:val="21"/>
              </w:rPr>
            </w:pPr>
            <w:r>
              <w:rPr>
                <w:rFonts w:hint="eastAsia"/>
                <w:b w:val="0"/>
                <w:szCs w:val="21"/>
              </w:rPr>
              <w:t>55</w:t>
            </w:r>
          </w:p>
        </w:tc>
      </w:tr>
    </w:tbl>
    <w:p>
      <w:pPr>
        <w:pStyle w:val="65"/>
        <w:jc w:val="both"/>
      </w:pPr>
      <w:r>
        <w:rPr>
          <w:szCs w:val="21"/>
        </w:rPr>
        <w:t>*</w:t>
      </w:r>
      <w:r>
        <w:rPr>
          <w:rFonts w:hint="eastAsia" w:ascii="宋体" w:cs="宋体"/>
          <w:szCs w:val="21"/>
        </w:rPr>
        <w:t>参照集中式生活饮用水地表水源地补充项目标准限值。</w:t>
      </w:r>
    </w:p>
    <w:p>
      <w:pPr>
        <w:pStyle w:val="62"/>
        <w:rPr>
          <w:color w:val="auto"/>
        </w:rPr>
      </w:pPr>
      <w:r>
        <w:rPr>
          <w:bCs/>
          <w:color w:val="auto"/>
        </w:rPr>
        <w:t xml:space="preserve">1.2.3 </w:t>
      </w:r>
      <w:r>
        <w:rPr>
          <w:rFonts w:hint="eastAsia"/>
          <w:color w:val="auto"/>
        </w:rPr>
        <w:t>污染物排放标准</w:t>
      </w:r>
    </w:p>
    <w:p>
      <w:pPr>
        <w:pStyle w:val="63"/>
        <w:ind w:firstLine="480"/>
        <w:rPr>
          <w:color w:val="auto"/>
        </w:rPr>
      </w:pPr>
      <w:r>
        <w:rPr>
          <w:rFonts w:hint="eastAsia"/>
          <w:color w:val="auto"/>
        </w:rPr>
        <w:t>（</w:t>
      </w:r>
      <w:r>
        <w:rPr>
          <w:color w:val="auto"/>
        </w:rPr>
        <w:t>1</w:t>
      </w:r>
      <w:r>
        <w:rPr>
          <w:rFonts w:hint="eastAsia"/>
          <w:color w:val="auto"/>
        </w:rPr>
        <w:t>）大气污染物排放执行《大气污染物综合排放标准》(</w:t>
      </w:r>
      <w:r>
        <w:rPr>
          <w:color w:val="auto"/>
        </w:rPr>
        <w:t>GB16297-1996</w:t>
      </w:r>
      <w:r>
        <w:rPr>
          <w:rFonts w:hint="eastAsia"/>
          <w:color w:val="auto"/>
        </w:rPr>
        <w:t>)中的二级标准。</w:t>
      </w:r>
    </w:p>
    <w:p>
      <w:pPr>
        <w:pStyle w:val="63"/>
        <w:ind w:firstLine="480"/>
        <w:rPr>
          <w:color w:val="auto"/>
        </w:rPr>
      </w:pPr>
      <w:r>
        <w:rPr>
          <w:rFonts w:hint="eastAsia"/>
          <w:color w:val="auto"/>
        </w:rPr>
        <w:t>（</w:t>
      </w:r>
      <w:r>
        <w:rPr>
          <w:color w:val="auto"/>
        </w:rPr>
        <w:t>2</w:t>
      </w:r>
      <w:r>
        <w:rPr>
          <w:rFonts w:hint="eastAsia"/>
          <w:color w:val="auto"/>
        </w:rPr>
        <w:t>）生产废水和生活污水全部综合利用，不外排。</w:t>
      </w:r>
    </w:p>
    <w:p>
      <w:pPr>
        <w:pStyle w:val="63"/>
        <w:wordWrap w:val="0"/>
        <w:ind w:firstLine="480"/>
        <w:rPr>
          <w:color w:val="auto"/>
        </w:rPr>
      </w:pPr>
      <w:r>
        <w:rPr>
          <w:rFonts w:hint="eastAsia"/>
          <w:color w:val="auto"/>
        </w:rPr>
        <w:t>（</w:t>
      </w:r>
      <w:r>
        <w:rPr>
          <w:color w:val="auto"/>
        </w:rPr>
        <w:t>3</w:t>
      </w:r>
      <w:r>
        <w:rPr>
          <w:rFonts w:hint="eastAsia"/>
          <w:color w:val="auto"/>
        </w:rPr>
        <w:t>）水源管理站北侧、西侧，给水处理站东侧噪声执行《工业企业厂界环境噪声排放标准》（</w:t>
      </w:r>
      <w:r>
        <w:rPr>
          <w:color w:val="auto"/>
        </w:rPr>
        <w:t>GB12348-2008</w:t>
      </w:r>
      <w:r>
        <w:rPr>
          <w:rFonts w:hint="eastAsia"/>
          <w:color w:val="auto"/>
        </w:rPr>
        <w:t>）</w:t>
      </w:r>
      <w:r>
        <w:rPr>
          <w:color w:val="auto"/>
        </w:rPr>
        <w:t>4</w:t>
      </w:r>
      <w:r>
        <w:rPr>
          <w:rFonts w:hint="eastAsia"/>
          <w:color w:val="auto"/>
        </w:rPr>
        <w:t>类标准，其余场界</w:t>
      </w:r>
      <w:r>
        <w:rPr>
          <w:color w:val="auto"/>
        </w:rPr>
        <w:t>/</w:t>
      </w:r>
      <w:r>
        <w:rPr>
          <w:rFonts w:hint="eastAsia"/>
          <w:color w:val="auto"/>
        </w:rPr>
        <w:t>厂界噪声执行《工业企业厂界环境噪声排放标准》（</w:t>
      </w:r>
      <w:r>
        <w:rPr>
          <w:color w:val="auto"/>
        </w:rPr>
        <w:t>GB12348-2008</w:t>
      </w:r>
      <w:r>
        <w:rPr>
          <w:rFonts w:hint="eastAsia"/>
          <w:color w:val="auto"/>
        </w:rPr>
        <w:t>）</w:t>
      </w:r>
      <w:r>
        <w:rPr>
          <w:color w:val="auto"/>
        </w:rPr>
        <w:t>2</w:t>
      </w:r>
      <w:r>
        <w:rPr>
          <w:rFonts w:hint="eastAsia"/>
          <w:color w:val="auto"/>
        </w:rPr>
        <w:t>类标准；建筑施工噪声执行《建筑施工场界环境噪声排放标准》（</w:t>
      </w:r>
      <w:r>
        <w:rPr>
          <w:color w:val="auto"/>
        </w:rPr>
        <w:t>GB12523-2011</w:t>
      </w:r>
      <w:r>
        <w:rPr>
          <w:rFonts w:hint="eastAsia"/>
          <w:color w:val="auto"/>
        </w:rPr>
        <w:t>）中的相关规定；</w:t>
      </w:r>
    </w:p>
    <w:p>
      <w:pPr>
        <w:pStyle w:val="63"/>
        <w:ind w:firstLine="480"/>
        <w:rPr>
          <w:color w:val="auto"/>
        </w:rPr>
      </w:pPr>
      <w:r>
        <w:rPr>
          <w:rFonts w:hint="eastAsia"/>
          <w:color w:val="auto"/>
        </w:rPr>
        <w:t>（</w:t>
      </w:r>
      <w:r>
        <w:rPr>
          <w:color w:val="auto"/>
        </w:rPr>
        <w:t>4</w:t>
      </w:r>
      <w:r>
        <w:rPr>
          <w:rFonts w:hint="eastAsia"/>
          <w:color w:val="auto"/>
        </w:rPr>
        <w:t>）一般固废执行《一般工业固废贮存、处置场污染控制标准》（</w:t>
      </w:r>
      <w:r>
        <w:rPr>
          <w:color w:val="auto"/>
        </w:rPr>
        <w:t>GB18599-2001</w:t>
      </w:r>
      <w:r>
        <w:rPr>
          <w:rFonts w:hint="eastAsia"/>
          <w:color w:val="auto"/>
        </w:rPr>
        <w:t>）及其修改单（环境保护部公告</w:t>
      </w:r>
      <w:r>
        <w:rPr>
          <w:color w:val="auto"/>
        </w:rPr>
        <w:t>2013</w:t>
      </w:r>
      <w:r>
        <w:rPr>
          <w:rFonts w:hint="eastAsia"/>
          <w:color w:val="auto"/>
        </w:rPr>
        <w:t>年第</w:t>
      </w:r>
      <w:r>
        <w:rPr>
          <w:color w:val="auto"/>
        </w:rPr>
        <w:t>36</w:t>
      </w:r>
      <w:r>
        <w:rPr>
          <w:rFonts w:hint="eastAsia"/>
          <w:color w:val="auto"/>
        </w:rPr>
        <w:t>号）；生活垃圾执行《生活垃圾填埋场污染控制标准》（</w:t>
      </w:r>
      <w:r>
        <w:rPr>
          <w:color w:val="auto"/>
        </w:rPr>
        <w:t>GB16889-2008</w:t>
      </w:r>
      <w:r>
        <w:rPr>
          <w:rFonts w:hint="eastAsia"/>
          <w:color w:val="auto"/>
        </w:rPr>
        <w:t>）；危险废物执行《危险废物贮存污染控制标准》（</w:t>
      </w:r>
      <w:r>
        <w:rPr>
          <w:color w:val="auto"/>
        </w:rPr>
        <w:t>GB18597-2001</w:t>
      </w:r>
      <w:r>
        <w:rPr>
          <w:rFonts w:hint="eastAsia"/>
          <w:color w:val="auto"/>
        </w:rPr>
        <w:t>）及其修改单（环境保护部公告</w:t>
      </w:r>
      <w:r>
        <w:rPr>
          <w:color w:val="auto"/>
        </w:rPr>
        <w:t>2013</w:t>
      </w:r>
      <w:r>
        <w:rPr>
          <w:rFonts w:hint="eastAsia"/>
          <w:color w:val="auto"/>
        </w:rPr>
        <w:t>年第</w:t>
      </w:r>
      <w:r>
        <w:rPr>
          <w:color w:val="auto"/>
        </w:rPr>
        <w:t>36</w:t>
      </w:r>
      <w:r>
        <w:rPr>
          <w:rFonts w:hint="eastAsia"/>
          <w:color w:val="auto"/>
        </w:rPr>
        <w:t>号）。</w:t>
      </w:r>
    </w:p>
    <w:p>
      <w:pPr>
        <w:pStyle w:val="63"/>
        <w:ind w:firstLine="480"/>
        <w:rPr>
          <w:color w:val="auto"/>
        </w:rPr>
      </w:pPr>
      <w:r>
        <w:rPr>
          <w:rFonts w:hint="eastAsia"/>
          <w:color w:val="auto"/>
        </w:rPr>
        <w:t>具体评价指标见表</w:t>
      </w:r>
      <w:r>
        <w:rPr>
          <w:rFonts w:cs="Times New Roman"/>
          <w:color w:val="auto"/>
        </w:rPr>
        <w:t>1.2-3</w:t>
      </w:r>
      <w:r>
        <w:rPr>
          <w:rFonts w:hint="eastAsia"/>
          <w:color w:val="auto"/>
        </w:rPr>
        <w:t>、表</w:t>
      </w:r>
      <w:r>
        <w:rPr>
          <w:rFonts w:cs="Times New Roman"/>
          <w:color w:val="auto"/>
        </w:rPr>
        <w:t>1.2-4</w:t>
      </w:r>
      <w:r>
        <w:rPr>
          <w:rFonts w:hint="eastAsia"/>
          <w:color w:val="auto"/>
        </w:rPr>
        <w:t>。</w:t>
      </w:r>
    </w:p>
    <w:p>
      <w:pPr>
        <w:pStyle w:val="65"/>
      </w:pPr>
      <w:r>
        <w:t>表1.2-</w:t>
      </w:r>
      <w:r>
        <w:rPr>
          <w:rFonts w:hint="eastAsia"/>
        </w:rPr>
        <w:t>3</w:t>
      </w:r>
      <w:r>
        <w:t xml:space="preserve">  工业企业厂界环境噪声排放标准[dB(A)]</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3080"/>
        <w:gridCol w:w="3081"/>
        <w:gridCol w:w="3081"/>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666" w:type="pct"/>
          </w:tcPr>
          <w:p>
            <w:pPr>
              <w:pStyle w:val="65"/>
            </w:pPr>
            <w:r>
              <w:rPr>
                <w:rFonts w:hint="eastAsia"/>
              </w:rPr>
              <w:t>功能类别</w:t>
            </w:r>
          </w:p>
        </w:tc>
        <w:tc>
          <w:tcPr>
            <w:tcW w:w="1667" w:type="pct"/>
          </w:tcPr>
          <w:p>
            <w:pPr>
              <w:pStyle w:val="65"/>
            </w:pPr>
            <w:r>
              <w:rPr>
                <w:rFonts w:hint="eastAsia"/>
              </w:rPr>
              <w:t>昼间</w:t>
            </w:r>
          </w:p>
        </w:tc>
        <w:tc>
          <w:tcPr>
            <w:tcW w:w="1667" w:type="pct"/>
          </w:tcPr>
          <w:p>
            <w:pPr>
              <w:pStyle w:val="65"/>
            </w:pPr>
            <w:r>
              <w:rPr>
                <w:rFonts w:hint="eastAsia"/>
              </w:rPr>
              <w:t>夜间</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666" w:type="pct"/>
          </w:tcPr>
          <w:p>
            <w:pPr>
              <w:pStyle w:val="65"/>
              <w:rPr>
                <w:b w:val="0"/>
              </w:rPr>
            </w:pPr>
            <w:r>
              <w:rPr>
                <w:rFonts w:hint="eastAsia"/>
                <w:b w:val="0"/>
              </w:rPr>
              <w:t>2类</w:t>
            </w:r>
          </w:p>
        </w:tc>
        <w:tc>
          <w:tcPr>
            <w:tcW w:w="1667" w:type="pct"/>
          </w:tcPr>
          <w:p>
            <w:pPr>
              <w:pStyle w:val="65"/>
              <w:rPr>
                <w:b w:val="0"/>
              </w:rPr>
            </w:pPr>
            <w:r>
              <w:rPr>
                <w:rFonts w:hint="eastAsia"/>
                <w:b w:val="0"/>
              </w:rPr>
              <w:t>60</w:t>
            </w:r>
          </w:p>
        </w:tc>
        <w:tc>
          <w:tcPr>
            <w:tcW w:w="1667" w:type="pct"/>
          </w:tcPr>
          <w:p>
            <w:pPr>
              <w:pStyle w:val="65"/>
              <w:rPr>
                <w:b w:val="0"/>
              </w:rPr>
            </w:pPr>
            <w:r>
              <w:rPr>
                <w:rFonts w:hint="eastAsia"/>
                <w:b w:val="0"/>
              </w:rPr>
              <w:t>50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666" w:type="pct"/>
          </w:tcPr>
          <w:p>
            <w:pPr>
              <w:pStyle w:val="65"/>
              <w:rPr>
                <w:b w:val="0"/>
              </w:rPr>
            </w:pPr>
            <w:r>
              <w:rPr>
                <w:rFonts w:hint="eastAsia"/>
                <w:b w:val="0"/>
              </w:rPr>
              <w:t>4类</w:t>
            </w:r>
          </w:p>
        </w:tc>
        <w:tc>
          <w:tcPr>
            <w:tcW w:w="1667" w:type="pct"/>
          </w:tcPr>
          <w:p>
            <w:pPr>
              <w:pStyle w:val="65"/>
              <w:rPr>
                <w:b w:val="0"/>
              </w:rPr>
            </w:pPr>
            <w:r>
              <w:rPr>
                <w:rFonts w:hint="eastAsia"/>
                <w:b w:val="0"/>
              </w:rPr>
              <w:t>70</w:t>
            </w:r>
          </w:p>
        </w:tc>
        <w:tc>
          <w:tcPr>
            <w:tcW w:w="1667" w:type="pct"/>
          </w:tcPr>
          <w:p>
            <w:pPr>
              <w:pStyle w:val="65"/>
              <w:rPr>
                <w:b w:val="0"/>
              </w:rPr>
            </w:pPr>
            <w:r>
              <w:rPr>
                <w:rFonts w:hint="eastAsia"/>
                <w:b w:val="0"/>
              </w:rPr>
              <w:t>55</w:t>
            </w:r>
          </w:p>
        </w:tc>
      </w:tr>
    </w:tbl>
    <w:p>
      <w:pPr>
        <w:pStyle w:val="65"/>
      </w:pPr>
      <w:r>
        <w:t>表1.2-</w:t>
      </w:r>
      <w:r>
        <w:rPr>
          <w:rFonts w:hint="eastAsia"/>
        </w:rPr>
        <w:t>4</w:t>
      </w:r>
      <w:r>
        <w:t xml:space="preserve">  建筑施工场界环境噪声排放限值[dB(A)]</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4621"/>
        <w:gridCol w:w="4621"/>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2500" w:type="pct"/>
          </w:tcPr>
          <w:p>
            <w:pPr>
              <w:pStyle w:val="65"/>
            </w:pPr>
            <w:r>
              <w:rPr>
                <w:rFonts w:hint="eastAsia"/>
              </w:rPr>
              <w:t>昼间</w:t>
            </w:r>
          </w:p>
        </w:tc>
        <w:tc>
          <w:tcPr>
            <w:tcW w:w="2500" w:type="pct"/>
          </w:tcPr>
          <w:p>
            <w:pPr>
              <w:pStyle w:val="65"/>
            </w:pPr>
            <w:r>
              <w:rPr>
                <w:rFonts w:hint="eastAsia"/>
              </w:rPr>
              <w:t>夜间</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2500" w:type="pct"/>
          </w:tcPr>
          <w:p>
            <w:pPr>
              <w:pStyle w:val="65"/>
              <w:rPr>
                <w:b w:val="0"/>
              </w:rPr>
            </w:pPr>
            <w:r>
              <w:rPr>
                <w:rFonts w:hint="eastAsia"/>
                <w:b w:val="0"/>
              </w:rPr>
              <w:t>70</w:t>
            </w:r>
          </w:p>
        </w:tc>
        <w:tc>
          <w:tcPr>
            <w:tcW w:w="2500" w:type="pct"/>
          </w:tcPr>
          <w:p>
            <w:pPr>
              <w:pStyle w:val="65"/>
              <w:rPr>
                <w:b w:val="0"/>
              </w:rPr>
            </w:pPr>
            <w:r>
              <w:rPr>
                <w:rFonts w:hint="eastAsia"/>
                <w:b w:val="0"/>
              </w:rPr>
              <w:t>50</w:t>
            </w:r>
          </w:p>
        </w:tc>
      </w:tr>
    </w:tbl>
    <w:p>
      <w:pPr>
        <w:pStyle w:val="61"/>
        <w:rPr>
          <w:color w:val="auto"/>
        </w:rPr>
      </w:pPr>
      <w:bookmarkStart w:id="11" w:name="_Toc436902140"/>
      <w:r>
        <w:rPr>
          <w:bCs/>
          <w:color w:val="auto"/>
        </w:rPr>
        <w:t xml:space="preserve">1.3 </w:t>
      </w:r>
      <w:r>
        <w:rPr>
          <w:rFonts w:hint="eastAsia"/>
          <w:color w:val="auto"/>
        </w:rPr>
        <w:t>评价工作等级和评价重点</w:t>
      </w:r>
      <w:bookmarkEnd w:id="11"/>
      <w:r>
        <w:rPr>
          <w:color w:val="auto"/>
        </w:rPr>
        <w:t xml:space="preserve"> </w:t>
      </w:r>
    </w:p>
    <w:p>
      <w:pPr>
        <w:pStyle w:val="62"/>
        <w:rPr>
          <w:color w:val="auto"/>
        </w:rPr>
      </w:pPr>
      <w:r>
        <w:rPr>
          <w:bCs/>
          <w:color w:val="auto"/>
        </w:rPr>
        <w:t xml:space="preserve">1.3.1 </w:t>
      </w:r>
      <w:r>
        <w:rPr>
          <w:rFonts w:hint="eastAsia"/>
          <w:color w:val="auto"/>
        </w:rPr>
        <w:t>评价工作等级</w:t>
      </w:r>
      <w:r>
        <w:rPr>
          <w:color w:val="auto"/>
        </w:rPr>
        <w:t xml:space="preserve"> </w:t>
      </w:r>
    </w:p>
    <w:p>
      <w:pPr>
        <w:pStyle w:val="70"/>
        <w:ind w:firstLine="482"/>
        <w:rPr>
          <w:color w:val="auto"/>
        </w:rPr>
      </w:pPr>
      <w:r>
        <w:rPr>
          <w:color w:val="auto"/>
        </w:rPr>
        <w:t xml:space="preserve">1.3.1.1 </w:t>
      </w:r>
      <w:r>
        <w:rPr>
          <w:rFonts w:hint="eastAsia"/>
          <w:color w:val="auto"/>
        </w:rPr>
        <w:t>环境空气</w:t>
      </w:r>
    </w:p>
    <w:p>
      <w:pPr>
        <w:pStyle w:val="63"/>
        <w:ind w:firstLine="480"/>
        <w:rPr>
          <w:color w:val="auto"/>
        </w:rPr>
      </w:pPr>
      <w:r>
        <w:rPr>
          <w:rFonts w:hint="eastAsia"/>
          <w:color w:val="auto"/>
        </w:rPr>
        <w:t>本项目大气污染物仅为加氯车间微量泄露的Cl</w:t>
      </w:r>
      <w:r>
        <w:rPr>
          <w:rFonts w:hint="eastAsia"/>
          <w:color w:val="auto"/>
          <w:vertAlign w:val="subscript"/>
        </w:rPr>
        <w:t>2</w:t>
      </w:r>
      <w:r>
        <w:rPr>
          <w:rFonts w:hint="eastAsia"/>
          <w:color w:val="auto"/>
        </w:rPr>
        <w:t>和食堂餐饮油烟，排放量很少，环境空气质量影响仅作简单分析。</w:t>
      </w:r>
    </w:p>
    <w:p>
      <w:pPr>
        <w:pStyle w:val="70"/>
        <w:ind w:firstLine="482"/>
        <w:rPr>
          <w:color w:val="auto"/>
        </w:rPr>
      </w:pPr>
      <w:r>
        <w:rPr>
          <w:color w:val="auto"/>
        </w:rPr>
        <w:t xml:space="preserve">1.3.1.2 </w:t>
      </w:r>
      <w:r>
        <w:rPr>
          <w:rFonts w:hint="eastAsia"/>
          <w:color w:val="auto"/>
        </w:rPr>
        <w:t>地表水</w:t>
      </w:r>
    </w:p>
    <w:p>
      <w:pPr>
        <w:pStyle w:val="63"/>
        <w:ind w:firstLine="480"/>
        <w:rPr>
          <w:color w:val="auto"/>
        </w:rPr>
      </w:pPr>
      <w:r>
        <w:rPr>
          <w:color w:val="auto"/>
          <w:szCs w:val="24"/>
        </w:rPr>
        <w:t>项目产生的废水主要为</w:t>
      </w:r>
      <w:r>
        <w:rPr>
          <w:rFonts w:ascii="宋体" w:hAnsi="宋体" w:cs="宋体"/>
          <w:color w:val="auto"/>
          <w:szCs w:val="24"/>
        </w:rPr>
        <w:t>生活污水</w:t>
      </w:r>
      <w:r>
        <w:rPr>
          <w:rFonts w:hint="eastAsia" w:ascii="宋体" w:hAnsi="宋体" w:cs="宋体"/>
          <w:color w:val="auto"/>
          <w:szCs w:val="24"/>
        </w:rPr>
        <w:t>，</w:t>
      </w:r>
      <w:r>
        <w:rPr>
          <w:rFonts w:hint="eastAsia"/>
          <w:color w:val="auto"/>
        </w:rPr>
        <w:t>保障房给水处理站周边市政污水管网已到达，污水直接进入市政污水管网；水源管理站厂址周边无市政排水系统，环评建议在水源管理站建设一套处理工艺为“A/O生物接触氧化工艺”的地埋式污水处理装置和一座2m</w:t>
      </w:r>
      <w:r>
        <w:rPr>
          <w:rFonts w:hint="eastAsia"/>
          <w:color w:val="auto"/>
          <w:vertAlign w:val="superscript"/>
        </w:rPr>
        <w:t>3</w:t>
      </w:r>
      <w:r>
        <w:rPr>
          <w:rFonts w:hint="eastAsia"/>
          <w:color w:val="auto"/>
        </w:rPr>
        <w:t>的化粪池，餐饮废水经油水分离器处理后和其他污水一起进入化粪池，处理的水质满足《城市杂用水水质标准》（GB/T18920-2002）绿化水质达标后回用于水源管理站厂区内绿化，保证废水无外排。据</w:t>
      </w:r>
      <w:r>
        <w:rPr>
          <w:color w:val="auto"/>
        </w:rPr>
        <w:t>HJ/T2.3-93</w:t>
      </w:r>
      <w:r>
        <w:rPr>
          <w:rFonts w:hint="eastAsia"/>
          <w:color w:val="auto"/>
        </w:rPr>
        <w:t>《环境影响评价技术导则地表水环境》中所列地面水环境影响评价分级判据，确定地面水评价等级为三级从简。</w:t>
      </w:r>
    </w:p>
    <w:p>
      <w:pPr>
        <w:pStyle w:val="65"/>
      </w:pPr>
      <w:r>
        <w:rPr>
          <w:lang w:val="en-GB"/>
        </w:rPr>
        <w:t>表</w:t>
      </w:r>
      <w:r>
        <w:rPr>
          <w:rFonts w:hint="eastAsia"/>
          <w:lang w:val="en-GB"/>
        </w:rPr>
        <w:t>1.3-1</w:t>
      </w:r>
      <w:r>
        <w:rPr>
          <w:lang w:val="en-GB"/>
        </w:rPr>
        <w:t>地表水环境影响评价等级判定表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36"/>
        <w:gridCol w:w="1002"/>
        <w:gridCol w:w="1157"/>
        <w:gridCol w:w="1211"/>
        <w:gridCol w:w="1157"/>
        <w:gridCol w:w="1211"/>
        <w:gridCol w:w="1157"/>
        <w:gridCol w:w="12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15" w:type="pct"/>
            <w:vMerge w:val="restart"/>
            <w:vAlign w:val="center"/>
          </w:tcPr>
          <w:p>
            <w:pPr>
              <w:jc w:val="center"/>
              <w:rPr>
                <w:b/>
                <w:snapToGrid w:val="0"/>
                <w:kern w:val="0"/>
                <w:szCs w:val="21"/>
              </w:rPr>
            </w:pPr>
            <w:r>
              <w:rPr>
                <w:b/>
                <w:snapToGrid w:val="0"/>
                <w:kern w:val="0"/>
                <w:szCs w:val="21"/>
              </w:rPr>
              <w:t>建设项目污水排放量m</w:t>
            </w:r>
            <w:r>
              <w:rPr>
                <w:b/>
                <w:snapToGrid w:val="0"/>
                <w:kern w:val="0"/>
                <w:szCs w:val="21"/>
                <w:vertAlign w:val="superscript"/>
              </w:rPr>
              <w:t>3</w:t>
            </w:r>
            <w:r>
              <w:rPr>
                <w:b/>
                <w:snapToGrid w:val="0"/>
                <w:kern w:val="0"/>
                <w:szCs w:val="21"/>
              </w:rPr>
              <w:t>/d</w:t>
            </w:r>
          </w:p>
        </w:tc>
        <w:tc>
          <w:tcPr>
            <w:tcW w:w="542" w:type="pct"/>
            <w:vMerge w:val="restart"/>
            <w:vAlign w:val="center"/>
          </w:tcPr>
          <w:p>
            <w:pPr>
              <w:jc w:val="center"/>
              <w:rPr>
                <w:b/>
                <w:snapToGrid w:val="0"/>
                <w:kern w:val="0"/>
                <w:szCs w:val="21"/>
              </w:rPr>
            </w:pPr>
            <w:r>
              <w:rPr>
                <w:b/>
                <w:snapToGrid w:val="0"/>
                <w:kern w:val="0"/>
                <w:szCs w:val="21"/>
              </w:rPr>
              <w:t>建设项目污水水质复杂程度</w:t>
            </w:r>
          </w:p>
        </w:tc>
        <w:tc>
          <w:tcPr>
            <w:tcW w:w="1281" w:type="pct"/>
            <w:gridSpan w:val="2"/>
            <w:vAlign w:val="center"/>
          </w:tcPr>
          <w:p>
            <w:pPr>
              <w:jc w:val="center"/>
              <w:rPr>
                <w:b/>
                <w:snapToGrid w:val="0"/>
                <w:kern w:val="0"/>
                <w:szCs w:val="21"/>
              </w:rPr>
            </w:pPr>
            <w:r>
              <w:rPr>
                <w:b/>
                <w:snapToGrid w:val="0"/>
                <w:kern w:val="0"/>
                <w:szCs w:val="21"/>
              </w:rPr>
              <w:t>一级</w:t>
            </w:r>
          </w:p>
        </w:tc>
        <w:tc>
          <w:tcPr>
            <w:tcW w:w="1281" w:type="pct"/>
            <w:gridSpan w:val="2"/>
            <w:vAlign w:val="center"/>
          </w:tcPr>
          <w:p>
            <w:pPr>
              <w:jc w:val="center"/>
              <w:rPr>
                <w:b/>
                <w:snapToGrid w:val="0"/>
                <w:kern w:val="0"/>
                <w:szCs w:val="21"/>
              </w:rPr>
            </w:pPr>
            <w:r>
              <w:rPr>
                <w:b/>
                <w:snapToGrid w:val="0"/>
                <w:kern w:val="0"/>
                <w:szCs w:val="21"/>
              </w:rPr>
              <w:t>二级</w:t>
            </w:r>
          </w:p>
        </w:tc>
        <w:tc>
          <w:tcPr>
            <w:tcW w:w="1281" w:type="pct"/>
            <w:gridSpan w:val="2"/>
            <w:vAlign w:val="center"/>
          </w:tcPr>
          <w:p>
            <w:pPr>
              <w:jc w:val="center"/>
              <w:rPr>
                <w:b/>
                <w:snapToGrid w:val="0"/>
                <w:kern w:val="0"/>
                <w:szCs w:val="21"/>
              </w:rPr>
            </w:pPr>
            <w:r>
              <w:rPr>
                <w:b/>
                <w:snapToGrid w:val="0"/>
                <w:kern w:val="0"/>
                <w:szCs w:val="21"/>
              </w:rPr>
              <w:t>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15" w:type="pct"/>
            <w:vMerge w:val="continue"/>
            <w:vAlign w:val="center"/>
          </w:tcPr>
          <w:p>
            <w:pPr>
              <w:jc w:val="center"/>
              <w:rPr>
                <w:b/>
                <w:snapToGrid w:val="0"/>
                <w:kern w:val="0"/>
                <w:szCs w:val="21"/>
              </w:rPr>
            </w:pPr>
          </w:p>
        </w:tc>
        <w:tc>
          <w:tcPr>
            <w:tcW w:w="542" w:type="pct"/>
            <w:vMerge w:val="continue"/>
            <w:vAlign w:val="center"/>
          </w:tcPr>
          <w:p>
            <w:pPr>
              <w:jc w:val="center"/>
              <w:rPr>
                <w:b/>
                <w:snapToGrid w:val="0"/>
                <w:kern w:val="0"/>
                <w:szCs w:val="21"/>
              </w:rPr>
            </w:pPr>
          </w:p>
        </w:tc>
        <w:tc>
          <w:tcPr>
            <w:tcW w:w="626" w:type="pct"/>
            <w:vAlign w:val="center"/>
          </w:tcPr>
          <w:p>
            <w:pPr>
              <w:jc w:val="center"/>
              <w:rPr>
                <w:b/>
                <w:snapToGrid w:val="0"/>
                <w:kern w:val="0"/>
                <w:szCs w:val="21"/>
              </w:rPr>
            </w:pPr>
            <w:r>
              <w:rPr>
                <w:b/>
                <w:snapToGrid w:val="0"/>
                <w:kern w:val="0"/>
                <w:szCs w:val="21"/>
              </w:rPr>
              <w:t>地面水域规模（大小规模）</w:t>
            </w:r>
          </w:p>
        </w:tc>
        <w:tc>
          <w:tcPr>
            <w:tcW w:w="655" w:type="pct"/>
            <w:vAlign w:val="center"/>
          </w:tcPr>
          <w:p>
            <w:pPr>
              <w:jc w:val="center"/>
              <w:rPr>
                <w:b/>
                <w:snapToGrid w:val="0"/>
                <w:kern w:val="0"/>
                <w:szCs w:val="21"/>
              </w:rPr>
            </w:pPr>
            <w:r>
              <w:rPr>
                <w:b/>
                <w:snapToGrid w:val="0"/>
                <w:kern w:val="0"/>
                <w:szCs w:val="21"/>
              </w:rPr>
              <w:t>地面水水质要求（水质类别）</w:t>
            </w:r>
          </w:p>
        </w:tc>
        <w:tc>
          <w:tcPr>
            <w:tcW w:w="626" w:type="pct"/>
            <w:vAlign w:val="center"/>
          </w:tcPr>
          <w:p>
            <w:pPr>
              <w:jc w:val="center"/>
              <w:rPr>
                <w:b/>
                <w:snapToGrid w:val="0"/>
                <w:kern w:val="0"/>
                <w:szCs w:val="21"/>
              </w:rPr>
            </w:pPr>
            <w:r>
              <w:rPr>
                <w:b/>
                <w:snapToGrid w:val="0"/>
                <w:kern w:val="0"/>
                <w:szCs w:val="21"/>
              </w:rPr>
              <w:t>地面水域规模（大小规模）</w:t>
            </w:r>
          </w:p>
        </w:tc>
        <w:tc>
          <w:tcPr>
            <w:tcW w:w="655" w:type="pct"/>
            <w:vAlign w:val="center"/>
          </w:tcPr>
          <w:p>
            <w:pPr>
              <w:jc w:val="center"/>
              <w:rPr>
                <w:b/>
                <w:snapToGrid w:val="0"/>
                <w:kern w:val="0"/>
                <w:szCs w:val="21"/>
              </w:rPr>
            </w:pPr>
            <w:r>
              <w:rPr>
                <w:b/>
                <w:snapToGrid w:val="0"/>
                <w:kern w:val="0"/>
                <w:szCs w:val="21"/>
              </w:rPr>
              <w:t>地面水水质要求（水质类别）</w:t>
            </w:r>
          </w:p>
        </w:tc>
        <w:tc>
          <w:tcPr>
            <w:tcW w:w="626" w:type="pct"/>
            <w:vAlign w:val="center"/>
          </w:tcPr>
          <w:p>
            <w:pPr>
              <w:jc w:val="center"/>
              <w:rPr>
                <w:b/>
                <w:snapToGrid w:val="0"/>
                <w:kern w:val="0"/>
                <w:szCs w:val="21"/>
              </w:rPr>
            </w:pPr>
            <w:r>
              <w:rPr>
                <w:b/>
                <w:snapToGrid w:val="0"/>
                <w:kern w:val="0"/>
                <w:szCs w:val="21"/>
              </w:rPr>
              <w:t>地面水域规模（大小规模）</w:t>
            </w:r>
          </w:p>
        </w:tc>
        <w:tc>
          <w:tcPr>
            <w:tcW w:w="655" w:type="pct"/>
            <w:vAlign w:val="center"/>
          </w:tcPr>
          <w:p>
            <w:pPr>
              <w:jc w:val="center"/>
              <w:rPr>
                <w:b/>
                <w:snapToGrid w:val="0"/>
                <w:kern w:val="0"/>
                <w:szCs w:val="21"/>
              </w:rPr>
            </w:pPr>
            <w:r>
              <w:rPr>
                <w:b/>
                <w:snapToGrid w:val="0"/>
                <w:kern w:val="0"/>
                <w:szCs w:val="21"/>
              </w:rPr>
              <w:t>地面水水质要求（水质类别）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15" w:type="pct"/>
            <w:vMerge w:val="restart"/>
            <w:vAlign w:val="center"/>
          </w:tcPr>
          <w:p>
            <w:pPr>
              <w:jc w:val="center"/>
              <w:rPr>
                <w:snapToGrid w:val="0"/>
                <w:kern w:val="0"/>
                <w:szCs w:val="21"/>
              </w:rPr>
            </w:pPr>
            <w:r>
              <w:rPr>
                <w:snapToGrid w:val="0"/>
                <w:kern w:val="0"/>
                <w:szCs w:val="21"/>
              </w:rPr>
              <w:t>＜</w:t>
            </w:r>
            <w:r>
              <w:rPr>
                <w:rFonts w:hint="eastAsia"/>
                <w:snapToGrid w:val="0"/>
                <w:kern w:val="0"/>
                <w:szCs w:val="21"/>
              </w:rPr>
              <w:t>1</w:t>
            </w:r>
            <w:r>
              <w:rPr>
                <w:snapToGrid w:val="0"/>
                <w:kern w:val="0"/>
                <w:szCs w:val="21"/>
              </w:rPr>
              <w:t>000</w:t>
            </w:r>
          </w:p>
          <w:p>
            <w:pPr>
              <w:jc w:val="center"/>
              <w:rPr>
                <w:snapToGrid w:val="0"/>
                <w:kern w:val="0"/>
                <w:szCs w:val="21"/>
              </w:rPr>
            </w:pPr>
            <w:r>
              <w:rPr>
                <w:snapToGrid w:val="0"/>
                <w:kern w:val="0"/>
                <w:szCs w:val="21"/>
              </w:rPr>
              <w:t>≥</w:t>
            </w:r>
            <w:r>
              <w:rPr>
                <w:rFonts w:hint="eastAsia"/>
                <w:snapToGrid w:val="0"/>
                <w:kern w:val="0"/>
                <w:szCs w:val="21"/>
              </w:rPr>
              <w:t>200</w:t>
            </w:r>
          </w:p>
        </w:tc>
        <w:tc>
          <w:tcPr>
            <w:tcW w:w="542" w:type="pct"/>
            <w:vMerge w:val="restart"/>
            <w:vAlign w:val="center"/>
          </w:tcPr>
          <w:p>
            <w:pPr>
              <w:jc w:val="center"/>
              <w:rPr>
                <w:snapToGrid w:val="0"/>
                <w:kern w:val="0"/>
                <w:szCs w:val="21"/>
              </w:rPr>
            </w:pPr>
            <w:r>
              <w:rPr>
                <w:snapToGrid w:val="0"/>
                <w:kern w:val="0"/>
                <w:szCs w:val="21"/>
              </w:rPr>
              <w:t>复杂</w:t>
            </w: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vAlign w:val="center"/>
          </w:tcPr>
          <w:p>
            <w:pPr>
              <w:jc w:val="center"/>
              <w:rPr>
                <w:snapToGrid w:val="0"/>
                <w:kern w:val="0"/>
                <w:szCs w:val="21"/>
              </w:rPr>
            </w:pPr>
            <w:r>
              <w:rPr>
                <w:snapToGrid w:val="0"/>
                <w:kern w:val="0"/>
                <w:szCs w:val="21"/>
              </w:rPr>
              <w:t>大、中</w:t>
            </w:r>
          </w:p>
        </w:tc>
        <w:tc>
          <w:tcPr>
            <w:tcW w:w="655" w:type="pct"/>
            <w:vAlign w:val="center"/>
          </w:tcPr>
          <w:p>
            <w:pPr>
              <w:jc w:val="center"/>
              <w:rPr>
                <w:snapToGrid w:val="0"/>
                <w:kern w:val="0"/>
                <w:szCs w:val="21"/>
              </w:rPr>
            </w:pPr>
            <w:r>
              <w:rPr>
                <w:snapToGrid w:val="0"/>
                <w:kern w:val="0"/>
                <w:szCs w:val="21"/>
              </w:rPr>
              <w:t>Ⅰ～Ⅳ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15" w:type="pct"/>
            <w:vMerge w:val="continue"/>
            <w:vAlign w:val="center"/>
          </w:tcPr>
          <w:p>
            <w:pPr>
              <w:jc w:val="center"/>
              <w:rPr>
                <w:snapToGrid w:val="0"/>
                <w:kern w:val="0"/>
                <w:szCs w:val="21"/>
              </w:rPr>
            </w:pPr>
          </w:p>
        </w:tc>
        <w:tc>
          <w:tcPr>
            <w:tcW w:w="542" w:type="pct"/>
            <w:vMerge w:val="continue"/>
            <w:vAlign w:val="center"/>
          </w:tcPr>
          <w:p>
            <w:pPr>
              <w:jc w:val="center"/>
              <w:rPr>
                <w:snapToGrid w:val="0"/>
                <w:kern w:val="0"/>
                <w:szCs w:val="21"/>
              </w:rPr>
            </w:pP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vAlign w:val="center"/>
          </w:tcPr>
          <w:p>
            <w:pPr>
              <w:jc w:val="center"/>
              <w:rPr>
                <w:snapToGrid w:val="0"/>
                <w:kern w:val="0"/>
                <w:szCs w:val="21"/>
              </w:rPr>
            </w:pPr>
            <w:r>
              <w:rPr>
                <w:snapToGrid w:val="0"/>
                <w:kern w:val="0"/>
                <w:szCs w:val="21"/>
              </w:rPr>
              <w:t>小</w:t>
            </w:r>
          </w:p>
        </w:tc>
        <w:tc>
          <w:tcPr>
            <w:tcW w:w="655" w:type="pct"/>
            <w:vAlign w:val="center"/>
          </w:tcPr>
          <w:p>
            <w:pPr>
              <w:jc w:val="center"/>
              <w:rPr>
                <w:snapToGrid w:val="0"/>
                <w:kern w:val="0"/>
                <w:szCs w:val="21"/>
              </w:rPr>
            </w:pPr>
            <w:r>
              <w:rPr>
                <w:rFonts w:hint="eastAsia" w:ascii="宋体" w:hAnsi="宋体" w:cs="宋体"/>
                <w:snapToGrid w:val="0"/>
                <w:kern w:val="0"/>
                <w:szCs w:val="21"/>
              </w:rPr>
              <w:t>Ⅰ</w:t>
            </w:r>
            <w:r>
              <w:rPr>
                <w:snapToGrid w:val="0"/>
                <w:kern w:val="0"/>
                <w:szCs w:val="21"/>
              </w:rPr>
              <w:t>～Ⅴ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15" w:type="pct"/>
            <w:vMerge w:val="continue"/>
            <w:vAlign w:val="center"/>
          </w:tcPr>
          <w:p>
            <w:pPr>
              <w:jc w:val="center"/>
              <w:rPr>
                <w:snapToGrid w:val="0"/>
                <w:kern w:val="0"/>
                <w:szCs w:val="21"/>
              </w:rPr>
            </w:pPr>
          </w:p>
        </w:tc>
        <w:tc>
          <w:tcPr>
            <w:tcW w:w="542" w:type="pct"/>
            <w:vMerge w:val="restart"/>
            <w:vAlign w:val="center"/>
          </w:tcPr>
          <w:p>
            <w:pPr>
              <w:jc w:val="center"/>
              <w:rPr>
                <w:snapToGrid w:val="0"/>
                <w:kern w:val="0"/>
                <w:szCs w:val="21"/>
              </w:rPr>
            </w:pPr>
            <w:r>
              <w:rPr>
                <w:snapToGrid w:val="0"/>
                <w:kern w:val="0"/>
                <w:szCs w:val="21"/>
              </w:rPr>
              <w:t>中等</w:t>
            </w: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vAlign w:val="center"/>
          </w:tcPr>
          <w:p>
            <w:pPr>
              <w:jc w:val="center"/>
              <w:rPr>
                <w:snapToGrid w:val="0"/>
                <w:kern w:val="0"/>
                <w:szCs w:val="21"/>
              </w:rPr>
            </w:pPr>
            <w:r>
              <w:rPr>
                <w:snapToGrid w:val="0"/>
                <w:kern w:val="0"/>
                <w:szCs w:val="21"/>
              </w:rPr>
              <w:t>大、中</w:t>
            </w:r>
          </w:p>
        </w:tc>
        <w:tc>
          <w:tcPr>
            <w:tcW w:w="655" w:type="pct"/>
            <w:vAlign w:val="center"/>
          </w:tcPr>
          <w:p>
            <w:pPr>
              <w:jc w:val="center"/>
              <w:rPr>
                <w:snapToGrid w:val="0"/>
                <w:kern w:val="0"/>
                <w:szCs w:val="21"/>
              </w:rPr>
            </w:pPr>
            <w:r>
              <w:rPr>
                <w:snapToGrid w:val="0"/>
                <w:kern w:val="0"/>
                <w:szCs w:val="21"/>
              </w:rPr>
              <w:t>Ⅰ～Ⅳ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15" w:type="pct"/>
            <w:vMerge w:val="continue"/>
            <w:vAlign w:val="center"/>
          </w:tcPr>
          <w:p>
            <w:pPr>
              <w:jc w:val="center"/>
              <w:rPr>
                <w:snapToGrid w:val="0"/>
                <w:kern w:val="0"/>
                <w:szCs w:val="21"/>
              </w:rPr>
            </w:pPr>
          </w:p>
        </w:tc>
        <w:tc>
          <w:tcPr>
            <w:tcW w:w="542" w:type="pct"/>
            <w:vMerge w:val="continue"/>
            <w:vAlign w:val="center"/>
          </w:tcPr>
          <w:p>
            <w:pPr>
              <w:jc w:val="center"/>
              <w:rPr>
                <w:snapToGrid w:val="0"/>
                <w:kern w:val="0"/>
                <w:szCs w:val="21"/>
              </w:rPr>
            </w:pP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vAlign w:val="center"/>
          </w:tcPr>
          <w:p>
            <w:pPr>
              <w:jc w:val="center"/>
              <w:rPr>
                <w:snapToGrid w:val="0"/>
                <w:kern w:val="0"/>
                <w:szCs w:val="21"/>
              </w:rPr>
            </w:pPr>
            <w:r>
              <w:rPr>
                <w:snapToGrid w:val="0"/>
                <w:kern w:val="0"/>
                <w:szCs w:val="21"/>
              </w:rPr>
              <w:t>小</w:t>
            </w:r>
          </w:p>
        </w:tc>
        <w:tc>
          <w:tcPr>
            <w:tcW w:w="655" w:type="pct"/>
            <w:vAlign w:val="center"/>
          </w:tcPr>
          <w:p>
            <w:pPr>
              <w:jc w:val="center"/>
              <w:rPr>
                <w:snapToGrid w:val="0"/>
                <w:kern w:val="0"/>
                <w:szCs w:val="21"/>
              </w:rPr>
            </w:pPr>
            <w:r>
              <w:rPr>
                <w:rFonts w:hint="eastAsia" w:ascii="宋体" w:hAnsi="宋体" w:cs="宋体"/>
                <w:snapToGrid w:val="0"/>
                <w:kern w:val="0"/>
                <w:szCs w:val="21"/>
              </w:rPr>
              <w:t>Ⅰ</w:t>
            </w:r>
            <w:r>
              <w:rPr>
                <w:snapToGrid w:val="0"/>
                <w:kern w:val="0"/>
                <w:szCs w:val="21"/>
              </w:rPr>
              <w:t>～Ⅴ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15" w:type="pct"/>
            <w:vMerge w:val="continue"/>
            <w:vAlign w:val="center"/>
          </w:tcPr>
          <w:p>
            <w:pPr>
              <w:jc w:val="center"/>
              <w:rPr>
                <w:snapToGrid w:val="0"/>
                <w:kern w:val="0"/>
                <w:szCs w:val="21"/>
              </w:rPr>
            </w:pPr>
          </w:p>
        </w:tc>
        <w:tc>
          <w:tcPr>
            <w:tcW w:w="542" w:type="pct"/>
            <w:vAlign w:val="center"/>
          </w:tcPr>
          <w:p>
            <w:pPr>
              <w:jc w:val="center"/>
              <w:rPr>
                <w:snapToGrid w:val="0"/>
                <w:kern w:val="0"/>
                <w:szCs w:val="21"/>
              </w:rPr>
            </w:pPr>
            <w:r>
              <w:rPr>
                <w:snapToGrid w:val="0"/>
                <w:kern w:val="0"/>
                <w:szCs w:val="21"/>
              </w:rPr>
              <w:t>简单</w:t>
            </w: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vAlign w:val="center"/>
          </w:tcPr>
          <w:p>
            <w:pPr>
              <w:jc w:val="center"/>
              <w:rPr>
                <w:snapToGrid w:val="0"/>
                <w:kern w:val="0"/>
                <w:szCs w:val="21"/>
              </w:rPr>
            </w:pPr>
            <w:r>
              <w:rPr>
                <w:snapToGrid w:val="0"/>
                <w:kern w:val="0"/>
                <w:szCs w:val="21"/>
              </w:rPr>
              <w:t>中</w:t>
            </w:r>
            <w:r>
              <w:rPr>
                <w:rFonts w:hint="eastAsia"/>
                <w:snapToGrid w:val="0"/>
                <w:kern w:val="0"/>
                <w:szCs w:val="21"/>
              </w:rPr>
              <w:t>、</w:t>
            </w:r>
            <w:r>
              <w:rPr>
                <w:snapToGrid w:val="0"/>
                <w:kern w:val="0"/>
                <w:szCs w:val="21"/>
              </w:rPr>
              <w:t>小</w:t>
            </w:r>
          </w:p>
        </w:tc>
        <w:tc>
          <w:tcPr>
            <w:tcW w:w="655" w:type="pct"/>
            <w:vAlign w:val="center"/>
          </w:tcPr>
          <w:p>
            <w:pPr>
              <w:jc w:val="center"/>
              <w:rPr>
                <w:snapToGrid w:val="0"/>
                <w:kern w:val="0"/>
                <w:szCs w:val="21"/>
              </w:rPr>
            </w:pPr>
            <w:r>
              <w:rPr>
                <w:snapToGrid w:val="0"/>
                <w:kern w:val="0"/>
                <w:szCs w:val="21"/>
              </w:rPr>
              <w:t>Ⅰ～Ⅳ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15" w:type="pct"/>
            <w:vAlign w:val="center"/>
          </w:tcPr>
          <w:p>
            <w:pPr>
              <w:jc w:val="center"/>
              <w:rPr>
                <w:snapToGrid w:val="0"/>
                <w:kern w:val="0"/>
                <w:szCs w:val="21"/>
              </w:rPr>
            </w:pPr>
            <w:r>
              <w:rPr>
                <w:rFonts w:hint="eastAsia"/>
              </w:rPr>
              <w:t>1.12</w:t>
            </w:r>
          </w:p>
        </w:tc>
        <w:tc>
          <w:tcPr>
            <w:tcW w:w="542" w:type="pct"/>
            <w:vAlign w:val="center"/>
          </w:tcPr>
          <w:p>
            <w:pPr>
              <w:jc w:val="center"/>
              <w:rPr>
                <w:snapToGrid w:val="0"/>
                <w:kern w:val="0"/>
                <w:szCs w:val="21"/>
              </w:rPr>
            </w:pPr>
            <w:r>
              <w:rPr>
                <w:rFonts w:hint="eastAsia"/>
                <w:snapToGrid w:val="0"/>
                <w:kern w:val="0"/>
                <w:szCs w:val="21"/>
              </w:rPr>
              <w:t>简单</w:t>
            </w: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tcPr>
          <w:p>
            <w:pPr>
              <w:jc w:val="center"/>
              <w:rPr>
                <w:b/>
              </w:rPr>
            </w:pPr>
            <w:r>
              <w:rPr>
                <w:rFonts w:hint="eastAsia"/>
                <w:b/>
                <w:snapToGrid w:val="0"/>
                <w:kern w:val="0"/>
                <w:szCs w:val="21"/>
              </w:rPr>
              <w:t>/</w:t>
            </w:r>
          </w:p>
        </w:tc>
        <w:tc>
          <w:tcPr>
            <w:tcW w:w="655" w:type="pct"/>
          </w:tcPr>
          <w:p>
            <w:pPr>
              <w:jc w:val="center"/>
              <w:rPr>
                <w:b/>
              </w:rPr>
            </w:pPr>
            <w:r>
              <w:rPr>
                <w:rFonts w:hint="eastAsia"/>
                <w:b/>
                <w:snapToGrid w:val="0"/>
                <w:kern w:val="0"/>
                <w:szCs w:val="21"/>
              </w:rPr>
              <w:t>/</w:t>
            </w:r>
          </w:p>
        </w:tc>
        <w:tc>
          <w:tcPr>
            <w:tcW w:w="626" w:type="pct"/>
            <w:vAlign w:val="center"/>
          </w:tcPr>
          <w:p>
            <w:pPr>
              <w:jc w:val="center"/>
              <w:rPr>
                <w:snapToGrid w:val="0"/>
                <w:kern w:val="0"/>
                <w:szCs w:val="21"/>
              </w:rPr>
            </w:pPr>
            <w:r>
              <w:rPr>
                <w:rFonts w:hint="eastAsia"/>
                <w:snapToGrid w:val="0"/>
                <w:kern w:val="0"/>
                <w:szCs w:val="21"/>
              </w:rPr>
              <w:t>中</w:t>
            </w:r>
          </w:p>
        </w:tc>
        <w:tc>
          <w:tcPr>
            <w:tcW w:w="655" w:type="pct"/>
            <w:vAlign w:val="center"/>
          </w:tcPr>
          <w:p>
            <w:pPr>
              <w:jc w:val="center"/>
              <w:rPr>
                <w:snapToGrid w:val="0"/>
                <w:kern w:val="0"/>
                <w:szCs w:val="21"/>
              </w:rPr>
            </w:pPr>
            <w:r>
              <w:rPr>
                <w:rFonts w:hint="eastAsia" w:ascii="宋体" w:hAnsi="宋体"/>
                <w:snapToGrid w:val="0"/>
                <w:kern w:val="0"/>
                <w:szCs w:val="21"/>
              </w:rPr>
              <w:t>Ⅲ</w:t>
            </w:r>
          </w:p>
        </w:tc>
      </w:tr>
    </w:tbl>
    <w:p>
      <w:pPr>
        <w:pStyle w:val="70"/>
        <w:ind w:firstLine="482"/>
        <w:rPr>
          <w:rFonts w:ascii="宋体" w:hAnsi="宋体" w:cs="宋体"/>
          <w:color w:val="auto"/>
        </w:rPr>
      </w:pPr>
      <w:r>
        <w:rPr>
          <w:color w:val="auto"/>
        </w:rPr>
        <w:t xml:space="preserve">1.3.1.3 </w:t>
      </w:r>
      <w:r>
        <w:rPr>
          <w:rFonts w:ascii="宋体" w:hAnsi="宋体" w:cs="宋体"/>
          <w:color w:val="auto"/>
        </w:rPr>
        <w:t>地下水</w:t>
      </w:r>
    </w:p>
    <w:p>
      <w:pPr>
        <w:pStyle w:val="63"/>
        <w:ind w:firstLine="480"/>
        <w:rPr>
          <w:rFonts w:ascii="宋体" w:hAnsi="宋体" w:cs="宋体"/>
          <w:color w:val="auto"/>
          <w:sz w:val="23"/>
        </w:rPr>
      </w:pPr>
      <w:r>
        <w:rPr>
          <w:color w:val="auto"/>
        </w:rPr>
        <w:t>本项目为</w:t>
      </w:r>
      <w:r>
        <w:rPr>
          <w:rFonts w:hint="eastAsia" w:ascii="宋体" w:hAnsi="宋体"/>
          <w:color w:val="auto"/>
        </w:rPr>
        <w:t>Ⅱ</w:t>
      </w:r>
      <w:r>
        <w:rPr>
          <w:color w:val="auto"/>
        </w:rPr>
        <w:t>类项目，取水规模为</w:t>
      </w:r>
      <w:r>
        <w:rPr>
          <w:rFonts w:hint="eastAsia"/>
          <w:color w:val="auto"/>
        </w:rPr>
        <w:t>19750</w:t>
      </w:r>
      <w:r>
        <w:rPr>
          <w:color w:val="auto"/>
        </w:rPr>
        <w:t>m</w:t>
      </w:r>
      <w:r>
        <w:rPr>
          <w:color w:val="auto"/>
          <w:szCs w:val="16"/>
          <w:vertAlign w:val="superscript"/>
        </w:rPr>
        <w:t>3</w:t>
      </w:r>
      <w:r>
        <w:rPr>
          <w:color w:val="auto"/>
        </w:rPr>
        <w:t>/d，取水后引起地下水水位变化区域范围小，周边无集中式饮用水源地及保护区，项目拟建地未出现环境水文地质问题，根据《环境影响评价技术导则地下水环境》</w:t>
      </w:r>
      <w:r>
        <w:rPr>
          <w:rFonts w:hint="eastAsia"/>
          <w:color w:val="auto"/>
        </w:rPr>
        <w:t>（</w:t>
      </w:r>
      <w:r>
        <w:rPr>
          <w:color w:val="auto"/>
        </w:rPr>
        <w:t>HJ 610-2011</w:t>
      </w:r>
      <w:r>
        <w:rPr>
          <w:rFonts w:hint="eastAsia"/>
          <w:color w:val="auto"/>
        </w:rPr>
        <w:t>）</w:t>
      </w:r>
      <w:r>
        <w:rPr>
          <w:color w:val="auto"/>
        </w:rPr>
        <w:t>所列的地下水环境影响评价分级判据，确定本项目地下水评价等级为二级。</w:t>
      </w:r>
    </w:p>
    <w:p>
      <w:pPr>
        <w:pStyle w:val="70"/>
        <w:ind w:firstLine="482"/>
        <w:rPr>
          <w:rFonts w:ascii="宋体" w:hAnsi="宋体" w:cs="宋体"/>
          <w:color w:val="auto"/>
        </w:rPr>
      </w:pPr>
      <w:r>
        <w:rPr>
          <w:color w:val="auto"/>
        </w:rPr>
        <w:t xml:space="preserve">1.3.1.4 </w:t>
      </w:r>
      <w:r>
        <w:rPr>
          <w:rFonts w:ascii="宋体" w:hAnsi="宋体" w:cs="宋体"/>
          <w:color w:val="auto"/>
        </w:rPr>
        <w:t>声环境</w:t>
      </w:r>
    </w:p>
    <w:p>
      <w:pPr>
        <w:pStyle w:val="63"/>
        <w:ind w:firstLine="480"/>
        <w:rPr>
          <w:color w:val="auto"/>
        </w:rPr>
      </w:pPr>
      <w:r>
        <w:rPr>
          <w:color w:val="auto"/>
        </w:rPr>
        <w:t>本项目处在《声环境质量标准》中规定的</w:t>
      </w:r>
      <w:r>
        <w:rPr>
          <w:rFonts w:cs="Times New Roman"/>
          <w:color w:val="auto"/>
        </w:rPr>
        <w:t>2</w:t>
      </w:r>
      <w:r>
        <w:rPr>
          <w:color w:val="auto"/>
        </w:rPr>
        <w:t>类标准地区（除</w:t>
      </w:r>
      <w:r>
        <w:rPr>
          <w:rFonts w:hint="eastAsia"/>
          <w:color w:val="auto"/>
        </w:rPr>
        <w:t>水源管理站</w:t>
      </w:r>
      <w:r>
        <w:rPr>
          <w:color w:val="auto"/>
        </w:rPr>
        <w:t>北侧</w:t>
      </w:r>
      <w:r>
        <w:rPr>
          <w:rFonts w:hint="eastAsia"/>
          <w:color w:val="auto"/>
        </w:rPr>
        <w:t>和南侧</w:t>
      </w:r>
      <w:r>
        <w:rPr>
          <w:color w:val="auto"/>
        </w:rPr>
        <w:t>处在</w:t>
      </w:r>
      <w:r>
        <w:rPr>
          <w:rFonts w:cs="Times New Roman"/>
          <w:color w:val="auto"/>
        </w:rPr>
        <w:t>4a</w:t>
      </w:r>
      <w:r>
        <w:rPr>
          <w:color w:val="auto"/>
        </w:rPr>
        <w:t>类标准地区外），项目建设前后评价范围内敏感目标噪声级增高量小于3dB（A），且受噪声影响人口数量变化不大。根据</w:t>
      </w:r>
      <w:r>
        <w:rPr>
          <w:rFonts w:cs="Times New Roman"/>
          <w:color w:val="auto"/>
        </w:rPr>
        <w:t>HJ 2.4-2009</w:t>
      </w:r>
      <w:r>
        <w:rPr>
          <w:color w:val="auto"/>
        </w:rPr>
        <w:t>《环境影响评价技术导则声环境》的规定，确定本项目声环境评价工作等级为二级。</w:t>
      </w:r>
    </w:p>
    <w:p>
      <w:pPr>
        <w:pStyle w:val="70"/>
        <w:ind w:firstLine="482"/>
        <w:rPr>
          <w:rFonts w:ascii="宋体" w:hAnsi="宋体" w:cs="宋体"/>
          <w:color w:val="auto"/>
        </w:rPr>
      </w:pPr>
      <w:r>
        <w:rPr>
          <w:color w:val="auto"/>
        </w:rPr>
        <w:t xml:space="preserve">1.3.1.5 </w:t>
      </w:r>
      <w:r>
        <w:rPr>
          <w:rFonts w:ascii="宋体" w:hAnsi="宋体" w:cs="宋体"/>
          <w:color w:val="auto"/>
        </w:rPr>
        <w:t>生态环境</w:t>
      </w:r>
    </w:p>
    <w:p>
      <w:pPr>
        <w:pStyle w:val="63"/>
        <w:ind w:firstLine="480"/>
        <w:rPr>
          <w:color w:val="auto"/>
        </w:rPr>
      </w:pPr>
      <w:r>
        <w:rPr>
          <w:color w:val="auto"/>
        </w:rPr>
        <w:t>本项目为新建项目，新增永久占地</w:t>
      </w:r>
      <w:r>
        <w:rPr>
          <w:rFonts w:hint="eastAsia"/>
          <w:color w:val="auto"/>
        </w:rPr>
        <w:t>1.33</w:t>
      </w:r>
      <w:r>
        <w:rPr>
          <w:color w:val="auto"/>
        </w:rPr>
        <w:t>hm</w:t>
      </w:r>
      <w:r>
        <w:rPr>
          <w:color w:val="auto"/>
          <w:szCs w:val="16"/>
          <w:vertAlign w:val="superscript"/>
        </w:rPr>
        <w:t>2</w:t>
      </w:r>
      <w:r>
        <w:rPr>
          <w:color w:val="auto"/>
        </w:rPr>
        <w:t>，拟建地为非生态敏感区，根据HJ19-2011《环境影响评价技术导则生态影响》的规定，本项目生态环境评价工作等级为三级，具体评价依据见表1.3-1。</w:t>
      </w:r>
    </w:p>
    <w:p>
      <w:pPr>
        <w:pStyle w:val="65"/>
      </w:pPr>
      <w:r>
        <w:t>表1.3-1  本项目生态环境影响评价等级判据</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802"/>
        <w:gridCol w:w="2268"/>
        <w:gridCol w:w="2126"/>
        <w:gridCol w:w="20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1516" w:type="pct"/>
            <w:vMerge w:val="restart"/>
            <w:vAlign w:val="center"/>
          </w:tcPr>
          <w:p>
            <w:pPr>
              <w:autoSpaceDE w:val="0"/>
              <w:autoSpaceDN w:val="0"/>
              <w:adjustRightInd w:val="0"/>
              <w:jc w:val="center"/>
              <w:rPr>
                <w:kern w:val="0"/>
                <w:szCs w:val="21"/>
              </w:rPr>
            </w:pPr>
            <w:r>
              <w:rPr>
                <w:rFonts w:hAnsi="宋体"/>
                <w:kern w:val="0"/>
                <w:szCs w:val="21"/>
              </w:rPr>
              <w:t>影响区域生态敏感性</w:t>
            </w:r>
          </w:p>
        </w:tc>
        <w:tc>
          <w:tcPr>
            <w:tcW w:w="3484" w:type="pct"/>
            <w:gridSpan w:val="3"/>
            <w:vAlign w:val="center"/>
          </w:tcPr>
          <w:p>
            <w:pPr>
              <w:autoSpaceDE w:val="0"/>
              <w:autoSpaceDN w:val="0"/>
              <w:adjustRightInd w:val="0"/>
              <w:jc w:val="center"/>
              <w:rPr>
                <w:kern w:val="0"/>
                <w:szCs w:val="21"/>
              </w:rPr>
            </w:pPr>
            <w:r>
              <w:rPr>
                <w:rFonts w:hAnsi="宋体"/>
                <w:kern w:val="0"/>
                <w:szCs w:val="21"/>
              </w:rPr>
              <w:t>工程占地（水域）范围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516" w:type="pct"/>
            <w:vMerge w:val="continue"/>
            <w:vAlign w:val="center"/>
          </w:tcPr>
          <w:p>
            <w:pPr>
              <w:autoSpaceDE w:val="0"/>
              <w:autoSpaceDN w:val="0"/>
              <w:adjustRightInd w:val="0"/>
              <w:jc w:val="center"/>
              <w:rPr>
                <w:kern w:val="0"/>
                <w:szCs w:val="21"/>
              </w:rPr>
            </w:pPr>
          </w:p>
        </w:tc>
        <w:tc>
          <w:tcPr>
            <w:tcW w:w="1227" w:type="pct"/>
            <w:vAlign w:val="center"/>
          </w:tcPr>
          <w:p>
            <w:pPr>
              <w:autoSpaceDE w:val="0"/>
              <w:autoSpaceDN w:val="0"/>
              <w:adjustRightInd w:val="0"/>
              <w:jc w:val="center"/>
              <w:rPr>
                <w:kern w:val="0"/>
                <w:szCs w:val="21"/>
              </w:rPr>
            </w:pPr>
            <w:r>
              <w:rPr>
                <w:rFonts w:hAnsi="宋体"/>
                <w:kern w:val="0"/>
                <w:szCs w:val="21"/>
              </w:rPr>
              <w:t>面积</w:t>
            </w:r>
            <w:r>
              <w:rPr>
                <w:kern w:val="0"/>
                <w:szCs w:val="21"/>
              </w:rPr>
              <w:t>≥20km</w:t>
            </w:r>
            <w:r>
              <w:rPr>
                <w:kern w:val="0"/>
                <w:szCs w:val="21"/>
                <w:vertAlign w:val="superscript"/>
              </w:rPr>
              <w:t>2</w:t>
            </w:r>
          </w:p>
          <w:p>
            <w:pPr>
              <w:autoSpaceDE w:val="0"/>
              <w:autoSpaceDN w:val="0"/>
              <w:adjustRightInd w:val="0"/>
              <w:jc w:val="center"/>
              <w:rPr>
                <w:kern w:val="0"/>
                <w:szCs w:val="21"/>
              </w:rPr>
            </w:pPr>
            <w:r>
              <w:rPr>
                <w:rFonts w:hAnsi="宋体"/>
                <w:kern w:val="0"/>
                <w:szCs w:val="21"/>
              </w:rPr>
              <w:t>或长度</w:t>
            </w:r>
            <w:r>
              <w:rPr>
                <w:kern w:val="0"/>
                <w:szCs w:val="21"/>
              </w:rPr>
              <w:t>≥100km</w:t>
            </w:r>
          </w:p>
        </w:tc>
        <w:tc>
          <w:tcPr>
            <w:tcW w:w="1150" w:type="pct"/>
            <w:vAlign w:val="center"/>
          </w:tcPr>
          <w:p>
            <w:pPr>
              <w:autoSpaceDE w:val="0"/>
              <w:autoSpaceDN w:val="0"/>
              <w:adjustRightInd w:val="0"/>
              <w:jc w:val="center"/>
              <w:rPr>
                <w:kern w:val="0"/>
                <w:szCs w:val="21"/>
              </w:rPr>
            </w:pPr>
            <w:r>
              <w:rPr>
                <w:rFonts w:hAnsi="宋体"/>
                <w:kern w:val="0"/>
                <w:szCs w:val="21"/>
              </w:rPr>
              <w:t>面积</w:t>
            </w:r>
            <w:r>
              <w:rPr>
                <w:kern w:val="0"/>
                <w:szCs w:val="21"/>
              </w:rPr>
              <w:t>2km</w:t>
            </w:r>
            <w:r>
              <w:rPr>
                <w:kern w:val="0"/>
                <w:szCs w:val="21"/>
                <w:vertAlign w:val="superscript"/>
              </w:rPr>
              <w:t>2</w:t>
            </w:r>
            <w:r>
              <w:rPr>
                <w:kern w:val="0"/>
                <w:szCs w:val="21"/>
              </w:rPr>
              <w:t>~20km</w:t>
            </w:r>
            <w:r>
              <w:rPr>
                <w:kern w:val="0"/>
                <w:szCs w:val="21"/>
                <w:vertAlign w:val="superscript"/>
              </w:rPr>
              <w:t>2</w:t>
            </w:r>
            <w:r>
              <w:rPr>
                <w:rFonts w:hAnsi="宋体"/>
                <w:kern w:val="0"/>
                <w:szCs w:val="21"/>
              </w:rPr>
              <w:t>或长度</w:t>
            </w:r>
            <w:r>
              <w:rPr>
                <w:kern w:val="0"/>
                <w:szCs w:val="21"/>
              </w:rPr>
              <w:t>50km~100km</w:t>
            </w:r>
          </w:p>
        </w:tc>
        <w:tc>
          <w:tcPr>
            <w:tcW w:w="1107" w:type="pct"/>
            <w:vAlign w:val="center"/>
          </w:tcPr>
          <w:p>
            <w:pPr>
              <w:autoSpaceDE w:val="0"/>
              <w:autoSpaceDN w:val="0"/>
              <w:adjustRightInd w:val="0"/>
              <w:jc w:val="center"/>
              <w:rPr>
                <w:kern w:val="0"/>
                <w:szCs w:val="21"/>
              </w:rPr>
            </w:pPr>
            <w:r>
              <w:rPr>
                <w:rFonts w:hAnsi="宋体"/>
                <w:kern w:val="0"/>
                <w:szCs w:val="21"/>
              </w:rPr>
              <w:t>面积</w:t>
            </w:r>
            <w:r>
              <w:rPr>
                <w:kern w:val="0"/>
                <w:szCs w:val="21"/>
              </w:rPr>
              <w:t>≤2km</w:t>
            </w:r>
            <w:r>
              <w:rPr>
                <w:kern w:val="0"/>
                <w:szCs w:val="21"/>
                <w:vertAlign w:val="superscript"/>
              </w:rPr>
              <w:t>2</w:t>
            </w:r>
          </w:p>
          <w:p>
            <w:pPr>
              <w:autoSpaceDE w:val="0"/>
              <w:autoSpaceDN w:val="0"/>
              <w:adjustRightInd w:val="0"/>
              <w:jc w:val="center"/>
              <w:rPr>
                <w:kern w:val="0"/>
                <w:szCs w:val="21"/>
              </w:rPr>
            </w:pPr>
            <w:r>
              <w:rPr>
                <w:rFonts w:hAnsi="宋体"/>
                <w:kern w:val="0"/>
                <w:szCs w:val="21"/>
              </w:rPr>
              <w:t>或长度</w:t>
            </w:r>
            <w:r>
              <w:rPr>
                <w:kern w:val="0"/>
                <w:szCs w:val="21"/>
              </w:rPr>
              <w:t>≤50km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1516" w:type="pct"/>
            <w:vAlign w:val="center"/>
          </w:tcPr>
          <w:p>
            <w:pPr>
              <w:autoSpaceDE w:val="0"/>
              <w:autoSpaceDN w:val="0"/>
              <w:adjustRightInd w:val="0"/>
              <w:jc w:val="center"/>
              <w:rPr>
                <w:kern w:val="0"/>
                <w:szCs w:val="21"/>
              </w:rPr>
            </w:pPr>
            <w:r>
              <w:rPr>
                <w:rFonts w:hAnsi="宋体"/>
                <w:kern w:val="0"/>
                <w:szCs w:val="21"/>
              </w:rPr>
              <w:t>特殊生态敏感区</w:t>
            </w:r>
          </w:p>
        </w:tc>
        <w:tc>
          <w:tcPr>
            <w:tcW w:w="1227" w:type="pct"/>
            <w:vAlign w:val="center"/>
          </w:tcPr>
          <w:p>
            <w:pPr>
              <w:autoSpaceDE w:val="0"/>
              <w:autoSpaceDN w:val="0"/>
              <w:adjustRightInd w:val="0"/>
              <w:jc w:val="center"/>
              <w:rPr>
                <w:kern w:val="0"/>
                <w:szCs w:val="21"/>
              </w:rPr>
            </w:pPr>
            <w:r>
              <w:rPr>
                <w:rFonts w:hAnsi="宋体"/>
                <w:kern w:val="0"/>
                <w:szCs w:val="21"/>
              </w:rPr>
              <w:t>一级</w:t>
            </w:r>
          </w:p>
        </w:tc>
        <w:tc>
          <w:tcPr>
            <w:tcW w:w="1150" w:type="pct"/>
            <w:vAlign w:val="center"/>
          </w:tcPr>
          <w:p>
            <w:pPr>
              <w:autoSpaceDE w:val="0"/>
              <w:autoSpaceDN w:val="0"/>
              <w:adjustRightInd w:val="0"/>
              <w:jc w:val="center"/>
              <w:rPr>
                <w:kern w:val="0"/>
                <w:szCs w:val="21"/>
              </w:rPr>
            </w:pPr>
            <w:r>
              <w:rPr>
                <w:rFonts w:hAnsi="宋体"/>
                <w:kern w:val="0"/>
                <w:szCs w:val="21"/>
              </w:rPr>
              <w:t>一级</w:t>
            </w:r>
          </w:p>
        </w:tc>
        <w:tc>
          <w:tcPr>
            <w:tcW w:w="1107" w:type="pct"/>
            <w:vAlign w:val="center"/>
          </w:tcPr>
          <w:p>
            <w:pPr>
              <w:autoSpaceDE w:val="0"/>
              <w:autoSpaceDN w:val="0"/>
              <w:adjustRightInd w:val="0"/>
              <w:jc w:val="center"/>
              <w:rPr>
                <w:kern w:val="0"/>
                <w:szCs w:val="21"/>
              </w:rPr>
            </w:pPr>
            <w:r>
              <w:rPr>
                <w:rFonts w:hAnsi="宋体"/>
                <w:kern w:val="0"/>
                <w:szCs w:val="21"/>
              </w:rPr>
              <w:t>一级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1516" w:type="pct"/>
            <w:vAlign w:val="center"/>
          </w:tcPr>
          <w:p>
            <w:pPr>
              <w:autoSpaceDE w:val="0"/>
              <w:autoSpaceDN w:val="0"/>
              <w:adjustRightInd w:val="0"/>
              <w:jc w:val="center"/>
              <w:rPr>
                <w:kern w:val="0"/>
                <w:szCs w:val="21"/>
              </w:rPr>
            </w:pPr>
            <w:r>
              <w:rPr>
                <w:rFonts w:hAnsi="宋体"/>
                <w:kern w:val="0"/>
                <w:szCs w:val="21"/>
              </w:rPr>
              <w:t>重要生态敏感区</w:t>
            </w:r>
          </w:p>
        </w:tc>
        <w:tc>
          <w:tcPr>
            <w:tcW w:w="1227" w:type="pct"/>
            <w:vAlign w:val="center"/>
          </w:tcPr>
          <w:p>
            <w:pPr>
              <w:autoSpaceDE w:val="0"/>
              <w:autoSpaceDN w:val="0"/>
              <w:adjustRightInd w:val="0"/>
              <w:jc w:val="center"/>
              <w:rPr>
                <w:kern w:val="0"/>
                <w:szCs w:val="21"/>
              </w:rPr>
            </w:pPr>
            <w:r>
              <w:rPr>
                <w:rFonts w:hAnsi="宋体"/>
                <w:kern w:val="0"/>
                <w:szCs w:val="21"/>
              </w:rPr>
              <w:t>一级</w:t>
            </w:r>
          </w:p>
        </w:tc>
        <w:tc>
          <w:tcPr>
            <w:tcW w:w="1150" w:type="pct"/>
            <w:vAlign w:val="center"/>
          </w:tcPr>
          <w:p>
            <w:pPr>
              <w:autoSpaceDE w:val="0"/>
              <w:autoSpaceDN w:val="0"/>
              <w:adjustRightInd w:val="0"/>
              <w:jc w:val="center"/>
              <w:rPr>
                <w:kern w:val="0"/>
                <w:szCs w:val="21"/>
              </w:rPr>
            </w:pPr>
            <w:r>
              <w:rPr>
                <w:rFonts w:hAnsi="宋体"/>
                <w:kern w:val="0"/>
                <w:szCs w:val="21"/>
              </w:rPr>
              <w:t>二级</w:t>
            </w:r>
          </w:p>
        </w:tc>
        <w:tc>
          <w:tcPr>
            <w:tcW w:w="1107" w:type="pct"/>
            <w:vAlign w:val="center"/>
          </w:tcPr>
          <w:p>
            <w:pPr>
              <w:autoSpaceDE w:val="0"/>
              <w:autoSpaceDN w:val="0"/>
              <w:adjustRightInd w:val="0"/>
              <w:jc w:val="center"/>
              <w:rPr>
                <w:kern w:val="0"/>
                <w:szCs w:val="21"/>
              </w:rPr>
            </w:pPr>
            <w:r>
              <w:rPr>
                <w:rFonts w:hAnsi="宋体"/>
                <w:kern w:val="0"/>
                <w:szCs w:val="21"/>
              </w:rPr>
              <w:t>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1516" w:type="pct"/>
            <w:vAlign w:val="center"/>
          </w:tcPr>
          <w:p>
            <w:pPr>
              <w:autoSpaceDE w:val="0"/>
              <w:autoSpaceDN w:val="0"/>
              <w:adjustRightInd w:val="0"/>
              <w:jc w:val="center"/>
              <w:rPr>
                <w:kern w:val="0"/>
                <w:szCs w:val="21"/>
              </w:rPr>
            </w:pPr>
            <w:r>
              <w:rPr>
                <w:rFonts w:hAnsi="宋体"/>
                <w:kern w:val="0"/>
                <w:szCs w:val="21"/>
              </w:rPr>
              <w:t>一般区域</w:t>
            </w:r>
          </w:p>
        </w:tc>
        <w:tc>
          <w:tcPr>
            <w:tcW w:w="1227" w:type="pct"/>
            <w:vAlign w:val="center"/>
          </w:tcPr>
          <w:p>
            <w:pPr>
              <w:autoSpaceDE w:val="0"/>
              <w:autoSpaceDN w:val="0"/>
              <w:adjustRightInd w:val="0"/>
              <w:jc w:val="center"/>
              <w:rPr>
                <w:kern w:val="0"/>
                <w:szCs w:val="21"/>
              </w:rPr>
            </w:pPr>
            <w:r>
              <w:rPr>
                <w:rFonts w:hAnsi="宋体"/>
                <w:kern w:val="0"/>
                <w:szCs w:val="21"/>
              </w:rPr>
              <w:t>二级</w:t>
            </w:r>
          </w:p>
        </w:tc>
        <w:tc>
          <w:tcPr>
            <w:tcW w:w="1150" w:type="pct"/>
            <w:vAlign w:val="center"/>
          </w:tcPr>
          <w:p>
            <w:pPr>
              <w:autoSpaceDE w:val="0"/>
              <w:autoSpaceDN w:val="0"/>
              <w:adjustRightInd w:val="0"/>
              <w:jc w:val="center"/>
              <w:rPr>
                <w:kern w:val="0"/>
                <w:szCs w:val="21"/>
              </w:rPr>
            </w:pPr>
            <w:r>
              <w:rPr>
                <w:rFonts w:hAnsi="宋体"/>
                <w:kern w:val="0"/>
                <w:szCs w:val="21"/>
              </w:rPr>
              <w:t>三级</w:t>
            </w:r>
          </w:p>
        </w:tc>
        <w:tc>
          <w:tcPr>
            <w:tcW w:w="1107" w:type="pct"/>
            <w:vAlign w:val="center"/>
          </w:tcPr>
          <w:p>
            <w:pPr>
              <w:autoSpaceDE w:val="0"/>
              <w:autoSpaceDN w:val="0"/>
              <w:adjustRightInd w:val="0"/>
              <w:jc w:val="center"/>
              <w:rPr>
                <w:kern w:val="0"/>
                <w:szCs w:val="21"/>
              </w:rPr>
            </w:pPr>
            <w:r>
              <w:rPr>
                <w:rFonts w:hAnsi="宋体"/>
                <w:kern w:val="0"/>
                <w:szCs w:val="21"/>
              </w:rPr>
              <w:t>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1516" w:type="pct"/>
            <w:vAlign w:val="center"/>
          </w:tcPr>
          <w:p>
            <w:pPr>
              <w:autoSpaceDE w:val="0"/>
              <w:autoSpaceDN w:val="0"/>
              <w:adjustRightInd w:val="0"/>
              <w:jc w:val="center"/>
              <w:rPr>
                <w:kern w:val="0"/>
                <w:szCs w:val="21"/>
              </w:rPr>
            </w:pPr>
            <w:r>
              <w:rPr>
                <w:rFonts w:hAnsi="宋体"/>
                <w:kern w:val="0"/>
                <w:szCs w:val="21"/>
              </w:rPr>
              <w:t>本项目</w:t>
            </w:r>
          </w:p>
        </w:tc>
        <w:tc>
          <w:tcPr>
            <w:tcW w:w="3484" w:type="pct"/>
            <w:gridSpan w:val="3"/>
            <w:vAlign w:val="center"/>
          </w:tcPr>
          <w:p>
            <w:pPr>
              <w:autoSpaceDE w:val="0"/>
              <w:autoSpaceDN w:val="0"/>
              <w:adjustRightInd w:val="0"/>
              <w:jc w:val="center"/>
              <w:rPr>
                <w:kern w:val="0"/>
                <w:szCs w:val="21"/>
              </w:rPr>
            </w:pPr>
            <w:r>
              <w:rPr>
                <w:rFonts w:hAnsi="宋体"/>
                <w:kern w:val="0"/>
                <w:szCs w:val="21"/>
              </w:rPr>
              <w:t>位于一般区域，永久占地</w:t>
            </w:r>
            <w:r>
              <w:rPr>
                <w:rFonts w:hint="eastAsia"/>
                <w:kern w:val="0"/>
                <w:szCs w:val="21"/>
              </w:rPr>
              <w:t>1.33</w:t>
            </w:r>
            <w:r>
              <w:rPr>
                <w:kern w:val="0"/>
                <w:szCs w:val="21"/>
              </w:rPr>
              <w:t>hm</w:t>
            </w:r>
            <w:r>
              <w:rPr>
                <w:kern w:val="0"/>
                <w:szCs w:val="21"/>
                <w:vertAlign w:val="superscript"/>
              </w:rPr>
              <w:t>2</w:t>
            </w:r>
            <w:r>
              <w:rPr>
                <w:rFonts w:hAnsi="宋体"/>
                <w:kern w:val="0"/>
                <w:szCs w:val="21"/>
              </w:rPr>
              <w:t>，因此，本项目生态环境影响评价工作等级为三级。</w:t>
            </w:r>
          </w:p>
        </w:tc>
      </w:tr>
    </w:tbl>
    <w:p>
      <w:pPr>
        <w:pStyle w:val="63"/>
        <w:ind w:firstLine="480"/>
        <w:rPr>
          <w:color w:val="auto"/>
        </w:rPr>
      </w:pPr>
      <w:r>
        <w:rPr>
          <w:color w:val="auto"/>
        </w:rPr>
        <w:t>项目涉及</w:t>
      </w:r>
      <w:r>
        <w:rPr>
          <w:rFonts w:hint="eastAsia"/>
          <w:color w:val="auto"/>
        </w:rPr>
        <w:t>水源井</w:t>
      </w:r>
      <w:r>
        <w:rPr>
          <w:color w:val="auto"/>
        </w:rPr>
        <w:t>、输水管线</w:t>
      </w:r>
      <w:r>
        <w:rPr>
          <w:rFonts w:hint="eastAsia"/>
          <w:color w:val="auto"/>
        </w:rPr>
        <w:t>及水源管理站</w:t>
      </w:r>
      <w:r>
        <w:rPr>
          <w:color w:val="auto"/>
        </w:rPr>
        <w:t>，因此生态评价范围确定为</w:t>
      </w:r>
      <w:r>
        <w:rPr>
          <w:rFonts w:hint="eastAsia"/>
          <w:color w:val="auto"/>
        </w:rPr>
        <w:t>水源管理站、保障房给水处理站</w:t>
      </w:r>
      <w:r>
        <w:rPr>
          <w:color w:val="auto"/>
        </w:rPr>
        <w:t>周围及管线两侧外延200m范围的包络线区域。</w:t>
      </w:r>
    </w:p>
    <w:p>
      <w:pPr>
        <w:pStyle w:val="70"/>
        <w:ind w:firstLine="482"/>
        <w:rPr>
          <w:rFonts w:ascii="宋体" w:hAnsi="宋体" w:cs="宋体"/>
          <w:color w:val="auto"/>
        </w:rPr>
      </w:pPr>
      <w:r>
        <w:rPr>
          <w:color w:val="auto"/>
        </w:rPr>
        <w:t xml:space="preserve">1.3.1.6 </w:t>
      </w:r>
      <w:r>
        <w:rPr>
          <w:rFonts w:ascii="宋体" w:hAnsi="宋体" w:cs="宋体"/>
          <w:color w:val="auto"/>
        </w:rPr>
        <w:t>环境风险</w:t>
      </w:r>
    </w:p>
    <w:p>
      <w:pPr>
        <w:pStyle w:val="63"/>
        <w:ind w:firstLine="480"/>
        <w:rPr>
          <w:color w:val="auto"/>
          <w:szCs w:val="24"/>
        </w:rPr>
      </w:pPr>
      <w:r>
        <w:rPr>
          <w:color w:val="auto"/>
          <w:szCs w:val="24"/>
        </w:rPr>
        <w:t>本项目涉及的主要危险化学品为氯气，其最大在线量为</w:t>
      </w:r>
      <w:r>
        <w:rPr>
          <w:rFonts w:hint="eastAsia"/>
          <w:color w:val="auto"/>
          <w:szCs w:val="24"/>
        </w:rPr>
        <w:t>0.5</w:t>
      </w:r>
      <w:r>
        <w:rPr>
          <w:color w:val="auto"/>
          <w:szCs w:val="24"/>
        </w:rPr>
        <w:t>t，小于《危险化学品重大危险源辨识》（GB 18218-2009）规定的临界量（5t），不属于重大危险源，项目拟建地不属于环境敏感地区，根据《建设项目环境风险评价技术导则》（HJ/T169-2004），本项目风险评价等级为二级。</w:t>
      </w:r>
    </w:p>
    <w:p>
      <w:pPr>
        <w:pStyle w:val="62"/>
        <w:rPr>
          <w:rFonts w:ascii="宋体" w:cs="宋体"/>
          <w:color w:val="auto"/>
        </w:rPr>
      </w:pPr>
      <w:r>
        <w:rPr>
          <w:color w:val="auto"/>
        </w:rPr>
        <w:t xml:space="preserve">1.3.2 </w:t>
      </w:r>
      <w:r>
        <w:rPr>
          <w:rFonts w:hint="eastAsia" w:ascii="宋体" w:cs="宋体"/>
          <w:color w:val="auto"/>
        </w:rPr>
        <w:t>评价重点</w:t>
      </w:r>
      <w:r>
        <w:rPr>
          <w:rFonts w:ascii="宋体" w:cs="宋体"/>
          <w:color w:val="auto"/>
        </w:rPr>
        <w:t xml:space="preserve"> </w:t>
      </w:r>
    </w:p>
    <w:p>
      <w:pPr>
        <w:pStyle w:val="63"/>
        <w:ind w:firstLine="480"/>
        <w:rPr>
          <w:color w:val="auto"/>
        </w:rPr>
      </w:pPr>
      <w:r>
        <w:rPr>
          <w:rFonts w:hint="eastAsia"/>
          <w:color w:val="auto"/>
        </w:rPr>
        <w:t>（</w:t>
      </w:r>
      <w:r>
        <w:rPr>
          <w:color w:val="auto"/>
        </w:rPr>
        <w:t>1</w:t>
      </w:r>
      <w:r>
        <w:rPr>
          <w:rFonts w:hint="eastAsia"/>
          <w:color w:val="auto"/>
        </w:rPr>
        <w:t>）项目建设对区域地下水位的影响；</w:t>
      </w:r>
    </w:p>
    <w:p>
      <w:pPr>
        <w:pStyle w:val="63"/>
        <w:ind w:firstLine="480"/>
        <w:rPr>
          <w:color w:val="auto"/>
        </w:rPr>
      </w:pPr>
      <w:r>
        <w:rPr>
          <w:rFonts w:hint="eastAsia"/>
          <w:color w:val="auto"/>
        </w:rPr>
        <w:t>（</w:t>
      </w:r>
      <w:r>
        <w:rPr>
          <w:color w:val="auto"/>
        </w:rPr>
        <w:t>2</w:t>
      </w:r>
      <w:r>
        <w:rPr>
          <w:rFonts w:hint="eastAsia"/>
          <w:color w:val="auto"/>
        </w:rPr>
        <w:t>）项目建设对生态环境的影响；</w:t>
      </w:r>
    </w:p>
    <w:p>
      <w:pPr>
        <w:pStyle w:val="63"/>
        <w:ind w:firstLine="480"/>
        <w:rPr>
          <w:color w:val="auto"/>
        </w:rPr>
      </w:pPr>
      <w:r>
        <w:rPr>
          <w:rFonts w:hint="eastAsia"/>
          <w:color w:val="auto"/>
        </w:rPr>
        <w:t>（</w:t>
      </w:r>
      <w:r>
        <w:rPr>
          <w:color w:val="auto"/>
        </w:rPr>
        <w:t>3</w:t>
      </w:r>
      <w:r>
        <w:rPr>
          <w:rFonts w:hint="eastAsia"/>
          <w:color w:val="auto"/>
        </w:rPr>
        <w:t>）环境风险分析；</w:t>
      </w:r>
    </w:p>
    <w:p>
      <w:pPr>
        <w:pStyle w:val="63"/>
        <w:ind w:firstLine="480"/>
        <w:rPr>
          <w:color w:val="auto"/>
        </w:rPr>
      </w:pPr>
      <w:r>
        <w:rPr>
          <w:rFonts w:hint="eastAsia"/>
          <w:color w:val="auto"/>
        </w:rPr>
        <w:t>（</w:t>
      </w:r>
      <w:r>
        <w:rPr>
          <w:color w:val="auto"/>
        </w:rPr>
        <w:t>4</w:t>
      </w:r>
      <w:r>
        <w:rPr>
          <w:rFonts w:hint="eastAsia"/>
          <w:color w:val="auto"/>
        </w:rPr>
        <w:t>）污染防治措施、生态影响减缓措施、风险防范措施可行性及可靠性；</w:t>
      </w:r>
    </w:p>
    <w:p>
      <w:pPr>
        <w:pStyle w:val="63"/>
        <w:ind w:firstLine="480"/>
        <w:rPr>
          <w:color w:val="auto"/>
        </w:rPr>
      </w:pPr>
      <w:r>
        <w:rPr>
          <w:rFonts w:hint="eastAsia"/>
          <w:color w:val="auto"/>
        </w:rPr>
        <w:t>（</w:t>
      </w:r>
      <w:r>
        <w:rPr>
          <w:rFonts w:cs="Times New Roman"/>
          <w:color w:val="auto"/>
        </w:rPr>
        <w:t>5</w:t>
      </w:r>
      <w:r>
        <w:rPr>
          <w:rFonts w:hint="eastAsia"/>
          <w:color w:val="auto"/>
        </w:rPr>
        <w:t>）外环境对本项目的影响。</w:t>
      </w:r>
    </w:p>
    <w:p>
      <w:pPr>
        <w:pStyle w:val="61"/>
        <w:rPr>
          <w:color w:val="auto"/>
        </w:rPr>
      </w:pPr>
      <w:bookmarkStart w:id="12" w:name="_Toc436902141"/>
      <w:r>
        <w:rPr>
          <w:bCs/>
          <w:color w:val="auto"/>
        </w:rPr>
        <w:t>1.4</w:t>
      </w:r>
      <w:r>
        <w:rPr>
          <w:rFonts w:hint="eastAsia"/>
          <w:color w:val="auto"/>
        </w:rPr>
        <w:t>评价范围及环境敏感区</w:t>
      </w:r>
      <w:bookmarkEnd w:id="12"/>
    </w:p>
    <w:p>
      <w:pPr>
        <w:pStyle w:val="62"/>
        <w:rPr>
          <w:rFonts w:ascii="宋体" w:cs="宋体"/>
          <w:color w:val="auto"/>
        </w:rPr>
      </w:pPr>
      <w:r>
        <w:rPr>
          <w:color w:val="auto"/>
        </w:rPr>
        <w:t xml:space="preserve">1.4.1 </w:t>
      </w:r>
      <w:r>
        <w:rPr>
          <w:rFonts w:hint="eastAsia" w:ascii="宋体" w:cs="宋体"/>
          <w:color w:val="auto"/>
        </w:rPr>
        <w:t>评价范围</w:t>
      </w:r>
      <w:r>
        <w:rPr>
          <w:rFonts w:ascii="宋体" w:cs="宋体"/>
          <w:color w:val="auto"/>
        </w:rPr>
        <w:t xml:space="preserve"> </w:t>
      </w:r>
    </w:p>
    <w:p>
      <w:pPr>
        <w:pStyle w:val="70"/>
        <w:ind w:firstLine="482"/>
        <w:rPr>
          <w:color w:val="auto"/>
        </w:rPr>
      </w:pPr>
      <w:r>
        <w:rPr>
          <w:color w:val="auto"/>
        </w:rPr>
        <w:t xml:space="preserve">1.4.1.1 </w:t>
      </w:r>
      <w:r>
        <w:rPr>
          <w:rFonts w:hint="eastAsia"/>
          <w:color w:val="auto"/>
        </w:rPr>
        <w:t>环境空气</w:t>
      </w:r>
    </w:p>
    <w:p>
      <w:pPr>
        <w:pStyle w:val="63"/>
        <w:ind w:firstLine="480"/>
        <w:rPr>
          <w:color w:val="auto"/>
        </w:rPr>
      </w:pPr>
      <w:r>
        <w:rPr>
          <w:rFonts w:hint="eastAsia"/>
          <w:color w:val="auto"/>
        </w:rPr>
        <w:t>环境空气评价范围参照三级评价要求，以给水处理站加氯车间为原点，半径</w:t>
      </w:r>
      <w:r>
        <w:rPr>
          <w:color w:val="auto"/>
        </w:rPr>
        <w:t>2.5km</w:t>
      </w:r>
      <w:r>
        <w:rPr>
          <w:rFonts w:hint="eastAsia"/>
          <w:color w:val="auto"/>
        </w:rPr>
        <w:t>的圆。</w:t>
      </w:r>
    </w:p>
    <w:p>
      <w:pPr>
        <w:pStyle w:val="70"/>
        <w:ind w:firstLine="482"/>
        <w:rPr>
          <w:color w:val="auto"/>
        </w:rPr>
      </w:pPr>
      <w:r>
        <w:rPr>
          <w:color w:val="auto"/>
        </w:rPr>
        <w:t xml:space="preserve">1.4.1.2 </w:t>
      </w:r>
      <w:r>
        <w:rPr>
          <w:rFonts w:hint="eastAsia"/>
          <w:color w:val="auto"/>
        </w:rPr>
        <w:t>地表水</w:t>
      </w:r>
    </w:p>
    <w:p>
      <w:pPr>
        <w:pStyle w:val="63"/>
        <w:ind w:firstLine="480"/>
        <w:rPr>
          <w:color w:val="auto"/>
        </w:rPr>
      </w:pPr>
      <w:r>
        <w:rPr>
          <w:rFonts w:hint="eastAsia"/>
          <w:color w:val="auto"/>
        </w:rPr>
        <w:t>地表水评价范围参照三级评价要求，即项目所在地泾河上游</w:t>
      </w:r>
      <w:r>
        <w:rPr>
          <w:color w:val="auto"/>
        </w:rPr>
        <w:t>500m</w:t>
      </w:r>
      <w:r>
        <w:rPr>
          <w:rFonts w:hint="eastAsia"/>
          <w:color w:val="auto"/>
        </w:rPr>
        <w:t>，下游15</w:t>
      </w:r>
      <w:r>
        <w:rPr>
          <w:color w:val="auto"/>
        </w:rPr>
        <w:t>00m</w:t>
      </w:r>
      <w:r>
        <w:rPr>
          <w:rFonts w:hint="eastAsia"/>
          <w:color w:val="auto"/>
        </w:rPr>
        <w:t>的河段。</w:t>
      </w:r>
    </w:p>
    <w:p>
      <w:pPr>
        <w:pStyle w:val="70"/>
        <w:ind w:firstLine="482"/>
        <w:rPr>
          <w:color w:val="auto"/>
        </w:rPr>
      </w:pPr>
      <w:r>
        <w:rPr>
          <w:rFonts w:hint="eastAsia"/>
          <w:color w:val="auto"/>
        </w:rPr>
        <w:t>1.4.1.3 地下水</w:t>
      </w:r>
    </w:p>
    <w:p>
      <w:pPr>
        <w:pStyle w:val="63"/>
        <w:ind w:firstLine="480"/>
        <w:jc w:val="both"/>
        <w:rPr>
          <w:color w:val="auto"/>
        </w:rPr>
      </w:pPr>
      <w:r>
        <w:rPr>
          <w:rFonts w:hint="eastAsia"/>
          <w:color w:val="auto"/>
        </w:rPr>
        <w:t>本项目的</w:t>
      </w:r>
      <w:r>
        <w:rPr>
          <w:color w:val="auto"/>
        </w:rPr>
        <w:t>地下水评价范围</w:t>
      </w:r>
      <w:r>
        <w:rPr>
          <w:rFonts w:hint="eastAsia"/>
          <w:color w:val="auto"/>
        </w:rPr>
        <w:t>同泾河新城项目区地下水资源论证范围，总面积为1033.33km</w:t>
      </w:r>
      <w:r>
        <w:rPr>
          <w:rFonts w:hint="eastAsia"/>
          <w:color w:val="auto"/>
          <w:vertAlign w:val="superscript"/>
        </w:rPr>
        <w:t>2</w:t>
      </w:r>
      <w:r>
        <w:rPr>
          <w:rFonts w:hint="eastAsia"/>
          <w:color w:val="auto"/>
        </w:rPr>
        <w:t>，</w:t>
      </w:r>
      <w:r>
        <w:rPr>
          <w:color w:val="auto"/>
        </w:rPr>
        <w:t>见图</w:t>
      </w:r>
      <w:r>
        <w:rPr>
          <w:rFonts w:hint="eastAsia"/>
          <w:color w:val="auto"/>
        </w:rPr>
        <w:t>7.1-1</w:t>
      </w:r>
      <w:r>
        <w:rPr>
          <w:color w:val="auto"/>
        </w:rPr>
        <w:t>。</w:t>
      </w:r>
    </w:p>
    <w:p>
      <w:pPr>
        <w:pStyle w:val="70"/>
        <w:ind w:firstLine="482"/>
        <w:rPr>
          <w:color w:val="auto"/>
        </w:rPr>
      </w:pPr>
      <w:r>
        <w:rPr>
          <w:color w:val="auto"/>
        </w:rPr>
        <w:t>1.4.1.4 声环境</w:t>
      </w:r>
    </w:p>
    <w:p>
      <w:pPr>
        <w:pStyle w:val="63"/>
        <w:ind w:firstLine="480"/>
        <w:rPr>
          <w:color w:val="auto"/>
        </w:rPr>
      </w:pPr>
      <w:r>
        <w:rPr>
          <w:color w:val="auto"/>
        </w:rPr>
        <w:t>声环境评价范围为拟建项目场界/厂界外200m。</w:t>
      </w:r>
    </w:p>
    <w:p>
      <w:pPr>
        <w:pStyle w:val="63"/>
        <w:ind w:firstLine="482"/>
        <w:rPr>
          <w:color w:val="auto"/>
        </w:rPr>
      </w:pPr>
      <w:r>
        <w:rPr>
          <w:rFonts w:ascii="宋体"/>
          <w:b/>
          <w:color w:val="auto"/>
          <w:szCs w:val="20"/>
        </w:rPr>
        <w:t>1.4.1.5 生态环境</w:t>
      </w:r>
    </w:p>
    <w:p>
      <w:pPr>
        <w:pStyle w:val="63"/>
        <w:ind w:firstLine="480"/>
        <w:rPr>
          <w:color w:val="auto"/>
        </w:rPr>
      </w:pPr>
      <w:r>
        <w:rPr>
          <w:color w:val="auto"/>
        </w:rPr>
        <w:t>项目涉及</w:t>
      </w:r>
      <w:r>
        <w:rPr>
          <w:rFonts w:hint="eastAsia"/>
          <w:color w:val="auto"/>
        </w:rPr>
        <w:t>水源井</w:t>
      </w:r>
      <w:r>
        <w:rPr>
          <w:color w:val="auto"/>
        </w:rPr>
        <w:t>、输水管线</w:t>
      </w:r>
      <w:r>
        <w:rPr>
          <w:rFonts w:hint="eastAsia"/>
          <w:color w:val="auto"/>
        </w:rPr>
        <w:t>、水源管理站及保障房给水处理站</w:t>
      </w:r>
      <w:r>
        <w:rPr>
          <w:color w:val="auto"/>
        </w:rPr>
        <w:t>，因此生态评价范围确定为</w:t>
      </w:r>
      <w:r>
        <w:rPr>
          <w:rFonts w:hint="eastAsia"/>
          <w:color w:val="auto"/>
        </w:rPr>
        <w:t>水源管理站、保障房给水处理站</w:t>
      </w:r>
      <w:r>
        <w:rPr>
          <w:color w:val="auto"/>
        </w:rPr>
        <w:t>周围及管线两侧外延200m范围的包络线区域。</w:t>
      </w:r>
    </w:p>
    <w:p>
      <w:pPr>
        <w:pStyle w:val="63"/>
        <w:ind w:firstLine="482"/>
        <w:rPr>
          <w:rFonts w:ascii="宋体"/>
          <w:b/>
          <w:color w:val="auto"/>
          <w:szCs w:val="20"/>
        </w:rPr>
      </w:pPr>
      <w:r>
        <w:rPr>
          <w:rFonts w:ascii="宋体"/>
          <w:b/>
          <w:color w:val="auto"/>
          <w:szCs w:val="20"/>
        </w:rPr>
        <w:t>1.4.1.6 环境风险</w:t>
      </w:r>
    </w:p>
    <w:p>
      <w:pPr>
        <w:pStyle w:val="63"/>
        <w:ind w:firstLine="480"/>
        <w:rPr>
          <w:color w:val="auto"/>
        </w:rPr>
      </w:pPr>
      <w:r>
        <w:rPr>
          <w:color w:val="auto"/>
        </w:rPr>
        <w:t>按照二级评价要求，环境空气评价范围为以危险源为中心的半径3km范围；评价面积不小于28.3km</w:t>
      </w:r>
      <w:r>
        <w:rPr>
          <w:color w:val="auto"/>
          <w:vertAlign w:val="superscript"/>
        </w:rPr>
        <w:t>2</w:t>
      </w:r>
      <w:r>
        <w:rPr>
          <w:color w:val="auto"/>
        </w:rPr>
        <w:t>。本项目事故状态下污水应全部收集，因此地表水仅分析污水收集</w:t>
      </w:r>
      <w:r>
        <w:rPr>
          <w:rFonts w:hint="eastAsia"/>
          <w:color w:val="auto"/>
        </w:rPr>
        <w:t>设施情况。</w:t>
      </w:r>
    </w:p>
    <w:p>
      <w:pPr>
        <w:pStyle w:val="62"/>
        <w:rPr>
          <w:rFonts w:ascii="宋体"/>
          <w:b w:val="0"/>
          <w:color w:val="auto"/>
          <w:szCs w:val="20"/>
        </w:rPr>
      </w:pPr>
      <w:r>
        <w:rPr>
          <w:rFonts w:ascii="宋体" w:cs="宋体"/>
          <w:color w:val="auto"/>
        </w:rPr>
        <w:t xml:space="preserve">1.4.2 </w:t>
      </w:r>
      <w:r>
        <w:rPr>
          <w:rFonts w:hint="eastAsia" w:ascii="宋体" w:cs="宋体"/>
          <w:color w:val="auto"/>
        </w:rPr>
        <w:t>环境敏感区</w:t>
      </w:r>
    </w:p>
    <w:p>
      <w:pPr>
        <w:pStyle w:val="63"/>
        <w:ind w:firstLine="480"/>
        <w:rPr>
          <w:color w:val="auto"/>
        </w:rPr>
      </w:pPr>
      <w:r>
        <w:rPr>
          <w:color w:val="auto"/>
        </w:rPr>
        <w:t>本项目环境保护目标包括周边的大气环境、声环境、地下水、地表水环境以及周边农作物。评价区内环境保护目标及主要敏感点汇总见表1.4-2，敏感点位置见图1.4-2。</w:t>
      </w:r>
    </w:p>
    <w:p>
      <w:pPr>
        <w:pStyle w:val="61"/>
        <w:rPr>
          <w:color w:val="auto"/>
        </w:rPr>
      </w:pPr>
      <w:bookmarkStart w:id="13" w:name="_Toc436902142"/>
      <w:r>
        <w:rPr>
          <w:bCs/>
          <w:color w:val="auto"/>
        </w:rPr>
        <w:t xml:space="preserve">1.5 </w:t>
      </w:r>
      <w:r>
        <w:rPr>
          <w:rFonts w:hint="eastAsia"/>
          <w:color w:val="auto"/>
        </w:rPr>
        <w:t>相关规划及环境功能区划</w:t>
      </w:r>
      <w:bookmarkEnd w:id="13"/>
    </w:p>
    <w:p>
      <w:pPr>
        <w:pStyle w:val="62"/>
        <w:rPr>
          <w:color w:val="auto"/>
        </w:rPr>
      </w:pPr>
      <w:r>
        <w:rPr>
          <w:color w:val="auto"/>
        </w:rPr>
        <w:t xml:space="preserve">1.5.1 </w:t>
      </w:r>
      <w:r>
        <w:rPr>
          <w:rFonts w:hint="eastAsia" w:ascii="Times New Roman" w:cs="宋体"/>
          <w:color w:val="auto"/>
        </w:rPr>
        <w:t>相关规划</w:t>
      </w:r>
    </w:p>
    <w:p>
      <w:pPr>
        <w:pStyle w:val="63"/>
        <w:ind w:firstLine="480"/>
        <w:rPr>
          <w:color w:val="auto"/>
        </w:rPr>
      </w:pPr>
      <w:r>
        <w:rPr>
          <w:color w:val="auto"/>
        </w:rPr>
        <w:t>本项目为应急水源建设项目，位于</w:t>
      </w:r>
      <w:r>
        <w:rPr>
          <w:rFonts w:hint="eastAsia"/>
          <w:color w:val="auto"/>
        </w:rPr>
        <w:t>西咸新区泾河新城秦汉大道以东规划区域，</w:t>
      </w:r>
      <w:r>
        <w:rPr>
          <w:color w:val="auto"/>
        </w:rPr>
        <w:t>项目建设符合</w:t>
      </w:r>
      <w:r>
        <w:rPr>
          <w:rFonts w:hint="eastAsia"/>
          <w:color w:val="auto"/>
        </w:rPr>
        <w:t>《西咸新区总体规划》（2010-2020年）和《西咸新区—泾河新城分区规划》（2010-2020年）</w:t>
      </w:r>
      <w:r>
        <w:rPr>
          <w:color w:val="auto"/>
        </w:rPr>
        <w:t>，</w:t>
      </w:r>
      <w:r>
        <w:rPr>
          <w:rFonts w:hint="eastAsia"/>
          <w:color w:val="auto"/>
        </w:rPr>
        <w:t>详见“规划符合性分析”章节。</w:t>
      </w:r>
    </w:p>
    <w:p>
      <w:pPr>
        <w:pStyle w:val="63"/>
        <w:ind w:firstLine="480"/>
        <w:rPr>
          <w:color w:val="auto"/>
        </w:rPr>
      </w:pPr>
      <w:r>
        <w:rPr>
          <w:rFonts w:hint="eastAsia"/>
          <w:color w:val="auto"/>
        </w:rPr>
        <w:t>1、《西咸新区总体规划》（2010-2020年）</w:t>
      </w:r>
    </w:p>
    <w:p>
      <w:pPr>
        <w:pStyle w:val="63"/>
        <w:ind w:firstLine="480"/>
        <w:rPr>
          <w:color w:val="auto"/>
        </w:rPr>
      </w:pPr>
      <w:r>
        <w:rPr>
          <w:color w:val="auto"/>
        </w:rPr>
        <w:t>《西咸新区总体规划》（2010-2020年）文件中，第十一章市政设施规划第53条给水工程指出：</w:t>
      </w:r>
      <w:r>
        <w:rPr>
          <w:rFonts w:ascii="宋体" w:hAnsi="宋体"/>
          <w:color w:val="auto"/>
        </w:rPr>
        <w:t>“2、水源地规划：以秦岭北麓地表水引汉济渭工程作为区域主要供水水源，远景建设东庄水库作为第二水源，用区域内污水资源化利用后的再生水、雨水资源等，形成区域多水源联合供水保障体系</w:t>
      </w:r>
      <w:r>
        <w:rPr>
          <w:rFonts w:hint="eastAsia" w:ascii="宋体" w:hAnsi="宋体"/>
          <w:color w:val="auto"/>
        </w:rPr>
        <w:t>。整合现状地下水源，将其纳入区域应急备用供水系统</w:t>
      </w:r>
      <w:r>
        <w:rPr>
          <w:rFonts w:ascii="宋体" w:hAnsi="宋体"/>
          <w:color w:val="auto"/>
        </w:rPr>
        <w:t>”</w:t>
      </w:r>
      <w:r>
        <w:rPr>
          <w:color w:val="auto"/>
        </w:rPr>
        <w:t>；</w:t>
      </w:r>
      <w:r>
        <w:rPr>
          <w:rFonts w:ascii="宋体" w:hAnsi="宋体"/>
          <w:color w:val="auto"/>
        </w:rPr>
        <w:t>“3、给水设施规划：渭河以北建设引汉过渭工程，配套建设引汉过渭泾渭水厂，渭河以南以汉济渭工程调水作为主供水源，建设沣河水厂，建设形成新区与西安，咸阳主城区供水设施全面对接，渭河南北相连，主环相接的供水网络”</w:t>
      </w:r>
      <w:r>
        <w:rPr>
          <w:color w:val="auto"/>
        </w:rPr>
        <w:t>。</w:t>
      </w:r>
    </w:p>
    <w:p>
      <w:pPr>
        <w:pStyle w:val="63"/>
        <w:ind w:firstLine="480"/>
        <w:rPr>
          <w:color w:val="auto"/>
        </w:rPr>
      </w:pPr>
      <w:r>
        <w:rPr>
          <w:rFonts w:hint="eastAsia"/>
          <w:color w:val="auto"/>
        </w:rPr>
        <w:t>2、《西咸新区—泾河新城分区规划》（2010-2020年）</w:t>
      </w:r>
    </w:p>
    <w:p>
      <w:pPr>
        <w:pStyle w:val="63"/>
        <w:ind w:firstLine="480"/>
        <w:rPr>
          <w:color w:val="auto"/>
        </w:rPr>
      </w:pPr>
      <w:r>
        <w:rPr>
          <w:color w:val="auto"/>
        </w:rPr>
        <w:t>《西咸新区-泾河新城分区规划》（2010-2020年）中</w:t>
      </w:r>
      <w:r>
        <w:rPr>
          <w:rFonts w:ascii="宋体" w:hAnsi="宋体"/>
          <w:color w:val="auto"/>
        </w:rPr>
        <w:t>“给水工程规划”</w:t>
      </w:r>
      <w:r>
        <w:rPr>
          <w:color w:val="auto"/>
        </w:rPr>
        <w:t>指出：</w:t>
      </w:r>
    </w:p>
    <w:p>
      <w:pPr>
        <w:pStyle w:val="63"/>
        <w:ind w:firstLine="480"/>
        <w:rPr>
          <w:color w:val="auto"/>
        </w:rPr>
      </w:pPr>
      <w:r>
        <w:rPr>
          <w:color w:val="auto"/>
        </w:rPr>
        <w:t>（1）供水方案：</w:t>
      </w:r>
    </w:p>
    <w:p>
      <w:pPr>
        <w:pStyle w:val="63"/>
        <w:ind w:firstLine="480"/>
        <w:rPr>
          <w:color w:val="auto"/>
        </w:rPr>
      </w:pPr>
      <w:r>
        <w:rPr>
          <w:rFonts w:hint="eastAsia" w:ascii="宋体" w:hAnsi="宋体"/>
          <w:color w:val="auto"/>
        </w:rPr>
        <w:t>①</w:t>
      </w:r>
      <w:r>
        <w:rPr>
          <w:color w:val="auto"/>
        </w:rPr>
        <w:t>近期供水方案：水源：泾河傍河地下水源。</w:t>
      </w:r>
    </w:p>
    <w:p>
      <w:pPr>
        <w:pStyle w:val="63"/>
        <w:ind w:firstLine="480"/>
        <w:rPr>
          <w:color w:val="auto"/>
        </w:rPr>
      </w:pPr>
      <w:r>
        <w:rPr>
          <w:color w:val="auto"/>
        </w:rPr>
        <w:t>规划在泾河南岸、北岸各建给水厂一座，南岸给水厂规模3万m</w:t>
      </w:r>
      <w:r>
        <w:rPr>
          <w:color w:val="auto"/>
          <w:vertAlign w:val="superscript"/>
        </w:rPr>
        <w:t>3</w:t>
      </w:r>
      <w:r>
        <w:rPr>
          <w:color w:val="auto"/>
        </w:rPr>
        <w:t>/d，北岸给水厂规模3万m</w:t>
      </w:r>
      <w:r>
        <w:rPr>
          <w:color w:val="auto"/>
          <w:vertAlign w:val="superscript"/>
        </w:rPr>
        <w:t>3</w:t>
      </w:r>
      <w:r>
        <w:rPr>
          <w:color w:val="auto"/>
        </w:rPr>
        <w:t>/d。</w:t>
      </w:r>
    </w:p>
    <w:p>
      <w:pPr>
        <w:pStyle w:val="63"/>
        <w:ind w:firstLine="480"/>
        <w:rPr>
          <w:color w:val="auto"/>
        </w:rPr>
      </w:pPr>
      <w:r>
        <w:rPr>
          <w:rFonts w:hint="eastAsia" w:ascii="宋体" w:hAnsi="宋体"/>
          <w:color w:val="auto"/>
        </w:rPr>
        <w:t>②</w:t>
      </w:r>
      <w:r>
        <w:rPr>
          <w:color w:val="auto"/>
        </w:rPr>
        <w:t>远期供水方案：水源：泾河傍河地下水源；泾河东庄水库。</w:t>
      </w:r>
    </w:p>
    <w:p>
      <w:pPr>
        <w:pStyle w:val="63"/>
        <w:ind w:firstLine="480"/>
        <w:rPr>
          <w:color w:val="auto"/>
        </w:rPr>
      </w:pPr>
      <w:r>
        <w:rPr>
          <w:color w:val="auto"/>
        </w:rPr>
        <w:t>泾河东庄水库工程是陕西省实施西部大开发战略、加快关中经济区发展的重大水利项目。是《关中-天水经济区发展规划》中唯一的大型水源工程。工程位于泾河下游礼泉县东庄乡，淳化县车坞乡河段处，总库容30.08亿m</w:t>
      </w:r>
      <w:r>
        <w:rPr>
          <w:color w:val="auto"/>
          <w:vertAlign w:val="superscript"/>
        </w:rPr>
        <w:t>3</w:t>
      </w:r>
      <w:r>
        <w:rPr>
          <w:color w:val="auto"/>
        </w:rPr>
        <w:t>。在规划区西北角建设给水厂两座，规模分别为6万m</w:t>
      </w:r>
      <w:r>
        <w:rPr>
          <w:color w:val="auto"/>
          <w:vertAlign w:val="superscript"/>
        </w:rPr>
        <w:t>3</w:t>
      </w:r>
      <w:r>
        <w:rPr>
          <w:color w:val="auto"/>
        </w:rPr>
        <w:t>/d，10万m</w:t>
      </w:r>
      <w:r>
        <w:rPr>
          <w:color w:val="auto"/>
          <w:vertAlign w:val="superscript"/>
        </w:rPr>
        <w:t>3</w:t>
      </w:r>
      <w:r>
        <w:rPr>
          <w:color w:val="auto"/>
        </w:rPr>
        <w:t>/d。</w:t>
      </w:r>
    </w:p>
    <w:p>
      <w:pPr>
        <w:pStyle w:val="63"/>
        <w:ind w:firstLine="480"/>
        <w:rPr>
          <w:color w:val="auto"/>
        </w:rPr>
      </w:pPr>
      <w:r>
        <w:rPr>
          <w:color w:val="auto"/>
        </w:rPr>
        <w:t>（2）输配水管网规划</w:t>
      </w:r>
    </w:p>
    <w:p>
      <w:pPr>
        <w:pStyle w:val="63"/>
        <w:ind w:firstLine="480"/>
        <w:rPr>
          <w:color w:val="auto"/>
        </w:rPr>
      </w:pPr>
      <w:r>
        <w:rPr>
          <w:rFonts w:ascii="宋体" w:hAnsi="宋体"/>
          <w:color w:val="auto"/>
        </w:rPr>
        <w:t>“</w:t>
      </w:r>
      <w:r>
        <w:rPr>
          <w:color w:val="auto"/>
        </w:rPr>
        <w:t>根据规划区近期由北向南供水，远期双水源供水的格局，在高泾南路、高泾大道、高泾中路等主要东西主通道布置双线输配水管道，在秦汉大道、县东路、正阳大道南北双向道宽度大于</w:t>
      </w:r>
      <w:r>
        <w:rPr>
          <w:rFonts w:hint="eastAsia"/>
          <w:color w:val="auto"/>
        </w:rPr>
        <w:t>等于60m主干道布置双线配水管道，其余道路布置DN300-DN600配水管道”。</w:t>
      </w:r>
    </w:p>
    <w:p>
      <w:pPr>
        <w:pStyle w:val="62"/>
        <w:rPr>
          <w:rFonts w:ascii="宋体" w:cs="宋体"/>
          <w:color w:val="auto"/>
        </w:rPr>
      </w:pPr>
      <w:r>
        <w:rPr>
          <w:bCs/>
          <w:color w:val="auto"/>
        </w:rPr>
        <w:t xml:space="preserve">1.5.2 </w:t>
      </w:r>
      <w:r>
        <w:rPr>
          <w:rFonts w:hint="eastAsia" w:ascii="宋体" w:cs="宋体"/>
          <w:color w:val="auto"/>
        </w:rPr>
        <w:t>环境功能区划</w:t>
      </w:r>
    </w:p>
    <w:p>
      <w:pPr>
        <w:pStyle w:val="63"/>
        <w:ind w:firstLine="480"/>
        <w:rPr>
          <w:color w:val="auto"/>
        </w:rPr>
      </w:pPr>
      <w:r>
        <w:rPr>
          <w:color w:val="auto"/>
        </w:rPr>
        <w:t>项目所在地为农村地区，其环境空气功能区为二类区；根据《陕西省水功能区别》，项目所在地位于</w:t>
      </w:r>
      <w:r>
        <w:rPr>
          <w:rFonts w:hint="eastAsia"/>
          <w:color w:val="auto"/>
        </w:rPr>
        <w:t>泾河两岸，均为</w:t>
      </w:r>
      <w:r>
        <w:rPr>
          <w:rFonts w:hint="eastAsia" w:ascii="宋体" w:hAnsi="宋体"/>
          <w:color w:val="auto"/>
        </w:rPr>
        <w:t>Ⅲ</w:t>
      </w:r>
      <w:r>
        <w:rPr>
          <w:rFonts w:hint="eastAsia"/>
          <w:color w:val="auto"/>
        </w:rPr>
        <w:t>类</w:t>
      </w:r>
      <w:r>
        <w:rPr>
          <w:color w:val="auto"/>
        </w:rPr>
        <w:t>水域；项目</w:t>
      </w:r>
      <w:r>
        <w:rPr>
          <w:rFonts w:hint="eastAsia"/>
          <w:color w:val="auto"/>
        </w:rPr>
        <w:t>经过高泾南路、秦汉大道、高泾大道，道路</w:t>
      </w:r>
      <w:r>
        <w:rPr>
          <w:color w:val="auto"/>
        </w:rPr>
        <w:t>红线外35m应划分为4a类区声环境功能区，其余应划分为2类；拟建地地下水拟建为备用集中式生活饮用水源地，地下水质量宜</w:t>
      </w:r>
      <w:r>
        <w:rPr>
          <w:rFonts w:hint="eastAsia"/>
          <w:color w:val="auto"/>
        </w:rPr>
        <w:t>按</w:t>
      </w:r>
      <w:r>
        <w:rPr>
          <w:rFonts w:hint="eastAsia" w:ascii="宋体" w:hAnsi="宋体"/>
          <w:color w:val="auto"/>
        </w:rPr>
        <w:t>Ⅲ</w:t>
      </w:r>
      <w:r>
        <w:rPr>
          <w:rFonts w:hint="eastAsia"/>
          <w:color w:val="auto"/>
        </w:rPr>
        <w:t>类标准控制。</w:t>
      </w:r>
    </w:p>
    <w:p>
      <w:pPr>
        <w:pStyle w:val="63"/>
        <w:ind w:firstLine="0" w:firstLineChars="0"/>
        <w:jc w:val="center"/>
        <w:rPr>
          <w:rFonts w:hAnsi="宋体" w:cs="Times New Roman"/>
          <w:b/>
          <w:color w:val="auto"/>
          <w:sz w:val="21"/>
          <w:szCs w:val="21"/>
        </w:rPr>
      </w:pPr>
      <w:r>
        <w:rPr>
          <w:rFonts w:hAnsi="宋体" w:cs="Times New Roman"/>
          <w:b/>
          <w:color w:val="auto"/>
          <w:sz w:val="21"/>
          <w:szCs w:val="21"/>
        </w:rPr>
        <w:t>表</w:t>
      </w:r>
      <w:r>
        <w:rPr>
          <w:rFonts w:cs="Times New Roman"/>
          <w:b/>
          <w:color w:val="auto"/>
          <w:sz w:val="21"/>
          <w:szCs w:val="21"/>
        </w:rPr>
        <w:t xml:space="preserve">1.4-2  </w:t>
      </w:r>
      <w:r>
        <w:rPr>
          <w:rFonts w:hAnsi="宋体" w:cs="Times New Roman"/>
          <w:b/>
          <w:color w:val="auto"/>
          <w:sz w:val="21"/>
          <w:szCs w:val="21"/>
        </w:rPr>
        <w:t>评价区内重点保护对象及其环境保护目标</w:t>
      </w:r>
    </w:p>
    <w:tbl>
      <w:tblPr>
        <w:tblStyle w:val="2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71"/>
        <w:gridCol w:w="1384"/>
        <w:gridCol w:w="787"/>
        <w:gridCol w:w="978"/>
        <w:gridCol w:w="662"/>
        <w:gridCol w:w="756"/>
        <w:gridCol w:w="974"/>
        <w:gridCol w:w="26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blHeader/>
        </w:trPr>
        <w:tc>
          <w:tcPr>
            <w:tcW w:w="579" w:type="pct"/>
            <w:vMerge w:val="restart"/>
            <w:tcBorders>
              <w:top w:val="single" w:color="auto" w:sz="12" w:space="0"/>
              <w:left w:val="single" w:color="auto" w:sz="12" w:space="0"/>
            </w:tcBorders>
            <w:vAlign w:val="center"/>
          </w:tcPr>
          <w:p>
            <w:pPr>
              <w:pStyle w:val="63"/>
              <w:ind w:firstLine="0" w:firstLineChars="0"/>
              <w:jc w:val="center"/>
              <w:rPr>
                <w:rFonts w:cs="Times New Roman"/>
                <w:b/>
                <w:color w:val="auto"/>
                <w:sz w:val="21"/>
                <w:szCs w:val="21"/>
              </w:rPr>
            </w:pPr>
            <w:r>
              <w:rPr>
                <w:rFonts w:hint="eastAsia" w:cs="Times New Roman"/>
                <w:b/>
                <w:color w:val="auto"/>
                <w:sz w:val="21"/>
                <w:szCs w:val="21"/>
              </w:rPr>
              <w:t>环境要素</w:t>
            </w:r>
          </w:p>
        </w:tc>
        <w:tc>
          <w:tcPr>
            <w:tcW w:w="749" w:type="pct"/>
            <w:vMerge w:val="restart"/>
            <w:tcBorders>
              <w:top w:val="single" w:color="auto" w:sz="12" w:space="0"/>
            </w:tcBorders>
            <w:vAlign w:val="center"/>
          </w:tcPr>
          <w:p>
            <w:pPr>
              <w:pStyle w:val="63"/>
              <w:ind w:firstLine="0" w:firstLineChars="0"/>
              <w:jc w:val="center"/>
              <w:rPr>
                <w:rFonts w:cs="Times New Roman"/>
                <w:b/>
                <w:color w:val="auto"/>
                <w:sz w:val="21"/>
                <w:szCs w:val="21"/>
              </w:rPr>
            </w:pPr>
            <w:r>
              <w:rPr>
                <w:rFonts w:hint="eastAsia" w:cs="Times New Roman"/>
                <w:b/>
                <w:color w:val="auto"/>
                <w:sz w:val="21"/>
                <w:szCs w:val="21"/>
              </w:rPr>
              <w:t>保护对象</w:t>
            </w:r>
          </w:p>
        </w:tc>
        <w:tc>
          <w:tcPr>
            <w:tcW w:w="955" w:type="pct"/>
            <w:gridSpan w:val="2"/>
            <w:tcBorders>
              <w:top w:val="single" w:color="auto" w:sz="12" w:space="0"/>
              <w:bottom w:val="single" w:color="auto" w:sz="4" w:space="0"/>
            </w:tcBorders>
            <w:vAlign w:val="center"/>
          </w:tcPr>
          <w:p>
            <w:pPr>
              <w:pStyle w:val="63"/>
              <w:ind w:firstLine="0" w:firstLineChars="0"/>
              <w:jc w:val="center"/>
              <w:rPr>
                <w:rFonts w:cs="Times New Roman"/>
                <w:b/>
                <w:color w:val="auto"/>
                <w:sz w:val="21"/>
                <w:szCs w:val="21"/>
              </w:rPr>
            </w:pPr>
            <w:r>
              <w:rPr>
                <w:rFonts w:hint="eastAsia" w:cs="Times New Roman"/>
                <w:b/>
                <w:color w:val="auto"/>
                <w:sz w:val="21"/>
                <w:szCs w:val="21"/>
              </w:rPr>
              <w:t>与水源管理站</w:t>
            </w:r>
          </w:p>
        </w:tc>
        <w:tc>
          <w:tcPr>
            <w:tcW w:w="358" w:type="pct"/>
            <w:vMerge w:val="restart"/>
            <w:tcBorders>
              <w:top w:val="single" w:color="auto" w:sz="12" w:space="0"/>
            </w:tcBorders>
            <w:vAlign w:val="center"/>
          </w:tcPr>
          <w:p>
            <w:pPr>
              <w:pStyle w:val="63"/>
              <w:ind w:firstLine="0" w:firstLineChars="0"/>
              <w:jc w:val="center"/>
              <w:rPr>
                <w:rFonts w:cs="Times New Roman"/>
                <w:b/>
                <w:color w:val="auto"/>
                <w:sz w:val="21"/>
                <w:szCs w:val="21"/>
              </w:rPr>
            </w:pPr>
            <w:r>
              <w:rPr>
                <w:rFonts w:hint="eastAsia" w:cs="Times New Roman"/>
                <w:b/>
                <w:color w:val="auto"/>
                <w:sz w:val="21"/>
                <w:szCs w:val="21"/>
              </w:rPr>
              <w:t>户数</w:t>
            </w:r>
          </w:p>
        </w:tc>
        <w:tc>
          <w:tcPr>
            <w:tcW w:w="409" w:type="pct"/>
            <w:vMerge w:val="restart"/>
            <w:tcBorders>
              <w:top w:val="single" w:color="auto" w:sz="12" w:space="0"/>
            </w:tcBorders>
            <w:vAlign w:val="center"/>
          </w:tcPr>
          <w:p>
            <w:pPr>
              <w:pStyle w:val="63"/>
              <w:ind w:firstLine="0" w:firstLineChars="0"/>
              <w:jc w:val="center"/>
              <w:rPr>
                <w:rFonts w:cs="Times New Roman"/>
                <w:b/>
                <w:color w:val="auto"/>
                <w:sz w:val="21"/>
                <w:szCs w:val="21"/>
              </w:rPr>
            </w:pPr>
            <w:r>
              <w:rPr>
                <w:rFonts w:hint="eastAsia" w:cs="Times New Roman"/>
                <w:b/>
                <w:color w:val="auto"/>
                <w:sz w:val="21"/>
                <w:szCs w:val="21"/>
              </w:rPr>
              <w:t>人口</w:t>
            </w:r>
          </w:p>
        </w:tc>
        <w:tc>
          <w:tcPr>
            <w:tcW w:w="1950" w:type="pct"/>
            <w:gridSpan w:val="2"/>
            <w:vMerge w:val="restart"/>
            <w:tcBorders>
              <w:top w:val="single" w:color="auto" w:sz="12" w:space="0"/>
              <w:right w:val="single" w:color="auto" w:sz="12" w:space="0"/>
            </w:tcBorders>
            <w:vAlign w:val="center"/>
          </w:tcPr>
          <w:p>
            <w:pPr>
              <w:pStyle w:val="63"/>
              <w:ind w:firstLine="0" w:firstLineChars="0"/>
              <w:jc w:val="center"/>
              <w:rPr>
                <w:rFonts w:cs="Times New Roman"/>
                <w:b/>
                <w:color w:val="auto"/>
                <w:sz w:val="21"/>
                <w:szCs w:val="21"/>
              </w:rPr>
            </w:pPr>
            <w:r>
              <w:rPr>
                <w:rFonts w:hint="eastAsia" w:cs="Times New Roman"/>
                <w:b/>
                <w:color w:val="auto"/>
                <w:sz w:val="21"/>
                <w:szCs w:val="21"/>
              </w:rPr>
              <w:t>保护目标或保护对策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blHeader/>
        </w:trPr>
        <w:tc>
          <w:tcPr>
            <w:tcW w:w="579" w:type="pct"/>
            <w:vMerge w:val="continue"/>
            <w:tcBorders>
              <w:left w:val="single" w:color="auto" w:sz="12" w:space="0"/>
            </w:tcBorders>
            <w:vAlign w:val="center"/>
          </w:tcPr>
          <w:p>
            <w:pPr>
              <w:pStyle w:val="63"/>
              <w:ind w:firstLine="0" w:firstLineChars="0"/>
              <w:jc w:val="center"/>
              <w:rPr>
                <w:rFonts w:cs="Times New Roman"/>
                <w:b/>
                <w:color w:val="auto"/>
                <w:sz w:val="21"/>
                <w:szCs w:val="21"/>
              </w:rPr>
            </w:pPr>
          </w:p>
        </w:tc>
        <w:tc>
          <w:tcPr>
            <w:tcW w:w="749" w:type="pct"/>
            <w:vMerge w:val="continue"/>
            <w:vAlign w:val="center"/>
          </w:tcPr>
          <w:p>
            <w:pPr>
              <w:pStyle w:val="63"/>
              <w:ind w:firstLine="0" w:firstLineChars="0"/>
              <w:jc w:val="center"/>
              <w:rPr>
                <w:rFonts w:cs="Times New Roman"/>
                <w:b/>
                <w:color w:val="auto"/>
                <w:sz w:val="21"/>
                <w:szCs w:val="21"/>
              </w:rPr>
            </w:pPr>
          </w:p>
        </w:tc>
        <w:tc>
          <w:tcPr>
            <w:tcW w:w="426" w:type="pct"/>
            <w:tcBorders>
              <w:top w:val="single" w:color="auto" w:sz="4" w:space="0"/>
            </w:tcBorders>
            <w:vAlign w:val="center"/>
          </w:tcPr>
          <w:p>
            <w:pPr>
              <w:pStyle w:val="63"/>
              <w:ind w:firstLine="0" w:firstLineChars="0"/>
              <w:jc w:val="center"/>
              <w:rPr>
                <w:rFonts w:cs="Times New Roman"/>
                <w:b/>
                <w:color w:val="auto"/>
                <w:sz w:val="21"/>
                <w:szCs w:val="21"/>
              </w:rPr>
            </w:pPr>
            <w:r>
              <w:rPr>
                <w:rFonts w:hint="eastAsia" w:cs="Times New Roman"/>
                <w:b/>
                <w:color w:val="auto"/>
                <w:sz w:val="21"/>
                <w:szCs w:val="21"/>
              </w:rPr>
              <w:t>方向</w:t>
            </w:r>
          </w:p>
        </w:tc>
        <w:tc>
          <w:tcPr>
            <w:tcW w:w="529" w:type="pct"/>
            <w:tcBorders>
              <w:top w:val="single" w:color="auto" w:sz="4" w:space="0"/>
            </w:tcBorders>
            <w:vAlign w:val="center"/>
          </w:tcPr>
          <w:p>
            <w:pPr>
              <w:pStyle w:val="63"/>
              <w:ind w:firstLine="0" w:firstLineChars="0"/>
              <w:jc w:val="center"/>
              <w:rPr>
                <w:rFonts w:cs="Times New Roman"/>
                <w:b/>
                <w:color w:val="auto"/>
                <w:sz w:val="21"/>
                <w:szCs w:val="21"/>
              </w:rPr>
            </w:pPr>
            <w:r>
              <w:rPr>
                <w:rFonts w:hint="eastAsia" w:cs="Times New Roman"/>
                <w:b/>
                <w:color w:val="auto"/>
                <w:sz w:val="21"/>
                <w:szCs w:val="21"/>
              </w:rPr>
              <w:t>距离m</w:t>
            </w:r>
          </w:p>
        </w:tc>
        <w:tc>
          <w:tcPr>
            <w:tcW w:w="358" w:type="pct"/>
            <w:vMerge w:val="continue"/>
            <w:vAlign w:val="center"/>
          </w:tcPr>
          <w:p>
            <w:pPr>
              <w:pStyle w:val="63"/>
              <w:ind w:firstLine="0" w:firstLineChars="0"/>
              <w:jc w:val="center"/>
              <w:rPr>
                <w:rFonts w:cs="Times New Roman"/>
                <w:b/>
                <w:color w:val="auto"/>
                <w:sz w:val="21"/>
                <w:szCs w:val="21"/>
              </w:rPr>
            </w:pPr>
          </w:p>
        </w:tc>
        <w:tc>
          <w:tcPr>
            <w:tcW w:w="409" w:type="pct"/>
            <w:vMerge w:val="continue"/>
            <w:vAlign w:val="center"/>
          </w:tcPr>
          <w:p>
            <w:pPr>
              <w:pStyle w:val="63"/>
              <w:ind w:firstLine="0" w:firstLineChars="0"/>
              <w:jc w:val="center"/>
              <w:rPr>
                <w:rFonts w:cs="Times New Roman"/>
                <w:b/>
                <w:color w:val="auto"/>
                <w:sz w:val="21"/>
                <w:szCs w:val="21"/>
              </w:rPr>
            </w:pPr>
          </w:p>
        </w:tc>
        <w:tc>
          <w:tcPr>
            <w:tcW w:w="1950" w:type="pct"/>
            <w:gridSpan w:val="2"/>
            <w:vMerge w:val="continue"/>
            <w:tcBorders>
              <w:right w:val="single" w:color="auto" w:sz="12" w:space="0"/>
            </w:tcBorders>
            <w:vAlign w:val="center"/>
          </w:tcPr>
          <w:p>
            <w:pPr>
              <w:pStyle w:val="63"/>
              <w:ind w:firstLine="0" w:firstLineChars="0"/>
              <w:jc w:val="center"/>
              <w:rPr>
                <w:rFonts w:cs="Times New Roman"/>
                <w:b/>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restart"/>
            <w:tcBorders>
              <w:left w:val="single" w:color="auto" w:sz="12" w:space="0"/>
            </w:tcBorders>
            <w:vAlign w:val="center"/>
          </w:tcPr>
          <w:p>
            <w:pPr>
              <w:pStyle w:val="63"/>
              <w:ind w:firstLine="0" w:firstLineChars="0"/>
              <w:jc w:val="center"/>
              <w:rPr>
                <w:rFonts w:cs="Times New Roman"/>
                <w:color w:val="auto"/>
                <w:sz w:val="21"/>
                <w:szCs w:val="21"/>
              </w:rPr>
            </w:pPr>
            <w:r>
              <w:rPr>
                <w:rFonts w:cs="Times New Roman"/>
                <w:color w:val="auto"/>
                <w:sz w:val="21"/>
                <w:szCs w:val="21"/>
              </w:rPr>
              <w:t>大气</w:t>
            </w: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河头李村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SE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304</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41</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150</w:t>
            </w:r>
          </w:p>
        </w:tc>
        <w:tc>
          <w:tcPr>
            <w:tcW w:w="1950" w:type="pct"/>
            <w:gridSpan w:val="2"/>
            <w:vMerge w:val="restart"/>
            <w:tcBorders>
              <w:right w:val="single" w:color="auto" w:sz="12" w:space="0"/>
            </w:tcBorders>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《环境空气质量标准》二级标准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雁河屯村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SE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1100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62</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190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寅王村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1900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53</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170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彭家村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ESE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2200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32</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110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宋村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ESE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2600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24</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70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摆渡村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ENE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775</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120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400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上马村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ENE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2700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54</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160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trPr>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小庙村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1500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40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130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钮家村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2100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42</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140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蔡杨村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2800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60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180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坡底村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NNE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1700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130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420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兰泰植物园</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NNE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1800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上坡村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2500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22</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70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黄家村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2300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38</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105</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南马村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1500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60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180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皮刘村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NNW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2400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70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220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石家渠</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716</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65</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190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花角村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1800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110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380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马庄村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WNW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1700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135</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440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西赵村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2400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50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160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东赵村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1900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65</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210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唐李村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WSW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500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240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800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山西庄村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SSE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2400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300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1100</w:t>
            </w:r>
          </w:p>
        </w:tc>
        <w:tc>
          <w:tcPr>
            <w:tcW w:w="1950" w:type="pct"/>
            <w:gridSpan w:val="2"/>
            <w:vMerge w:val="continue"/>
            <w:tcBorders>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团庄村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5200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70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220</w:t>
            </w:r>
          </w:p>
        </w:tc>
        <w:tc>
          <w:tcPr>
            <w:tcW w:w="527" w:type="pct"/>
            <w:vMerge w:val="restart"/>
            <w:tcBorders>
              <w:right w:val="single" w:color="auto" w:sz="4" w:space="0"/>
            </w:tcBorders>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输水管线两侧200m</w:t>
            </w:r>
          </w:p>
        </w:tc>
        <w:tc>
          <w:tcPr>
            <w:tcW w:w="1423" w:type="pct"/>
            <w:vMerge w:val="restart"/>
            <w:tcBorders>
              <w:left w:val="single" w:color="auto" w:sz="4" w:space="0"/>
              <w:right w:val="single" w:color="auto" w:sz="12" w:space="0"/>
            </w:tcBorders>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《环境空气质量标准》二级标准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大曲子村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4200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350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1300</w:t>
            </w:r>
          </w:p>
        </w:tc>
        <w:tc>
          <w:tcPr>
            <w:tcW w:w="527" w:type="pct"/>
            <w:vMerge w:val="continue"/>
            <w:tcBorders>
              <w:right w:val="single" w:color="auto" w:sz="4" w:space="0"/>
            </w:tcBorders>
            <w:vAlign w:val="center"/>
          </w:tcPr>
          <w:p>
            <w:pPr>
              <w:pStyle w:val="63"/>
              <w:ind w:firstLine="0" w:firstLineChars="0"/>
              <w:jc w:val="center"/>
              <w:rPr>
                <w:rFonts w:cs="Times New Roman"/>
                <w:color w:val="auto"/>
                <w:sz w:val="21"/>
                <w:szCs w:val="21"/>
              </w:rPr>
            </w:pPr>
          </w:p>
        </w:tc>
        <w:tc>
          <w:tcPr>
            <w:tcW w:w="1423" w:type="pct"/>
            <w:vMerge w:val="continue"/>
            <w:tcBorders>
              <w:left w:val="single" w:color="auto" w:sz="4" w:space="0"/>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小曲子村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NW</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3200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25</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80</w:t>
            </w:r>
          </w:p>
        </w:tc>
        <w:tc>
          <w:tcPr>
            <w:tcW w:w="527" w:type="pct"/>
            <w:vMerge w:val="continue"/>
            <w:tcBorders>
              <w:right w:val="single" w:color="auto" w:sz="4" w:space="0"/>
            </w:tcBorders>
            <w:vAlign w:val="center"/>
          </w:tcPr>
          <w:p>
            <w:pPr>
              <w:pStyle w:val="63"/>
              <w:ind w:firstLine="0" w:firstLineChars="0"/>
              <w:jc w:val="center"/>
              <w:rPr>
                <w:rFonts w:cs="Times New Roman"/>
                <w:color w:val="auto"/>
                <w:sz w:val="21"/>
                <w:szCs w:val="21"/>
              </w:rPr>
            </w:pPr>
          </w:p>
        </w:tc>
        <w:tc>
          <w:tcPr>
            <w:tcW w:w="1423" w:type="pct"/>
            <w:vMerge w:val="continue"/>
            <w:tcBorders>
              <w:left w:val="single" w:color="auto" w:sz="4" w:space="0"/>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后旨村</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NE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5700</w:t>
            </w:r>
          </w:p>
        </w:tc>
        <w:tc>
          <w:tcPr>
            <w:tcW w:w="358" w:type="pct"/>
            <w:vAlign w:val="center"/>
          </w:tcPr>
          <w:p>
            <w:pPr>
              <w:pStyle w:val="63"/>
              <w:ind w:firstLine="0" w:firstLineChars="0"/>
              <w:jc w:val="center"/>
              <w:rPr>
                <w:rFonts w:cs="Times New Roman"/>
                <w:color w:val="auto"/>
                <w:sz w:val="21"/>
                <w:szCs w:val="21"/>
              </w:rPr>
            </w:pPr>
            <w:r>
              <w:rPr>
                <w:rFonts w:cs="Times New Roman"/>
                <w:color w:val="auto"/>
                <w:sz w:val="21"/>
                <w:szCs w:val="21"/>
              </w:rPr>
              <w:t>110</w:t>
            </w:r>
          </w:p>
        </w:tc>
        <w:tc>
          <w:tcPr>
            <w:tcW w:w="409" w:type="pct"/>
            <w:vAlign w:val="center"/>
          </w:tcPr>
          <w:p>
            <w:pPr>
              <w:pStyle w:val="63"/>
              <w:ind w:firstLine="0" w:firstLineChars="0"/>
              <w:jc w:val="center"/>
              <w:rPr>
                <w:rFonts w:cs="Times New Roman"/>
                <w:color w:val="auto"/>
                <w:sz w:val="21"/>
                <w:szCs w:val="21"/>
              </w:rPr>
            </w:pPr>
            <w:r>
              <w:rPr>
                <w:rFonts w:cs="Times New Roman"/>
                <w:color w:val="auto"/>
                <w:sz w:val="21"/>
                <w:szCs w:val="21"/>
              </w:rPr>
              <w:t>400</w:t>
            </w:r>
          </w:p>
        </w:tc>
        <w:tc>
          <w:tcPr>
            <w:tcW w:w="527" w:type="pct"/>
            <w:vMerge w:val="continue"/>
            <w:tcBorders>
              <w:right w:val="single" w:color="auto" w:sz="4" w:space="0"/>
            </w:tcBorders>
            <w:vAlign w:val="center"/>
          </w:tcPr>
          <w:p>
            <w:pPr>
              <w:pStyle w:val="63"/>
              <w:ind w:firstLine="0" w:firstLineChars="0"/>
              <w:jc w:val="center"/>
              <w:rPr>
                <w:rFonts w:cs="Times New Roman"/>
                <w:color w:val="auto"/>
                <w:sz w:val="21"/>
                <w:szCs w:val="21"/>
              </w:rPr>
            </w:pPr>
          </w:p>
        </w:tc>
        <w:tc>
          <w:tcPr>
            <w:tcW w:w="1423" w:type="pct"/>
            <w:vMerge w:val="continue"/>
            <w:tcBorders>
              <w:left w:val="single" w:color="auto" w:sz="4" w:space="0"/>
              <w:right w:val="single" w:color="auto" w:sz="12" w:space="0"/>
            </w:tcBorders>
            <w:vAlign w:val="center"/>
          </w:tcPr>
          <w:p>
            <w:pPr>
              <w:pStyle w:val="63"/>
              <w:ind w:firstLine="0" w:firstLineChars="0"/>
              <w:jc w:val="center"/>
              <w:rPr>
                <w:rFonts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restart"/>
            <w:tcBorders>
              <w:left w:val="single" w:color="auto" w:sz="12" w:space="0"/>
            </w:tcBorders>
            <w:vAlign w:val="center"/>
          </w:tcPr>
          <w:p>
            <w:pPr>
              <w:pStyle w:val="63"/>
              <w:ind w:firstLine="0" w:firstLineChars="0"/>
              <w:jc w:val="center"/>
              <w:rPr>
                <w:rFonts w:cs="Times New Roman"/>
                <w:color w:val="auto"/>
                <w:sz w:val="21"/>
                <w:szCs w:val="21"/>
              </w:rPr>
            </w:pPr>
            <w:r>
              <w:rPr>
                <w:rFonts w:cs="Times New Roman"/>
                <w:color w:val="auto"/>
                <w:sz w:val="21"/>
                <w:szCs w:val="21"/>
              </w:rPr>
              <w:t>地表水</w:t>
            </w: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泾河</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S</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700</w:t>
            </w:r>
          </w:p>
        </w:tc>
        <w:tc>
          <w:tcPr>
            <w:tcW w:w="767" w:type="pct"/>
            <w:gridSpan w:val="2"/>
            <w:vMerge w:val="restart"/>
            <w:vAlign w:val="center"/>
          </w:tcPr>
          <w:p>
            <w:pPr>
              <w:pStyle w:val="63"/>
              <w:ind w:firstLine="0" w:firstLineChars="0"/>
              <w:jc w:val="center"/>
              <w:rPr>
                <w:rFonts w:cs="Times New Roman"/>
                <w:color w:val="auto"/>
                <w:sz w:val="21"/>
                <w:szCs w:val="21"/>
              </w:rPr>
            </w:pPr>
            <w:r>
              <w:rPr>
                <w:rFonts w:cs="Times New Roman"/>
                <w:color w:val="auto"/>
                <w:sz w:val="21"/>
                <w:szCs w:val="21"/>
              </w:rPr>
              <w:t>地表水质</w:t>
            </w:r>
          </w:p>
        </w:tc>
        <w:tc>
          <w:tcPr>
            <w:tcW w:w="1950" w:type="pct"/>
            <w:gridSpan w:val="2"/>
            <w:tcBorders>
              <w:right w:val="single" w:color="auto" w:sz="12" w:space="0"/>
            </w:tcBorders>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《地表水环境质量标准》中的</w:t>
            </w:r>
            <w:r>
              <w:rPr>
                <w:rFonts w:ascii="Times New Roman" w:hAnsi="宋体" w:cs="Times New Roman"/>
                <w:color w:val="auto"/>
                <w:sz w:val="21"/>
                <w:szCs w:val="21"/>
                <w:lang w:eastAsia="zh-CN"/>
              </w:rPr>
              <w:t>Ⅲ</w:t>
            </w:r>
            <w:r>
              <w:rPr>
                <w:rFonts w:ascii="Times New Roman" w:hAnsi="Times New Roman" w:cs="Times New Roman"/>
                <w:color w:val="auto"/>
                <w:sz w:val="21"/>
                <w:szCs w:val="21"/>
                <w:lang w:eastAsia="zh-CN"/>
              </w:rPr>
              <w:t>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vMerge w:val="continue"/>
            <w:tcBorders>
              <w:left w:val="single" w:color="auto" w:sz="12" w:space="0"/>
              <w:bottom w:val="single" w:color="auto" w:sz="12" w:space="0"/>
            </w:tcBorders>
            <w:vAlign w:val="center"/>
          </w:tcPr>
          <w:p>
            <w:pPr>
              <w:pStyle w:val="63"/>
              <w:ind w:firstLine="0" w:firstLineChars="0"/>
              <w:jc w:val="center"/>
              <w:rPr>
                <w:rFonts w:cs="Times New Roman"/>
                <w:color w:val="auto"/>
                <w:sz w:val="21"/>
                <w:szCs w:val="21"/>
              </w:rPr>
            </w:pP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泾惠渠</w:t>
            </w:r>
          </w:p>
        </w:tc>
        <w:tc>
          <w:tcPr>
            <w:tcW w:w="426" w:type="pct"/>
            <w:vAlign w:val="center"/>
          </w:tcPr>
          <w:p>
            <w:pPr>
              <w:pStyle w:val="63"/>
              <w:ind w:firstLine="0" w:firstLineChars="0"/>
              <w:jc w:val="center"/>
              <w:rPr>
                <w:rFonts w:cs="Times New Roman"/>
                <w:color w:val="auto"/>
                <w:sz w:val="21"/>
                <w:szCs w:val="21"/>
              </w:rPr>
            </w:pPr>
            <w:r>
              <w:rPr>
                <w:rFonts w:cs="Times New Roman"/>
                <w:color w:val="auto"/>
                <w:sz w:val="21"/>
                <w:szCs w:val="21"/>
              </w:rPr>
              <w:t>E</w:t>
            </w:r>
          </w:p>
        </w:tc>
        <w:tc>
          <w:tcPr>
            <w:tcW w:w="529" w:type="pct"/>
            <w:vAlign w:val="center"/>
          </w:tcPr>
          <w:p>
            <w:pPr>
              <w:pStyle w:val="63"/>
              <w:ind w:firstLine="0" w:firstLineChars="0"/>
              <w:jc w:val="center"/>
              <w:rPr>
                <w:rFonts w:cs="Times New Roman"/>
                <w:color w:val="auto"/>
                <w:sz w:val="21"/>
                <w:szCs w:val="21"/>
              </w:rPr>
            </w:pPr>
            <w:r>
              <w:rPr>
                <w:rFonts w:cs="Times New Roman"/>
                <w:color w:val="auto"/>
                <w:sz w:val="21"/>
                <w:szCs w:val="21"/>
              </w:rPr>
              <w:t>2300</w:t>
            </w:r>
          </w:p>
        </w:tc>
        <w:tc>
          <w:tcPr>
            <w:tcW w:w="767" w:type="pct"/>
            <w:gridSpan w:val="2"/>
            <w:vMerge w:val="continue"/>
            <w:vAlign w:val="center"/>
          </w:tcPr>
          <w:p>
            <w:pPr>
              <w:pStyle w:val="63"/>
              <w:ind w:firstLine="0" w:firstLineChars="0"/>
              <w:jc w:val="center"/>
              <w:rPr>
                <w:rFonts w:cs="Times New Roman"/>
                <w:color w:val="auto"/>
                <w:sz w:val="21"/>
                <w:szCs w:val="21"/>
              </w:rPr>
            </w:pPr>
          </w:p>
        </w:tc>
        <w:tc>
          <w:tcPr>
            <w:tcW w:w="1950" w:type="pct"/>
            <w:gridSpan w:val="2"/>
            <w:tcBorders>
              <w:right w:val="single" w:color="auto" w:sz="12" w:space="0"/>
            </w:tcBorders>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《地表水环境质量标准》中的</w:t>
            </w:r>
            <w:r>
              <w:rPr>
                <w:rFonts w:ascii="Times New Roman" w:hAnsi="宋体" w:cs="Times New Roman"/>
                <w:color w:val="auto"/>
                <w:sz w:val="21"/>
                <w:szCs w:val="21"/>
                <w:lang w:eastAsia="zh-CN"/>
              </w:rPr>
              <w:t>Ⅳ</w:t>
            </w:r>
            <w:r>
              <w:rPr>
                <w:rFonts w:ascii="Times New Roman" w:hAnsi="Times New Roman" w:cs="Times New Roman"/>
                <w:color w:val="auto"/>
                <w:sz w:val="21"/>
                <w:szCs w:val="21"/>
                <w:lang w:eastAsia="zh-CN"/>
              </w:rPr>
              <w:t>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tcBorders>
              <w:left w:val="single" w:color="auto" w:sz="12" w:space="0"/>
            </w:tcBorders>
            <w:vAlign w:val="center"/>
          </w:tcPr>
          <w:p>
            <w:pPr>
              <w:pStyle w:val="63"/>
              <w:ind w:firstLine="0" w:firstLineChars="0"/>
              <w:jc w:val="center"/>
              <w:rPr>
                <w:rFonts w:cs="Times New Roman"/>
                <w:color w:val="auto"/>
                <w:sz w:val="21"/>
                <w:szCs w:val="21"/>
              </w:rPr>
            </w:pPr>
            <w:r>
              <w:rPr>
                <w:rFonts w:cs="Times New Roman"/>
                <w:color w:val="auto"/>
                <w:sz w:val="21"/>
                <w:szCs w:val="21"/>
              </w:rPr>
              <w:t>地下水</w:t>
            </w:r>
          </w:p>
        </w:tc>
        <w:tc>
          <w:tcPr>
            <w:tcW w:w="1704" w:type="pct"/>
            <w:gridSpan w:val="3"/>
            <w:vAlign w:val="center"/>
          </w:tcPr>
          <w:p>
            <w:pPr>
              <w:pStyle w:val="63"/>
              <w:ind w:firstLine="0" w:firstLineChars="0"/>
              <w:jc w:val="center"/>
              <w:rPr>
                <w:rFonts w:cs="Times New Roman"/>
                <w:color w:val="auto"/>
                <w:sz w:val="21"/>
                <w:szCs w:val="21"/>
              </w:rPr>
            </w:pPr>
            <w:r>
              <w:rPr>
                <w:rFonts w:cs="Times New Roman"/>
                <w:color w:val="auto"/>
                <w:sz w:val="21"/>
                <w:szCs w:val="21"/>
              </w:rPr>
              <w:t>拟建地周边</w:t>
            </w:r>
            <w:r>
              <w:rPr>
                <w:rFonts w:hint="eastAsia" w:cs="Times New Roman"/>
                <w:color w:val="auto"/>
                <w:sz w:val="21"/>
                <w:szCs w:val="21"/>
              </w:rPr>
              <w:t>1033.33</w:t>
            </w:r>
            <w:r>
              <w:rPr>
                <w:rFonts w:cs="Times New Roman"/>
                <w:color w:val="auto"/>
                <w:sz w:val="21"/>
                <w:szCs w:val="21"/>
              </w:rPr>
              <w:t>km</w:t>
            </w:r>
            <w:r>
              <w:rPr>
                <w:rFonts w:cs="Times New Roman"/>
                <w:color w:val="auto"/>
                <w:sz w:val="21"/>
                <w:szCs w:val="21"/>
                <w:vertAlign w:val="superscript"/>
              </w:rPr>
              <w:t>2</w:t>
            </w:r>
          </w:p>
        </w:tc>
        <w:tc>
          <w:tcPr>
            <w:tcW w:w="767" w:type="pct"/>
            <w:gridSpan w:val="2"/>
            <w:vAlign w:val="center"/>
          </w:tcPr>
          <w:p>
            <w:pPr>
              <w:pStyle w:val="63"/>
              <w:ind w:firstLine="0" w:firstLineChars="0"/>
              <w:jc w:val="center"/>
              <w:rPr>
                <w:rFonts w:cs="Times New Roman"/>
                <w:color w:val="auto"/>
                <w:sz w:val="21"/>
                <w:szCs w:val="21"/>
              </w:rPr>
            </w:pPr>
            <w:r>
              <w:rPr>
                <w:rFonts w:cs="Times New Roman"/>
                <w:color w:val="auto"/>
                <w:sz w:val="21"/>
                <w:szCs w:val="21"/>
              </w:rPr>
              <w:t>地下水质</w:t>
            </w:r>
          </w:p>
        </w:tc>
        <w:tc>
          <w:tcPr>
            <w:tcW w:w="1950" w:type="pct"/>
            <w:gridSpan w:val="2"/>
            <w:tcBorders>
              <w:right w:val="single" w:color="auto" w:sz="12" w:space="0"/>
            </w:tcBorders>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《地下水质量标准》</w:t>
            </w:r>
            <w:r>
              <w:rPr>
                <w:rFonts w:ascii="Times New Roman" w:hAnsi="宋体" w:cs="Times New Roman"/>
                <w:color w:val="auto"/>
                <w:sz w:val="21"/>
                <w:szCs w:val="21"/>
                <w:lang w:eastAsia="zh-CN"/>
              </w:rPr>
              <w:t>Ⅲ</w:t>
            </w:r>
            <w:r>
              <w:rPr>
                <w:rFonts w:ascii="Times New Roman" w:hAnsi="Times New Roman" w:cs="Times New Roman"/>
                <w:color w:val="auto"/>
                <w:sz w:val="21"/>
                <w:szCs w:val="21"/>
                <w:lang w:eastAsia="zh-CN"/>
              </w:rPr>
              <w:t>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tcBorders>
              <w:left w:val="single" w:color="auto" w:sz="12" w:space="0"/>
            </w:tcBorders>
            <w:vAlign w:val="center"/>
          </w:tcPr>
          <w:p>
            <w:pPr>
              <w:pStyle w:val="63"/>
              <w:ind w:firstLine="0" w:firstLineChars="0"/>
              <w:jc w:val="center"/>
              <w:rPr>
                <w:rFonts w:cs="Times New Roman"/>
                <w:color w:val="auto"/>
                <w:sz w:val="21"/>
                <w:szCs w:val="21"/>
              </w:rPr>
            </w:pPr>
            <w:r>
              <w:rPr>
                <w:rFonts w:cs="Times New Roman"/>
                <w:color w:val="auto"/>
                <w:sz w:val="21"/>
                <w:szCs w:val="21"/>
              </w:rPr>
              <w:t>生态</w:t>
            </w: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生态环境</w:t>
            </w:r>
          </w:p>
        </w:tc>
        <w:tc>
          <w:tcPr>
            <w:tcW w:w="955" w:type="pct"/>
            <w:gridSpan w:val="2"/>
            <w:vAlign w:val="center"/>
          </w:tcPr>
          <w:p>
            <w:pPr>
              <w:pStyle w:val="63"/>
              <w:ind w:firstLine="0" w:firstLineChars="0"/>
              <w:jc w:val="center"/>
              <w:rPr>
                <w:rFonts w:cs="Times New Roman"/>
                <w:color w:val="auto"/>
                <w:sz w:val="21"/>
                <w:szCs w:val="21"/>
              </w:rPr>
            </w:pPr>
            <w:r>
              <w:rPr>
                <w:rFonts w:cs="Times New Roman"/>
                <w:color w:val="auto"/>
                <w:sz w:val="21"/>
                <w:szCs w:val="21"/>
              </w:rPr>
              <w:t>评价区</w:t>
            </w:r>
          </w:p>
        </w:tc>
        <w:tc>
          <w:tcPr>
            <w:tcW w:w="767" w:type="pct"/>
            <w:gridSpan w:val="2"/>
            <w:vAlign w:val="center"/>
          </w:tcPr>
          <w:p>
            <w:pPr>
              <w:pStyle w:val="63"/>
              <w:ind w:firstLine="0" w:firstLineChars="0"/>
              <w:jc w:val="center"/>
              <w:rPr>
                <w:rFonts w:cs="Times New Roman"/>
                <w:color w:val="auto"/>
                <w:sz w:val="21"/>
                <w:szCs w:val="21"/>
              </w:rPr>
            </w:pPr>
            <w:r>
              <w:rPr>
                <w:rFonts w:cs="Times New Roman"/>
                <w:color w:val="auto"/>
                <w:sz w:val="21"/>
                <w:szCs w:val="21"/>
              </w:rPr>
              <w:t>农田植被</w:t>
            </w:r>
          </w:p>
        </w:tc>
        <w:tc>
          <w:tcPr>
            <w:tcW w:w="1950" w:type="pct"/>
            <w:gridSpan w:val="2"/>
            <w:tcBorders>
              <w:right w:val="single" w:color="auto" w:sz="12" w:space="0"/>
            </w:tcBorders>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《保护农作物的大气污染物最高允许浓度》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9" w:type="pct"/>
            <w:tcBorders>
              <w:left w:val="single" w:color="auto" w:sz="12" w:space="0"/>
            </w:tcBorders>
            <w:vAlign w:val="center"/>
          </w:tcPr>
          <w:p>
            <w:pPr>
              <w:pStyle w:val="63"/>
              <w:ind w:firstLine="0" w:firstLineChars="0"/>
              <w:jc w:val="center"/>
              <w:rPr>
                <w:rFonts w:cs="Times New Roman"/>
                <w:color w:val="auto"/>
                <w:sz w:val="21"/>
                <w:szCs w:val="21"/>
              </w:rPr>
            </w:pPr>
            <w:r>
              <w:rPr>
                <w:rFonts w:cs="Times New Roman"/>
                <w:color w:val="auto"/>
                <w:sz w:val="21"/>
                <w:szCs w:val="21"/>
              </w:rPr>
              <w:t>噪声</w:t>
            </w:r>
          </w:p>
        </w:tc>
        <w:tc>
          <w:tcPr>
            <w:tcW w:w="749" w:type="pct"/>
            <w:vAlign w:val="center"/>
          </w:tcPr>
          <w:p>
            <w:pPr>
              <w:pStyle w:val="63"/>
              <w:ind w:firstLine="0" w:firstLineChars="0"/>
              <w:jc w:val="center"/>
              <w:rPr>
                <w:rFonts w:cs="Times New Roman"/>
                <w:color w:val="auto"/>
                <w:sz w:val="21"/>
                <w:szCs w:val="21"/>
              </w:rPr>
            </w:pPr>
            <w:r>
              <w:rPr>
                <w:rFonts w:cs="Times New Roman"/>
                <w:color w:val="auto"/>
                <w:sz w:val="21"/>
                <w:szCs w:val="21"/>
              </w:rPr>
              <w:t>环境噪声</w:t>
            </w:r>
          </w:p>
        </w:tc>
        <w:tc>
          <w:tcPr>
            <w:tcW w:w="955" w:type="pct"/>
            <w:gridSpan w:val="2"/>
            <w:vAlign w:val="center"/>
          </w:tcPr>
          <w:p>
            <w:pPr>
              <w:pStyle w:val="63"/>
              <w:ind w:firstLine="0" w:firstLineChars="0"/>
              <w:jc w:val="center"/>
              <w:rPr>
                <w:rFonts w:cs="Times New Roman"/>
                <w:color w:val="auto"/>
                <w:sz w:val="21"/>
                <w:szCs w:val="21"/>
              </w:rPr>
            </w:pPr>
            <w:r>
              <w:rPr>
                <w:rFonts w:cs="Times New Roman"/>
                <w:color w:val="auto"/>
                <w:sz w:val="21"/>
                <w:szCs w:val="21"/>
              </w:rPr>
              <w:t>200m范围内</w:t>
            </w:r>
          </w:p>
        </w:tc>
        <w:tc>
          <w:tcPr>
            <w:tcW w:w="767" w:type="pct"/>
            <w:gridSpan w:val="2"/>
            <w:vAlign w:val="center"/>
          </w:tcPr>
          <w:p>
            <w:pPr>
              <w:pStyle w:val="63"/>
              <w:ind w:firstLine="0" w:firstLineChars="0"/>
              <w:jc w:val="center"/>
              <w:rPr>
                <w:rFonts w:cs="Times New Roman"/>
                <w:color w:val="auto"/>
                <w:sz w:val="21"/>
                <w:szCs w:val="21"/>
              </w:rPr>
            </w:pPr>
            <w:r>
              <w:rPr>
                <w:rFonts w:cs="Times New Roman"/>
                <w:color w:val="auto"/>
                <w:sz w:val="21"/>
                <w:szCs w:val="21"/>
              </w:rPr>
              <w:t>声环境</w:t>
            </w:r>
          </w:p>
        </w:tc>
        <w:tc>
          <w:tcPr>
            <w:tcW w:w="1950" w:type="pct"/>
            <w:gridSpan w:val="2"/>
            <w:tcBorders>
              <w:right w:val="single" w:color="auto" w:sz="12" w:space="0"/>
            </w:tcBorders>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《声环境质量标准》2类标准</w:t>
            </w:r>
          </w:p>
        </w:tc>
      </w:tr>
    </w:tbl>
    <w:p>
      <w:pPr>
        <w:pStyle w:val="63"/>
        <w:ind w:firstLine="480"/>
        <w:rPr>
          <w:color w:val="auto"/>
        </w:rPr>
        <w:sectPr>
          <w:headerReference r:id="rId11" w:type="first"/>
          <w:footerReference r:id="rId12" w:type="first"/>
          <w:headerReference r:id="rId10" w:type="default"/>
          <w:pgSz w:w="11906" w:h="16838"/>
          <w:pgMar w:top="1440" w:right="1440" w:bottom="1440" w:left="1440" w:header="851" w:footer="992" w:gutter="0"/>
          <w:pgNumType w:start="1"/>
          <w:cols w:space="720" w:num="1"/>
          <w:titlePg/>
          <w:docGrid w:type="lines" w:linePitch="312" w:charSpace="0"/>
        </w:sectPr>
      </w:pPr>
      <w:r>
        <w:rPr>
          <w:color w:val="auto"/>
        </w:rPr>
        <w:t>项目用地范围内无居民住宅用地；项目营运期废气仅</w:t>
      </w:r>
      <w:r>
        <w:rPr>
          <w:rFonts w:hint="eastAsia"/>
          <w:color w:val="auto"/>
        </w:rPr>
        <w:t>为餐饮油烟</w:t>
      </w:r>
      <w:r>
        <w:rPr>
          <w:color w:val="auto"/>
        </w:rPr>
        <w:t>并有相应的污染防治措施，正常工况下不会对周围环境空气造成影响，不需划定大气环境防护距离或卫生防护距离，不涉及居民搬迁。</w:t>
      </w:r>
    </w:p>
    <w:p>
      <w:pPr>
        <w:pStyle w:val="60"/>
        <w:spacing w:before="156" w:after="156"/>
      </w:pPr>
      <w:bookmarkStart w:id="14" w:name="_Toc436902143"/>
      <w:r>
        <w:rPr>
          <w:rFonts w:hint="eastAsia"/>
        </w:rPr>
        <w:t>2 项目概况</w:t>
      </w:r>
      <w:bookmarkEnd w:id="14"/>
    </w:p>
    <w:p>
      <w:pPr>
        <w:pStyle w:val="61"/>
        <w:rPr>
          <w:color w:val="auto"/>
        </w:rPr>
      </w:pPr>
      <w:bookmarkStart w:id="15" w:name="_Toc436902144"/>
      <w:r>
        <w:rPr>
          <w:rFonts w:hint="eastAsia"/>
          <w:color w:val="auto"/>
        </w:rPr>
        <w:t>2.1项目名称、性质及建设地点</w:t>
      </w:r>
      <w:bookmarkEnd w:id="15"/>
    </w:p>
    <w:p>
      <w:pPr>
        <w:pStyle w:val="63"/>
        <w:ind w:firstLine="480"/>
        <w:rPr>
          <w:color w:val="auto"/>
        </w:rPr>
      </w:pPr>
      <w:r>
        <w:rPr>
          <w:rFonts w:hint="eastAsia"/>
          <w:color w:val="auto"/>
        </w:rPr>
        <w:t>（1）</w:t>
      </w:r>
      <w:r>
        <w:rPr>
          <w:color w:val="auto"/>
        </w:rPr>
        <w:t>项目名称：</w:t>
      </w:r>
      <w:r>
        <w:rPr>
          <w:rFonts w:hint="eastAsia"/>
          <w:color w:val="auto"/>
        </w:rPr>
        <w:t>泾河新城应急供水工程（一期）项目</w:t>
      </w:r>
    </w:p>
    <w:p>
      <w:pPr>
        <w:pStyle w:val="63"/>
        <w:ind w:firstLine="480"/>
        <w:rPr>
          <w:color w:val="auto"/>
        </w:rPr>
      </w:pPr>
      <w:r>
        <w:rPr>
          <w:rFonts w:hint="eastAsia"/>
          <w:color w:val="auto"/>
        </w:rPr>
        <w:t>（2）</w:t>
      </w:r>
      <w:r>
        <w:rPr>
          <w:color w:val="auto"/>
        </w:rPr>
        <w:t>建设单位：</w:t>
      </w:r>
      <w:r>
        <w:rPr>
          <w:rFonts w:hint="eastAsia"/>
          <w:color w:val="auto"/>
        </w:rPr>
        <w:t>陕西西咸新区泾河新城水务有限公司</w:t>
      </w:r>
    </w:p>
    <w:p>
      <w:pPr>
        <w:pStyle w:val="63"/>
        <w:ind w:firstLine="480"/>
        <w:rPr>
          <w:color w:val="auto"/>
        </w:rPr>
      </w:pPr>
      <w:r>
        <w:rPr>
          <w:rFonts w:hint="eastAsia"/>
          <w:color w:val="auto"/>
        </w:rPr>
        <w:t>（3）</w:t>
      </w:r>
      <w:r>
        <w:rPr>
          <w:color w:val="auto"/>
        </w:rPr>
        <w:t>建设地点：陕西省</w:t>
      </w:r>
      <w:r>
        <w:rPr>
          <w:rFonts w:hint="eastAsia"/>
          <w:color w:val="auto"/>
        </w:rPr>
        <w:t>西咸新区泾河新城</w:t>
      </w:r>
    </w:p>
    <w:p>
      <w:pPr>
        <w:pStyle w:val="63"/>
        <w:ind w:firstLine="480"/>
        <w:rPr>
          <w:color w:val="auto"/>
        </w:rPr>
      </w:pPr>
      <w:r>
        <w:rPr>
          <w:rFonts w:hint="eastAsia"/>
          <w:color w:val="auto"/>
        </w:rPr>
        <w:t>（4）</w:t>
      </w:r>
      <w:r>
        <w:rPr>
          <w:color w:val="auto"/>
        </w:rPr>
        <w:t>建设性质：新建</w:t>
      </w:r>
    </w:p>
    <w:p>
      <w:pPr>
        <w:pStyle w:val="63"/>
        <w:ind w:firstLine="480"/>
        <w:rPr>
          <w:color w:val="auto"/>
        </w:rPr>
      </w:pPr>
      <w:r>
        <w:rPr>
          <w:rFonts w:hint="eastAsia"/>
          <w:color w:val="auto"/>
        </w:rPr>
        <w:t>（5）</w:t>
      </w:r>
      <w:r>
        <w:rPr>
          <w:color w:val="auto"/>
        </w:rPr>
        <w:t>行业类别：水的生产和供应业（D46）</w:t>
      </w:r>
    </w:p>
    <w:p>
      <w:pPr>
        <w:pStyle w:val="63"/>
        <w:ind w:firstLine="480"/>
        <w:rPr>
          <w:color w:val="auto"/>
        </w:rPr>
      </w:pPr>
      <w:r>
        <w:rPr>
          <w:rFonts w:hint="eastAsia"/>
          <w:color w:val="auto"/>
        </w:rPr>
        <w:t>（6）工程规模</w:t>
      </w:r>
      <w:r>
        <w:rPr>
          <w:color w:val="auto"/>
        </w:rPr>
        <w:t>：</w:t>
      </w:r>
      <w:r>
        <w:rPr>
          <w:rFonts w:hint="eastAsia"/>
          <w:color w:val="auto"/>
        </w:rPr>
        <w:t>泾河北岸水源管理站取水规模16250</w:t>
      </w:r>
      <w:r>
        <w:rPr>
          <w:color w:val="auto"/>
        </w:rPr>
        <w:t>m</w:t>
      </w:r>
      <w:r>
        <w:rPr>
          <w:color w:val="auto"/>
          <w:vertAlign w:val="superscript"/>
        </w:rPr>
        <w:t>3</w:t>
      </w:r>
      <w:r>
        <w:rPr>
          <w:color w:val="auto"/>
        </w:rPr>
        <w:t>/d</w:t>
      </w:r>
      <w:r>
        <w:rPr>
          <w:rFonts w:hint="eastAsia"/>
          <w:color w:val="auto"/>
        </w:rPr>
        <w:t>，泾河北岸保障房给水处理站工程供水规模2000</w:t>
      </w:r>
      <w:r>
        <w:rPr>
          <w:color w:val="auto"/>
        </w:rPr>
        <w:t>m</w:t>
      </w:r>
      <w:r>
        <w:rPr>
          <w:color w:val="auto"/>
          <w:vertAlign w:val="superscript"/>
        </w:rPr>
        <w:t>3</w:t>
      </w:r>
      <w:r>
        <w:rPr>
          <w:color w:val="auto"/>
        </w:rPr>
        <w:t>/d</w:t>
      </w:r>
      <w:r>
        <w:rPr>
          <w:rFonts w:hint="eastAsia"/>
          <w:color w:val="auto"/>
        </w:rPr>
        <w:t>，泾河南岸取水规模1500</w:t>
      </w:r>
      <w:r>
        <w:rPr>
          <w:color w:val="auto"/>
        </w:rPr>
        <w:t>m</w:t>
      </w:r>
      <w:r>
        <w:rPr>
          <w:color w:val="auto"/>
          <w:vertAlign w:val="superscript"/>
        </w:rPr>
        <w:t>3</w:t>
      </w:r>
      <w:r>
        <w:rPr>
          <w:color w:val="auto"/>
        </w:rPr>
        <w:t>/d</w:t>
      </w:r>
      <w:r>
        <w:rPr>
          <w:rFonts w:hint="eastAsia"/>
          <w:color w:val="auto"/>
        </w:rPr>
        <w:t>。</w:t>
      </w:r>
    </w:p>
    <w:p>
      <w:pPr>
        <w:pStyle w:val="63"/>
        <w:ind w:firstLine="480"/>
        <w:rPr>
          <w:color w:val="auto"/>
        </w:rPr>
      </w:pPr>
      <w:r>
        <w:rPr>
          <w:rFonts w:hint="eastAsia"/>
          <w:color w:val="auto"/>
        </w:rPr>
        <w:t>（7）建设内容：</w:t>
      </w:r>
    </w:p>
    <w:p>
      <w:pPr>
        <w:pStyle w:val="63"/>
        <w:ind w:firstLine="480"/>
        <w:jc w:val="both"/>
        <w:rPr>
          <w:color w:val="auto"/>
        </w:rPr>
      </w:pPr>
      <w:r>
        <w:rPr>
          <w:rFonts w:hint="eastAsia"/>
          <w:color w:val="auto"/>
        </w:rPr>
        <w:t>①水源地：泾河北岸水源管理站取水规模16250m</w:t>
      </w:r>
      <w:r>
        <w:rPr>
          <w:rFonts w:hint="eastAsia"/>
          <w:color w:val="auto"/>
          <w:vertAlign w:val="superscript"/>
        </w:rPr>
        <w:t>3</w:t>
      </w:r>
      <w:r>
        <w:rPr>
          <w:rFonts w:hint="eastAsia"/>
          <w:color w:val="auto"/>
        </w:rPr>
        <w:t>/d，新建水源地水源井15眼(13用2备)，单井日出水量</w:t>
      </w:r>
      <w:r>
        <w:rPr>
          <w:rFonts w:hint="eastAsia"/>
          <w:color w:val="auto"/>
          <w:szCs w:val="28"/>
        </w:rPr>
        <w:t>1250m</w:t>
      </w:r>
      <w:r>
        <w:rPr>
          <w:rFonts w:hint="eastAsia"/>
          <w:color w:val="auto"/>
          <w:szCs w:val="28"/>
          <w:vertAlign w:val="superscript"/>
        </w:rPr>
        <w:t>3</w:t>
      </w:r>
      <w:r>
        <w:rPr>
          <w:rFonts w:hint="eastAsia"/>
          <w:color w:val="auto"/>
          <w:szCs w:val="28"/>
        </w:rPr>
        <w:t>/d</w:t>
      </w:r>
      <w:r>
        <w:rPr>
          <w:rFonts w:hint="eastAsia"/>
          <w:color w:val="auto"/>
        </w:rPr>
        <w:t>；泾河北岸保障房给水处理站工程供水规模2000</w:t>
      </w:r>
      <w:r>
        <w:rPr>
          <w:color w:val="auto"/>
        </w:rPr>
        <w:t>m</w:t>
      </w:r>
      <w:r>
        <w:rPr>
          <w:color w:val="auto"/>
          <w:vertAlign w:val="superscript"/>
        </w:rPr>
        <w:t>3</w:t>
      </w:r>
      <w:r>
        <w:rPr>
          <w:color w:val="auto"/>
        </w:rPr>
        <w:t>/d</w:t>
      </w:r>
      <w:r>
        <w:rPr>
          <w:rFonts w:hint="eastAsia"/>
          <w:color w:val="auto"/>
        </w:rPr>
        <w:t>，新建水源地水源井3眼(2用1备)，单井日出水量</w:t>
      </w:r>
      <w:r>
        <w:rPr>
          <w:rFonts w:hint="eastAsia"/>
          <w:color w:val="auto"/>
          <w:szCs w:val="28"/>
        </w:rPr>
        <w:t>1250m</w:t>
      </w:r>
      <w:r>
        <w:rPr>
          <w:rFonts w:hint="eastAsia"/>
          <w:color w:val="auto"/>
          <w:szCs w:val="28"/>
          <w:vertAlign w:val="superscript"/>
        </w:rPr>
        <w:t>3</w:t>
      </w:r>
      <w:r>
        <w:rPr>
          <w:rFonts w:hint="eastAsia"/>
          <w:color w:val="auto"/>
          <w:szCs w:val="28"/>
        </w:rPr>
        <w:t>/d</w:t>
      </w:r>
      <w:r>
        <w:rPr>
          <w:rFonts w:hint="eastAsia"/>
          <w:color w:val="auto"/>
        </w:rPr>
        <w:t>；泾河南岸水源井取水规模1500m</w:t>
      </w:r>
      <w:r>
        <w:rPr>
          <w:rFonts w:hint="eastAsia"/>
          <w:color w:val="auto"/>
          <w:vertAlign w:val="superscript"/>
        </w:rPr>
        <w:t>3</w:t>
      </w:r>
      <w:r>
        <w:rPr>
          <w:rFonts w:hint="eastAsia"/>
          <w:color w:val="auto"/>
        </w:rPr>
        <w:t>/d，新建水源地水源井3眼(2用1备)，单井日出水量750</w:t>
      </w:r>
      <w:r>
        <w:rPr>
          <w:rFonts w:hint="eastAsia"/>
          <w:color w:val="auto"/>
          <w:szCs w:val="28"/>
        </w:rPr>
        <w:t>m</w:t>
      </w:r>
      <w:r>
        <w:rPr>
          <w:rFonts w:hint="eastAsia"/>
          <w:color w:val="auto"/>
          <w:szCs w:val="28"/>
          <w:vertAlign w:val="superscript"/>
        </w:rPr>
        <w:t>3</w:t>
      </w:r>
      <w:r>
        <w:rPr>
          <w:rFonts w:hint="eastAsia"/>
          <w:color w:val="auto"/>
          <w:szCs w:val="28"/>
        </w:rPr>
        <w:t>/d</w:t>
      </w:r>
      <w:r>
        <w:rPr>
          <w:rFonts w:hint="eastAsia"/>
          <w:color w:val="auto"/>
        </w:rPr>
        <w:t>。</w:t>
      </w:r>
    </w:p>
    <w:p>
      <w:pPr>
        <w:pStyle w:val="63"/>
        <w:ind w:firstLine="480"/>
        <w:rPr>
          <w:color w:val="auto"/>
        </w:rPr>
      </w:pPr>
      <w:r>
        <w:rPr>
          <w:rFonts w:hint="eastAsia"/>
          <w:color w:val="auto"/>
        </w:rPr>
        <w:t>②、输水管线：泾河北岸新建水源井至配水池（水源地管理站加压泵站）输水管线13140m，管径DN200mm-DN500mm；泾河北岸新建水源井至泾河北岸保障房给水处理站输水管线2000m，管径DN200mm；泾河南岸新建水源井至乐华城处理站输水管线700m，管径DN150mm。</w:t>
      </w:r>
    </w:p>
    <w:p>
      <w:pPr>
        <w:pStyle w:val="63"/>
        <w:ind w:firstLine="480"/>
        <w:rPr>
          <w:color w:val="auto"/>
        </w:rPr>
      </w:pPr>
      <w:r>
        <w:rPr>
          <w:rFonts w:hint="eastAsia"/>
          <w:color w:val="auto"/>
        </w:rPr>
        <w:t>③水源地管理站：占地约17.1亩，取水规模16250m</w:t>
      </w:r>
      <w:r>
        <w:rPr>
          <w:rFonts w:hint="eastAsia"/>
          <w:color w:val="auto"/>
          <w:vertAlign w:val="superscript"/>
        </w:rPr>
        <w:t>3</w:t>
      </w:r>
      <w:r>
        <w:rPr>
          <w:rFonts w:hint="eastAsia"/>
          <w:color w:val="auto"/>
        </w:rPr>
        <w:t>/d，站内设配水池、送水泵房、综合楼、食堂、仓库及车库、传达室。（原水经送水泵房泵送至泾阳县第三自来水厂处理，本次评价未包括水源地至处理厂的输水管线及处理厂内容）。</w:t>
      </w:r>
    </w:p>
    <w:p>
      <w:pPr>
        <w:pStyle w:val="63"/>
        <w:ind w:firstLine="480"/>
        <w:rPr>
          <w:color w:val="auto"/>
        </w:rPr>
      </w:pPr>
      <w:r>
        <w:rPr>
          <w:rFonts w:hint="eastAsia"/>
          <w:color w:val="auto"/>
        </w:rPr>
        <w:t>④泾河北岸保障房给水处理站工程：占地约2.1亩，供水规模2000m</w:t>
      </w:r>
      <w:r>
        <w:rPr>
          <w:rFonts w:hint="eastAsia"/>
          <w:color w:val="auto"/>
          <w:vertAlign w:val="superscript"/>
        </w:rPr>
        <w:t>3</w:t>
      </w:r>
      <w:r>
        <w:rPr>
          <w:rFonts w:hint="eastAsia"/>
          <w:color w:val="auto"/>
        </w:rPr>
        <w:t>/d，站内设有原水池、配电室、控制室、综合设备间、中间水池、浓水池、清水池及送水泵房，工艺采用“</w:t>
      </w:r>
      <w:r>
        <w:rPr>
          <w:color w:val="auto"/>
        </w:rPr>
        <w:t>多介质</w:t>
      </w:r>
      <w:r>
        <w:rPr>
          <w:rFonts w:hint="eastAsia"/>
          <w:color w:val="auto"/>
        </w:rPr>
        <w:t>过滤器</w:t>
      </w:r>
      <w:r>
        <w:rPr>
          <w:color w:val="auto"/>
        </w:rPr>
        <w:t>+反渗透</w:t>
      </w:r>
      <w:r>
        <w:rPr>
          <w:rFonts w:hint="eastAsia"/>
          <w:color w:val="auto"/>
        </w:rPr>
        <w:t>净化+活性氧化铝吸附法”，消毒采用二氧化氯消毒。</w:t>
      </w:r>
    </w:p>
    <w:p>
      <w:pPr>
        <w:pStyle w:val="63"/>
        <w:ind w:firstLine="480"/>
        <w:jc w:val="both"/>
        <w:rPr>
          <w:color w:val="auto"/>
        </w:rPr>
      </w:pPr>
      <w:r>
        <w:rPr>
          <w:rFonts w:hint="eastAsia"/>
          <w:color w:val="auto"/>
        </w:rPr>
        <w:t>⑤泾河南岸：取水规模1500</w:t>
      </w:r>
      <w:r>
        <w:rPr>
          <w:color w:val="auto"/>
        </w:rPr>
        <w:t>m</w:t>
      </w:r>
      <w:r>
        <w:rPr>
          <w:color w:val="auto"/>
          <w:vertAlign w:val="superscript"/>
        </w:rPr>
        <w:t>3</w:t>
      </w:r>
      <w:r>
        <w:rPr>
          <w:color w:val="auto"/>
        </w:rPr>
        <w:t>/d</w:t>
      </w:r>
      <w:r>
        <w:rPr>
          <w:rFonts w:hint="eastAsia"/>
          <w:color w:val="auto"/>
        </w:rPr>
        <w:t>，由乐华城负责修建处理站及三眼井日常维护，处理站不在本次评价范围内。</w:t>
      </w:r>
    </w:p>
    <w:p>
      <w:pPr>
        <w:pStyle w:val="63"/>
        <w:ind w:firstLine="480"/>
        <w:rPr>
          <w:color w:val="auto"/>
        </w:rPr>
      </w:pPr>
      <w:r>
        <w:rPr>
          <w:rFonts w:hint="eastAsia"/>
          <w:color w:val="auto"/>
        </w:rPr>
        <w:t>（8）</w:t>
      </w:r>
      <w:r>
        <w:rPr>
          <w:color w:val="auto"/>
        </w:rPr>
        <w:t>建设工期：项目计划201</w:t>
      </w:r>
      <w:r>
        <w:rPr>
          <w:rFonts w:hint="eastAsia"/>
          <w:color w:val="auto"/>
        </w:rPr>
        <w:t>5</w:t>
      </w:r>
      <w:r>
        <w:rPr>
          <w:color w:val="auto"/>
        </w:rPr>
        <w:t>年</w:t>
      </w:r>
      <w:r>
        <w:rPr>
          <w:rFonts w:hint="eastAsia"/>
          <w:color w:val="auto"/>
        </w:rPr>
        <w:t>11</w:t>
      </w:r>
      <w:r>
        <w:rPr>
          <w:color w:val="auto"/>
        </w:rPr>
        <w:t>月开工建设，预计201</w:t>
      </w:r>
      <w:r>
        <w:rPr>
          <w:rFonts w:hint="eastAsia"/>
          <w:color w:val="auto"/>
        </w:rPr>
        <w:t>6</w:t>
      </w:r>
      <w:r>
        <w:rPr>
          <w:color w:val="auto"/>
        </w:rPr>
        <w:t>年</w:t>
      </w:r>
      <w:r>
        <w:rPr>
          <w:rFonts w:hint="eastAsia"/>
          <w:color w:val="auto"/>
        </w:rPr>
        <w:t>9</w:t>
      </w:r>
      <w:r>
        <w:rPr>
          <w:color w:val="auto"/>
        </w:rPr>
        <w:t>月建成，工期共计</w:t>
      </w:r>
      <w:r>
        <w:rPr>
          <w:rFonts w:hint="eastAsia"/>
          <w:color w:val="auto"/>
        </w:rPr>
        <w:t>10</w:t>
      </w:r>
      <w:r>
        <w:rPr>
          <w:color w:val="auto"/>
        </w:rPr>
        <w:t>个月；</w:t>
      </w:r>
    </w:p>
    <w:p>
      <w:pPr>
        <w:pStyle w:val="63"/>
        <w:ind w:firstLine="480"/>
        <w:rPr>
          <w:color w:val="auto"/>
        </w:rPr>
      </w:pPr>
      <w:r>
        <w:rPr>
          <w:color w:val="auto"/>
        </w:rPr>
        <w:t>（</w:t>
      </w:r>
      <w:r>
        <w:rPr>
          <w:rFonts w:hint="eastAsia"/>
          <w:color w:val="auto"/>
        </w:rPr>
        <w:t>9</w:t>
      </w:r>
      <w:r>
        <w:rPr>
          <w:color w:val="auto"/>
        </w:rPr>
        <w:t>）工程投资：工程总投资</w:t>
      </w:r>
      <w:r>
        <w:rPr>
          <w:rFonts w:hint="eastAsia"/>
          <w:color w:val="auto"/>
        </w:rPr>
        <w:t>8523.48</w:t>
      </w:r>
      <w:r>
        <w:rPr>
          <w:color w:val="auto"/>
        </w:rPr>
        <w:t>万元，</w:t>
      </w:r>
      <w:r>
        <w:rPr>
          <w:rFonts w:hint="eastAsia"/>
          <w:color w:val="auto"/>
        </w:rPr>
        <w:t>资金</w:t>
      </w:r>
      <w:r>
        <w:rPr>
          <w:color w:val="auto"/>
        </w:rPr>
        <w:t>全部自筹。</w:t>
      </w:r>
    </w:p>
    <w:p>
      <w:pPr>
        <w:pStyle w:val="61"/>
        <w:rPr>
          <w:color w:val="auto"/>
        </w:rPr>
      </w:pPr>
      <w:bookmarkStart w:id="16" w:name="_Toc436902145"/>
      <w:r>
        <w:rPr>
          <w:rFonts w:hint="eastAsia"/>
          <w:color w:val="auto"/>
        </w:rPr>
        <w:t>2.2</w:t>
      </w:r>
      <w:bookmarkStart w:id="17" w:name="_Toc335895019"/>
      <w:bookmarkStart w:id="18" w:name="_Toc337673589"/>
      <w:bookmarkStart w:id="19" w:name="_Toc337824760"/>
      <w:bookmarkStart w:id="20" w:name="_Toc337840834"/>
      <w:bookmarkStart w:id="21" w:name="_Toc337840979"/>
      <w:bookmarkStart w:id="22" w:name="_Toc343778232"/>
      <w:bookmarkStart w:id="23" w:name="_Toc385236010"/>
      <w:bookmarkStart w:id="24" w:name="_Toc337840522"/>
      <w:bookmarkStart w:id="25" w:name="_Toc381700455"/>
      <w:bookmarkStart w:id="26" w:name="_Toc337840659"/>
      <w:bookmarkStart w:id="27" w:name="_Toc381193222"/>
      <w:r>
        <w:rPr>
          <w:color w:val="auto"/>
        </w:rPr>
        <w:t>工程建设必要性</w:t>
      </w:r>
      <w:bookmarkEnd w:id="16"/>
      <w:bookmarkEnd w:id="17"/>
      <w:bookmarkEnd w:id="18"/>
      <w:bookmarkEnd w:id="19"/>
      <w:bookmarkEnd w:id="20"/>
      <w:bookmarkEnd w:id="21"/>
      <w:bookmarkEnd w:id="22"/>
      <w:bookmarkEnd w:id="23"/>
      <w:bookmarkEnd w:id="24"/>
      <w:bookmarkEnd w:id="25"/>
      <w:bookmarkEnd w:id="26"/>
      <w:bookmarkEnd w:id="27"/>
    </w:p>
    <w:p>
      <w:pPr>
        <w:pStyle w:val="62"/>
        <w:rPr>
          <w:color w:val="auto"/>
        </w:rPr>
      </w:pPr>
      <w:r>
        <w:rPr>
          <w:rFonts w:hint="eastAsia"/>
          <w:color w:val="auto"/>
        </w:rPr>
        <w:t>2.2.1</w:t>
      </w:r>
      <w:r>
        <w:rPr>
          <w:color w:val="auto"/>
          <w:sz w:val="30"/>
          <w:szCs w:val="30"/>
        </w:rPr>
        <w:t>供水现状</w:t>
      </w:r>
    </w:p>
    <w:p>
      <w:pPr>
        <w:pStyle w:val="63"/>
        <w:ind w:firstLine="480"/>
        <w:rPr>
          <w:color w:val="auto"/>
        </w:rPr>
      </w:pPr>
      <w:r>
        <w:rPr>
          <w:rFonts w:hint="eastAsia"/>
          <w:color w:val="auto"/>
        </w:rPr>
        <w:t>西咸新区泾河新城现状供水主要靠地下水源，县自来水公司共有机井10眼，供水管网覆盖面积约9平方公里，供水范围覆盖现状城区大部分区域。其它企业、事业自备井46眼，农村人饮自备井52眼，规划区共有灌溉农用机井1356眼井。通过近年来规划区地下水位观测，由于长期开采，地下水位逐年下降，单井出水量也逐渐减少，已出现超采现象。随着发展，地下开采量仍在继续增加，供需矛盾突出。另外，规划区地下水源水质不佳，总硬度和溶解性总固体超标。</w:t>
      </w:r>
    </w:p>
    <w:p>
      <w:pPr>
        <w:pStyle w:val="63"/>
        <w:ind w:firstLine="480"/>
        <w:rPr>
          <w:color w:val="auto"/>
        </w:rPr>
      </w:pPr>
      <w:r>
        <w:rPr>
          <w:rFonts w:hint="eastAsia"/>
          <w:color w:val="auto"/>
        </w:rPr>
        <w:t>在近期规划区启动实施阶段，可维持现有供水模式，保持泾阳县城现有水源和给水设施不变。随着新的水源的建设实施完成和建设程度的加大，可逐步分阶段逐渐关闭自备井，农灌井任其自然灭失。</w:t>
      </w:r>
    </w:p>
    <w:p>
      <w:pPr>
        <w:pStyle w:val="63"/>
        <w:ind w:firstLine="480"/>
        <w:rPr>
          <w:color w:val="auto"/>
        </w:rPr>
      </w:pPr>
      <w:r>
        <w:rPr>
          <w:rFonts w:hint="eastAsia"/>
          <w:color w:val="auto"/>
        </w:rPr>
        <w:t>近期泾河新城内主要的在建项目为泾河南岸乐华城，泾河北岸秦龙现代农业产业园及崇文重点镇保障房，三处项目都即将交付使用，存在有网无水的状态。</w:t>
      </w:r>
    </w:p>
    <w:p>
      <w:pPr>
        <w:pStyle w:val="62"/>
        <w:rPr>
          <w:color w:val="auto"/>
        </w:rPr>
      </w:pPr>
      <w:r>
        <w:rPr>
          <w:rFonts w:hint="eastAsia"/>
          <w:color w:val="auto"/>
        </w:rPr>
        <w:t>2.2.2</w:t>
      </w:r>
      <w:r>
        <w:rPr>
          <w:color w:val="auto"/>
        </w:rPr>
        <w:t>工程建设必要性分析</w:t>
      </w:r>
    </w:p>
    <w:p>
      <w:pPr>
        <w:pStyle w:val="63"/>
        <w:ind w:firstLine="480"/>
        <w:rPr>
          <w:color w:val="auto"/>
        </w:rPr>
      </w:pPr>
      <w:r>
        <w:rPr>
          <w:rFonts w:hint="eastAsia"/>
          <w:color w:val="auto"/>
        </w:rPr>
        <w:t>泾河新城给水工程设施的不完善，不仅影响泾河新城居民的生活水平，而且严重严重制约着泾河新城的发展。加之泾河新城部分建设项目近期内就要完工交付使用，存在有管网无水的状态，解决泾河新城的近期用水问题已迫在眉睫。目前泾河新城在建项目有乐华城、秦龙现代农业产业园、崇文重点镇等工程及2015年12底交付的使用的崇文重点镇保障房一期工程。而给水规划中的水源张家山泉水、西安市供水管网、引汉济渭工程短期内都难以解决，所以</w:t>
      </w:r>
      <w:r>
        <w:rPr>
          <w:color w:val="auto"/>
        </w:rPr>
        <w:t>建设</w:t>
      </w:r>
      <w:r>
        <w:rPr>
          <w:rFonts w:hint="eastAsia"/>
          <w:color w:val="auto"/>
        </w:rPr>
        <w:t>西咸新区泾河新城应急供水</w:t>
      </w:r>
      <w:r>
        <w:rPr>
          <w:color w:val="auto"/>
        </w:rPr>
        <w:t>工程</w:t>
      </w:r>
      <w:r>
        <w:rPr>
          <w:rFonts w:hint="eastAsia"/>
          <w:color w:val="auto"/>
        </w:rPr>
        <w:t>（一期）工程</w:t>
      </w:r>
      <w:r>
        <w:rPr>
          <w:color w:val="auto"/>
        </w:rPr>
        <w:t>是十分必要的，也是非常紧迫的。</w:t>
      </w:r>
    </w:p>
    <w:p>
      <w:pPr>
        <w:pStyle w:val="63"/>
        <w:ind w:firstLine="480"/>
        <w:rPr>
          <w:color w:val="auto"/>
        </w:rPr>
      </w:pPr>
      <w:r>
        <w:rPr>
          <w:rFonts w:hint="eastAsia"/>
          <w:color w:val="auto"/>
        </w:rPr>
        <w:t>本项目建成后，可以彻底解决泾河新城近期用水的供需矛盾，促进经济的发展，而且从远期来看，该工程的建成将产生巨大的社会效益和经济效益。</w:t>
      </w:r>
    </w:p>
    <w:p>
      <w:pPr>
        <w:pStyle w:val="61"/>
        <w:rPr>
          <w:color w:val="auto"/>
        </w:rPr>
      </w:pPr>
      <w:bookmarkStart w:id="28" w:name="_Toc436902146"/>
      <w:r>
        <w:rPr>
          <w:rFonts w:hint="eastAsia"/>
          <w:color w:val="auto"/>
        </w:rPr>
        <w:t>2.3项目组成</w:t>
      </w:r>
      <w:bookmarkEnd w:id="28"/>
    </w:p>
    <w:p>
      <w:pPr>
        <w:pStyle w:val="63"/>
        <w:ind w:firstLine="480"/>
        <w:rPr>
          <w:color w:val="auto"/>
        </w:rPr>
      </w:pPr>
      <w:r>
        <w:rPr>
          <w:color w:val="auto"/>
        </w:rPr>
        <w:t>项目组成见表</w:t>
      </w:r>
      <w:r>
        <w:rPr>
          <w:rFonts w:cs="Times New Roman"/>
          <w:color w:val="auto"/>
        </w:rPr>
        <w:t>2.2-1</w:t>
      </w:r>
      <w:r>
        <w:rPr>
          <w:color w:val="auto"/>
        </w:rPr>
        <w:t>。</w:t>
      </w:r>
    </w:p>
    <w:p>
      <w:pPr>
        <w:pStyle w:val="65"/>
      </w:pPr>
    </w:p>
    <w:p>
      <w:pPr>
        <w:pStyle w:val="65"/>
      </w:pPr>
    </w:p>
    <w:p>
      <w:pPr>
        <w:pStyle w:val="65"/>
      </w:pPr>
    </w:p>
    <w:p>
      <w:pPr>
        <w:pStyle w:val="65"/>
      </w:pPr>
      <w:r>
        <w:rPr>
          <w:rFonts w:hint="eastAsia"/>
        </w:rPr>
        <w:t>表2.2-1  项目组成表</w:t>
      </w:r>
    </w:p>
    <w:tbl>
      <w:tblPr>
        <w:tblStyle w:val="24"/>
        <w:tblW w:w="0" w:type="auto"/>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675"/>
        <w:gridCol w:w="2127"/>
        <w:gridCol w:w="6440"/>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675" w:type="dxa"/>
            <w:vAlign w:val="center"/>
          </w:tcPr>
          <w:p>
            <w:pPr>
              <w:pStyle w:val="65"/>
              <w:spacing w:line="360" w:lineRule="auto"/>
              <w:rPr>
                <w:szCs w:val="21"/>
              </w:rPr>
            </w:pPr>
            <w:r>
              <w:rPr>
                <w:rFonts w:hAnsi="宋体"/>
                <w:szCs w:val="21"/>
              </w:rPr>
              <w:t>序号</w:t>
            </w:r>
          </w:p>
        </w:tc>
        <w:tc>
          <w:tcPr>
            <w:tcW w:w="2127" w:type="dxa"/>
            <w:vAlign w:val="center"/>
          </w:tcPr>
          <w:p>
            <w:pPr>
              <w:pStyle w:val="65"/>
              <w:spacing w:line="360" w:lineRule="auto"/>
              <w:rPr>
                <w:szCs w:val="21"/>
              </w:rPr>
            </w:pPr>
            <w:r>
              <w:rPr>
                <w:rFonts w:hAnsi="宋体"/>
                <w:szCs w:val="21"/>
              </w:rPr>
              <w:t>项目名称</w:t>
            </w:r>
          </w:p>
        </w:tc>
        <w:tc>
          <w:tcPr>
            <w:tcW w:w="6440" w:type="dxa"/>
            <w:vAlign w:val="center"/>
          </w:tcPr>
          <w:p>
            <w:pPr>
              <w:pStyle w:val="65"/>
              <w:spacing w:line="360" w:lineRule="auto"/>
              <w:rPr>
                <w:szCs w:val="21"/>
              </w:rPr>
            </w:pPr>
            <w:r>
              <w:rPr>
                <w:rFonts w:hAnsi="宋体"/>
                <w:szCs w:val="21"/>
              </w:rPr>
              <w:t>主要建设内容</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restart"/>
            <w:vAlign w:val="center"/>
          </w:tcPr>
          <w:p>
            <w:pPr>
              <w:pStyle w:val="65"/>
              <w:spacing w:line="360" w:lineRule="auto"/>
              <w:rPr>
                <w:rFonts w:hAnsi="宋体"/>
                <w:szCs w:val="21"/>
              </w:rPr>
            </w:pPr>
            <w:r>
              <w:rPr>
                <w:rFonts w:hint="eastAsia"/>
                <w:b w:val="0"/>
                <w:szCs w:val="21"/>
              </w:rPr>
              <w:t>主体工程</w:t>
            </w:r>
          </w:p>
        </w:tc>
        <w:tc>
          <w:tcPr>
            <w:tcW w:w="8567" w:type="dxa"/>
            <w:gridSpan w:val="2"/>
            <w:vAlign w:val="center"/>
          </w:tcPr>
          <w:p>
            <w:pPr>
              <w:pStyle w:val="65"/>
              <w:spacing w:line="360" w:lineRule="auto"/>
              <w:rPr>
                <w:rFonts w:hAnsi="宋体"/>
                <w:szCs w:val="21"/>
              </w:rPr>
            </w:pPr>
            <w:r>
              <w:rPr>
                <w:rFonts w:hAnsi="宋体"/>
                <w:szCs w:val="21"/>
              </w:rPr>
              <w:t>水源地</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tcBorders>
              <w:right w:val="single" w:color="auto" w:sz="4" w:space="0"/>
            </w:tcBorders>
            <w:vAlign w:val="center"/>
          </w:tcPr>
          <w:p>
            <w:pPr>
              <w:pStyle w:val="65"/>
              <w:spacing w:line="360" w:lineRule="auto"/>
              <w:rPr>
                <w:b w:val="0"/>
                <w:szCs w:val="21"/>
              </w:rPr>
            </w:pPr>
            <w:r>
              <w:rPr>
                <w:rFonts w:hint="eastAsia"/>
                <w:b w:val="0"/>
                <w:szCs w:val="21"/>
              </w:rPr>
              <w:t>水源井</w:t>
            </w:r>
          </w:p>
        </w:tc>
        <w:tc>
          <w:tcPr>
            <w:tcW w:w="6440" w:type="dxa"/>
            <w:tcBorders>
              <w:left w:val="single" w:color="auto" w:sz="4" w:space="0"/>
            </w:tcBorders>
            <w:vAlign w:val="center"/>
          </w:tcPr>
          <w:p>
            <w:pPr>
              <w:pStyle w:val="65"/>
              <w:rPr>
                <w:b w:val="0"/>
                <w:szCs w:val="21"/>
              </w:rPr>
            </w:pPr>
            <w:r>
              <w:rPr>
                <w:rFonts w:hint="eastAsia"/>
                <w:b w:val="0"/>
                <w:szCs w:val="21"/>
              </w:rPr>
              <w:t>水源井21眼，其中泾河北岸18眼（15用3备），单井日出水量1250m</w:t>
            </w:r>
            <w:r>
              <w:rPr>
                <w:rFonts w:hint="eastAsia"/>
                <w:b w:val="0"/>
                <w:szCs w:val="21"/>
                <w:vertAlign w:val="superscript"/>
              </w:rPr>
              <w:t>3</w:t>
            </w:r>
            <w:r>
              <w:rPr>
                <w:rFonts w:hint="eastAsia"/>
                <w:b w:val="0"/>
                <w:szCs w:val="21"/>
              </w:rPr>
              <w:t>/d；泾河南岸3眼（2用1备），单井日出水量750m</w:t>
            </w:r>
            <w:r>
              <w:rPr>
                <w:rFonts w:hint="eastAsia"/>
                <w:b w:val="0"/>
                <w:szCs w:val="21"/>
                <w:vertAlign w:val="superscript"/>
              </w:rPr>
              <w:t>3</w:t>
            </w:r>
            <w:r>
              <w:rPr>
                <w:rFonts w:hint="eastAsia"/>
                <w:b w:val="0"/>
                <w:szCs w:val="21"/>
              </w:rPr>
              <w:t>/d全部为浅层承压井，规模为19750m</w:t>
            </w:r>
            <w:r>
              <w:rPr>
                <w:rFonts w:hint="eastAsia"/>
                <w:b w:val="0"/>
                <w:szCs w:val="21"/>
                <w:vertAlign w:val="superscript"/>
              </w:rPr>
              <w:t>3</w:t>
            </w:r>
            <w:r>
              <w:rPr>
                <w:rFonts w:hint="eastAsia"/>
                <w:b w:val="0"/>
                <w:szCs w:val="21"/>
              </w:rPr>
              <w:t>/d</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tcBorders>
              <w:right w:val="single" w:color="auto" w:sz="4" w:space="0"/>
            </w:tcBorders>
            <w:vAlign w:val="center"/>
          </w:tcPr>
          <w:p>
            <w:pPr>
              <w:pStyle w:val="65"/>
              <w:spacing w:line="360" w:lineRule="auto"/>
              <w:rPr>
                <w:b w:val="0"/>
                <w:szCs w:val="21"/>
              </w:rPr>
            </w:pPr>
            <w:r>
              <w:rPr>
                <w:rFonts w:hint="eastAsia"/>
                <w:b w:val="0"/>
              </w:rPr>
              <w:t>水泵房</w:t>
            </w:r>
          </w:p>
        </w:tc>
        <w:tc>
          <w:tcPr>
            <w:tcW w:w="6440" w:type="dxa"/>
            <w:tcBorders>
              <w:left w:val="single" w:color="auto" w:sz="4" w:space="0"/>
            </w:tcBorders>
            <w:vAlign w:val="center"/>
          </w:tcPr>
          <w:p>
            <w:pPr>
              <w:pStyle w:val="65"/>
              <w:rPr>
                <w:b w:val="0"/>
                <w:szCs w:val="21"/>
              </w:rPr>
            </w:pPr>
            <w:r>
              <w:rPr>
                <w:rFonts w:hint="eastAsia"/>
                <w:b w:val="0"/>
              </w:rPr>
              <w:t>21座潜水泵房。北岸18座，单泵Q=60m</w:t>
            </w:r>
            <w:r>
              <w:rPr>
                <w:rFonts w:hint="eastAsia"/>
                <w:b w:val="0"/>
                <w:vertAlign w:val="superscript"/>
              </w:rPr>
              <w:t>3</w:t>
            </w:r>
            <w:r>
              <w:rPr>
                <w:rFonts w:hint="eastAsia"/>
                <w:b w:val="0"/>
              </w:rPr>
              <w:t>/h，H=49-60m，N=15-18.5kW；南岸采用3座潜水泵房，单泵Q=30m</w:t>
            </w:r>
            <w:r>
              <w:rPr>
                <w:rFonts w:hint="eastAsia"/>
                <w:b w:val="0"/>
                <w:vertAlign w:val="superscript"/>
              </w:rPr>
              <w:t>3</w:t>
            </w:r>
            <w:r>
              <w:rPr>
                <w:rFonts w:hint="eastAsia"/>
                <w:b w:val="0"/>
              </w:rPr>
              <w:t>/h，H=54m，N=11kW，泵房全部为5×5m。</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8567" w:type="dxa"/>
            <w:gridSpan w:val="2"/>
            <w:vAlign w:val="center"/>
          </w:tcPr>
          <w:p>
            <w:pPr>
              <w:pStyle w:val="65"/>
              <w:spacing w:line="360" w:lineRule="auto"/>
              <w:rPr>
                <w:szCs w:val="21"/>
              </w:rPr>
            </w:pPr>
            <w:r>
              <w:rPr>
                <w:rFonts w:hint="eastAsia" w:hAnsi="宋体"/>
                <w:szCs w:val="21"/>
              </w:rPr>
              <w:t>泾河北岸</w:t>
            </w:r>
            <w:r>
              <w:rPr>
                <w:rFonts w:hAnsi="宋体"/>
                <w:szCs w:val="21"/>
              </w:rPr>
              <w:t>水源地管理站</w:t>
            </w:r>
            <w:r>
              <w:rPr>
                <w:rFonts w:hint="eastAsia"/>
                <w:szCs w:val="21"/>
              </w:rPr>
              <w:t>（占地17.1亩，供水规模为16250m</w:t>
            </w:r>
            <w:r>
              <w:rPr>
                <w:rFonts w:hint="eastAsia"/>
                <w:szCs w:val="21"/>
                <w:vertAlign w:val="superscript"/>
              </w:rPr>
              <w:t>3</w:t>
            </w:r>
            <w:r>
              <w:rPr>
                <w:rFonts w:hint="eastAsia"/>
                <w:szCs w:val="21"/>
              </w:rPr>
              <w:t>/d）</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rFonts w:hAnsi="宋体"/>
                <w:b w:val="0"/>
                <w:szCs w:val="21"/>
              </w:rPr>
            </w:pPr>
            <w:r>
              <w:rPr>
                <w:rFonts w:hint="eastAsia" w:hAnsi="宋体"/>
                <w:b w:val="0"/>
                <w:szCs w:val="21"/>
              </w:rPr>
              <w:t>清水池</w:t>
            </w:r>
          </w:p>
        </w:tc>
        <w:tc>
          <w:tcPr>
            <w:tcW w:w="6440" w:type="dxa"/>
            <w:vAlign w:val="center"/>
          </w:tcPr>
          <w:p>
            <w:pPr>
              <w:pStyle w:val="65"/>
              <w:spacing w:line="360" w:lineRule="auto"/>
              <w:rPr>
                <w:b w:val="0"/>
                <w:szCs w:val="21"/>
              </w:rPr>
            </w:pPr>
            <w:r>
              <w:rPr>
                <w:rFonts w:hint="eastAsia"/>
                <w:b w:val="0"/>
                <w:szCs w:val="21"/>
              </w:rPr>
              <w:t>1座钢砼结构，规格：34</w:t>
            </w:r>
            <w:r>
              <w:rPr>
                <w:rFonts w:hint="eastAsia" w:ascii="宋体" w:hAnsi="宋体"/>
                <w:b w:val="0"/>
                <w:szCs w:val="21"/>
              </w:rPr>
              <w:t>×</w:t>
            </w:r>
            <w:r>
              <w:rPr>
                <w:rFonts w:hint="eastAsia"/>
                <w:b w:val="0"/>
                <w:szCs w:val="21"/>
              </w:rPr>
              <w:t>27</w:t>
            </w:r>
            <w:r>
              <w:rPr>
                <w:rFonts w:hint="eastAsia" w:ascii="宋体" w:hAnsi="宋体"/>
                <w:b w:val="0"/>
                <w:szCs w:val="21"/>
              </w:rPr>
              <w:t>×</w:t>
            </w:r>
            <w:r>
              <w:rPr>
                <w:rFonts w:hint="eastAsia"/>
                <w:b w:val="0"/>
                <w:szCs w:val="21"/>
              </w:rPr>
              <w:t>4.5m，容积4000m</w:t>
            </w:r>
            <w:r>
              <w:rPr>
                <w:rFonts w:hint="eastAsia"/>
                <w:b w:val="0"/>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rFonts w:hAnsi="宋体"/>
                <w:b w:val="0"/>
                <w:szCs w:val="21"/>
              </w:rPr>
            </w:pPr>
            <w:r>
              <w:rPr>
                <w:rFonts w:hint="eastAsia" w:hAnsi="宋体"/>
                <w:b w:val="0"/>
                <w:szCs w:val="21"/>
              </w:rPr>
              <w:t>送水泵房及变配电室</w:t>
            </w:r>
          </w:p>
        </w:tc>
        <w:tc>
          <w:tcPr>
            <w:tcW w:w="6440" w:type="dxa"/>
            <w:vAlign w:val="center"/>
          </w:tcPr>
          <w:p>
            <w:pPr>
              <w:pStyle w:val="65"/>
              <w:spacing w:line="360" w:lineRule="auto"/>
              <w:rPr>
                <w:b w:val="0"/>
                <w:szCs w:val="21"/>
              </w:rPr>
            </w:pPr>
            <w:r>
              <w:rPr>
                <w:rFonts w:hint="eastAsia"/>
                <w:b w:val="0"/>
                <w:szCs w:val="21"/>
              </w:rPr>
              <w:t>1座框架结构，建筑面积331m</w:t>
            </w:r>
            <w:r>
              <w:rPr>
                <w:rFonts w:hint="eastAsia"/>
                <w:b w:val="0"/>
                <w:szCs w:val="21"/>
                <w:vertAlign w:val="superscript"/>
              </w:rPr>
              <w:t>2</w:t>
            </w:r>
            <w:r>
              <w:rPr>
                <w:rFonts w:hint="eastAsia"/>
                <w:b w:val="0"/>
                <w:szCs w:val="21"/>
              </w:rPr>
              <w:t>，1F</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rFonts w:hAnsi="宋体"/>
                <w:b w:val="0"/>
                <w:szCs w:val="21"/>
              </w:rPr>
            </w:pPr>
            <w:r>
              <w:rPr>
                <w:rFonts w:hint="eastAsia" w:hAnsi="宋体"/>
                <w:b w:val="0"/>
                <w:szCs w:val="21"/>
              </w:rPr>
              <w:t>仓库及车库</w:t>
            </w:r>
          </w:p>
        </w:tc>
        <w:tc>
          <w:tcPr>
            <w:tcW w:w="6440" w:type="dxa"/>
            <w:vAlign w:val="center"/>
          </w:tcPr>
          <w:p>
            <w:pPr>
              <w:pStyle w:val="65"/>
              <w:spacing w:line="360" w:lineRule="auto"/>
              <w:rPr>
                <w:b w:val="0"/>
                <w:szCs w:val="21"/>
              </w:rPr>
            </w:pPr>
            <w:r>
              <w:rPr>
                <w:rFonts w:hint="eastAsia"/>
                <w:b w:val="0"/>
                <w:szCs w:val="21"/>
              </w:rPr>
              <w:t>1座砖混结构，建筑面积160m</w:t>
            </w:r>
            <w:r>
              <w:rPr>
                <w:rFonts w:hint="eastAsia"/>
                <w:b w:val="0"/>
                <w:szCs w:val="21"/>
                <w:vertAlign w:val="superscript"/>
              </w:rPr>
              <w:t>2</w:t>
            </w:r>
            <w:r>
              <w:rPr>
                <w:rFonts w:hint="eastAsia"/>
                <w:b w:val="0"/>
                <w:szCs w:val="21"/>
              </w:rPr>
              <w:t>,1F</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rFonts w:hAnsi="宋体"/>
                <w:b w:val="0"/>
                <w:szCs w:val="21"/>
              </w:rPr>
            </w:pPr>
            <w:r>
              <w:rPr>
                <w:rFonts w:hint="eastAsia" w:hAnsi="宋体"/>
                <w:b w:val="0"/>
                <w:szCs w:val="21"/>
              </w:rPr>
              <w:t>综合楼</w:t>
            </w:r>
          </w:p>
        </w:tc>
        <w:tc>
          <w:tcPr>
            <w:tcW w:w="6440" w:type="dxa"/>
            <w:vAlign w:val="center"/>
          </w:tcPr>
          <w:p>
            <w:pPr>
              <w:pStyle w:val="65"/>
              <w:spacing w:line="360" w:lineRule="auto"/>
              <w:rPr>
                <w:b w:val="0"/>
                <w:szCs w:val="21"/>
              </w:rPr>
            </w:pPr>
            <w:r>
              <w:rPr>
                <w:rFonts w:hint="eastAsia"/>
                <w:b w:val="0"/>
                <w:szCs w:val="21"/>
              </w:rPr>
              <w:t>1座框架结构，建筑面积864m</w:t>
            </w:r>
            <w:r>
              <w:rPr>
                <w:rFonts w:hint="eastAsia"/>
                <w:b w:val="0"/>
                <w:szCs w:val="21"/>
                <w:vertAlign w:val="superscript"/>
              </w:rPr>
              <w:t>2</w:t>
            </w:r>
            <w:r>
              <w:rPr>
                <w:rFonts w:hint="eastAsia"/>
                <w:b w:val="0"/>
                <w:szCs w:val="21"/>
              </w:rPr>
              <w:t>，3F</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rFonts w:hAnsi="宋体"/>
                <w:b w:val="0"/>
                <w:szCs w:val="21"/>
              </w:rPr>
            </w:pPr>
            <w:r>
              <w:rPr>
                <w:rFonts w:hint="eastAsia" w:hAnsi="宋体"/>
                <w:b w:val="0"/>
                <w:szCs w:val="21"/>
              </w:rPr>
              <w:t>食堂</w:t>
            </w:r>
          </w:p>
        </w:tc>
        <w:tc>
          <w:tcPr>
            <w:tcW w:w="6440" w:type="dxa"/>
            <w:vAlign w:val="center"/>
          </w:tcPr>
          <w:p>
            <w:pPr>
              <w:pStyle w:val="65"/>
              <w:spacing w:line="360" w:lineRule="auto"/>
              <w:rPr>
                <w:b w:val="0"/>
                <w:szCs w:val="21"/>
              </w:rPr>
            </w:pPr>
            <w:r>
              <w:rPr>
                <w:rFonts w:hint="eastAsia"/>
                <w:b w:val="0"/>
                <w:szCs w:val="21"/>
              </w:rPr>
              <w:t>1座砖混结构，建筑面积142m</w:t>
            </w:r>
            <w:r>
              <w:rPr>
                <w:rFonts w:hint="eastAsia"/>
                <w:b w:val="0"/>
                <w:szCs w:val="21"/>
                <w:vertAlign w:val="superscript"/>
              </w:rPr>
              <w:t>2</w:t>
            </w:r>
            <w:r>
              <w:rPr>
                <w:rFonts w:hint="eastAsia"/>
                <w:b w:val="0"/>
                <w:szCs w:val="21"/>
              </w:rPr>
              <w:t>，1F</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rFonts w:hAnsi="宋体"/>
                <w:b w:val="0"/>
                <w:szCs w:val="21"/>
              </w:rPr>
            </w:pPr>
            <w:r>
              <w:rPr>
                <w:rFonts w:hint="eastAsia" w:hAnsi="宋体"/>
                <w:b w:val="0"/>
                <w:szCs w:val="21"/>
              </w:rPr>
              <w:t>传达室</w:t>
            </w:r>
          </w:p>
        </w:tc>
        <w:tc>
          <w:tcPr>
            <w:tcW w:w="6440" w:type="dxa"/>
            <w:vAlign w:val="center"/>
          </w:tcPr>
          <w:p>
            <w:pPr>
              <w:pStyle w:val="65"/>
              <w:spacing w:line="360" w:lineRule="auto"/>
              <w:rPr>
                <w:b w:val="0"/>
                <w:szCs w:val="21"/>
              </w:rPr>
            </w:pPr>
            <w:r>
              <w:rPr>
                <w:rFonts w:hint="eastAsia"/>
                <w:b w:val="0"/>
                <w:szCs w:val="21"/>
              </w:rPr>
              <w:t>1座砖混结构，建筑面积32m</w:t>
            </w:r>
            <w:r>
              <w:rPr>
                <w:rFonts w:hint="eastAsia"/>
                <w:b w:val="0"/>
                <w:szCs w:val="21"/>
                <w:vertAlign w:val="superscript"/>
              </w:rPr>
              <w:t>2</w:t>
            </w:r>
            <w:r>
              <w:rPr>
                <w:rFonts w:hint="eastAsia"/>
                <w:b w:val="0"/>
                <w:szCs w:val="21"/>
              </w:rPr>
              <w:t>，1F</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8567" w:type="dxa"/>
            <w:gridSpan w:val="2"/>
            <w:vAlign w:val="center"/>
          </w:tcPr>
          <w:p>
            <w:pPr>
              <w:pStyle w:val="65"/>
              <w:wordWrap w:val="0"/>
              <w:rPr>
                <w:szCs w:val="21"/>
              </w:rPr>
            </w:pPr>
            <w:r>
              <w:rPr>
                <w:rFonts w:hint="eastAsia" w:hAnsi="宋体"/>
                <w:szCs w:val="21"/>
              </w:rPr>
              <w:t>泾河北岸保障房给水处理站工程</w:t>
            </w:r>
            <w:r>
              <w:rPr>
                <w:rFonts w:hint="eastAsia"/>
                <w:szCs w:val="21"/>
              </w:rPr>
              <w:t>（占地2.1亩，处理规模为2000m</w:t>
            </w:r>
            <w:r>
              <w:rPr>
                <w:rFonts w:hint="eastAsia"/>
                <w:szCs w:val="21"/>
                <w:vertAlign w:val="superscript"/>
              </w:rPr>
              <w:t>3</w:t>
            </w:r>
            <w:r>
              <w:rPr>
                <w:rFonts w:hint="eastAsia"/>
                <w:szCs w:val="21"/>
              </w:rPr>
              <w:t>/d）</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wordWrap w:val="0"/>
              <w:rPr>
                <w:rFonts w:hAnsi="宋体"/>
                <w:b w:val="0"/>
                <w:szCs w:val="21"/>
              </w:rPr>
            </w:pPr>
            <w:r>
              <w:rPr>
                <w:rFonts w:hint="eastAsia" w:hAnsi="宋体"/>
                <w:b w:val="0"/>
                <w:szCs w:val="21"/>
              </w:rPr>
              <w:t>原水池</w:t>
            </w:r>
          </w:p>
        </w:tc>
        <w:tc>
          <w:tcPr>
            <w:tcW w:w="6440" w:type="dxa"/>
            <w:vAlign w:val="center"/>
          </w:tcPr>
          <w:p>
            <w:pPr>
              <w:pStyle w:val="65"/>
              <w:spacing w:line="360" w:lineRule="auto"/>
              <w:rPr>
                <w:b w:val="0"/>
                <w:szCs w:val="21"/>
              </w:rPr>
            </w:pPr>
            <w:r>
              <w:rPr>
                <w:rFonts w:hint="eastAsia"/>
                <w:b w:val="0"/>
                <w:szCs w:val="21"/>
              </w:rPr>
              <w:t>1座钢砼结构，规格：5.4</w:t>
            </w:r>
            <w:r>
              <w:rPr>
                <w:rFonts w:hint="eastAsia" w:ascii="宋体" w:hAnsi="宋体"/>
                <w:b w:val="0"/>
                <w:szCs w:val="21"/>
              </w:rPr>
              <w:t>×</w:t>
            </w:r>
            <w:r>
              <w:rPr>
                <w:rFonts w:hint="eastAsia"/>
                <w:b w:val="0"/>
                <w:szCs w:val="21"/>
              </w:rPr>
              <w:t>6.8</w:t>
            </w:r>
            <w:r>
              <w:rPr>
                <w:rFonts w:hint="eastAsia" w:ascii="宋体" w:hAnsi="宋体"/>
                <w:b w:val="0"/>
                <w:szCs w:val="21"/>
              </w:rPr>
              <w:t>×</w:t>
            </w:r>
            <w:r>
              <w:rPr>
                <w:rFonts w:hint="eastAsia"/>
                <w:b w:val="0"/>
                <w:szCs w:val="21"/>
              </w:rPr>
              <w:t>3.5m，容积120m</w:t>
            </w:r>
            <w:r>
              <w:rPr>
                <w:rFonts w:hint="eastAsia"/>
                <w:b w:val="0"/>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wordWrap w:val="0"/>
              <w:rPr>
                <w:rFonts w:hAnsi="宋体"/>
                <w:b w:val="0"/>
                <w:szCs w:val="21"/>
              </w:rPr>
            </w:pPr>
            <w:r>
              <w:rPr>
                <w:rFonts w:hint="eastAsia" w:hAnsi="宋体"/>
                <w:b w:val="0"/>
                <w:szCs w:val="21"/>
              </w:rPr>
              <w:t>综合设备间（含自控和配电）</w:t>
            </w:r>
          </w:p>
        </w:tc>
        <w:tc>
          <w:tcPr>
            <w:tcW w:w="6440" w:type="dxa"/>
            <w:vAlign w:val="center"/>
          </w:tcPr>
          <w:p>
            <w:pPr>
              <w:pStyle w:val="65"/>
              <w:spacing w:line="360" w:lineRule="auto"/>
              <w:rPr>
                <w:b w:val="0"/>
                <w:szCs w:val="21"/>
              </w:rPr>
            </w:pPr>
            <w:r>
              <w:rPr>
                <w:rFonts w:hint="eastAsia"/>
                <w:b w:val="0"/>
                <w:szCs w:val="21"/>
              </w:rPr>
              <w:t>1座框架结构，规格34.8</w:t>
            </w:r>
            <w:r>
              <w:rPr>
                <w:rFonts w:hint="eastAsia" w:ascii="宋体" w:hAnsi="宋体"/>
                <w:b w:val="0"/>
                <w:szCs w:val="21"/>
              </w:rPr>
              <w:t>×</w:t>
            </w:r>
            <w:r>
              <w:rPr>
                <w:rFonts w:hint="eastAsia"/>
                <w:b w:val="0"/>
                <w:szCs w:val="21"/>
              </w:rPr>
              <w:t>9.9</w:t>
            </w:r>
            <w:r>
              <w:rPr>
                <w:rFonts w:hint="eastAsia" w:ascii="宋体" w:hAnsi="宋体"/>
                <w:b w:val="0"/>
                <w:szCs w:val="21"/>
              </w:rPr>
              <w:t>×</w:t>
            </w:r>
            <w:r>
              <w:rPr>
                <w:rFonts w:hint="eastAsia"/>
                <w:b w:val="0"/>
                <w:szCs w:val="21"/>
              </w:rPr>
              <w:t>6m</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wordWrap w:val="0"/>
              <w:rPr>
                <w:rFonts w:hAnsi="宋体"/>
                <w:b w:val="0"/>
                <w:szCs w:val="21"/>
              </w:rPr>
            </w:pPr>
            <w:r>
              <w:rPr>
                <w:rFonts w:hint="eastAsia" w:hAnsi="宋体"/>
                <w:b w:val="0"/>
                <w:szCs w:val="21"/>
              </w:rPr>
              <w:t>中间水池</w:t>
            </w:r>
          </w:p>
        </w:tc>
        <w:tc>
          <w:tcPr>
            <w:tcW w:w="6440" w:type="dxa"/>
            <w:vAlign w:val="center"/>
          </w:tcPr>
          <w:p>
            <w:pPr>
              <w:pStyle w:val="65"/>
              <w:spacing w:line="360" w:lineRule="auto"/>
              <w:rPr>
                <w:b w:val="0"/>
                <w:szCs w:val="21"/>
              </w:rPr>
            </w:pPr>
            <w:r>
              <w:rPr>
                <w:rFonts w:hint="eastAsia"/>
                <w:b w:val="0"/>
                <w:szCs w:val="21"/>
              </w:rPr>
              <w:t>1座钢砼结构，规格8</w:t>
            </w:r>
            <w:r>
              <w:rPr>
                <w:rFonts w:hint="eastAsia" w:ascii="宋体" w:hAnsi="宋体"/>
                <w:b w:val="0"/>
                <w:szCs w:val="21"/>
              </w:rPr>
              <w:t>×</w:t>
            </w:r>
            <w:r>
              <w:rPr>
                <w:rFonts w:hint="eastAsia"/>
                <w:b w:val="0"/>
                <w:szCs w:val="21"/>
              </w:rPr>
              <w:t>4</w:t>
            </w:r>
            <w:r>
              <w:rPr>
                <w:rFonts w:hint="eastAsia" w:ascii="宋体" w:hAnsi="宋体"/>
                <w:b w:val="0"/>
                <w:szCs w:val="21"/>
              </w:rPr>
              <w:t>×</w:t>
            </w:r>
            <w:r>
              <w:rPr>
                <w:rFonts w:hint="eastAsia"/>
                <w:b w:val="0"/>
                <w:szCs w:val="21"/>
              </w:rPr>
              <w:t>3.5m，容积100m</w:t>
            </w:r>
            <w:r>
              <w:rPr>
                <w:rFonts w:hint="eastAsia"/>
                <w:b w:val="0"/>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wordWrap w:val="0"/>
              <w:rPr>
                <w:rFonts w:hAnsi="宋体"/>
                <w:b w:val="0"/>
                <w:szCs w:val="21"/>
              </w:rPr>
            </w:pPr>
            <w:r>
              <w:rPr>
                <w:rFonts w:hint="eastAsia" w:hAnsi="宋体"/>
                <w:b w:val="0"/>
                <w:szCs w:val="21"/>
              </w:rPr>
              <w:t>浓水池</w:t>
            </w:r>
          </w:p>
        </w:tc>
        <w:tc>
          <w:tcPr>
            <w:tcW w:w="6440" w:type="dxa"/>
            <w:vAlign w:val="center"/>
          </w:tcPr>
          <w:p>
            <w:pPr>
              <w:pStyle w:val="65"/>
              <w:spacing w:line="360" w:lineRule="auto"/>
              <w:rPr>
                <w:b w:val="0"/>
                <w:szCs w:val="21"/>
              </w:rPr>
            </w:pPr>
            <w:r>
              <w:rPr>
                <w:rFonts w:hint="eastAsia"/>
                <w:b w:val="0"/>
                <w:szCs w:val="21"/>
              </w:rPr>
              <w:t>1座钢砼结构，规格8</w:t>
            </w:r>
            <w:r>
              <w:rPr>
                <w:rFonts w:hint="eastAsia" w:ascii="宋体" w:hAnsi="宋体"/>
                <w:b w:val="0"/>
                <w:szCs w:val="21"/>
              </w:rPr>
              <w:t>×</w:t>
            </w:r>
            <w:r>
              <w:rPr>
                <w:rFonts w:hint="eastAsia"/>
                <w:b w:val="0"/>
                <w:szCs w:val="21"/>
              </w:rPr>
              <w:t>4</w:t>
            </w:r>
            <w:r>
              <w:rPr>
                <w:rFonts w:hint="eastAsia" w:ascii="宋体" w:hAnsi="宋体"/>
                <w:b w:val="0"/>
                <w:szCs w:val="21"/>
              </w:rPr>
              <w:t>×</w:t>
            </w:r>
            <w:r>
              <w:rPr>
                <w:rFonts w:hint="eastAsia"/>
                <w:b w:val="0"/>
                <w:szCs w:val="21"/>
              </w:rPr>
              <w:t>3.5m，容积100m</w:t>
            </w:r>
            <w:r>
              <w:rPr>
                <w:rFonts w:hint="eastAsia"/>
                <w:b w:val="0"/>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wordWrap w:val="0"/>
              <w:rPr>
                <w:rFonts w:hAnsi="宋体"/>
                <w:b w:val="0"/>
                <w:szCs w:val="21"/>
              </w:rPr>
            </w:pPr>
            <w:r>
              <w:rPr>
                <w:rFonts w:hint="eastAsia" w:hAnsi="宋体"/>
                <w:b w:val="0"/>
                <w:szCs w:val="21"/>
              </w:rPr>
              <w:t>清水池</w:t>
            </w:r>
          </w:p>
        </w:tc>
        <w:tc>
          <w:tcPr>
            <w:tcW w:w="6440" w:type="dxa"/>
            <w:vAlign w:val="center"/>
          </w:tcPr>
          <w:p>
            <w:pPr>
              <w:pStyle w:val="65"/>
              <w:spacing w:line="360" w:lineRule="auto"/>
              <w:rPr>
                <w:b w:val="0"/>
                <w:szCs w:val="21"/>
              </w:rPr>
            </w:pPr>
            <w:r>
              <w:rPr>
                <w:rFonts w:hint="eastAsia"/>
                <w:b w:val="0"/>
                <w:szCs w:val="21"/>
              </w:rPr>
              <w:t>2座钢砼结构，规格6.3</w:t>
            </w:r>
            <w:r>
              <w:rPr>
                <w:rFonts w:hint="eastAsia" w:ascii="宋体" w:hAnsi="宋体"/>
                <w:b w:val="0"/>
                <w:szCs w:val="21"/>
              </w:rPr>
              <w:t>×</w:t>
            </w:r>
            <w:r>
              <w:rPr>
                <w:rFonts w:hint="eastAsia"/>
                <w:b w:val="0"/>
                <w:szCs w:val="21"/>
              </w:rPr>
              <w:t>9.6</w:t>
            </w:r>
            <w:r>
              <w:rPr>
                <w:rFonts w:hint="eastAsia" w:ascii="宋体" w:hAnsi="宋体"/>
                <w:b w:val="0"/>
                <w:szCs w:val="21"/>
              </w:rPr>
              <w:t>×</w:t>
            </w:r>
            <w:r>
              <w:rPr>
                <w:rFonts w:hint="eastAsia"/>
                <w:b w:val="0"/>
                <w:szCs w:val="21"/>
              </w:rPr>
              <w:t>3.5m，单池容积200m</w:t>
            </w:r>
            <w:r>
              <w:rPr>
                <w:rFonts w:hint="eastAsia"/>
                <w:b w:val="0"/>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wordWrap w:val="0"/>
              <w:rPr>
                <w:rFonts w:hAnsi="宋体"/>
                <w:b w:val="0"/>
                <w:szCs w:val="21"/>
              </w:rPr>
            </w:pPr>
            <w:r>
              <w:rPr>
                <w:rFonts w:hint="eastAsia" w:hAnsi="宋体"/>
                <w:b w:val="0"/>
                <w:szCs w:val="21"/>
              </w:rPr>
              <w:t>送水泵房</w:t>
            </w:r>
          </w:p>
        </w:tc>
        <w:tc>
          <w:tcPr>
            <w:tcW w:w="6440" w:type="dxa"/>
            <w:vAlign w:val="center"/>
          </w:tcPr>
          <w:p>
            <w:pPr>
              <w:pStyle w:val="65"/>
              <w:spacing w:line="360" w:lineRule="auto"/>
              <w:rPr>
                <w:b w:val="0"/>
                <w:szCs w:val="21"/>
              </w:rPr>
            </w:pPr>
            <w:r>
              <w:rPr>
                <w:rFonts w:hint="eastAsia"/>
                <w:b w:val="0"/>
                <w:szCs w:val="21"/>
              </w:rPr>
              <w:t>1座钢砼结构，5.8</w:t>
            </w:r>
            <w:r>
              <w:rPr>
                <w:rFonts w:hint="eastAsia" w:ascii="宋体" w:hAnsi="宋体"/>
                <w:b w:val="0"/>
                <w:szCs w:val="21"/>
              </w:rPr>
              <w:t>×</w:t>
            </w:r>
            <w:r>
              <w:rPr>
                <w:rFonts w:hint="eastAsia"/>
                <w:b w:val="0"/>
                <w:szCs w:val="21"/>
              </w:rPr>
              <w:t>4.4</w:t>
            </w:r>
            <w:r>
              <w:rPr>
                <w:rFonts w:hint="eastAsia" w:ascii="宋体" w:hAnsi="宋体"/>
                <w:b w:val="0"/>
                <w:szCs w:val="21"/>
              </w:rPr>
              <w:t>×</w:t>
            </w:r>
            <w:r>
              <w:rPr>
                <w:rFonts w:hint="eastAsia"/>
                <w:b w:val="0"/>
                <w:szCs w:val="21"/>
              </w:rPr>
              <w:t>3.1m</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8567" w:type="dxa"/>
            <w:gridSpan w:val="2"/>
            <w:vAlign w:val="center"/>
          </w:tcPr>
          <w:p>
            <w:pPr>
              <w:pStyle w:val="65"/>
              <w:spacing w:line="360" w:lineRule="auto"/>
              <w:rPr>
                <w:szCs w:val="21"/>
              </w:rPr>
            </w:pPr>
            <w:r>
              <w:rPr>
                <w:rFonts w:hAnsi="宋体"/>
                <w:szCs w:val="21"/>
              </w:rPr>
              <w:t>输水管线</w:t>
            </w:r>
            <w:r>
              <w:rPr>
                <w:rFonts w:hint="eastAsia" w:hAnsi="宋体"/>
                <w:szCs w:val="21"/>
              </w:rPr>
              <w:t>（管线长15840m）</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wordWrap w:val="0"/>
              <w:rPr>
                <w:rFonts w:hAnsi="宋体"/>
                <w:b w:val="0"/>
                <w:szCs w:val="21"/>
              </w:rPr>
            </w:pPr>
            <w:r>
              <w:rPr>
                <w:rFonts w:hint="eastAsia" w:hAnsi="宋体"/>
                <w:b w:val="0"/>
                <w:szCs w:val="21"/>
              </w:rPr>
              <w:t>泾河北岸</w:t>
            </w:r>
          </w:p>
        </w:tc>
        <w:tc>
          <w:tcPr>
            <w:tcW w:w="6440" w:type="dxa"/>
            <w:vAlign w:val="center"/>
          </w:tcPr>
          <w:p>
            <w:pPr>
              <w:pStyle w:val="65"/>
              <w:spacing w:line="360" w:lineRule="auto"/>
              <w:rPr>
                <w:b w:val="0"/>
                <w:szCs w:val="21"/>
              </w:rPr>
            </w:pPr>
            <w:r>
              <w:rPr>
                <w:rFonts w:hint="eastAsia"/>
                <w:b w:val="0"/>
              </w:rPr>
              <w:t>泾河北岸输水管线15140m，管径DN200mm-DN500mm</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b w:val="0"/>
                <w:szCs w:val="21"/>
              </w:rPr>
            </w:pPr>
            <w:r>
              <w:rPr>
                <w:rFonts w:hint="eastAsia"/>
                <w:b w:val="0"/>
                <w:szCs w:val="21"/>
              </w:rPr>
              <w:t>泾河南岸</w:t>
            </w:r>
          </w:p>
        </w:tc>
        <w:tc>
          <w:tcPr>
            <w:tcW w:w="6440" w:type="dxa"/>
            <w:vAlign w:val="center"/>
          </w:tcPr>
          <w:p>
            <w:pPr>
              <w:pStyle w:val="65"/>
              <w:rPr>
                <w:b w:val="0"/>
                <w:szCs w:val="21"/>
              </w:rPr>
            </w:pPr>
            <w:r>
              <w:rPr>
                <w:rFonts w:hint="eastAsia"/>
                <w:b w:val="0"/>
              </w:rPr>
              <w:t>泾河南岸输水管线700m，管径DN150mm</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restart"/>
            <w:vAlign w:val="center"/>
          </w:tcPr>
          <w:p>
            <w:pPr>
              <w:pStyle w:val="65"/>
              <w:spacing w:line="360" w:lineRule="auto"/>
              <w:rPr>
                <w:b w:val="0"/>
                <w:szCs w:val="21"/>
              </w:rPr>
            </w:pPr>
            <w:r>
              <w:rPr>
                <w:rFonts w:hint="eastAsia"/>
                <w:b w:val="0"/>
                <w:szCs w:val="21"/>
              </w:rPr>
              <w:t>公用及辅助工程</w:t>
            </w:r>
          </w:p>
        </w:tc>
        <w:tc>
          <w:tcPr>
            <w:tcW w:w="2127" w:type="dxa"/>
            <w:vAlign w:val="center"/>
          </w:tcPr>
          <w:p>
            <w:pPr>
              <w:pStyle w:val="65"/>
              <w:spacing w:line="360" w:lineRule="auto"/>
              <w:rPr>
                <w:b w:val="0"/>
                <w:szCs w:val="21"/>
              </w:rPr>
            </w:pPr>
            <w:r>
              <w:rPr>
                <w:rFonts w:hint="eastAsia"/>
                <w:b w:val="0"/>
                <w:szCs w:val="21"/>
              </w:rPr>
              <w:t>供电</w:t>
            </w:r>
          </w:p>
        </w:tc>
        <w:tc>
          <w:tcPr>
            <w:tcW w:w="6440" w:type="dxa"/>
            <w:vAlign w:val="center"/>
          </w:tcPr>
          <w:p>
            <w:pPr>
              <w:pStyle w:val="65"/>
              <w:rPr>
                <w:b w:val="0"/>
                <w:szCs w:val="21"/>
              </w:rPr>
            </w:pPr>
            <w:r>
              <w:rPr>
                <w:rFonts w:hint="eastAsia"/>
                <w:b w:val="0"/>
                <w:szCs w:val="21"/>
              </w:rPr>
              <w:t>泾河北岸双回路电源引自崇文新街1号变电站。泾河南岸双回路电源引自高庄变电站。</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b w:val="0"/>
                <w:szCs w:val="21"/>
              </w:rPr>
            </w:pPr>
            <w:r>
              <w:rPr>
                <w:rFonts w:hint="eastAsia"/>
                <w:b w:val="0"/>
                <w:szCs w:val="21"/>
              </w:rPr>
              <w:t>消防</w:t>
            </w:r>
          </w:p>
        </w:tc>
        <w:tc>
          <w:tcPr>
            <w:tcW w:w="6440" w:type="dxa"/>
            <w:vAlign w:val="center"/>
          </w:tcPr>
          <w:p>
            <w:pPr>
              <w:pStyle w:val="65"/>
              <w:rPr>
                <w:b w:val="0"/>
                <w:szCs w:val="21"/>
              </w:rPr>
            </w:pPr>
            <w:r>
              <w:rPr>
                <w:rFonts w:hint="eastAsia"/>
                <w:b w:val="0"/>
                <w:szCs w:val="21"/>
              </w:rPr>
              <w:t>办公楼、综合楼等均设室内水消防设施。在变配电室等不适用水消防的地方，设置二氧化碳灭火系统，并在厂区内有火灾危险的场所，根据火灾类别、危险程度、保护面积，按照规范要求设置相应的灭火器，对电气设备采用二氧化碳灭火器，其它地方采用干粉灭火器，保证补救初起火灾，避免火势扩大。</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b w:val="0"/>
                <w:szCs w:val="21"/>
              </w:rPr>
            </w:pPr>
            <w:r>
              <w:rPr>
                <w:rFonts w:hint="eastAsia"/>
                <w:b w:val="0"/>
                <w:szCs w:val="21"/>
              </w:rPr>
              <w:t>化验</w:t>
            </w:r>
          </w:p>
        </w:tc>
        <w:tc>
          <w:tcPr>
            <w:tcW w:w="6440" w:type="dxa"/>
            <w:vAlign w:val="center"/>
          </w:tcPr>
          <w:p>
            <w:pPr>
              <w:pStyle w:val="58"/>
              <w:jc w:val="center"/>
              <w:rPr>
                <w:b/>
                <w:color w:val="auto"/>
                <w:szCs w:val="21"/>
                <w:lang w:eastAsia="zh-CN"/>
              </w:rPr>
            </w:pPr>
            <w:r>
              <w:rPr>
                <w:color w:val="auto"/>
                <w:sz w:val="21"/>
                <w:szCs w:val="21"/>
                <w:lang w:eastAsia="zh-CN"/>
              </w:rPr>
              <w:t>化验室设在水源地</w:t>
            </w:r>
            <w:r>
              <w:rPr>
                <w:rFonts w:hint="eastAsia"/>
                <w:color w:val="auto"/>
                <w:sz w:val="21"/>
                <w:szCs w:val="21"/>
                <w:lang w:eastAsia="zh-CN"/>
              </w:rPr>
              <w:t>管理站</w:t>
            </w:r>
            <w:r>
              <w:rPr>
                <w:color w:val="auto"/>
                <w:sz w:val="21"/>
                <w:szCs w:val="21"/>
                <w:lang w:eastAsia="zh-CN"/>
              </w:rPr>
              <w:t>综合办公楼，对原水水质进行化验。</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b w:val="0"/>
                <w:szCs w:val="21"/>
              </w:rPr>
            </w:pPr>
            <w:r>
              <w:rPr>
                <w:rFonts w:hint="eastAsia"/>
                <w:b w:val="0"/>
                <w:szCs w:val="21"/>
              </w:rPr>
              <w:t>供热</w:t>
            </w:r>
          </w:p>
        </w:tc>
        <w:tc>
          <w:tcPr>
            <w:tcW w:w="6440" w:type="dxa"/>
            <w:vAlign w:val="center"/>
          </w:tcPr>
          <w:p>
            <w:pPr>
              <w:pStyle w:val="65"/>
              <w:spacing w:line="360" w:lineRule="auto"/>
              <w:rPr>
                <w:b w:val="0"/>
                <w:szCs w:val="21"/>
              </w:rPr>
            </w:pPr>
            <w:r>
              <w:rPr>
                <w:rFonts w:hint="eastAsia"/>
                <w:b w:val="0"/>
                <w:szCs w:val="21"/>
              </w:rPr>
              <w:t>热源引自泾河新城市政配套热力管网</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restart"/>
            <w:vAlign w:val="center"/>
          </w:tcPr>
          <w:p>
            <w:pPr>
              <w:pStyle w:val="65"/>
              <w:spacing w:line="360" w:lineRule="auto"/>
              <w:rPr>
                <w:b w:val="0"/>
                <w:szCs w:val="21"/>
              </w:rPr>
            </w:pPr>
            <w:r>
              <w:rPr>
                <w:rFonts w:hint="eastAsia"/>
                <w:b w:val="0"/>
                <w:szCs w:val="21"/>
              </w:rPr>
              <w:t>环保工程</w:t>
            </w:r>
          </w:p>
        </w:tc>
        <w:tc>
          <w:tcPr>
            <w:tcW w:w="2127" w:type="dxa"/>
            <w:vAlign w:val="center"/>
          </w:tcPr>
          <w:p>
            <w:pPr>
              <w:pStyle w:val="65"/>
              <w:spacing w:line="360" w:lineRule="auto"/>
              <w:rPr>
                <w:b w:val="0"/>
                <w:szCs w:val="21"/>
              </w:rPr>
            </w:pPr>
            <w:r>
              <w:rPr>
                <w:rFonts w:hint="eastAsia"/>
                <w:b w:val="0"/>
                <w:szCs w:val="21"/>
              </w:rPr>
              <w:t>餐饮油烟</w:t>
            </w:r>
          </w:p>
        </w:tc>
        <w:tc>
          <w:tcPr>
            <w:tcW w:w="6440" w:type="dxa"/>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油烟净化器一套</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b w:val="0"/>
                <w:szCs w:val="21"/>
              </w:rPr>
            </w:pPr>
            <w:r>
              <w:rPr>
                <w:rFonts w:hint="eastAsia"/>
                <w:b w:val="0"/>
                <w:szCs w:val="21"/>
              </w:rPr>
              <w:t>生活污水</w:t>
            </w:r>
          </w:p>
        </w:tc>
        <w:tc>
          <w:tcPr>
            <w:tcW w:w="6440" w:type="dxa"/>
            <w:vAlign w:val="center"/>
          </w:tcPr>
          <w:p>
            <w:pPr>
              <w:pStyle w:val="58"/>
              <w:jc w:val="center"/>
              <w:rPr>
                <w:rFonts w:ascii="Times New Roman" w:hAnsi="Times New Roman" w:cs="Times New Roman"/>
                <w:b/>
                <w:color w:val="auto"/>
                <w:szCs w:val="21"/>
                <w:lang w:eastAsia="zh-CN"/>
              </w:rPr>
            </w:pPr>
            <w:r>
              <w:rPr>
                <w:rFonts w:hint="eastAsia" w:ascii="Times New Roman" w:hAnsi="Times New Roman" w:cs="Times New Roman"/>
                <w:color w:val="auto"/>
                <w:sz w:val="21"/>
                <w:szCs w:val="21"/>
                <w:lang w:eastAsia="zh-CN"/>
              </w:rPr>
              <w:t>环评建议建一座2m</w:t>
            </w:r>
            <w:r>
              <w:rPr>
                <w:rFonts w:hint="eastAsia" w:ascii="Times New Roman" w:hAnsi="Times New Roman" w:cs="Times New Roman"/>
                <w:color w:val="auto"/>
                <w:sz w:val="21"/>
                <w:szCs w:val="21"/>
                <w:vertAlign w:val="superscript"/>
                <w:lang w:eastAsia="zh-CN"/>
              </w:rPr>
              <w:t>3</w:t>
            </w:r>
            <w:r>
              <w:rPr>
                <w:rFonts w:hint="eastAsia" w:ascii="Times New Roman" w:hAnsi="Times New Roman" w:cs="Times New Roman"/>
                <w:color w:val="auto"/>
                <w:sz w:val="21"/>
                <w:szCs w:val="21"/>
                <w:lang w:eastAsia="zh-CN"/>
              </w:rPr>
              <w:t>/d地埋式污水处理站和</w:t>
            </w:r>
            <w:r>
              <w:rPr>
                <w:rFonts w:ascii="Times New Roman" w:hAnsi="Times New Roman" w:cs="Times New Roman"/>
                <w:color w:val="auto"/>
                <w:sz w:val="21"/>
                <w:szCs w:val="21"/>
                <w:lang w:eastAsia="zh-CN"/>
              </w:rPr>
              <w:t>一座2m</w:t>
            </w:r>
            <w:r>
              <w:rPr>
                <w:rFonts w:ascii="Times New Roman" w:hAnsi="Times New Roman" w:cs="Times New Roman"/>
                <w:color w:val="auto"/>
                <w:sz w:val="21"/>
                <w:szCs w:val="21"/>
                <w:vertAlign w:val="superscript"/>
                <w:lang w:eastAsia="zh-CN"/>
              </w:rPr>
              <w:t>3</w:t>
            </w:r>
            <w:r>
              <w:rPr>
                <w:rFonts w:ascii="Times New Roman" w:hAnsi="Times New Roman" w:cs="Times New Roman"/>
                <w:color w:val="auto"/>
                <w:sz w:val="21"/>
                <w:szCs w:val="21"/>
                <w:lang w:eastAsia="zh-CN"/>
              </w:rPr>
              <w:t>的化粪池</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b w:val="0"/>
                <w:szCs w:val="21"/>
              </w:rPr>
            </w:pPr>
            <w:r>
              <w:rPr>
                <w:rFonts w:hint="eastAsia"/>
                <w:b w:val="0"/>
                <w:szCs w:val="21"/>
              </w:rPr>
              <w:t>噪声</w:t>
            </w:r>
          </w:p>
        </w:tc>
        <w:tc>
          <w:tcPr>
            <w:tcW w:w="6440" w:type="dxa"/>
            <w:vAlign w:val="center"/>
          </w:tcPr>
          <w:p>
            <w:pPr>
              <w:pStyle w:val="58"/>
              <w:jc w:val="center"/>
              <w:rPr>
                <w:b/>
                <w:color w:val="auto"/>
                <w:szCs w:val="21"/>
                <w:lang w:eastAsia="zh-CN"/>
              </w:rPr>
            </w:pPr>
            <w:r>
              <w:rPr>
                <w:color w:val="auto"/>
                <w:sz w:val="21"/>
                <w:szCs w:val="21"/>
                <w:lang w:eastAsia="zh-CN"/>
              </w:rPr>
              <w:t>基础减震、隔声、吸声、消声等</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b w:val="0"/>
                <w:szCs w:val="21"/>
              </w:rPr>
            </w:pPr>
            <w:r>
              <w:rPr>
                <w:rFonts w:hint="eastAsia"/>
                <w:b w:val="0"/>
                <w:szCs w:val="21"/>
              </w:rPr>
              <w:t>固体废物</w:t>
            </w:r>
          </w:p>
        </w:tc>
        <w:tc>
          <w:tcPr>
            <w:tcW w:w="6440" w:type="dxa"/>
            <w:vAlign w:val="center"/>
          </w:tcPr>
          <w:p>
            <w:pPr>
              <w:pStyle w:val="58"/>
              <w:jc w:val="center"/>
              <w:rPr>
                <w:b/>
                <w:color w:val="auto"/>
                <w:szCs w:val="21"/>
                <w:lang w:eastAsia="zh-CN"/>
              </w:rPr>
            </w:pPr>
            <w:r>
              <w:rPr>
                <w:color w:val="auto"/>
                <w:sz w:val="21"/>
                <w:szCs w:val="21"/>
                <w:lang w:eastAsia="zh-CN"/>
              </w:rPr>
              <w:t>化验废水暂存罐、污泥储存池、垃圾收集筒等</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b w:val="0"/>
                <w:szCs w:val="21"/>
              </w:rPr>
            </w:pPr>
            <w:r>
              <w:rPr>
                <w:rFonts w:hint="eastAsia"/>
                <w:b w:val="0"/>
                <w:szCs w:val="21"/>
              </w:rPr>
              <w:t>环境监测与管理</w:t>
            </w:r>
          </w:p>
        </w:tc>
        <w:tc>
          <w:tcPr>
            <w:tcW w:w="6440" w:type="dxa"/>
            <w:vAlign w:val="center"/>
          </w:tcPr>
          <w:p>
            <w:pPr>
              <w:pStyle w:val="58"/>
              <w:jc w:val="center"/>
              <w:rPr>
                <w:b/>
                <w:color w:val="auto"/>
                <w:szCs w:val="21"/>
                <w:lang w:eastAsia="zh-CN"/>
              </w:rPr>
            </w:pPr>
            <w:r>
              <w:rPr>
                <w:color w:val="auto"/>
                <w:sz w:val="21"/>
                <w:szCs w:val="21"/>
                <w:lang w:eastAsia="zh-CN"/>
              </w:rPr>
              <w:t>环境档案管理及风险应急制定</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vAlign w:val="center"/>
          </w:tcPr>
          <w:p>
            <w:pPr>
              <w:pStyle w:val="65"/>
              <w:spacing w:line="360" w:lineRule="auto"/>
              <w:rPr>
                <w:b w:val="0"/>
                <w:szCs w:val="21"/>
              </w:rPr>
            </w:pPr>
          </w:p>
        </w:tc>
        <w:tc>
          <w:tcPr>
            <w:tcW w:w="2127" w:type="dxa"/>
            <w:vAlign w:val="center"/>
          </w:tcPr>
          <w:p>
            <w:pPr>
              <w:pStyle w:val="65"/>
              <w:spacing w:line="360" w:lineRule="auto"/>
              <w:rPr>
                <w:b w:val="0"/>
                <w:szCs w:val="21"/>
              </w:rPr>
            </w:pPr>
            <w:r>
              <w:rPr>
                <w:rFonts w:hint="eastAsia"/>
                <w:b w:val="0"/>
                <w:szCs w:val="21"/>
              </w:rPr>
              <w:t>绿化</w:t>
            </w:r>
          </w:p>
        </w:tc>
        <w:tc>
          <w:tcPr>
            <w:tcW w:w="6440" w:type="dxa"/>
            <w:vAlign w:val="center"/>
          </w:tcPr>
          <w:p>
            <w:pPr>
              <w:pStyle w:val="58"/>
              <w:jc w:val="center"/>
              <w:rPr>
                <w:b/>
                <w:color w:val="auto"/>
                <w:szCs w:val="21"/>
              </w:rPr>
            </w:pPr>
            <w:r>
              <w:rPr>
                <w:color w:val="auto"/>
                <w:sz w:val="21"/>
                <w:szCs w:val="21"/>
              </w:rPr>
              <w:t>绿化率</w:t>
            </w:r>
            <w:r>
              <w:rPr>
                <w:rFonts w:ascii="Times New Roman" w:hAnsi="Times New Roman" w:cs="Times New Roman"/>
                <w:color w:val="auto"/>
                <w:sz w:val="21"/>
                <w:szCs w:val="21"/>
              </w:rPr>
              <w:t>30%</w:t>
            </w:r>
          </w:p>
        </w:tc>
      </w:tr>
    </w:tbl>
    <w:p>
      <w:pPr>
        <w:pStyle w:val="61"/>
        <w:rPr>
          <w:color w:val="auto"/>
        </w:rPr>
      </w:pPr>
      <w:bookmarkStart w:id="29" w:name="_Toc436902147"/>
      <w:r>
        <w:rPr>
          <w:rFonts w:hint="eastAsia"/>
          <w:color w:val="auto"/>
        </w:rPr>
        <w:t>2.4工程建设内容</w:t>
      </w:r>
      <w:bookmarkEnd w:id="29"/>
    </w:p>
    <w:p>
      <w:pPr>
        <w:pStyle w:val="62"/>
        <w:rPr>
          <w:color w:val="auto"/>
        </w:rPr>
      </w:pPr>
      <w:r>
        <w:rPr>
          <w:rFonts w:hint="eastAsia"/>
          <w:color w:val="auto"/>
        </w:rPr>
        <w:t>2.4.1水源地</w:t>
      </w:r>
    </w:p>
    <w:p>
      <w:pPr>
        <w:pStyle w:val="63"/>
        <w:ind w:firstLine="480"/>
        <w:rPr>
          <w:color w:val="auto"/>
          <w:szCs w:val="24"/>
        </w:rPr>
      </w:pPr>
      <w:r>
        <w:rPr>
          <w:rFonts w:hint="eastAsia"/>
          <w:color w:val="auto"/>
        </w:rPr>
        <w:t>水源井：</w:t>
      </w:r>
      <w:r>
        <w:rPr>
          <w:color w:val="auto"/>
        </w:rPr>
        <w:t>拟建水源地水源井沿</w:t>
      </w:r>
      <w:r>
        <w:rPr>
          <w:rFonts w:hint="eastAsia"/>
          <w:color w:val="auto"/>
        </w:rPr>
        <w:t>泾河两岸布设。泾河北岸</w:t>
      </w:r>
      <w:r>
        <w:rPr>
          <w:rFonts w:hint="eastAsia"/>
          <w:color w:val="auto"/>
          <w:szCs w:val="28"/>
        </w:rPr>
        <w:t>布设</w:t>
      </w:r>
      <w:r>
        <w:rPr>
          <w:rFonts w:hint="eastAsia"/>
          <w:color w:val="auto"/>
        </w:rPr>
        <w:t>水源井18眼</w:t>
      </w:r>
      <w:r>
        <w:rPr>
          <w:rFonts w:hint="eastAsia"/>
          <w:color w:val="auto"/>
          <w:szCs w:val="24"/>
        </w:rPr>
        <w:t>，</w:t>
      </w:r>
      <w:r>
        <w:rPr>
          <w:rFonts w:hint="eastAsia"/>
          <w:color w:val="auto"/>
        </w:rPr>
        <w:t>6#-13#沿泾河大道布设、16#-18#沿正阳大道布设、23#-29#沿高泾大道布设，全部布置在</w:t>
      </w:r>
      <w:r>
        <w:rPr>
          <w:rFonts w:hint="eastAsia"/>
          <w:color w:val="auto"/>
          <w:szCs w:val="28"/>
        </w:rPr>
        <w:t>道路绿带内</w:t>
      </w:r>
      <w:r>
        <w:rPr>
          <w:rFonts w:hint="eastAsia"/>
          <w:color w:val="auto"/>
        </w:rPr>
        <w:t>。</w:t>
      </w:r>
      <w:r>
        <w:rPr>
          <w:rFonts w:hint="eastAsia"/>
          <w:color w:val="auto"/>
          <w:szCs w:val="24"/>
        </w:rPr>
        <w:t>设计供水规模为18250m</w:t>
      </w:r>
      <w:r>
        <w:rPr>
          <w:rFonts w:hint="eastAsia"/>
          <w:color w:val="auto"/>
          <w:szCs w:val="24"/>
          <w:vertAlign w:val="superscript"/>
        </w:rPr>
        <w:t>3</w:t>
      </w:r>
      <w:r>
        <w:rPr>
          <w:rFonts w:hint="eastAsia"/>
          <w:color w:val="auto"/>
          <w:szCs w:val="24"/>
        </w:rPr>
        <w:t>/d，单井日开采量为1250m</w:t>
      </w:r>
      <w:r>
        <w:rPr>
          <w:rFonts w:hint="eastAsia"/>
          <w:color w:val="auto"/>
          <w:szCs w:val="24"/>
          <w:vertAlign w:val="superscript"/>
        </w:rPr>
        <w:t>3</w:t>
      </w:r>
      <w:r>
        <w:rPr>
          <w:rFonts w:hint="eastAsia"/>
          <w:color w:val="auto"/>
          <w:szCs w:val="24"/>
        </w:rPr>
        <w:t>/d，考虑3座备用井，井径0.3米，井深200米，布井间距1000m，</w:t>
      </w:r>
      <w:r>
        <w:rPr>
          <w:color w:val="auto"/>
          <w:szCs w:val="24"/>
        </w:rPr>
        <w:t>采用长轴深井泵，扬程范围60m左右</w:t>
      </w:r>
      <w:r>
        <w:rPr>
          <w:rFonts w:hint="eastAsia"/>
          <w:color w:val="auto"/>
          <w:szCs w:val="24"/>
        </w:rPr>
        <w:t>；泾河南岸布设水源井3眼，</w:t>
      </w:r>
      <w:r>
        <w:rPr>
          <w:rFonts w:hint="eastAsia"/>
          <w:color w:val="auto"/>
        </w:rPr>
        <w:t>布设在</w:t>
      </w:r>
      <w:r>
        <w:rPr>
          <w:rFonts w:hint="eastAsia"/>
          <w:color w:val="auto"/>
          <w:szCs w:val="24"/>
        </w:rPr>
        <w:t>泾河弯路南侧，设计供水规模为1500m</w:t>
      </w:r>
      <w:r>
        <w:rPr>
          <w:rFonts w:hint="eastAsia"/>
          <w:color w:val="auto"/>
          <w:szCs w:val="24"/>
          <w:vertAlign w:val="superscript"/>
        </w:rPr>
        <w:t>3</w:t>
      </w:r>
      <w:r>
        <w:rPr>
          <w:rFonts w:hint="eastAsia"/>
          <w:color w:val="auto"/>
          <w:szCs w:val="24"/>
        </w:rPr>
        <w:t>/d，单井日开采量为750m</w:t>
      </w:r>
      <w:r>
        <w:rPr>
          <w:rFonts w:hint="eastAsia"/>
          <w:color w:val="auto"/>
          <w:szCs w:val="24"/>
          <w:vertAlign w:val="superscript"/>
        </w:rPr>
        <w:t>3</w:t>
      </w:r>
      <w:r>
        <w:rPr>
          <w:rFonts w:hint="eastAsia"/>
          <w:color w:val="auto"/>
          <w:szCs w:val="24"/>
        </w:rPr>
        <w:t>/d，考虑1座备用井，井径0.3米，井深200米，布井间距1000m，</w:t>
      </w:r>
      <w:r>
        <w:rPr>
          <w:color w:val="auto"/>
          <w:szCs w:val="24"/>
        </w:rPr>
        <w:t>采用长轴深井泵，扬程范围</w:t>
      </w:r>
      <w:r>
        <w:rPr>
          <w:rFonts w:hint="eastAsia"/>
          <w:color w:val="auto"/>
          <w:szCs w:val="24"/>
        </w:rPr>
        <w:t>54</w:t>
      </w:r>
      <w:r>
        <w:rPr>
          <w:color w:val="auto"/>
          <w:szCs w:val="24"/>
        </w:rPr>
        <w:t>m左右</w:t>
      </w:r>
      <w:r>
        <w:rPr>
          <w:rFonts w:hint="eastAsia"/>
          <w:color w:val="auto"/>
          <w:szCs w:val="24"/>
        </w:rPr>
        <w:t>。水源井布设点见图2.4-1。</w:t>
      </w:r>
    </w:p>
    <w:p>
      <w:pPr>
        <w:pStyle w:val="63"/>
        <w:ind w:firstLine="480"/>
        <w:jc w:val="both"/>
        <w:rPr>
          <w:color w:val="auto"/>
        </w:rPr>
      </w:pPr>
      <w:r>
        <w:rPr>
          <w:rFonts w:hint="eastAsia"/>
          <w:color w:val="auto"/>
          <w:szCs w:val="24"/>
        </w:rPr>
        <w:t>水泵房：北岸水源地取水管井设计采用18座潜水泵房，单泵Q=60m</w:t>
      </w:r>
      <w:r>
        <w:rPr>
          <w:rFonts w:hint="eastAsia"/>
          <w:color w:val="auto"/>
          <w:szCs w:val="24"/>
          <w:vertAlign w:val="superscript"/>
        </w:rPr>
        <w:t>3</w:t>
      </w:r>
      <w:r>
        <w:rPr>
          <w:rFonts w:hint="eastAsia"/>
          <w:color w:val="auto"/>
          <w:szCs w:val="24"/>
        </w:rPr>
        <w:t>/h，H=60m，N=</w:t>
      </w:r>
      <w:r>
        <w:rPr>
          <w:rFonts w:hint="eastAsia"/>
          <w:color w:val="auto"/>
        </w:rPr>
        <w:t>18.5kW；南岸水源地取水管井设计采用3座潜水泵房，单泵Q=30m</w:t>
      </w:r>
      <w:r>
        <w:rPr>
          <w:rFonts w:hint="eastAsia"/>
          <w:color w:val="auto"/>
          <w:vertAlign w:val="superscript"/>
        </w:rPr>
        <w:t>3</w:t>
      </w:r>
      <w:r>
        <w:rPr>
          <w:rFonts w:hint="eastAsia"/>
          <w:color w:val="auto"/>
        </w:rPr>
        <w:t>/h，H=54m，N=11kW，泵房全部为5×5m。主要建设内容见表2.4-1。</w:t>
      </w:r>
    </w:p>
    <w:p>
      <w:pPr>
        <w:pStyle w:val="65"/>
      </w:pPr>
      <w:r>
        <w:rPr>
          <w:rFonts w:hint="eastAsia"/>
        </w:rPr>
        <w:t>表2.4-1水源地主要建设内容</w:t>
      </w:r>
    </w:p>
    <w:tbl>
      <w:tblPr>
        <w:tblStyle w:val="25"/>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1416"/>
        <w:gridCol w:w="5388"/>
        <w:gridCol w:w="1479"/>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519" w:type="pct"/>
            <w:vAlign w:val="center"/>
          </w:tcPr>
          <w:p>
            <w:pPr>
              <w:pStyle w:val="63"/>
              <w:ind w:firstLine="0" w:firstLineChars="0"/>
              <w:jc w:val="center"/>
              <w:rPr>
                <w:b/>
                <w:color w:val="auto"/>
                <w:sz w:val="21"/>
                <w:szCs w:val="21"/>
              </w:rPr>
            </w:pPr>
            <w:r>
              <w:rPr>
                <w:rFonts w:hint="eastAsia"/>
                <w:b/>
                <w:color w:val="auto"/>
                <w:sz w:val="21"/>
                <w:szCs w:val="21"/>
              </w:rPr>
              <w:t>序号</w:t>
            </w:r>
          </w:p>
        </w:tc>
        <w:tc>
          <w:tcPr>
            <w:tcW w:w="766" w:type="pct"/>
            <w:vAlign w:val="center"/>
          </w:tcPr>
          <w:p>
            <w:pPr>
              <w:pStyle w:val="63"/>
              <w:ind w:firstLine="0" w:firstLineChars="0"/>
              <w:jc w:val="center"/>
              <w:rPr>
                <w:b/>
                <w:color w:val="auto"/>
                <w:sz w:val="21"/>
                <w:szCs w:val="21"/>
              </w:rPr>
            </w:pPr>
            <w:r>
              <w:rPr>
                <w:rFonts w:hint="eastAsia"/>
                <w:b/>
                <w:color w:val="auto"/>
                <w:sz w:val="21"/>
                <w:szCs w:val="21"/>
              </w:rPr>
              <w:t>项目组成</w:t>
            </w:r>
          </w:p>
        </w:tc>
        <w:tc>
          <w:tcPr>
            <w:tcW w:w="2914" w:type="pct"/>
            <w:vAlign w:val="center"/>
          </w:tcPr>
          <w:p>
            <w:pPr>
              <w:pStyle w:val="63"/>
              <w:ind w:firstLine="0" w:firstLineChars="0"/>
              <w:jc w:val="center"/>
              <w:rPr>
                <w:b/>
                <w:color w:val="auto"/>
                <w:sz w:val="21"/>
                <w:szCs w:val="21"/>
              </w:rPr>
            </w:pPr>
            <w:r>
              <w:rPr>
                <w:rFonts w:hint="eastAsia"/>
                <w:b/>
                <w:color w:val="auto"/>
                <w:sz w:val="21"/>
                <w:szCs w:val="21"/>
              </w:rPr>
              <w:t>主要建设内容</w:t>
            </w:r>
          </w:p>
        </w:tc>
        <w:tc>
          <w:tcPr>
            <w:tcW w:w="800" w:type="pct"/>
            <w:vAlign w:val="center"/>
          </w:tcPr>
          <w:p>
            <w:pPr>
              <w:pStyle w:val="63"/>
              <w:ind w:firstLine="0" w:firstLineChars="0"/>
              <w:jc w:val="center"/>
              <w:rPr>
                <w:b/>
                <w:color w:val="auto"/>
                <w:sz w:val="21"/>
                <w:szCs w:val="21"/>
              </w:rPr>
            </w:pPr>
            <w:r>
              <w:rPr>
                <w:rFonts w:hint="eastAsia"/>
                <w:b/>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9" w:type="pct"/>
            <w:vMerge w:val="restart"/>
            <w:vAlign w:val="center"/>
          </w:tcPr>
          <w:p>
            <w:pPr>
              <w:pStyle w:val="63"/>
              <w:ind w:firstLine="0" w:firstLineChars="0"/>
              <w:jc w:val="center"/>
              <w:rPr>
                <w:color w:val="auto"/>
                <w:sz w:val="21"/>
                <w:szCs w:val="21"/>
              </w:rPr>
            </w:pPr>
            <w:r>
              <w:rPr>
                <w:rFonts w:hint="eastAsia"/>
                <w:color w:val="auto"/>
                <w:sz w:val="21"/>
                <w:szCs w:val="21"/>
              </w:rPr>
              <w:t>1</w:t>
            </w:r>
          </w:p>
        </w:tc>
        <w:tc>
          <w:tcPr>
            <w:tcW w:w="766" w:type="pct"/>
            <w:vMerge w:val="restart"/>
            <w:vAlign w:val="center"/>
          </w:tcPr>
          <w:p>
            <w:pPr>
              <w:pStyle w:val="63"/>
              <w:ind w:firstLine="0" w:firstLineChars="0"/>
              <w:jc w:val="center"/>
              <w:rPr>
                <w:color w:val="auto"/>
                <w:sz w:val="21"/>
                <w:szCs w:val="21"/>
              </w:rPr>
            </w:pPr>
            <w:r>
              <w:rPr>
                <w:rFonts w:hint="eastAsia"/>
                <w:color w:val="auto"/>
                <w:sz w:val="21"/>
                <w:szCs w:val="21"/>
              </w:rPr>
              <w:t>水源井</w:t>
            </w:r>
          </w:p>
        </w:tc>
        <w:tc>
          <w:tcPr>
            <w:tcW w:w="2914" w:type="pct"/>
            <w:vAlign w:val="center"/>
          </w:tcPr>
          <w:p>
            <w:pPr>
              <w:pStyle w:val="63"/>
              <w:ind w:firstLine="0" w:firstLineChars="0"/>
              <w:jc w:val="center"/>
              <w:rPr>
                <w:color w:val="auto"/>
                <w:sz w:val="21"/>
                <w:szCs w:val="21"/>
              </w:rPr>
            </w:pPr>
            <w:r>
              <w:rPr>
                <w:rFonts w:hint="eastAsia"/>
                <w:color w:val="auto"/>
                <w:sz w:val="21"/>
                <w:szCs w:val="21"/>
              </w:rPr>
              <w:t>泾河北岸：18眼，单井日开采量为1250m</w:t>
            </w:r>
            <w:r>
              <w:rPr>
                <w:rFonts w:hint="eastAsia"/>
                <w:color w:val="auto"/>
                <w:sz w:val="21"/>
                <w:szCs w:val="21"/>
                <w:vertAlign w:val="superscript"/>
              </w:rPr>
              <w:t>3</w:t>
            </w:r>
            <w:r>
              <w:rPr>
                <w:rFonts w:hint="eastAsia"/>
                <w:color w:val="auto"/>
                <w:sz w:val="21"/>
                <w:szCs w:val="21"/>
              </w:rPr>
              <w:t>/d，井径0.3米，井深200米，布井间距1000m，井排间距2000m，设计供水规模为18250m</w:t>
            </w:r>
            <w:r>
              <w:rPr>
                <w:rFonts w:hint="eastAsia"/>
                <w:color w:val="auto"/>
                <w:sz w:val="21"/>
                <w:szCs w:val="21"/>
                <w:vertAlign w:val="superscript"/>
              </w:rPr>
              <w:t>3</w:t>
            </w:r>
            <w:r>
              <w:rPr>
                <w:rFonts w:hint="eastAsia"/>
                <w:color w:val="auto"/>
                <w:sz w:val="21"/>
                <w:szCs w:val="21"/>
              </w:rPr>
              <w:t>/d。</w:t>
            </w:r>
          </w:p>
        </w:tc>
        <w:tc>
          <w:tcPr>
            <w:tcW w:w="800" w:type="pct"/>
            <w:vAlign w:val="center"/>
          </w:tcPr>
          <w:p>
            <w:pPr>
              <w:pStyle w:val="63"/>
              <w:ind w:firstLine="0" w:firstLineChars="0"/>
              <w:jc w:val="center"/>
              <w:rPr>
                <w:color w:val="auto"/>
                <w:sz w:val="21"/>
                <w:szCs w:val="21"/>
              </w:rPr>
            </w:pPr>
            <w:r>
              <w:rPr>
                <w:rFonts w:hint="eastAsia"/>
                <w:color w:val="auto"/>
                <w:sz w:val="21"/>
                <w:szCs w:val="21"/>
              </w:rPr>
              <w:t>水源井15用3备</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9" w:type="pct"/>
            <w:vMerge w:val="continue"/>
            <w:vAlign w:val="center"/>
          </w:tcPr>
          <w:p>
            <w:pPr>
              <w:pStyle w:val="63"/>
              <w:ind w:firstLine="0" w:firstLineChars="0"/>
              <w:jc w:val="center"/>
              <w:rPr>
                <w:color w:val="auto"/>
                <w:sz w:val="21"/>
                <w:szCs w:val="21"/>
              </w:rPr>
            </w:pPr>
          </w:p>
        </w:tc>
        <w:tc>
          <w:tcPr>
            <w:tcW w:w="766" w:type="pct"/>
            <w:vMerge w:val="continue"/>
            <w:vAlign w:val="center"/>
          </w:tcPr>
          <w:p>
            <w:pPr>
              <w:pStyle w:val="63"/>
              <w:ind w:firstLine="0" w:firstLineChars="0"/>
              <w:jc w:val="center"/>
              <w:rPr>
                <w:color w:val="auto"/>
                <w:sz w:val="21"/>
                <w:szCs w:val="21"/>
              </w:rPr>
            </w:pPr>
          </w:p>
        </w:tc>
        <w:tc>
          <w:tcPr>
            <w:tcW w:w="2914" w:type="pct"/>
            <w:vAlign w:val="center"/>
          </w:tcPr>
          <w:p>
            <w:pPr>
              <w:pStyle w:val="63"/>
              <w:ind w:firstLine="0" w:firstLineChars="0"/>
              <w:jc w:val="center"/>
              <w:rPr>
                <w:color w:val="auto"/>
                <w:sz w:val="21"/>
                <w:szCs w:val="21"/>
              </w:rPr>
            </w:pPr>
            <w:r>
              <w:rPr>
                <w:rFonts w:hint="eastAsia"/>
                <w:color w:val="auto"/>
                <w:sz w:val="21"/>
                <w:szCs w:val="21"/>
              </w:rPr>
              <w:t>泾河南岸：3眼，单井日开采量为750m</w:t>
            </w:r>
            <w:r>
              <w:rPr>
                <w:rFonts w:hint="eastAsia"/>
                <w:color w:val="auto"/>
                <w:sz w:val="21"/>
                <w:szCs w:val="21"/>
                <w:vertAlign w:val="superscript"/>
              </w:rPr>
              <w:t>3</w:t>
            </w:r>
            <w:r>
              <w:rPr>
                <w:rFonts w:hint="eastAsia"/>
                <w:color w:val="auto"/>
                <w:sz w:val="21"/>
                <w:szCs w:val="21"/>
              </w:rPr>
              <w:t>/d，井径0.3米，井深200米，布井间距1000m，设计供水规模为1500m</w:t>
            </w:r>
            <w:r>
              <w:rPr>
                <w:rFonts w:hint="eastAsia"/>
                <w:color w:val="auto"/>
                <w:sz w:val="21"/>
                <w:szCs w:val="21"/>
                <w:vertAlign w:val="superscript"/>
              </w:rPr>
              <w:t>3</w:t>
            </w:r>
            <w:r>
              <w:rPr>
                <w:rFonts w:hint="eastAsia"/>
                <w:color w:val="auto"/>
                <w:sz w:val="21"/>
                <w:szCs w:val="21"/>
              </w:rPr>
              <w:t>/d。</w:t>
            </w:r>
          </w:p>
        </w:tc>
        <w:tc>
          <w:tcPr>
            <w:tcW w:w="800" w:type="pct"/>
            <w:vAlign w:val="center"/>
          </w:tcPr>
          <w:p>
            <w:pPr>
              <w:pStyle w:val="63"/>
              <w:ind w:firstLine="0" w:firstLineChars="0"/>
              <w:jc w:val="center"/>
              <w:rPr>
                <w:color w:val="auto"/>
                <w:sz w:val="21"/>
                <w:szCs w:val="21"/>
              </w:rPr>
            </w:pPr>
            <w:r>
              <w:rPr>
                <w:rFonts w:hint="eastAsia"/>
                <w:color w:val="auto"/>
                <w:sz w:val="21"/>
                <w:szCs w:val="21"/>
              </w:rPr>
              <w:t>水源井2用1备</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9" w:type="pct"/>
            <w:vMerge w:val="restart"/>
            <w:vAlign w:val="center"/>
          </w:tcPr>
          <w:p>
            <w:pPr>
              <w:pStyle w:val="63"/>
              <w:ind w:firstLine="0" w:firstLineChars="0"/>
              <w:jc w:val="center"/>
              <w:rPr>
                <w:color w:val="auto"/>
                <w:sz w:val="21"/>
                <w:szCs w:val="21"/>
              </w:rPr>
            </w:pPr>
            <w:r>
              <w:rPr>
                <w:rFonts w:hint="eastAsia"/>
                <w:color w:val="auto"/>
                <w:sz w:val="21"/>
                <w:szCs w:val="21"/>
              </w:rPr>
              <w:t>2</w:t>
            </w:r>
          </w:p>
        </w:tc>
        <w:tc>
          <w:tcPr>
            <w:tcW w:w="766" w:type="pct"/>
            <w:vMerge w:val="restart"/>
            <w:vAlign w:val="center"/>
          </w:tcPr>
          <w:p>
            <w:pPr>
              <w:pStyle w:val="63"/>
              <w:ind w:firstLine="0" w:firstLineChars="0"/>
              <w:jc w:val="center"/>
              <w:rPr>
                <w:color w:val="auto"/>
                <w:sz w:val="21"/>
                <w:szCs w:val="21"/>
              </w:rPr>
            </w:pPr>
            <w:r>
              <w:rPr>
                <w:rFonts w:hint="eastAsia"/>
                <w:color w:val="auto"/>
                <w:sz w:val="21"/>
                <w:szCs w:val="21"/>
              </w:rPr>
              <w:t>水泵房</w:t>
            </w:r>
          </w:p>
        </w:tc>
        <w:tc>
          <w:tcPr>
            <w:tcW w:w="2914" w:type="pct"/>
            <w:vAlign w:val="center"/>
          </w:tcPr>
          <w:p>
            <w:pPr>
              <w:pStyle w:val="63"/>
              <w:ind w:firstLine="0" w:firstLineChars="0"/>
              <w:jc w:val="center"/>
              <w:rPr>
                <w:color w:val="auto"/>
                <w:sz w:val="21"/>
                <w:szCs w:val="21"/>
              </w:rPr>
            </w:pPr>
            <w:r>
              <w:rPr>
                <w:rFonts w:hint="eastAsia"/>
                <w:color w:val="auto"/>
                <w:sz w:val="21"/>
                <w:szCs w:val="21"/>
              </w:rPr>
              <w:t>北岸水源地采用18座潜水泵房，单泵Q=60m</w:t>
            </w:r>
            <w:r>
              <w:rPr>
                <w:rFonts w:hint="eastAsia"/>
                <w:color w:val="auto"/>
                <w:sz w:val="21"/>
                <w:szCs w:val="21"/>
                <w:vertAlign w:val="superscript"/>
              </w:rPr>
              <w:t>3</w:t>
            </w:r>
            <w:r>
              <w:rPr>
                <w:rFonts w:hint="eastAsia"/>
                <w:color w:val="auto"/>
                <w:sz w:val="21"/>
                <w:szCs w:val="21"/>
              </w:rPr>
              <w:t>/h，H=60m，N=18.5kW，泵房5×5m。</w:t>
            </w:r>
          </w:p>
        </w:tc>
        <w:tc>
          <w:tcPr>
            <w:tcW w:w="800" w:type="pct"/>
            <w:vAlign w:val="center"/>
          </w:tcPr>
          <w:p>
            <w:pPr>
              <w:pStyle w:val="63"/>
              <w:ind w:firstLine="0" w:firstLineChars="0"/>
              <w:jc w:val="center"/>
              <w:rPr>
                <w:color w:val="auto"/>
                <w:sz w:val="21"/>
                <w:szCs w:val="21"/>
              </w:rPr>
            </w:pPr>
            <w:r>
              <w:rPr>
                <w:rFonts w:hint="eastAsia"/>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9" w:type="pct"/>
            <w:vMerge w:val="continue"/>
            <w:vAlign w:val="center"/>
          </w:tcPr>
          <w:p>
            <w:pPr>
              <w:pStyle w:val="63"/>
              <w:ind w:firstLine="0" w:firstLineChars="0"/>
              <w:jc w:val="center"/>
              <w:rPr>
                <w:color w:val="auto"/>
                <w:sz w:val="21"/>
                <w:szCs w:val="21"/>
              </w:rPr>
            </w:pPr>
          </w:p>
        </w:tc>
        <w:tc>
          <w:tcPr>
            <w:tcW w:w="766" w:type="pct"/>
            <w:vMerge w:val="continue"/>
            <w:vAlign w:val="center"/>
          </w:tcPr>
          <w:p>
            <w:pPr>
              <w:pStyle w:val="63"/>
              <w:ind w:firstLine="0" w:firstLineChars="0"/>
              <w:jc w:val="center"/>
              <w:rPr>
                <w:color w:val="auto"/>
                <w:sz w:val="21"/>
                <w:szCs w:val="21"/>
              </w:rPr>
            </w:pPr>
          </w:p>
        </w:tc>
        <w:tc>
          <w:tcPr>
            <w:tcW w:w="2914" w:type="pct"/>
            <w:vAlign w:val="center"/>
          </w:tcPr>
          <w:p>
            <w:pPr>
              <w:pStyle w:val="63"/>
              <w:ind w:firstLine="0" w:firstLineChars="0"/>
              <w:jc w:val="center"/>
              <w:rPr>
                <w:color w:val="auto"/>
                <w:sz w:val="21"/>
                <w:szCs w:val="21"/>
              </w:rPr>
            </w:pPr>
            <w:r>
              <w:rPr>
                <w:rFonts w:hint="eastAsia"/>
                <w:color w:val="auto"/>
                <w:sz w:val="21"/>
                <w:szCs w:val="21"/>
              </w:rPr>
              <w:t>南岸水源地采用3座潜水泵房，单泵Q=30m</w:t>
            </w:r>
            <w:r>
              <w:rPr>
                <w:rFonts w:hint="eastAsia"/>
                <w:color w:val="auto"/>
                <w:sz w:val="21"/>
                <w:szCs w:val="21"/>
                <w:vertAlign w:val="superscript"/>
              </w:rPr>
              <w:t>3</w:t>
            </w:r>
            <w:r>
              <w:rPr>
                <w:rFonts w:hint="eastAsia"/>
                <w:color w:val="auto"/>
                <w:sz w:val="21"/>
                <w:szCs w:val="21"/>
              </w:rPr>
              <w:t>/h，H=54m，N=11kW，泵房5×5m。</w:t>
            </w:r>
          </w:p>
        </w:tc>
        <w:tc>
          <w:tcPr>
            <w:tcW w:w="800" w:type="pct"/>
            <w:vAlign w:val="center"/>
          </w:tcPr>
          <w:p>
            <w:pPr>
              <w:pStyle w:val="63"/>
              <w:ind w:firstLine="0" w:firstLineChars="0"/>
              <w:jc w:val="center"/>
              <w:rPr>
                <w:color w:val="auto"/>
                <w:sz w:val="21"/>
                <w:szCs w:val="21"/>
              </w:rPr>
            </w:pPr>
            <w:r>
              <w:rPr>
                <w:rFonts w:hint="eastAsia"/>
                <w:color w:val="auto"/>
                <w:sz w:val="21"/>
                <w:szCs w:val="21"/>
              </w:rPr>
              <w:t>/</w:t>
            </w:r>
          </w:p>
        </w:tc>
      </w:tr>
    </w:tbl>
    <w:p>
      <w:pPr>
        <w:pStyle w:val="62"/>
        <w:rPr>
          <w:color w:val="auto"/>
        </w:rPr>
      </w:pPr>
      <w:r>
        <w:rPr>
          <w:rFonts w:hint="eastAsia"/>
          <w:color w:val="auto"/>
        </w:rPr>
        <w:t>2.4.2输水管线</w:t>
      </w:r>
    </w:p>
    <w:p>
      <w:pPr>
        <w:pStyle w:val="63"/>
        <w:ind w:firstLine="480"/>
        <w:rPr>
          <w:color w:val="auto"/>
        </w:rPr>
      </w:pPr>
      <w:r>
        <w:rPr>
          <w:rFonts w:hint="eastAsia"/>
          <w:color w:val="auto"/>
          <w:szCs w:val="28"/>
        </w:rPr>
        <w:t>本项目输水管线总长15840m，分为三部分，分别为</w:t>
      </w:r>
      <w:r>
        <w:rPr>
          <w:rFonts w:hint="eastAsia"/>
          <w:color w:val="auto"/>
        </w:rPr>
        <w:t>泾河北岸新建水源井至配水池（水源地管理站加压泵站）、泾河北岸新建水源井至泾河北岸保障房给水处理站、泾河南岸新建水源井至乐华城处理站，输水管线全部</w:t>
      </w:r>
      <w:r>
        <w:rPr>
          <w:color w:val="auto"/>
        </w:rPr>
        <w:t>沿绿化带敷设</w:t>
      </w:r>
      <w:r>
        <w:rPr>
          <w:rFonts w:hint="eastAsia"/>
          <w:color w:val="auto"/>
        </w:rPr>
        <w:t>。</w:t>
      </w:r>
    </w:p>
    <w:p>
      <w:pPr>
        <w:pStyle w:val="63"/>
        <w:ind w:firstLine="480"/>
        <w:rPr>
          <w:color w:val="auto"/>
        </w:rPr>
      </w:pPr>
      <w:r>
        <w:rPr>
          <w:rFonts w:hint="eastAsia"/>
          <w:color w:val="auto"/>
        </w:rPr>
        <w:t>①泾河北岸新建水源井至配水池输水管线</w:t>
      </w:r>
    </w:p>
    <w:p>
      <w:pPr>
        <w:pStyle w:val="63"/>
        <w:ind w:firstLine="480"/>
        <w:jc w:val="both"/>
        <w:rPr>
          <w:color w:val="auto"/>
        </w:rPr>
      </w:pPr>
      <w:r>
        <w:rPr>
          <w:rFonts w:hint="eastAsia"/>
          <w:color w:val="auto"/>
        </w:rPr>
        <w:t>主要包括6#~13#、23#~29#水源井、水源管理站之间的井间联络管，采用DN200mm-DN500mm的球墨铸铁管，长度为13140m</w:t>
      </w:r>
      <w:r>
        <w:rPr>
          <w:color w:val="auto"/>
          <w:sz w:val="23"/>
        </w:rPr>
        <w:t>。</w:t>
      </w:r>
      <w:r>
        <w:rPr>
          <w:color w:val="auto"/>
        </w:rPr>
        <w:t>由</w:t>
      </w:r>
      <w:r>
        <w:rPr>
          <w:rFonts w:hint="eastAsia"/>
          <w:color w:val="auto"/>
        </w:rPr>
        <w:t>送水泵房</w:t>
      </w:r>
      <w:r>
        <w:rPr>
          <w:color w:val="auto"/>
        </w:rPr>
        <w:t>至</w:t>
      </w:r>
      <w:r>
        <w:rPr>
          <w:rFonts w:hint="eastAsia"/>
          <w:color w:val="auto"/>
        </w:rPr>
        <w:t>泾阳县第三水厂的</w:t>
      </w:r>
      <w:r>
        <w:rPr>
          <w:color w:val="auto"/>
        </w:rPr>
        <w:t>配水支管不在本工程考虑范围内</w:t>
      </w:r>
      <w:r>
        <w:rPr>
          <w:rFonts w:hint="eastAsia"/>
          <w:color w:val="auto"/>
        </w:rPr>
        <w:t>。</w:t>
      </w:r>
    </w:p>
    <w:p>
      <w:pPr>
        <w:pStyle w:val="63"/>
        <w:ind w:firstLine="480"/>
        <w:rPr>
          <w:color w:val="auto"/>
        </w:rPr>
      </w:pPr>
      <w:r>
        <w:rPr>
          <w:rFonts w:hint="eastAsia"/>
          <w:color w:val="auto"/>
        </w:rPr>
        <w:t>②泾河北岸新建水源井至泾河北岸保障房给水处理站输水管线</w:t>
      </w:r>
    </w:p>
    <w:p>
      <w:pPr>
        <w:pStyle w:val="63"/>
        <w:ind w:firstLine="480"/>
        <w:rPr>
          <w:color w:val="auto"/>
        </w:rPr>
      </w:pPr>
      <w:r>
        <w:rPr>
          <w:rFonts w:hint="eastAsia"/>
          <w:color w:val="auto"/>
        </w:rPr>
        <w:t>主要包括16#、17#、18#水源井、保障房给水处理站之间的井间联络管及给水处理站至给水管网之间的输水管线，采用管径DN200mm的球墨铸铁管，长度为2000m。</w:t>
      </w:r>
    </w:p>
    <w:p>
      <w:pPr>
        <w:pStyle w:val="63"/>
        <w:ind w:firstLine="480"/>
        <w:rPr>
          <w:color w:val="auto"/>
          <w:szCs w:val="28"/>
        </w:rPr>
      </w:pPr>
      <w:r>
        <w:rPr>
          <w:rFonts w:hint="eastAsia"/>
          <w:color w:val="auto"/>
          <w:szCs w:val="28"/>
        </w:rPr>
        <w:t>③</w:t>
      </w:r>
      <w:r>
        <w:rPr>
          <w:rFonts w:hint="eastAsia"/>
          <w:color w:val="auto"/>
        </w:rPr>
        <w:t>泾河南岸新建水源井至乐华城处理站</w:t>
      </w:r>
    </w:p>
    <w:p>
      <w:pPr>
        <w:pStyle w:val="63"/>
        <w:ind w:firstLine="480"/>
        <w:jc w:val="both"/>
        <w:rPr>
          <w:color w:val="auto"/>
        </w:rPr>
      </w:pPr>
      <w:r>
        <w:rPr>
          <w:rFonts w:hint="eastAsia"/>
          <w:color w:val="auto"/>
        </w:rPr>
        <w:t>主要包括泾河南岸35#~37#水源井、乐华处理站之间的输水管线，采用管径DN150mm的聚乙烯给水管，长度为700m。35号井给乐华1号处理站供水，36号井及37号井给乐华2号处理站供水。</w:t>
      </w:r>
    </w:p>
    <w:p>
      <w:pPr>
        <w:pStyle w:val="63"/>
        <w:adjustRightInd/>
        <w:ind w:firstLine="0" w:firstLineChars="0"/>
        <w:jc w:val="center"/>
        <w:rPr>
          <w:b/>
          <w:color w:val="auto"/>
          <w:sz w:val="21"/>
          <w:szCs w:val="21"/>
        </w:rPr>
      </w:pPr>
      <w:r>
        <w:rPr>
          <w:rFonts w:hint="eastAsia"/>
          <w:b/>
          <w:color w:val="auto"/>
          <w:sz w:val="21"/>
          <w:szCs w:val="21"/>
        </w:rPr>
        <w:t>表2.4-2   输水管线主要建设内容</w:t>
      </w:r>
    </w:p>
    <w:tbl>
      <w:tblPr>
        <w:tblStyle w:val="2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44"/>
        <w:gridCol w:w="3776"/>
        <w:gridCol w:w="2311"/>
        <w:gridCol w:w="23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7" w:type="pct"/>
            <w:vAlign w:val="center"/>
          </w:tcPr>
          <w:p>
            <w:pPr>
              <w:pStyle w:val="63"/>
              <w:ind w:firstLine="0" w:firstLineChars="0"/>
              <w:jc w:val="center"/>
              <w:rPr>
                <w:color w:val="auto"/>
                <w:sz w:val="21"/>
                <w:szCs w:val="21"/>
              </w:rPr>
            </w:pPr>
            <w:r>
              <w:rPr>
                <w:rFonts w:hint="eastAsia"/>
                <w:color w:val="auto"/>
                <w:sz w:val="21"/>
                <w:szCs w:val="21"/>
              </w:rPr>
              <w:t>序号</w:t>
            </w:r>
          </w:p>
        </w:tc>
        <w:tc>
          <w:tcPr>
            <w:tcW w:w="2043" w:type="pct"/>
            <w:vAlign w:val="center"/>
          </w:tcPr>
          <w:p>
            <w:pPr>
              <w:pStyle w:val="63"/>
              <w:ind w:firstLine="0" w:firstLineChars="0"/>
              <w:jc w:val="center"/>
              <w:rPr>
                <w:color w:val="auto"/>
                <w:sz w:val="21"/>
                <w:szCs w:val="21"/>
              </w:rPr>
            </w:pPr>
            <w:r>
              <w:rPr>
                <w:rFonts w:hint="eastAsia"/>
                <w:color w:val="auto"/>
                <w:sz w:val="21"/>
                <w:szCs w:val="21"/>
              </w:rPr>
              <w:t>项目组成</w:t>
            </w:r>
          </w:p>
        </w:tc>
        <w:tc>
          <w:tcPr>
            <w:tcW w:w="1250" w:type="pct"/>
            <w:vAlign w:val="center"/>
          </w:tcPr>
          <w:p>
            <w:pPr>
              <w:pStyle w:val="63"/>
              <w:ind w:firstLine="0" w:firstLineChars="0"/>
              <w:jc w:val="center"/>
              <w:rPr>
                <w:color w:val="auto"/>
                <w:sz w:val="21"/>
                <w:szCs w:val="21"/>
              </w:rPr>
            </w:pPr>
            <w:r>
              <w:rPr>
                <w:rFonts w:hint="eastAsia"/>
                <w:color w:val="auto"/>
                <w:sz w:val="21"/>
                <w:szCs w:val="21"/>
              </w:rPr>
              <w:t>主要建设内容</w:t>
            </w:r>
          </w:p>
        </w:tc>
        <w:tc>
          <w:tcPr>
            <w:tcW w:w="1250" w:type="pct"/>
            <w:vAlign w:val="center"/>
          </w:tcPr>
          <w:p>
            <w:pPr>
              <w:pStyle w:val="63"/>
              <w:ind w:firstLine="0" w:firstLineChars="0"/>
              <w:jc w:val="center"/>
              <w:rPr>
                <w:color w:val="auto"/>
                <w:sz w:val="21"/>
                <w:szCs w:val="21"/>
              </w:rPr>
            </w:pPr>
            <w:r>
              <w:rPr>
                <w:rFonts w:hint="eastAsia"/>
                <w:color w:val="auto"/>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7" w:type="pct"/>
            <w:vAlign w:val="center"/>
          </w:tcPr>
          <w:p>
            <w:pPr>
              <w:pStyle w:val="65"/>
              <w:rPr>
                <w:b w:val="0"/>
              </w:rPr>
            </w:pPr>
            <w:r>
              <w:rPr>
                <w:rFonts w:hint="eastAsia"/>
                <w:b w:val="0"/>
              </w:rPr>
              <w:t>1</w:t>
            </w:r>
          </w:p>
        </w:tc>
        <w:tc>
          <w:tcPr>
            <w:tcW w:w="2043" w:type="pct"/>
            <w:vAlign w:val="center"/>
          </w:tcPr>
          <w:p>
            <w:pPr>
              <w:pStyle w:val="65"/>
              <w:rPr>
                <w:b w:val="0"/>
              </w:rPr>
            </w:pPr>
            <w:r>
              <w:rPr>
                <w:rFonts w:hint="eastAsia"/>
                <w:b w:val="0"/>
              </w:rPr>
              <w:t>泾河北岸新建水源井至</w:t>
            </w:r>
            <w:r>
              <w:rPr>
                <w:rFonts w:hint="eastAsia"/>
                <w:b w:val="0"/>
                <w:szCs w:val="21"/>
              </w:rPr>
              <w:t>水源管理站</w:t>
            </w:r>
            <w:r>
              <w:rPr>
                <w:rFonts w:hint="eastAsia"/>
                <w:b w:val="0"/>
              </w:rPr>
              <w:t>输水管线</w:t>
            </w:r>
          </w:p>
        </w:tc>
        <w:tc>
          <w:tcPr>
            <w:tcW w:w="1250" w:type="pct"/>
            <w:vAlign w:val="center"/>
          </w:tcPr>
          <w:p>
            <w:pPr>
              <w:pStyle w:val="65"/>
              <w:rPr>
                <w:b w:val="0"/>
              </w:rPr>
            </w:pPr>
            <w:r>
              <w:rPr>
                <w:rFonts w:hint="eastAsia"/>
                <w:b w:val="0"/>
              </w:rPr>
              <w:t>DN200mm-DN500mm的球墨铸铁管，长度为13140m</w:t>
            </w:r>
          </w:p>
        </w:tc>
        <w:tc>
          <w:tcPr>
            <w:tcW w:w="1250" w:type="pct"/>
            <w:vAlign w:val="center"/>
          </w:tcPr>
          <w:p>
            <w:pPr>
              <w:pStyle w:val="65"/>
              <w:rPr>
                <w:b w:val="0"/>
              </w:rPr>
            </w:pPr>
            <w:r>
              <w:rPr>
                <w:rFonts w:hint="eastAsia"/>
                <w:b w:val="0"/>
              </w:rPr>
              <w:t>2处跨河，</w:t>
            </w:r>
            <w:r>
              <w:rPr>
                <w:b w:val="0"/>
              </w:rPr>
              <w:t>采用</w:t>
            </w:r>
            <w:r>
              <w:rPr>
                <w:rFonts w:hint="eastAsia"/>
                <w:b w:val="0"/>
              </w:rPr>
              <w:t>倒虹管设计，管道进行防腐处理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7" w:type="pct"/>
            <w:vAlign w:val="center"/>
          </w:tcPr>
          <w:p>
            <w:pPr>
              <w:pStyle w:val="65"/>
              <w:rPr>
                <w:b w:val="0"/>
              </w:rPr>
            </w:pPr>
            <w:r>
              <w:rPr>
                <w:rFonts w:hint="eastAsia"/>
                <w:b w:val="0"/>
              </w:rPr>
              <w:t>2</w:t>
            </w:r>
          </w:p>
        </w:tc>
        <w:tc>
          <w:tcPr>
            <w:tcW w:w="2043" w:type="pct"/>
            <w:vAlign w:val="center"/>
          </w:tcPr>
          <w:p>
            <w:pPr>
              <w:pStyle w:val="65"/>
              <w:rPr>
                <w:b w:val="0"/>
              </w:rPr>
            </w:pPr>
            <w:r>
              <w:rPr>
                <w:rFonts w:hint="eastAsia"/>
                <w:b w:val="0"/>
              </w:rPr>
              <w:t>泾河北岸新建水源井至泾河北岸保障房给水处理站输水管线</w:t>
            </w:r>
          </w:p>
        </w:tc>
        <w:tc>
          <w:tcPr>
            <w:tcW w:w="1250" w:type="pct"/>
            <w:vAlign w:val="center"/>
          </w:tcPr>
          <w:p>
            <w:pPr>
              <w:pStyle w:val="65"/>
              <w:rPr>
                <w:b w:val="0"/>
              </w:rPr>
            </w:pPr>
            <w:r>
              <w:rPr>
                <w:rFonts w:hint="eastAsia"/>
                <w:b w:val="0"/>
              </w:rPr>
              <w:t>采用管径DN200mm的球墨铸铁管，长度为2000m</w:t>
            </w:r>
          </w:p>
        </w:tc>
        <w:tc>
          <w:tcPr>
            <w:tcW w:w="1250" w:type="pct"/>
            <w:vAlign w:val="center"/>
          </w:tcPr>
          <w:p>
            <w:pPr>
              <w:pStyle w:val="63"/>
              <w:ind w:firstLine="0" w:firstLineChars="0"/>
              <w:jc w:val="center"/>
              <w:rPr>
                <w:color w:val="auto"/>
                <w:sz w:val="21"/>
                <w:szCs w:val="21"/>
              </w:rPr>
            </w:pPr>
            <w:r>
              <w:rPr>
                <w:rFonts w:hint="eastAsia"/>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7" w:type="pct"/>
            <w:vAlign w:val="center"/>
          </w:tcPr>
          <w:p>
            <w:pPr>
              <w:pStyle w:val="65"/>
              <w:rPr>
                <w:b w:val="0"/>
              </w:rPr>
            </w:pPr>
            <w:r>
              <w:rPr>
                <w:rFonts w:hint="eastAsia"/>
                <w:b w:val="0"/>
              </w:rPr>
              <w:t>3</w:t>
            </w:r>
          </w:p>
        </w:tc>
        <w:tc>
          <w:tcPr>
            <w:tcW w:w="2043" w:type="pct"/>
            <w:vAlign w:val="center"/>
          </w:tcPr>
          <w:p>
            <w:pPr>
              <w:pStyle w:val="65"/>
              <w:rPr>
                <w:b w:val="0"/>
              </w:rPr>
            </w:pPr>
            <w:r>
              <w:rPr>
                <w:rFonts w:hint="eastAsia"/>
                <w:b w:val="0"/>
              </w:rPr>
              <w:t>泾河南岸新建水源井至乐华城处理站</w:t>
            </w:r>
          </w:p>
        </w:tc>
        <w:tc>
          <w:tcPr>
            <w:tcW w:w="1250" w:type="pct"/>
            <w:vAlign w:val="center"/>
          </w:tcPr>
          <w:p>
            <w:pPr>
              <w:pStyle w:val="65"/>
              <w:rPr>
                <w:b w:val="0"/>
              </w:rPr>
            </w:pPr>
            <w:r>
              <w:rPr>
                <w:rFonts w:hint="eastAsia"/>
                <w:b w:val="0"/>
              </w:rPr>
              <w:t>采用管径DN150mm的聚乙烯给水管，长度为700m</w:t>
            </w:r>
          </w:p>
        </w:tc>
        <w:tc>
          <w:tcPr>
            <w:tcW w:w="1250" w:type="pct"/>
            <w:vAlign w:val="center"/>
          </w:tcPr>
          <w:p>
            <w:pPr>
              <w:pStyle w:val="63"/>
              <w:ind w:firstLine="0" w:firstLineChars="0"/>
              <w:jc w:val="center"/>
              <w:rPr>
                <w:color w:val="auto"/>
                <w:sz w:val="21"/>
                <w:szCs w:val="21"/>
              </w:rPr>
            </w:pPr>
            <w:r>
              <w:rPr>
                <w:rFonts w:hint="eastAsia"/>
                <w:color w:val="auto"/>
                <w:sz w:val="21"/>
                <w:szCs w:val="21"/>
              </w:rPr>
              <w:t>/</w:t>
            </w:r>
          </w:p>
        </w:tc>
      </w:tr>
    </w:tbl>
    <w:p>
      <w:pPr>
        <w:pStyle w:val="62"/>
        <w:rPr>
          <w:color w:val="auto"/>
        </w:rPr>
      </w:pPr>
      <w:r>
        <w:rPr>
          <w:rFonts w:hint="eastAsia"/>
          <w:color w:val="auto"/>
        </w:rPr>
        <w:t>2.4.3水源管理站</w:t>
      </w:r>
    </w:p>
    <w:p>
      <w:pPr>
        <w:pStyle w:val="63"/>
        <w:ind w:firstLine="480"/>
        <w:rPr>
          <w:color w:val="auto"/>
        </w:rPr>
      </w:pPr>
      <w:r>
        <w:rPr>
          <w:rFonts w:hint="eastAsia"/>
          <w:color w:val="auto"/>
        </w:rPr>
        <w:t>水源地管理站总用地面积17.1亩，位于泾河以北，西面与规划路相接，北面与高泾南路相接，南面及东面为农田，整体呈矩形，东西宽约146米，南北长约78米，建设场地现状为荒地，整个场地地势北高南低、西高东低，相对较平。站内设清水池、送水泵房，综合楼、食堂、仓库及车库、传达室。管理站规模为：16250</w:t>
      </w:r>
      <w:r>
        <w:rPr>
          <w:color w:val="auto"/>
        </w:rPr>
        <w:t>m</w:t>
      </w:r>
      <w:r>
        <w:rPr>
          <w:color w:val="auto"/>
          <w:vertAlign w:val="superscript"/>
        </w:rPr>
        <w:t>3</w:t>
      </w:r>
      <w:r>
        <w:rPr>
          <w:color w:val="auto"/>
        </w:rPr>
        <w:t>/d</w:t>
      </w:r>
      <w:r>
        <w:rPr>
          <w:rFonts w:hint="eastAsia"/>
          <w:color w:val="auto"/>
        </w:rPr>
        <w:t>，时变化系数</w:t>
      </w:r>
      <w:r>
        <w:rPr>
          <w:color w:val="auto"/>
        </w:rPr>
        <w:t>Kh=</w:t>
      </w:r>
      <w:r>
        <w:rPr>
          <w:rFonts w:hint="eastAsia"/>
          <w:color w:val="auto"/>
        </w:rPr>
        <w:t>1.4，供水扬程为：61m，最终输送至泾阳县第三水厂。泾河南岸水源供乐华城使用，处理站由乐华城负责修建，不在本次评价范围内。水源管理站总平面图见图2.4-2，工艺流程图见图2.4-3</w:t>
      </w:r>
    </w:p>
    <w:p>
      <w:pPr>
        <w:pStyle w:val="63"/>
        <w:ind w:firstLine="480"/>
        <w:rPr>
          <w:color w:val="auto"/>
        </w:rPr>
      </w:pPr>
      <w:r>
        <w:rPr>
          <w:rFonts w:hint="eastAsia"/>
          <w:color w:val="auto"/>
        </w:rPr>
        <w:t>生产构筑物设计：①配水池调节净水厂处理量与水源井之间的差值，设计容量为0.3万</w:t>
      </w:r>
      <w:r>
        <w:rPr>
          <w:color w:val="auto"/>
        </w:rPr>
        <w:t>m</w:t>
      </w:r>
      <w:r>
        <w:rPr>
          <w:rFonts w:hint="eastAsia"/>
          <w:color w:val="auto"/>
          <w:vertAlign w:val="superscript"/>
        </w:rPr>
        <w:t>3</w:t>
      </w:r>
      <w:r>
        <w:rPr>
          <w:rFonts w:hint="eastAsia"/>
          <w:color w:val="auto"/>
        </w:rPr>
        <w:t>，分为对称2格，调节容量比率约为18％，平面尺寸：31</w:t>
      </w:r>
      <w:r>
        <w:rPr>
          <w:rFonts w:hint="eastAsia" w:ascii="宋体" w:hAnsi="宋体"/>
          <w:color w:val="auto"/>
        </w:rPr>
        <w:t>×</w:t>
      </w:r>
      <w:r>
        <w:rPr>
          <w:rFonts w:hint="eastAsia"/>
          <w:color w:val="auto"/>
        </w:rPr>
        <w:t>26.5</w:t>
      </w:r>
      <w:r>
        <w:rPr>
          <w:color w:val="auto"/>
        </w:rPr>
        <w:t>m</w:t>
      </w:r>
      <w:r>
        <w:rPr>
          <w:rFonts w:hint="eastAsia"/>
          <w:color w:val="auto"/>
        </w:rPr>
        <w:t>，池深：4</w:t>
      </w:r>
      <w:r>
        <w:rPr>
          <w:color w:val="auto"/>
        </w:rPr>
        <w:t>m</w:t>
      </w:r>
      <w:r>
        <w:rPr>
          <w:rFonts w:hint="eastAsia"/>
          <w:color w:val="auto"/>
        </w:rPr>
        <w:t>，最大水深：3.8</w:t>
      </w:r>
      <w:r>
        <w:rPr>
          <w:color w:val="auto"/>
        </w:rPr>
        <w:t>m</w:t>
      </w:r>
      <w:r>
        <w:rPr>
          <w:rFonts w:hint="eastAsia"/>
          <w:color w:val="auto"/>
        </w:rPr>
        <w:t>。②送水泵房：按1</w:t>
      </w:r>
      <w:r>
        <w:rPr>
          <w:color w:val="auto"/>
        </w:rPr>
        <w:t>6250</w:t>
      </w:r>
      <w:r>
        <w:rPr>
          <w:rFonts w:hint="eastAsia"/>
          <w:color w:val="auto"/>
        </w:rPr>
        <w:t>m</w:t>
      </w:r>
      <w:r>
        <w:rPr>
          <w:rFonts w:hint="eastAsia"/>
          <w:color w:val="auto"/>
          <w:vertAlign w:val="superscript"/>
        </w:rPr>
        <w:t>3</w:t>
      </w:r>
      <w:r>
        <w:rPr>
          <w:rFonts w:hint="eastAsia"/>
          <w:color w:val="auto"/>
        </w:rPr>
        <w:t>／</w:t>
      </w:r>
      <w:r>
        <w:rPr>
          <w:color w:val="auto"/>
        </w:rPr>
        <w:t>d</w:t>
      </w:r>
      <w:r>
        <w:rPr>
          <w:rFonts w:hint="eastAsia"/>
          <w:color w:val="auto"/>
        </w:rPr>
        <w:t>规模设计，设备安装结构尺寸为20</w:t>
      </w:r>
      <w:r>
        <w:rPr>
          <w:rFonts w:hint="eastAsia" w:ascii="宋体" w:hAnsi="宋体"/>
          <w:color w:val="auto"/>
        </w:rPr>
        <w:t>×</w:t>
      </w:r>
      <w:r>
        <w:rPr>
          <w:color w:val="auto"/>
        </w:rPr>
        <w:t>10</w:t>
      </w:r>
      <w:r>
        <w:rPr>
          <w:rFonts w:hint="eastAsia" w:ascii="宋体" w:hAnsi="宋体"/>
          <w:color w:val="auto"/>
        </w:rPr>
        <w:t>×</w:t>
      </w:r>
      <w:r>
        <w:rPr>
          <w:color w:val="auto"/>
        </w:rPr>
        <w:t>5m</w:t>
      </w:r>
      <w:r>
        <w:rPr>
          <w:rFonts w:hint="eastAsia"/>
          <w:color w:val="auto"/>
        </w:rPr>
        <w:t>，时变化系数为</w:t>
      </w:r>
      <w:r>
        <w:rPr>
          <w:color w:val="auto"/>
        </w:rPr>
        <w:t>1</w:t>
      </w:r>
      <w:r>
        <w:rPr>
          <w:rFonts w:hint="eastAsia"/>
          <w:color w:val="auto"/>
        </w:rPr>
        <w:t>.4。主要设备包括：4台水泵，</w:t>
      </w:r>
      <w:r>
        <w:rPr>
          <w:color w:val="auto"/>
        </w:rPr>
        <w:t>Q=</w:t>
      </w:r>
      <w:r>
        <w:rPr>
          <w:rFonts w:hint="eastAsia"/>
          <w:color w:val="auto"/>
        </w:rPr>
        <w:t>315m</w:t>
      </w:r>
      <w:r>
        <w:rPr>
          <w:rFonts w:hint="eastAsia"/>
          <w:color w:val="auto"/>
          <w:vertAlign w:val="superscript"/>
        </w:rPr>
        <w:t>3</w:t>
      </w:r>
      <w:r>
        <w:rPr>
          <w:rFonts w:hint="eastAsia"/>
          <w:color w:val="auto"/>
        </w:rPr>
        <w:t>／</w:t>
      </w:r>
      <w:r>
        <w:rPr>
          <w:color w:val="auto"/>
        </w:rPr>
        <w:t>h</w:t>
      </w:r>
      <w:r>
        <w:rPr>
          <w:rFonts w:hint="eastAsia"/>
          <w:color w:val="auto"/>
        </w:rPr>
        <w:t>，</w:t>
      </w:r>
      <w:r>
        <w:rPr>
          <w:color w:val="auto"/>
        </w:rPr>
        <w:t>H=</w:t>
      </w:r>
      <w:r>
        <w:rPr>
          <w:rFonts w:hint="eastAsia"/>
          <w:color w:val="auto"/>
        </w:rPr>
        <w:t>66</w:t>
      </w:r>
      <w:r>
        <w:rPr>
          <w:color w:val="auto"/>
        </w:rPr>
        <w:t>m</w:t>
      </w:r>
      <w:r>
        <w:rPr>
          <w:rFonts w:hint="eastAsia"/>
          <w:color w:val="auto"/>
        </w:rPr>
        <w:t>，N=110</w:t>
      </w:r>
      <w:r>
        <w:rPr>
          <w:color w:val="auto"/>
        </w:rPr>
        <w:t>kW</w:t>
      </w:r>
      <w:r>
        <w:rPr>
          <w:rFonts w:hint="eastAsia"/>
          <w:color w:val="auto"/>
        </w:rPr>
        <w:t>，3用</w:t>
      </w:r>
      <w:r>
        <w:rPr>
          <w:color w:val="auto"/>
        </w:rPr>
        <w:t>1</w:t>
      </w:r>
      <w:r>
        <w:rPr>
          <w:rFonts w:hint="eastAsia"/>
          <w:color w:val="auto"/>
        </w:rPr>
        <w:t>备。另外还设有一台潜水泵，一台3t电动葫芦等，供泵房排水及起吊用。</w:t>
      </w:r>
    </w:p>
    <w:p>
      <w:pPr>
        <w:pStyle w:val="65"/>
        <w:rPr>
          <w:szCs w:val="21"/>
        </w:rPr>
      </w:pPr>
      <w:r>
        <w:rPr>
          <w:rFonts w:hint="eastAsia"/>
        </w:rPr>
        <w:t>表2.4-3    水源管理站</w:t>
      </w:r>
      <w:r>
        <w:rPr>
          <w:szCs w:val="21"/>
        </w:rPr>
        <w:t>主要工程组成一览表</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1619"/>
        <w:gridCol w:w="1845"/>
        <w:gridCol w:w="1312"/>
        <w:gridCol w:w="776"/>
        <w:gridCol w:w="776"/>
        <w:gridCol w:w="20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snapToGrid w:val="0"/>
              <w:jc w:val="center"/>
              <w:rPr>
                <w:rFonts w:eastAsiaTheme="minorEastAsia"/>
                <w:b/>
                <w:szCs w:val="21"/>
              </w:rPr>
            </w:pPr>
            <w:r>
              <w:rPr>
                <w:rFonts w:hAnsiTheme="minorEastAsia" w:eastAsiaTheme="minorEastAsia"/>
                <w:b/>
                <w:szCs w:val="21"/>
              </w:rPr>
              <w:t>序号</w:t>
            </w:r>
          </w:p>
        </w:tc>
        <w:tc>
          <w:tcPr>
            <w:tcW w:w="876" w:type="pct"/>
            <w:shd w:val="clear" w:color="auto" w:fill="auto"/>
            <w:vAlign w:val="center"/>
          </w:tcPr>
          <w:p>
            <w:pPr>
              <w:snapToGrid w:val="0"/>
              <w:jc w:val="center"/>
              <w:rPr>
                <w:rFonts w:eastAsiaTheme="minorEastAsia"/>
                <w:b/>
                <w:szCs w:val="21"/>
              </w:rPr>
            </w:pPr>
            <w:r>
              <w:rPr>
                <w:rFonts w:hAnsiTheme="minorEastAsia" w:eastAsiaTheme="minorEastAsia"/>
                <w:b/>
                <w:szCs w:val="21"/>
              </w:rPr>
              <w:t>名称</w:t>
            </w:r>
          </w:p>
        </w:tc>
        <w:tc>
          <w:tcPr>
            <w:tcW w:w="998" w:type="pct"/>
            <w:shd w:val="clear" w:color="auto" w:fill="auto"/>
            <w:vAlign w:val="center"/>
          </w:tcPr>
          <w:p>
            <w:pPr>
              <w:snapToGrid w:val="0"/>
              <w:jc w:val="center"/>
              <w:rPr>
                <w:rFonts w:eastAsiaTheme="minorEastAsia"/>
                <w:b/>
                <w:szCs w:val="21"/>
              </w:rPr>
            </w:pPr>
            <w:r>
              <w:rPr>
                <w:rFonts w:hAnsiTheme="minorEastAsia" w:eastAsiaTheme="minorEastAsia"/>
                <w:b/>
                <w:szCs w:val="21"/>
              </w:rPr>
              <w:t>规格及规模</w:t>
            </w:r>
          </w:p>
        </w:tc>
        <w:tc>
          <w:tcPr>
            <w:tcW w:w="710" w:type="pct"/>
            <w:shd w:val="clear" w:color="auto" w:fill="auto"/>
            <w:vAlign w:val="center"/>
          </w:tcPr>
          <w:p>
            <w:pPr>
              <w:snapToGrid w:val="0"/>
              <w:jc w:val="center"/>
              <w:rPr>
                <w:rFonts w:eastAsiaTheme="minorEastAsia"/>
                <w:b/>
                <w:szCs w:val="21"/>
              </w:rPr>
            </w:pPr>
            <w:r>
              <w:rPr>
                <w:rFonts w:hAnsiTheme="minorEastAsia" w:eastAsiaTheme="minorEastAsia"/>
                <w:b/>
                <w:szCs w:val="21"/>
              </w:rPr>
              <w:t>结构形式</w:t>
            </w:r>
          </w:p>
        </w:tc>
        <w:tc>
          <w:tcPr>
            <w:tcW w:w="420" w:type="pct"/>
            <w:shd w:val="clear" w:color="auto" w:fill="auto"/>
            <w:vAlign w:val="center"/>
          </w:tcPr>
          <w:p>
            <w:pPr>
              <w:snapToGrid w:val="0"/>
              <w:jc w:val="center"/>
              <w:rPr>
                <w:rFonts w:eastAsiaTheme="minorEastAsia"/>
                <w:b/>
                <w:szCs w:val="21"/>
              </w:rPr>
            </w:pPr>
            <w:r>
              <w:rPr>
                <w:rFonts w:hAnsiTheme="minorEastAsia" w:eastAsiaTheme="minorEastAsia"/>
                <w:b/>
                <w:szCs w:val="21"/>
              </w:rPr>
              <w:t>单位</w:t>
            </w:r>
          </w:p>
        </w:tc>
        <w:tc>
          <w:tcPr>
            <w:tcW w:w="420" w:type="pct"/>
            <w:shd w:val="clear" w:color="auto" w:fill="auto"/>
            <w:vAlign w:val="center"/>
          </w:tcPr>
          <w:p>
            <w:pPr>
              <w:snapToGrid w:val="0"/>
              <w:jc w:val="center"/>
              <w:rPr>
                <w:rFonts w:eastAsiaTheme="minorEastAsia"/>
                <w:b/>
                <w:szCs w:val="21"/>
              </w:rPr>
            </w:pPr>
            <w:r>
              <w:rPr>
                <w:rFonts w:hAnsiTheme="minorEastAsia" w:eastAsiaTheme="minorEastAsia"/>
                <w:b/>
                <w:szCs w:val="21"/>
              </w:rPr>
              <w:t>数量</w:t>
            </w:r>
          </w:p>
        </w:tc>
        <w:tc>
          <w:tcPr>
            <w:tcW w:w="1082" w:type="pct"/>
            <w:shd w:val="clear" w:color="auto" w:fill="auto"/>
            <w:vAlign w:val="center"/>
          </w:tcPr>
          <w:p>
            <w:pPr>
              <w:snapToGrid w:val="0"/>
              <w:jc w:val="center"/>
              <w:rPr>
                <w:rFonts w:eastAsiaTheme="minorEastAsia"/>
                <w:b/>
                <w:szCs w:val="21"/>
              </w:rPr>
            </w:pPr>
            <w:r>
              <w:rPr>
                <w:rFonts w:hAnsiTheme="minorEastAsia" w:eastAsiaTheme="minorEastAsia"/>
                <w:b/>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876" w:type="pct"/>
            <w:shd w:val="clear" w:color="auto" w:fill="auto"/>
            <w:vAlign w:val="center"/>
          </w:tcPr>
          <w:p>
            <w:pPr>
              <w:pStyle w:val="65"/>
              <w:rPr>
                <w:rFonts w:eastAsiaTheme="minorEastAsia"/>
                <w:b w:val="0"/>
                <w:szCs w:val="21"/>
              </w:rPr>
            </w:pPr>
            <w:r>
              <w:rPr>
                <w:rFonts w:hAnsiTheme="minorEastAsia" w:eastAsiaTheme="minorEastAsia"/>
                <w:b w:val="0"/>
                <w:szCs w:val="21"/>
              </w:rPr>
              <w:t>清水池</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34×27×4.5m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钢砼</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容积</w:t>
            </w:r>
            <w:r>
              <w:rPr>
                <w:rFonts w:ascii="Times New Roman" w:eastAsiaTheme="minorEastAsia"/>
                <w:sz w:val="21"/>
                <w:szCs w:val="21"/>
              </w:rPr>
              <w:t>4000m</w:t>
            </w:r>
            <w:r>
              <w:rPr>
                <w:rFonts w:ascii="Times New Roman" w:eastAsiaTheme="minorEastAsia"/>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2</w:t>
            </w:r>
          </w:p>
        </w:tc>
        <w:tc>
          <w:tcPr>
            <w:tcW w:w="876" w:type="pct"/>
            <w:shd w:val="clear" w:color="auto" w:fill="auto"/>
            <w:vAlign w:val="center"/>
          </w:tcPr>
          <w:p>
            <w:pPr>
              <w:pStyle w:val="65"/>
              <w:rPr>
                <w:rFonts w:eastAsiaTheme="minorEastAsia"/>
                <w:b w:val="0"/>
                <w:szCs w:val="21"/>
              </w:rPr>
            </w:pPr>
            <w:r>
              <w:rPr>
                <w:rFonts w:hAnsiTheme="minorEastAsia" w:eastAsiaTheme="minorEastAsia"/>
                <w:b w:val="0"/>
                <w:szCs w:val="21"/>
              </w:rPr>
              <w:t>送水泵房及变配电室</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5.0×5.0×4.0m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框架</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建筑面积</w:t>
            </w:r>
            <w:r>
              <w:rPr>
                <w:rFonts w:ascii="Times New Roman" w:eastAsiaTheme="minorEastAsia"/>
                <w:sz w:val="21"/>
                <w:szCs w:val="21"/>
              </w:rPr>
              <w:t>331m</w:t>
            </w:r>
            <w:r>
              <w:rPr>
                <w:rFonts w:ascii="Times New Roman" w:eastAsiaTheme="minorEastAsia"/>
                <w:sz w:val="21"/>
                <w:szCs w:val="21"/>
                <w:vertAlign w:val="superscript"/>
              </w:rPr>
              <w:t>2</w:t>
            </w:r>
            <w:r>
              <w:rPr>
                <w:rFonts w:ascii="Times New Roman" w:hAnsiTheme="minorEastAsia" w:eastAsiaTheme="minorEastAsia"/>
                <w:sz w:val="21"/>
                <w:szCs w:val="21"/>
              </w:rPr>
              <w:t>，</w:t>
            </w:r>
            <w:r>
              <w:rPr>
                <w:rFonts w:ascii="Times New Roman" w:eastAsiaTheme="minorEastAsia"/>
                <w:sz w:val="21"/>
                <w:szCs w:val="21"/>
              </w:rPr>
              <w:t>1F</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3</w:t>
            </w:r>
          </w:p>
        </w:tc>
        <w:tc>
          <w:tcPr>
            <w:tcW w:w="876" w:type="pct"/>
            <w:shd w:val="clear" w:color="auto" w:fill="auto"/>
            <w:vAlign w:val="center"/>
          </w:tcPr>
          <w:p>
            <w:pPr>
              <w:pStyle w:val="65"/>
              <w:spacing w:line="360" w:lineRule="auto"/>
              <w:rPr>
                <w:rFonts w:eastAsiaTheme="minorEastAsia"/>
                <w:b w:val="0"/>
                <w:szCs w:val="21"/>
              </w:rPr>
            </w:pPr>
            <w:r>
              <w:rPr>
                <w:rFonts w:hAnsiTheme="minorEastAsia" w:eastAsiaTheme="minorEastAsia"/>
                <w:b w:val="0"/>
                <w:szCs w:val="21"/>
              </w:rPr>
              <w:t>仓库及车库</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16.3×8.0×4.45m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砖混</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建筑面积</w:t>
            </w:r>
            <w:r>
              <w:rPr>
                <w:rFonts w:ascii="Times New Roman" w:eastAsiaTheme="minorEastAsia"/>
                <w:sz w:val="21"/>
                <w:szCs w:val="21"/>
              </w:rPr>
              <w:t>160m</w:t>
            </w:r>
            <w:r>
              <w:rPr>
                <w:rFonts w:ascii="Times New Roman" w:eastAsiaTheme="minorEastAsia"/>
                <w:sz w:val="21"/>
                <w:szCs w:val="21"/>
                <w:vertAlign w:val="superscript"/>
              </w:rPr>
              <w:t>2</w:t>
            </w:r>
            <w:r>
              <w:rPr>
                <w:rFonts w:ascii="Times New Roman" w:eastAsiaTheme="minorEastAsia"/>
                <w:sz w:val="21"/>
                <w:szCs w:val="21"/>
              </w:rPr>
              <w:t>,1F</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4</w:t>
            </w:r>
          </w:p>
        </w:tc>
        <w:tc>
          <w:tcPr>
            <w:tcW w:w="876" w:type="pct"/>
            <w:shd w:val="clear" w:color="auto" w:fill="auto"/>
            <w:vAlign w:val="center"/>
          </w:tcPr>
          <w:p>
            <w:pPr>
              <w:pStyle w:val="65"/>
              <w:spacing w:line="360" w:lineRule="auto"/>
              <w:rPr>
                <w:rFonts w:eastAsiaTheme="minorEastAsia"/>
                <w:b w:val="0"/>
                <w:szCs w:val="21"/>
              </w:rPr>
            </w:pPr>
            <w:r>
              <w:rPr>
                <w:rFonts w:hAnsiTheme="minorEastAsia" w:eastAsiaTheme="minorEastAsia"/>
                <w:b w:val="0"/>
                <w:szCs w:val="21"/>
              </w:rPr>
              <w:t>综合楼</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14.9×9.0×5.72m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框架</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建筑面积</w:t>
            </w:r>
            <w:r>
              <w:rPr>
                <w:rFonts w:ascii="Times New Roman" w:eastAsiaTheme="minorEastAsia"/>
                <w:sz w:val="21"/>
                <w:szCs w:val="21"/>
              </w:rPr>
              <w:t>864m</w:t>
            </w:r>
            <w:r>
              <w:rPr>
                <w:rFonts w:ascii="Times New Roman" w:eastAsiaTheme="minorEastAsia"/>
                <w:sz w:val="21"/>
                <w:szCs w:val="21"/>
                <w:vertAlign w:val="superscript"/>
              </w:rPr>
              <w:t>2</w:t>
            </w:r>
            <w:r>
              <w:rPr>
                <w:rFonts w:ascii="Times New Roman" w:hAnsiTheme="minorEastAsia" w:eastAsiaTheme="minorEastAsia"/>
                <w:sz w:val="21"/>
                <w:szCs w:val="21"/>
              </w:rPr>
              <w:t>，</w:t>
            </w:r>
            <w:r>
              <w:rPr>
                <w:rFonts w:ascii="Times New Roman" w:eastAsiaTheme="minorEastAsia"/>
                <w:sz w:val="21"/>
                <w:szCs w:val="21"/>
              </w:rPr>
              <w:t>3F</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5</w:t>
            </w:r>
          </w:p>
        </w:tc>
        <w:tc>
          <w:tcPr>
            <w:tcW w:w="876" w:type="pct"/>
            <w:shd w:val="clear" w:color="auto" w:fill="auto"/>
            <w:vAlign w:val="center"/>
          </w:tcPr>
          <w:p>
            <w:pPr>
              <w:pStyle w:val="65"/>
              <w:spacing w:line="360" w:lineRule="auto"/>
              <w:rPr>
                <w:rFonts w:eastAsiaTheme="minorEastAsia"/>
                <w:b w:val="0"/>
                <w:szCs w:val="21"/>
              </w:rPr>
            </w:pPr>
            <w:r>
              <w:rPr>
                <w:rFonts w:hAnsiTheme="minorEastAsia" w:eastAsiaTheme="minorEastAsia"/>
                <w:b w:val="0"/>
                <w:szCs w:val="21"/>
              </w:rPr>
              <w:t>食堂</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40.0×16.2×4.3m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砖混</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jc w:val="center"/>
              <w:rPr>
                <w:rFonts w:eastAsiaTheme="minorEastAsia"/>
                <w:szCs w:val="21"/>
              </w:rPr>
            </w:pPr>
            <w:r>
              <w:rPr>
                <w:rFonts w:hAnsiTheme="minorEastAsia" w:eastAsiaTheme="minorEastAsia"/>
                <w:szCs w:val="21"/>
              </w:rPr>
              <w:t>建筑面积</w:t>
            </w:r>
            <w:r>
              <w:rPr>
                <w:rFonts w:eastAsiaTheme="minorEastAsia"/>
                <w:szCs w:val="21"/>
              </w:rPr>
              <w:t>142m</w:t>
            </w:r>
            <w:r>
              <w:rPr>
                <w:rFonts w:eastAsiaTheme="minorEastAsia"/>
                <w:szCs w:val="21"/>
                <w:vertAlign w:val="superscript"/>
              </w:rPr>
              <w:t>2</w:t>
            </w:r>
            <w:r>
              <w:rPr>
                <w:rFonts w:hAnsiTheme="minorEastAsia" w:eastAsiaTheme="minorEastAsia"/>
                <w:szCs w:val="21"/>
              </w:rPr>
              <w:t>，</w:t>
            </w:r>
            <w:r>
              <w:rPr>
                <w:rFonts w:eastAsiaTheme="minorEastAsia"/>
                <w:szCs w:val="21"/>
              </w:rPr>
              <w:t>1F</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hint="eastAsia" w:ascii="Times New Roman" w:eastAsiaTheme="minorEastAsia"/>
                <w:sz w:val="21"/>
                <w:szCs w:val="21"/>
              </w:rPr>
              <w:t>6</w:t>
            </w:r>
          </w:p>
        </w:tc>
        <w:tc>
          <w:tcPr>
            <w:tcW w:w="876" w:type="pct"/>
            <w:shd w:val="clear" w:color="auto" w:fill="auto"/>
            <w:vAlign w:val="center"/>
          </w:tcPr>
          <w:p>
            <w:pPr>
              <w:pStyle w:val="65"/>
              <w:spacing w:line="360" w:lineRule="auto"/>
              <w:rPr>
                <w:rFonts w:eastAsiaTheme="minorEastAsia"/>
                <w:b w:val="0"/>
                <w:szCs w:val="21"/>
              </w:rPr>
            </w:pPr>
            <w:r>
              <w:rPr>
                <w:rFonts w:hAnsiTheme="minorEastAsia" w:eastAsiaTheme="minorEastAsia"/>
                <w:b w:val="0"/>
                <w:szCs w:val="21"/>
              </w:rPr>
              <w:t>传达室</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14.2×7.1m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砖混</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jc w:val="center"/>
              <w:rPr>
                <w:rFonts w:eastAsiaTheme="minorEastAsia"/>
                <w:szCs w:val="21"/>
              </w:rPr>
            </w:pPr>
            <w:r>
              <w:rPr>
                <w:rFonts w:hAnsiTheme="minorEastAsia" w:eastAsiaTheme="minorEastAsia"/>
                <w:szCs w:val="21"/>
              </w:rPr>
              <w:t>建筑面积</w:t>
            </w:r>
            <w:r>
              <w:rPr>
                <w:rFonts w:eastAsiaTheme="minorEastAsia"/>
                <w:szCs w:val="21"/>
              </w:rPr>
              <w:t>32m</w:t>
            </w:r>
            <w:r>
              <w:rPr>
                <w:rFonts w:eastAsiaTheme="minorEastAsia"/>
                <w:szCs w:val="21"/>
                <w:vertAlign w:val="superscript"/>
              </w:rPr>
              <w:t>2</w:t>
            </w:r>
            <w:r>
              <w:rPr>
                <w:rFonts w:hAnsiTheme="minorEastAsia" w:eastAsiaTheme="minorEastAsia"/>
                <w:szCs w:val="21"/>
              </w:rPr>
              <w:t>，</w:t>
            </w:r>
            <w:r>
              <w:rPr>
                <w:rFonts w:eastAsiaTheme="minorEastAsia"/>
                <w:szCs w:val="21"/>
              </w:rPr>
              <w:t>1F</w:t>
            </w:r>
          </w:p>
        </w:tc>
      </w:tr>
    </w:tbl>
    <w:p>
      <w:pPr>
        <w:pStyle w:val="65"/>
        <w:rPr>
          <w:b w:val="0"/>
          <w:szCs w:val="21"/>
        </w:rPr>
      </w:pPr>
      <w:r>
        <w:rPr>
          <w:rFonts w:hint="eastAsia"/>
          <w:szCs w:val="21"/>
        </w:rPr>
        <w:t>表2.4-4   主要设备清单</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2150"/>
        <w:gridCol w:w="2704"/>
        <w:gridCol w:w="1495"/>
        <w:gridCol w:w="880"/>
        <w:gridCol w:w="12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b/>
                <w:szCs w:val="21"/>
              </w:rPr>
            </w:pPr>
            <w:r>
              <w:rPr>
                <w:rFonts w:hAnsiTheme="minorEastAsia" w:eastAsiaTheme="minorEastAsia"/>
                <w:b/>
                <w:szCs w:val="21"/>
              </w:rPr>
              <w:t>序号</w:t>
            </w:r>
          </w:p>
        </w:tc>
        <w:tc>
          <w:tcPr>
            <w:tcW w:w="1163" w:type="pct"/>
            <w:vAlign w:val="center"/>
          </w:tcPr>
          <w:p>
            <w:pPr>
              <w:autoSpaceDE w:val="0"/>
              <w:autoSpaceDN w:val="0"/>
              <w:adjustRightInd w:val="0"/>
              <w:jc w:val="center"/>
              <w:rPr>
                <w:rFonts w:eastAsiaTheme="minorEastAsia"/>
                <w:b/>
                <w:szCs w:val="21"/>
              </w:rPr>
            </w:pPr>
            <w:r>
              <w:rPr>
                <w:rFonts w:hAnsiTheme="minorEastAsia" w:eastAsiaTheme="minorEastAsia"/>
                <w:b/>
                <w:szCs w:val="21"/>
              </w:rPr>
              <w:t>设备名称</w:t>
            </w:r>
          </w:p>
        </w:tc>
        <w:tc>
          <w:tcPr>
            <w:tcW w:w="1463" w:type="pct"/>
            <w:vAlign w:val="center"/>
          </w:tcPr>
          <w:p>
            <w:pPr>
              <w:autoSpaceDE w:val="0"/>
              <w:autoSpaceDN w:val="0"/>
              <w:adjustRightInd w:val="0"/>
              <w:jc w:val="center"/>
              <w:rPr>
                <w:rFonts w:eastAsiaTheme="minorEastAsia"/>
                <w:b/>
                <w:szCs w:val="21"/>
              </w:rPr>
            </w:pPr>
            <w:r>
              <w:rPr>
                <w:rFonts w:hAnsiTheme="minorEastAsia" w:eastAsiaTheme="minorEastAsia"/>
                <w:b/>
                <w:szCs w:val="21"/>
              </w:rPr>
              <w:t>规格</w:t>
            </w:r>
          </w:p>
        </w:tc>
        <w:tc>
          <w:tcPr>
            <w:tcW w:w="809" w:type="pct"/>
            <w:vAlign w:val="center"/>
          </w:tcPr>
          <w:p>
            <w:pPr>
              <w:autoSpaceDE w:val="0"/>
              <w:autoSpaceDN w:val="0"/>
              <w:adjustRightInd w:val="0"/>
              <w:jc w:val="center"/>
              <w:rPr>
                <w:rFonts w:eastAsiaTheme="minorEastAsia"/>
                <w:b/>
                <w:szCs w:val="21"/>
              </w:rPr>
            </w:pPr>
            <w:r>
              <w:rPr>
                <w:rFonts w:hAnsiTheme="minorEastAsia" w:eastAsiaTheme="minorEastAsia"/>
                <w:b/>
                <w:szCs w:val="21"/>
              </w:rPr>
              <w:t>单位</w:t>
            </w:r>
          </w:p>
        </w:tc>
        <w:tc>
          <w:tcPr>
            <w:tcW w:w="476" w:type="pct"/>
            <w:vAlign w:val="center"/>
          </w:tcPr>
          <w:p>
            <w:pPr>
              <w:autoSpaceDE w:val="0"/>
              <w:autoSpaceDN w:val="0"/>
              <w:adjustRightInd w:val="0"/>
              <w:jc w:val="center"/>
              <w:rPr>
                <w:rFonts w:eastAsiaTheme="minorEastAsia"/>
                <w:b/>
                <w:szCs w:val="21"/>
              </w:rPr>
            </w:pPr>
            <w:r>
              <w:rPr>
                <w:rFonts w:hAnsiTheme="minorEastAsia" w:eastAsiaTheme="minorEastAsia"/>
                <w:b/>
                <w:szCs w:val="21"/>
              </w:rPr>
              <w:t>数量</w:t>
            </w:r>
          </w:p>
        </w:tc>
        <w:tc>
          <w:tcPr>
            <w:tcW w:w="677" w:type="pct"/>
            <w:vAlign w:val="center"/>
          </w:tcPr>
          <w:p>
            <w:pPr>
              <w:autoSpaceDE w:val="0"/>
              <w:autoSpaceDN w:val="0"/>
              <w:adjustRightInd w:val="0"/>
              <w:jc w:val="center"/>
              <w:rPr>
                <w:rFonts w:eastAsiaTheme="minorEastAsia"/>
                <w:b/>
                <w:szCs w:val="21"/>
              </w:rPr>
            </w:pPr>
            <w:r>
              <w:rPr>
                <w:rFonts w:hAnsiTheme="minorEastAsia" w:eastAsiaTheme="minorEastAsia"/>
                <w:b/>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rPr>
            </w:pPr>
            <w:r>
              <w:rPr>
                <w:rFonts w:eastAsiaTheme="minorEastAsia"/>
                <w:szCs w:val="21"/>
              </w:rPr>
              <w:t>1</w:t>
            </w:r>
          </w:p>
        </w:tc>
        <w:tc>
          <w:tcPr>
            <w:tcW w:w="1163" w:type="pct"/>
            <w:vAlign w:val="center"/>
          </w:tcPr>
          <w:p>
            <w:pPr>
              <w:autoSpaceDE w:val="0"/>
              <w:autoSpaceDN w:val="0"/>
              <w:adjustRightInd w:val="0"/>
              <w:jc w:val="center"/>
              <w:rPr>
                <w:rFonts w:eastAsiaTheme="minorEastAsia"/>
                <w:szCs w:val="21"/>
              </w:rPr>
            </w:pPr>
            <w:r>
              <w:rPr>
                <w:rFonts w:hAnsiTheme="minorEastAsia" w:eastAsiaTheme="minorEastAsia"/>
                <w:szCs w:val="21"/>
                <w:lang w:val="zh-CN"/>
              </w:rPr>
              <w:t>双吸离心泵</w:t>
            </w:r>
          </w:p>
        </w:tc>
        <w:tc>
          <w:tcPr>
            <w:tcW w:w="1463" w:type="pct"/>
            <w:vAlign w:val="center"/>
          </w:tcPr>
          <w:p>
            <w:pPr>
              <w:autoSpaceDE w:val="0"/>
              <w:autoSpaceDN w:val="0"/>
              <w:adjustRightInd w:val="0"/>
              <w:jc w:val="center"/>
              <w:rPr>
                <w:rFonts w:eastAsiaTheme="minorEastAsia"/>
                <w:szCs w:val="21"/>
              </w:rPr>
            </w:pPr>
            <w:r>
              <w:rPr>
                <w:rFonts w:eastAsiaTheme="minorEastAsia"/>
                <w:szCs w:val="21"/>
              </w:rPr>
              <w:t>Q=315m</w:t>
            </w:r>
            <w:r>
              <w:rPr>
                <w:rFonts w:eastAsiaTheme="minorEastAsia"/>
                <w:szCs w:val="21"/>
                <w:vertAlign w:val="superscript"/>
              </w:rPr>
              <w:t>3</w:t>
            </w:r>
            <w:r>
              <w:rPr>
                <w:rFonts w:eastAsiaTheme="minorEastAsia"/>
                <w:szCs w:val="21"/>
              </w:rPr>
              <w:t>/h</w:t>
            </w:r>
            <w:r>
              <w:rPr>
                <w:rFonts w:hAnsiTheme="minorEastAsia" w:eastAsiaTheme="minorEastAsia"/>
                <w:szCs w:val="21"/>
              </w:rPr>
              <w:t>，</w:t>
            </w:r>
            <w:r>
              <w:rPr>
                <w:rFonts w:eastAsiaTheme="minorEastAsia"/>
                <w:szCs w:val="21"/>
              </w:rPr>
              <w:t>H=66m</w:t>
            </w:r>
            <w:r>
              <w:rPr>
                <w:rFonts w:hAnsiTheme="minorEastAsia" w:eastAsiaTheme="minorEastAsia"/>
                <w:szCs w:val="21"/>
              </w:rPr>
              <w:t>，</w:t>
            </w:r>
            <w:r>
              <w:rPr>
                <w:rFonts w:eastAsiaTheme="minorEastAsia"/>
                <w:szCs w:val="21"/>
              </w:rPr>
              <w:t>N=110kW</w:t>
            </w:r>
          </w:p>
        </w:tc>
        <w:tc>
          <w:tcPr>
            <w:tcW w:w="809" w:type="pct"/>
            <w:vAlign w:val="center"/>
          </w:tcPr>
          <w:p>
            <w:pPr>
              <w:autoSpaceDE w:val="0"/>
              <w:autoSpaceDN w:val="0"/>
              <w:adjustRightInd w:val="0"/>
              <w:jc w:val="center"/>
              <w:rPr>
                <w:rFonts w:eastAsiaTheme="minorEastAsia"/>
                <w:szCs w:val="21"/>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rPr>
            </w:pPr>
            <w:r>
              <w:rPr>
                <w:rFonts w:eastAsiaTheme="minorEastAsia"/>
                <w:szCs w:val="21"/>
              </w:rPr>
              <w:t>4</w:t>
            </w:r>
          </w:p>
        </w:tc>
        <w:tc>
          <w:tcPr>
            <w:tcW w:w="677" w:type="pct"/>
            <w:vAlign w:val="center"/>
          </w:tcPr>
          <w:p>
            <w:pPr>
              <w:autoSpaceDE w:val="0"/>
              <w:autoSpaceDN w:val="0"/>
              <w:adjustRightInd w:val="0"/>
              <w:jc w:val="center"/>
              <w:rPr>
                <w:rFonts w:eastAsiaTheme="minorEastAsia"/>
                <w:szCs w:val="21"/>
              </w:rPr>
            </w:pPr>
            <w:r>
              <w:rPr>
                <w:rFonts w:eastAsiaTheme="minorEastAsia"/>
                <w:szCs w:val="21"/>
              </w:rPr>
              <w:t>3</w:t>
            </w:r>
            <w:r>
              <w:rPr>
                <w:rFonts w:hAnsiTheme="minorEastAsia" w:eastAsiaTheme="minorEastAsia"/>
                <w:szCs w:val="21"/>
                <w:lang w:val="zh-CN"/>
              </w:rPr>
              <w:t>用</w:t>
            </w:r>
            <w:r>
              <w:rPr>
                <w:rFonts w:eastAsiaTheme="minorEastAsia"/>
                <w:szCs w:val="21"/>
              </w:rPr>
              <w:t>1</w:t>
            </w:r>
            <w:r>
              <w:rPr>
                <w:rFonts w:hAnsiTheme="minorEastAsia" w:eastAsiaTheme="minorEastAsia"/>
                <w:szCs w:val="21"/>
                <w:lang w:val="zh-CN"/>
              </w:rPr>
              <w:t>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rPr>
            </w:pPr>
            <w:r>
              <w:rPr>
                <w:rFonts w:eastAsiaTheme="minorEastAsia"/>
                <w:szCs w:val="21"/>
              </w:rPr>
              <w:t>2</w:t>
            </w:r>
          </w:p>
        </w:tc>
        <w:tc>
          <w:tcPr>
            <w:tcW w:w="1163" w:type="pct"/>
            <w:vAlign w:val="center"/>
          </w:tcPr>
          <w:p>
            <w:pPr>
              <w:autoSpaceDE w:val="0"/>
              <w:autoSpaceDN w:val="0"/>
              <w:adjustRightInd w:val="0"/>
              <w:jc w:val="center"/>
              <w:rPr>
                <w:rFonts w:eastAsiaTheme="minorEastAsia"/>
                <w:szCs w:val="21"/>
              </w:rPr>
            </w:pPr>
            <w:r>
              <w:rPr>
                <w:rFonts w:hAnsiTheme="minorEastAsia" w:eastAsiaTheme="minorEastAsia"/>
                <w:szCs w:val="21"/>
                <w:lang w:val="zh-CN"/>
              </w:rPr>
              <w:t>电动单梁悬挂起重机</w:t>
            </w:r>
          </w:p>
        </w:tc>
        <w:tc>
          <w:tcPr>
            <w:tcW w:w="1463" w:type="pct"/>
            <w:vAlign w:val="center"/>
          </w:tcPr>
          <w:p>
            <w:pPr>
              <w:autoSpaceDE w:val="0"/>
              <w:autoSpaceDN w:val="0"/>
              <w:adjustRightInd w:val="0"/>
              <w:jc w:val="center"/>
              <w:rPr>
                <w:rFonts w:eastAsiaTheme="minorEastAsia"/>
                <w:szCs w:val="21"/>
              </w:rPr>
            </w:pPr>
            <w:r>
              <w:rPr>
                <w:rFonts w:eastAsiaTheme="minorEastAsia"/>
                <w:szCs w:val="21"/>
              </w:rPr>
              <w:t>N=1.6kW</w:t>
            </w:r>
          </w:p>
        </w:tc>
        <w:tc>
          <w:tcPr>
            <w:tcW w:w="809" w:type="pct"/>
            <w:vAlign w:val="center"/>
          </w:tcPr>
          <w:p>
            <w:pPr>
              <w:autoSpaceDE w:val="0"/>
              <w:autoSpaceDN w:val="0"/>
              <w:adjustRightInd w:val="0"/>
              <w:jc w:val="center"/>
              <w:rPr>
                <w:rFonts w:eastAsiaTheme="minorEastAsia"/>
                <w:szCs w:val="21"/>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rPr>
            </w:pPr>
            <w:r>
              <w:rPr>
                <w:rFonts w:eastAsiaTheme="minorEastAsia"/>
                <w:szCs w:val="21"/>
              </w:rPr>
              <w:t>1</w:t>
            </w:r>
          </w:p>
        </w:tc>
        <w:tc>
          <w:tcPr>
            <w:tcW w:w="677" w:type="pct"/>
            <w:vAlign w:val="center"/>
          </w:tcPr>
          <w:p>
            <w:pPr>
              <w:autoSpaceDE w:val="0"/>
              <w:autoSpaceDN w:val="0"/>
              <w:adjustRightInd w:val="0"/>
              <w:jc w:val="center"/>
              <w:rPr>
                <w:rFonts w:eastAsiaTheme="minorEastAsia"/>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rPr>
            </w:pPr>
            <w:r>
              <w:rPr>
                <w:rFonts w:eastAsiaTheme="minorEastAsia"/>
                <w:szCs w:val="21"/>
              </w:rPr>
              <w:t>3</w:t>
            </w:r>
          </w:p>
        </w:tc>
        <w:tc>
          <w:tcPr>
            <w:tcW w:w="1163" w:type="pct"/>
            <w:vAlign w:val="center"/>
          </w:tcPr>
          <w:p>
            <w:pPr>
              <w:autoSpaceDE w:val="0"/>
              <w:autoSpaceDN w:val="0"/>
              <w:adjustRightInd w:val="0"/>
              <w:jc w:val="center"/>
              <w:rPr>
                <w:rFonts w:eastAsiaTheme="minorEastAsia"/>
                <w:szCs w:val="21"/>
              </w:rPr>
            </w:pPr>
            <w:r>
              <w:rPr>
                <w:rFonts w:hAnsiTheme="minorEastAsia" w:eastAsiaTheme="minorEastAsia"/>
                <w:szCs w:val="21"/>
                <w:lang w:val="zh-CN"/>
              </w:rPr>
              <w:t>电动葫芦</w:t>
            </w:r>
          </w:p>
        </w:tc>
        <w:tc>
          <w:tcPr>
            <w:tcW w:w="1463" w:type="pct"/>
            <w:vAlign w:val="center"/>
          </w:tcPr>
          <w:p>
            <w:pPr>
              <w:autoSpaceDE w:val="0"/>
              <w:autoSpaceDN w:val="0"/>
              <w:adjustRightInd w:val="0"/>
              <w:jc w:val="center"/>
              <w:rPr>
                <w:rFonts w:eastAsiaTheme="minorEastAsia"/>
                <w:szCs w:val="21"/>
              </w:rPr>
            </w:pPr>
            <w:r>
              <w:rPr>
                <w:rFonts w:hAnsiTheme="minorEastAsia" w:eastAsiaTheme="minorEastAsia"/>
                <w:szCs w:val="21"/>
                <w:lang w:val="zh-CN"/>
              </w:rPr>
              <w:t>起重量</w:t>
            </w:r>
            <w:r>
              <w:rPr>
                <w:rFonts w:eastAsiaTheme="minorEastAsia"/>
                <w:szCs w:val="21"/>
              </w:rPr>
              <w:t>2t N</w:t>
            </w:r>
            <w:r>
              <w:rPr>
                <w:rFonts w:hAnsiTheme="minorEastAsia" w:eastAsiaTheme="minorEastAsia"/>
                <w:szCs w:val="21"/>
                <w:lang w:val="zh-CN"/>
              </w:rPr>
              <w:t>＝</w:t>
            </w:r>
            <w:r>
              <w:rPr>
                <w:rFonts w:eastAsiaTheme="minorEastAsia"/>
                <w:szCs w:val="21"/>
              </w:rPr>
              <w:t>4.9kW</w:t>
            </w:r>
          </w:p>
        </w:tc>
        <w:tc>
          <w:tcPr>
            <w:tcW w:w="809" w:type="pct"/>
            <w:vAlign w:val="center"/>
          </w:tcPr>
          <w:p>
            <w:pPr>
              <w:autoSpaceDE w:val="0"/>
              <w:autoSpaceDN w:val="0"/>
              <w:adjustRightInd w:val="0"/>
              <w:jc w:val="center"/>
              <w:rPr>
                <w:rFonts w:eastAsiaTheme="minorEastAsia"/>
                <w:szCs w:val="21"/>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rPr>
            </w:pPr>
            <w:r>
              <w:rPr>
                <w:rFonts w:eastAsiaTheme="minorEastAsia"/>
                <w:szCs w:val="21"/>
              </w:rPr>
              <w:t>1</w:t>
            </w:r>
          </w:p>
        </w:tc>
        <w:tc>
          <w:tcPr>
            <w:tcW w:w="677" w:type="pct"/>
            <w:vAlign w:val="center"/>
          </w:tcPr>
          <w:p>
            <w:pPr>
              <w:autoSpaceDE w:val="0"/>
              <w:autoSpaceDN w:val="0"/>
              <w:adjustRightInd w:val="0"/>
              <w:jc w:val="center"/>
              <w:rPr>
                <w:rFonts w:eastAsiaTheme="minorEastAsia"/>
                <w:szCs w:val="21"/>
              </w:rPr>
            </w:pPr>
          </w:p>
        </w:tc>
      </w:tr>
    </w:tbl>
    <w:p>
      <w:pPr>
        <w:pStyle w:val="62"/>
        <w:rPr>
          <w:color w:val="auto"/>
        </w:rPr>
      </w:pPr>
      <w:r>
        <w:rPr>
          <w:rFonts w:hint="eastAsia"/>
          <w:color w:val="auto"/>
        </w:rPr>
        <w:t>2.4.4泾河北岸保障房给水处理站</w:t>
      </w:r>
    </w:p>
    <w:p>
      <w:pPr>
        <w:pStyle w:val="63"/>
        <w:ind w:firstLine="480"/>
        <w:rPr>
          <w:color w:val="auto"/>
        </w:rPr>
      </w:pPr>
      <w:r>
        <w:rPr>
          <w:rFonts w:hint="eastAsia"/>
          <w:color w:val="auto"/>
        </w:rPr>
        <w:t>因泾阳县第三水厂近期内难以扩建完毕，为保障2015年12月底交付使用的崇文重点镇保障房一期用水需求，在保障房附近设置给水处理站，待泾阳县第三水厂扩建工程或张家山泉供水工程实施后，该处理站将作为备用水源。</w:t>
      </w:r>
    </w:p>
    <w:p>
      <w:pPr>
        <w:pStyle w:val="63"/>
        <w:ind w:firstLine="480"/>
        <w:rPr>
          <w:color w:val="auto"/>
        </w:rPr>
      </w:pPr>
      <w:r>
        <w:rPr>
          <w:rFonts w:hint="eastAsia"/>
          <w:color w:val="auto"/>
        </w:rPr>
        <w:t>（1）保障房给水处理站厂址</w:t>
      </w:r>
    </w:p>
    <w:p>
      <w:pPr>
        <w:pStyle w:val="63"/>
        <w:ind w:firstLine="480"/>
        <w:rPr>
          <w:color w:val="auto"/>
        </w:rPr>
      </w:pPr>
      <w:r>
        <w:rPr>
          <w:rFonts w:hint="eastAsia"/>
          <w:color w:val="auto"/>
        </w:rPr>
        <w:t>给水处理站选址位于正阳大道与崇文重点镇二路交叉口北120米，正阳大道西侧绿化带内，占地2.10亩，占地性质为交通用地。供水规模为2000m</w:t>
      </w:r>
      <w:r>
        <w:rPr>
          <w:rFonts w:hint="eastAsia"/>
          <w:color w:val="auto"/>
          <w:vertAlign w:val="superscript"/>
        </w:rPr>
        <w:t>3</w:t>
      </w:r>
      <w:r>
        <w:rPr>
          <w:rFonts w:hint="eastAsia"/>
          <w:color w:val="auto"/>
        </w:rPr>
        <w:t>/d。保障房给水处理站平面图见图2.4-4。</w:t>
      </w:r>
    </w:p>
    <w:p>
      <w:pPr>
        <w:pStyle w:val="63"/>
        <w:ind w:firstLine="480"/>
        <w:rPr>
          <w:color w:val="auto"/>
        </w:rPr>
      </w:pPr>
      <w:r>
        <w:rPr>
          <w:rFonts w:hint="eastAsia"/>
          <w:color w:val="auto"/>
        </w:rPr>
        <w:t>（2）工艺流程</w:t>
      </w:r>
    </w:p>
    <w:p>
      <w:pPr>
        <w:pStyle w:val="63"/>
        <w:ind w:firstLine="480"/>
        <w:rPr>
          <w:color w:val="auto"/>
        </w:rPr>
      </w:pPr>
      <w:r>
        <w:rPr>
          <w:rFonts w:hint="eastAsia"/>
          <w:color w:val="auto"/>
        </w:rPr>
        <w:t>保障房给水处理站工艺采用</w:t>
      </w:r>
      <w:r>
        <w:rPr>
          <w:color w:val="auto"/>
        </w:rPr>
        <w:t>多介质</w:t>
      </w:r>
      <w:r>
        <w:rPr>
          <w:rFonts w:hint="eastAsia"/>
          <w:color w:val="auto"/>
        </w:rPr>
        <w:t>过滤器</w:t>
      </w:r>
      <w:r>
        <w:rPr>
          <w:color w:val="auto"/>
        </w:rPr>
        <w:t>+反渗透</w:t>
      </w:r>
      <w:r>
        <w:rPr>
          <w:rFonts w:hint="eastAsia"/>
          <w:color w:val="auto"/>
        </w:rPr>
        <w:t>净化+活性氧化铝吸附法，消毒采用二氧化氯消毒。站内设有原水池、配电室、控制室、综合设备间、中间水池、浓水池、清水池及送水泵房，除综合设备间外均为地下式构筑物。工艺流程图见图2.4-5。保障房给水处理站</w:t>
      </w:r>
      <w:r>
        <w:rPr>
          <w:color w:val="auto"/>
          <w:szCs w:val="21"/>
        </w:rPr>
        <w:t>主要工程组成一览表</w:t>
      </w:r>
      <w:r>
        <w:rPr>
          <w:rFonts w:hint="eastAsia"/>
          <w:color w:val="auto"/>
          <w:szCs w:val="21"/>
        </w:rPr>
        <w:t>见表2.4-5。</w:t>
      </w:r>
    </w:p>
    <w:p>
      <w:pPr>
        <w:pStyle w:val="65"/>
        <w:rPr>
          <w:szCs w:val="21"/>
        </w:rPr>
      </w:pPr>
      <w:r>
        <w:rPr>
          <w:rFonts w:hint="eastAsia"/>
        </w:rPr>
        <w:t>表2.4-5    保障房给水处理站</w:t>
      </w:r>
      <w:r>
        <w:rPr>
          <w:szCs w:val="21"/>
        </w:rPr>
        <w:t>主要工程组成一览表</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1619"/>
        <w:gridCol w:w="1845"/>
        <w:gridCol w:w="1312"/>
        <w:gridCol w:w="776"/>
        <w:gridCol w:w="776"/>
        <w:gridCol w:w="20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snapToGrid w:val="0"/>
              <w:jc w:val="center"/>
              <w:rPr>
                <w:rFonts w:eastAsiaTheme="minorEastAsia"/>
                <w:b/>
                <w:szCs w:val="21"/>
              </w:rPr>
            </w:pPr>
            <w:r>
              <w:rPr>
                <w:rFonts w:hAnsiTheme="minorEastAsia" w:eastAsiaTheme="minorEastAsia"/>
                <w:b/>
                <w:szCs w:val="21"/>
              </w:rPr>
              <w:t>序号</w:t>
            </w:r>
          </w:p>
        </w:tc>
        <w:tc>
          <w:tcPr>
            <w:tcW w:w="876" w:type="pct"/>
            <w:shd w:val="clear" w:color="auto" w:fill="auto"/>
            <w:vAlign w:val="center"/>
          </w:tcPr>
          <w:p>
            <w:pPr>
              <w:snapToGrid w:val="0"/>
              <w:jc w:val="center"/>
              <w:rPr>
                <w:rFonts w:eastAsiaTheme="minorEastAsia"/>
                <w:b/>
                <w:szCs w:val="21"/>
              </w:rPr>
            </w:pPr>
            <w:r>
              <w:rPr>
                <w:rFonts w:hAnsiTheme="minorEastAsia" w:eastAsiaTheme="minorEastAsia"/>
                <w:b/>
                <w:szCs w:val="21"/>
              </w:rPr>
              <w:t>名称</w:t>
            </w:r>
          </w:p>
        </w:tc>
        <w:tc>
          <w:tcPr>
            <w:tcW w:w="998" w:type="pct"/>
            <w:shd w:val="clear" w:color="auto" w:fill="auto"/>
            <w:vAlign w:val="center"/>
          </w:tcPr>
          <w:p>
            <w:pPr>
              <w:snapToGrid w:val="0"/>
              <w:jc w:val="center"/>
              <w:rPr>
                <w:rFonts w:eastAsiaTheme="minorEastAsia"/>
                <w:b/>
                <w:szCs w:val="21"/>
              </w:rPr>
            </w:pPr>
            <w:r>
              <w:rPr>
                <w:rFonts w:hAnsiTheme="minorEastAsia" w:eastAsiaTheme="minorEastAsia"/>
                <w:b/>
                <w:szCs w:val="21"/>
              </w:rPr>
              <w:t>规格及规模</w:t>
            </w:r>
          </w:p>
        </w:tc>
        <w:tc>
          <w:tcPr>
            <w:tcW w:w="710" w:type="pct"/>
            <w:shd w:val="clear" w:color="auto" w:fill="auto"/>
            <w:vAlign w:val="center"/>
          </w:tcPr>
          <w:p>
            <w:pPr>
              <w:snapToGrid w:val="0"/>
              <w:jc w:val="center"/>
              <w:rPr>
                <w:rFonts w:eastAsiaTheme="minorEastAsia"/>
                <w:b/>
                <w:szCs w:val="21"/>
              </w:rPr>
            </w:pPr>
            <w:r>
              <w:rPr>
                <w:rFonts w:hAnsiTheme="minorEastAsia" w:eastAsiaTheme="minorEastAsia"/>
                <w:b/>
                <w:szCs w:val="21"/>
              </w:rPr>
              <w:t>结构形式</w:t>
            </w:r>
          </w:p>
        </w:tc>
        <w:tc>
          <w:tcPr>
            <w:tcW w:w="420" w:type="pct"/>
            <w:shd w:val="clear" w:color="auto" w:fill="auto"/>
            <w:vAlign w:val="center"/>
          </w:tcPr>
          <w:p>
            <w:pPr>
              <w:snapToGrid w:val="0"/>
              <w:jc w:val="center"/>
              <w:rPr>
                <w:rFonts w:eastAsiaTheme="minorEastAsia"/>
                <w:b/>
                <w:szCs w:val="21"/>
              </w:rPr>
            </w:pPr>
            <w:r>
              <w:rPr>
                <w:rFonts w:hAnsiTheme="minorEastAsia" w:eastAsiaTheme="minorEastAsia"/>
                <w:b/>
                <w:szCs w:val="21"/>
              </w:rPr>
              <w:t>单位</w:t>
            </w:r>
          </w:p>
        </w:tc>
        <w:tc>
          <w:tcPr>
            <w:tcW w:w="420" w:type="pct"/>
            <w:shd w:val="clear" w:color="auto" w:fill="auto"/>
            <w:vAlign w:val="center"/>
          </w:tcPr>
          <w:p>
            <w:pPr>
              <w:snapToGrid w:val="0"/>
              <w:jc w:val="center"/>
              <w:rPr>
                <w:rFonts w:eastAsiaTheme="minorEastAsia"/>
                <w:b/>
                <w:szCs w:val="21"/>
              </w:rPr>
            </w:pPr>
            <w:r>
              <w:rPr>
                <w:rFonts w:hAnsiTheme="minorEastAsia" w:eastAsiaTheme="minorEastAsia"/>
                <w:b/>
                <w:szCs w:val="21"/>
              </w:rPr>
              <w:t>数量</w:t>
            </w:r>
          </w:p>
        </w:tc>
        <w:tc>
          <w:tcPr>
            <w:tcW w:w="1082" w:type="pct"/>
            <w:shd w:val="clear" w:color="auto" w:fill="auto"/>
            <w:vAlign w:val="center"/>
          </w:tcPr>
          <w:p>
            <w:pPr>
              <w:snapToGrid w:val="0"/>
              <w:jc w:val="center"/>
              <w:rPr>
                <w:rFonts w:eastAsiaTheme="minorEastAsia"/>
                <w:b/>
                <w:szCs w:val="21"/>
              </w:rPr>
            </w:pPr>
            <w:r>
              <w:rPr>
                <w:rFonts w:hAnsiTheme="minorEastAsia" w:eastAsiaTheme="minorEastAsia"/>
                <w:b/>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876" w:type="pct"/>
            <w:shd w:val="clear" w:color="auto" w:fill="auto"/>
            <w:vAlign w:val="center"/>
          </w:tcPr>
          <w:p>
            <w:pPr>
              <w:pStyle w:val="65"/>
              <w:wordWrap w:val="0"/>
              <w:rPr>
                <w:rFonts w:eastAsiaTheme="minorEastAsia"/>
                <w:b w:val="0"/>
                <w:szCs w:val="21"/>
              </w:rPr>
            </w:pPr>
            <w:r>
              <w:rPr>
                <w:rFonts w:hAnsiTheme="minorEastAsia" w:eastAsiaTheme="minorEastAsia"/>
                <w:b w:val="0"/>
                <w:szCs w:val="21"/>
              </w:rPr>
              <w:t>原水池</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5.4×6.8×3.5m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钢砼</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容积</w:t>
            </w:r>
            <w:r>
              <w:rPr>
                <w:rFonts w:ascii="Times New Roman" w:eastAsiaTheme="minorEastAsia"/>
                <w:sz w:val="21"/>
                <w:szCs w:val="21"/>
              </w:rPr>
              <w:t>120m</w:t>
            </w:r>
            <w:r>
              <w:rPr>
                <w:rFonts w:ascii="Times New Roman" w:eastAsiaTheme="minorEastAsia"/>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2</w:t>
            </w:r>
          </w:p>
        </w:tc>
        <w:tc>
          <w:tcPr>
            <w:tcW w:w="876" w:type="pct"/>
            <w:shd w:val="clear" w:color="auto" w:fill="auto"/>
            <w:vAlign w:val="center"/>
          </w:tcPr>
          <w:p>
            <w:pPr>
              <w:pStyle w:val="65"/>
              <w:wordWrap w:val="0"/>
              <w:rPr>
                <w:rFonts w:eastAsiaTheme="minorEastAsia"/>
                <w:b w:val="0"/>
                <w:szCs w:val="21"/>
              </w:rPr>
            </w:pPr>
            <w:r>
              <w:rPr>
                <w:rFonts w:hAnsiTheme="minorEastAsia" w:eastAsiaTheme="minorEastAsia"/>
                <w:b w:val="0"/>
                <w:szCs w:val="21"/>
              </w:rPr>
              <w:t>中间水池</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8×4×3.5m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钢砼</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100m</w:t>
            </w:r>
            <w:r>
              <w:rPr>
                <w:rFonts w:ascii="Times New Roman" w:eastAsiaTheme="minorEastAsia"/>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3</w:t>
            </w:r>
          </w:p>
        </w:tc>
        <w:tc>
          <w:tcPr>
            <w:tcW w:w="876" w:type="pct"/>
            <w:shd w:val="clear" w:color="auto" w:fill="auto"/>
            <w:vAlign w:val="center"/>
          </w:tcPr>
          <w:p>
            <w:pPr>
              <w:pStyle w:val="65"/>
              <w:wordWrap w:val="0"/>
              <w:rPr>
                <w:rFonts w:eastAsiaTheme="minorEastAsia"/>
                <w:b w:val="0"/>
                <w:szCs w:val="21"/>
              </w:rPr>
            </w:pPr>
            <w:r>
              <w:rPr>
                <w:rFonts w:hAnsiTheme="minorEastAsia" w:eastAsiaTheme="minorEastAsia"/>
                <w:b w:val="0"/>
                <w:szCs w:val="21"/>
              </w:rPr>
              <w:t>浓水池</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8×4×3.5m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钢砼</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容积</w:t>
            </w:r>
            <w:r>
              <w:rPr>
                <w:rFonts w:ascii="Times New Roman" w:eastAsiaTheme="minorEastAsia"/>
                <w:sz w:val="21"/>
                <w:szCs w:val="21"/>
              </w:rPr>
              <w:t>100m</w:t>
            </w:r>
            <w:r>
              <w:rPr>
                <w:rFonts w:ascii="Times New Roman" w:eastAsiaTheme="minorEastAsia"/>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4</w:t>
            </w:r>
          </w:p>
        </w:tc>
        <w:tc>
          <w:tcPr>
            <w:tcW w:w="876" w:type="pct"/>
            <w:shd w:val="clear" w:color="auto" w:fill="auto"/>
            <w:vAlign w:val="center"/>
          </w:tcPr>
          <w:p>
            <w:pPr>
              <w:pStyle w:val="65"/>
              <w:wordWrap w:val="0"/>
              <w:rPr>
                <w:rFonts w:eastAsiaTheme="minorEastAsia"/>
                <w:b w:val="0"/>
                <w:szCs w:val="21"/>
              </w:rPr>
            </w:pPr>
            <w:r>
              <w:rPr>
                <w:rFonts w:hAnsiTheme="minorEastAsia" w:eastAsiaTheme="minorEastAsia"/>
                <w:b w:val="0"/>
                <w:szCs w:val="21"/>
              </w:rPr>
              <w:t>清水池</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6.3×9.6×3.5m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钢砼</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2</w:t>
            </w:r>
          </w:p>
        </w:tc>
        <w:tc>
          <w:tcPr>
            <w:tcW w:w="1082" w:type="pct"/>
            <w:shd w:val="clear" w:color="auto" w:fill="auto"/>
            <w:vAlign w:val="center"/>
          </w:tcPr>
          <w:p>
            <w:pPr>
              <w:jc w:val="center"/>
              <w:rPr>
                <w:rFonts w:eastAsiaTheme="minorEastAsia"/>
                <w:szCs w:val="21"/>
              </w:rPr>
            </w:pPr>
            <w:r>
              <w:rPr>
                <w:rFonts w:hAnsiTheme="minorEastAsia" w:eastAsiaTheme="minorEastAsia"/>
                <w:szCs w:val="21"/>
              </w:rPr>
              <w:t>单池容积</w:t>
            </w:r>
            <w:r>
              <w:rPr>
                <w:rFonts w:eastAsiaTheme="minorEastAsia"/>
                <w:szCs w:val="21"/>
              </w:rPr>
              <w:t>200m</w:t>
            </w:r>
            <w:r>
              <w:rPr>
                <w:rFonts w:eastAsiaTheme="minorEastAsia"/>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5</w:t>
            </w:r>
          </w:p>
        </w:tc>
        <w:tc>
          <w:tcPr>
            <w:tcW w:w="876" w:type="pct"/>
            <w:shd w:val="clear" w:color="auto" w:fill="auto"/>
            <w:vAlign w:val="center"/>
          </w:tcPr>
          <w:p>
            <w:pPr>
              <w:pStyle w:val="65"/>
              <w:wordWrap w:val="0"/>
              <w:rPr>
                <w:rFonts w:eastAsiaTheme="minorEastAsia"/>
                <w:b w:val="0"/>
                <w:szCs w:val="21"/>
              </w:rPr>
            </w:pPr>
            <w:r>
              <w:rPr>
                <w:rFonts w:hAnsiTheme="minorEastAsia" w:eastAsiaTheme="minorEastAsia"/>
                <w:b w:val="0"/>
                <w:szCs w:val="21"/>
              </w:rPr>
              <w:t>送水泵房</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5.8×4.4×3.1m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钢砼</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jc w:val="center"/>
              <w:rPr>
                <w:rFonts w:eastAsiaTheme="minorEastAsia"/>
                <w:szCs w:val="21"/>
              </w:rPr>
            </w:pPr>
            <w:r>
              <w:rPr>
                <w:rFonts w:eastAsiaTheme="minorEastAsia"/>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6</w:t>
            </w:r>
          </w:p>
        </w:tc>
        <w:tc>
          <w:tcPr>
            <w:tcW w:w="876" w:type="pct"/>
            <w:shd w:val="clear" w:color="auto" w:fill="auto"/>
            <w:vAlign w:val="center"/>
          </w:tcPr>
          <w:p>
            <w:pPr>
              <w:pStyle w:val="65"/>
              <w:wordWrap w:val="0"/>
              <w:rPr>
                <w:rFonts w:eastAsiaTheme="minorEastAsia"/>
                <w:b w:val="0"/>
                <w:szCs w:val="21"/>
              </w:rPr>
            </w:pPr>
            <w:r>
              <w:rPr>
                <w:rFonts w:hAnsiTheme="minorEastAsia" w:eastAsiaTheme="minorEastAsia"/>
                <w:b w:val="0"/>
                <w:szCs w:val="21"/>
              </w:rPr>
              <w:t>综合设备间（含自控和配电）</w:t>
            </w:r>
          </w:p>
        </w:tc>
        <w:tc>
          <w:tcPr>
            <w:tcW w:w="998"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34.8×9.9×6m</w:t>
            </w:r>
          </w:p>
        </w:tc>
        <w:tc>
          <w:tcPr>
            <w:tcW w:w="71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框架</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座</w:t>
            </w:r>
          </w:p>
        </w:tc>
        <w:tc>
          <w:tcPr>
            <w:tcW w:w="420"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eastAsiaTheme="minorEastAsia"/>
                <w:sz w:val="21"/>
                <w:szCs w:val="21"/>
              </w:rPr>
              <w:t>1</w:t>
            </w:r>
          </w:p>
        </w:tc>
        <w:tc>
          <w:tcPr>
            <w:tcW w:w="1082" w:type="pct"/>
            <w:shd w:val="clear" w:color="auto" w:fill="auto"/>
            <w:vAlign w:val="center"/>
          </w:tcPr>
          <w:p>
            <w:pPr>
              <w:pStyle w:val="11"/>
              <w:spacing w:line="240" w:lineRule="auto"/>
              <w:ind w:firstLine="0"/>
              <w:jc w:val="center"/>
              <w:rPr>
                <w:rFonts w:ascii="Times New Roman" w:eastAsiaTheme="minorEastAsia"/>
                <w:sz w:val="21"/>
                <w:szCs w:val="21"/>
              </w:rPr>
            </w:pPr>
            <w:r>
              <w:rPr>
                <w:rFonts w:ascii="Times New Roman" w:hAnsiTheme="minorEastAsia" w:eastAsiaTheme="minorEastAsia"/>
                <w:sz w:val="21"/>
                <w:szCs w:val="21"/>
              </w:rPr>
              <w:t>建筑面积</w:t>
            </w:r>
            <w:r>
              <w:rPr>
                <w:rFonts w:ascii="Times New Roman" w:eastAsiaTheme="minorEastAsia"/>
                <w:sz w:val="21"/>
                <w:szCs w:val="21"/>
              </w:rPr>
              <w:t>331m</w:t>
            </w:r>
            <w:r>
              <w:rPr>
                <w:rFonts w:ascii="Times New Roman" w:eastAsiaTheme="minorEastAsia"/>
                <w:sz w:val="21"/>
                <w:szCs w:val="21"/>
                <w:vertAlign w:val="superscript"/>
              </w:rPr>
              <w:t>2</w:t>
            </w:r>
            <w:r>
              <w:rPr>
                <w:rFonts w:ascii="Times New Roman" w:hAnsiTheme="minorEastAsia" w:eastAsiaTheme="minorEastAsia"/>
                <w:sz w:val="21"/>
                <w:szCs w:val="21"/>
              </w:rPr>
              <w:t>，</w:t>
            </w:r>
            <w:r>
              <w:rPr>
                <w:rFonts w:ascii="Times New Roman" w:eastAsiaTheme="minorEastAsia"/>
                <w:sz w:val="21"/>
                <w:szCs w:val="21"/>
              </w:rPr>
              <w:t>1F</w:t>
            </w:r>
          </w:p>
        </w:tc>
      </w:tr>
    </w:tbl>
    <w:p>
      <w:pPr>
        <w:spacing w:line="360" w:lineRule="auto"/>
        <w:ind w:firstLine="480" w:firstLineChars="200"/>
        <w:rPr>
          <w:rFonts w:eastAsiaTheme="minorEastAsia"/>
          <w:sz w:val="24"/>
        </w:rPr>
      </w:pPr>
      <w:r>
        <w:rPr>
          <w:rFonts w:hint="eastAsia" w:hAnsiTheme="minorEastAsia" w:eastAsiaTheme="minorEastAsia"/>
          <w:sz w:val="24"/>
        </w:rPr>
        <w:t>①</w:t>
      </w:r>
      <w:r>
        <w:rPr>
          <w:rFonts w:hAnsiTheme="minorEastAsia" w:eastAsiaTheme="minorEastAsia"/>
          <w:sz w:val="24"/>
        </w:rPr>
        <w:t>原水池</w:t>
      </w:r>
    </w:p>
    <w:p>
      <w:pPr>
        <w:spacing w:line="360" w:lineRule="auto"/>
        <w:ind w:firstLine="480" w:firstLineChars="200"/>
        <w:rPr>
          <w:rFonts w:eastAsiaTheme="minorEastAsia"/>
          <w:sz w:val="24"/>
        </w:rPr>
      </w:pPr>
      <w:r>
        <w:rPr>
          <w:rFonts w:hAnsiTheme="minorEastAsia" w:eastAsiaTheme="minorEastAsia"/>
          <w:sz w:val="24"/>
        </w:rPr>
        <w:t>原水池</w:t>
      </w:r>
      <w:r>
        <w:rPr>
          <w:rFonts w:eastAsiaTheme="minorEastAsia"/>
          <w:sz w:val="24"/>
        </w:rPr>
        <w:t>1</w:t>
      </w:r>
      <w:r>
        <w:rPr>
          <w:rFonts w:hAnsiTheme="minorEastAsia" w:eastAsiaTheme="minorEastAsia"/>
          <w:sz w:val="24"/>
        </w:rPr>
        <w:t>座，有效容积</w:t>
      </w:r>
      <w:r>
        <w:rPr>
          <w:rFonts w:eastAsiaTheme="minorEastAsia"/>
          <w:sz w:val="24"/>
        </w:rPr>
        <w:t>120m</w:t>
      </w:r>
      <w:r>
        <w:rPr>
          <w:rFonts w:eastAsiaTheme="minorEastAsia"/>
          <w:sz w:val="24"/>
          <w:vertAlign w:val="superscript"/>
        </w:rPr>
        <w:t>3</w:t>
      </w:r>
      <w:r>
        <w:rPr>
          <w:rFonts w:hAnsiTheme="minorEastAsia" w:eastAsiaTheme="minorEastAsia"/>
          <w:sz w:val="24"/>
        </w:rPr>
        <w:t>，满足反渗透处理设备</w:t>
      </w:r>
      <w:r>
        <w:rPr>
          <w:rFonts w:eastAsiaTheme="minorEastAsia"/>
          <w:sz w:val="24"/>
        </w:rPr>
        <w:t>1.4</w:t>
      </w:r>
      <w:r>
        <w:rPr>
          <w:rFonts w:hAnsiTheme="minorEastAsia" w:eastAsiaTheme="minorEastAsia"/>
          <w:sz w:val="24"/>
        </w:rPr>
        <w:t>小时水处理能力。</w:t>
      </w:r>
      <w:r>
        <w:rPr>
          <w:rFonts w:eastAsiaTheme="minorEastAsia"/>
          <w:sz w:val="24"/>
        </w:rPr>
        <w:t>L</w:t>
      </w:r>
      <w:r>
        <w:rPr>
          <w:rFonts w:hint="eastAsia" w:ascii="宋体" w:hAnsi="宋体"/>
          <w:sz w:val="24"/>
        </w:rPr>
        <w:t>×</w:t>
      </w:r>
      <w:r>
        <w:rPr>
          <w:rFonts w:eastAsiaTheme="minorEastAsia"/>
          <w:sz w:val="24"/>
        </w:rPr>
        <w:t>B</w:t>
      </w:r>
      <w:r>
        <w:rPr>
          <w:rFonts w:hint="eastAsia" w:ascii="宋体" w:hAnsi="宋体"/>
          <w:sz w:val="24"/>
        </w:rPr>
        <w:t>×</w:t>
      </w:r>
      <w:r>
        <w:rPr>
          <w:rFonts w:eastAsiaTheme="minorEastAsia"/>
          <w:sz w:val="24"/>
        </w:rPr>
        <w:t>H=5.4</w:t>
      </w:r>
      <w:r>
        <w:rPr>
          <w:rFonts w:hint="eastAsia" w:ascii="宋体" w:hAnsi="宋体"/>
          <w:sz w:val="24"/>
        </w:rPr>
        <w:t>×</w:t>
      </w:r>
      <w:r>
        <w:rPr>
          <w:rFonts w:eastAsiaTheme="minorEastAsia"/>
          <w:sz w:val="24"/>
        </w:rPr>
        <w:t>6.8</w:t>
      </w:r>
      <w:r>
        <w:rPr>
          <w:rFonts w:hint="eastAsia" w:ascii="宋体" w:hAnsi="宋体"/>
          <w:sz w:val="24"/>
        </w:rPr>
        <w:t>×</w:t>
      </w:r>
      <w:r>
        <w:rPr>
          <w:rFonts w:eastAsiaTheme="minorEastAsia"/>
          <w:sz w:val="24"/>
        </w:rPr>
        <w:t>3.5m</w:t>
      </w:r>
      <w:r>
        <w:rPr>
          <w:rFonts w:hAnsiTheme="minorEastAsia" w:eastAsiaTheme="minorEastAsia"/>
          <w:sz w:val="24"/>
        </w:rPr>
        <w:t>，有效水深</w:t>
      </w:r>
      <w:r>
        <w:rPr>
          <w:rFonts w:eastAsiaTheme="minorEastAsia"/>
          <w:sz w:val="24"/>
        </w:rPr>
        <w:t>3.3m</w:t>
      </w:r>
      <w:r>
        <w:rPr>
          <w:rFonts w:hAnsiTheme="minorEastAsia" w:eastAsiaTheme="minorEastAsia"/>
          <w:sz w:val="24"/>
        </w:rPr>
        <w:t>，地下钢砼结构。</w:t>
      </w:r>
    </w:p>
    <w:p>
      <w:pPr>
        <w:spacing w:line="360" w:lineRule="auto"/>
        <w:ind w:firstLine="480" w:firstLineChars="200"/>
        <w:rPr>
          <w:rFonts w:eastAsiaTheme="minorEastAsia"/>
          <w:sz w:val="24"/>
        </w:rPr>
      </w:pPr>
      <w:r>
        <w:rPr>
          <w:rFonts w:hint="eastAsia" w:ascii="宋体" w:hAnsi="宋体" w:cs="宋体"/>
          <w:sz w:val="24"/>
        </w:rPr>
        <w:t>②</w:t>
      </w:r>
      <w:r>
        <w:rPr>
          <w:rFonts w:hAnsiTheme="minorEastAsia" w:eastAsiaTheme="minorEastAsia"/>
          <w:sz w:val="24"/>
        </w:rPr>
        <w:t>中间水池</w:t>
      </w:r>
    </w:p>
    <w:p>
      <w:pPr>
        <w:spacing w:line="360" w:lineRule="auto"/>
        <w:ind w:firstLine="480" w:firstLineChars="200"/>
        <w:rPr>
          <w:rFonts w:eastAsiaTheme="minorEastAsia"/>
          <w:sz w:val="24"/>
        </w:rPr>
      </w:pPr>
      <w:r>
        <w:rPr>
          <w:rFonts w:hAnsiTheme="minorEastAsia" w:eastAsiaTheme="minorEastAsia"/>
          <w:sz w:val="24"/>
        </w:rPr>
        <w:t>中间水池</w:t>
      </w:r>
      <w:r>
        <w:rPr>
          <w:rFonts w:eastAsiaTheme="minorEastAsia"/>
          <w:sz w:val="24"/>
        </w:rPr>
        <w:t>1</w:t>
      </w:r>
      <w:r>
        <w:rPr>
          <w:rFonts w:hAnsiTheme="minorEastAsia" w:eastAsiaTheme="minorEastAsia"/>
          <w:sz w:val="24"/>
        </w:rPr>
        <w:t>座，有效容积</w:t>
      </w:r>
      <w:r>
        <w:rPr>
          <w:rFonts w:eastAsiaTheme="minorEastAsia"/>
          <w:sz w:val="24"/>
        </w:rPr>
        <w:t>100m</w:t>
      </w:r>
      <w:r>
        <w:rPr>
          <w:rFonts w:eastAsiaTheme="minorEastAsia"/>
          <w:sz w:val="24"/>
          <w:vertAlign w:val="superscript"/>
        </w:rPr>
        <w:t>3</w:t>
      </w:r>
      <w:r>
        <w:rPr>
          <w:rFonts w:hAnsiTheme="minorEastAsia" w:eastAsiaTheme="minorEastAsia"/>
          <w:sz w:val="24"/>
        </w:rPr>
        <w:t>，主要储存反渗透处理后水及反冲洗水。</w:t>
      </w:r>
      <w:r>
        <w:rPr>
          <w:rFonts w:eastAsiaTheme="minorEastAsia"/>
          <w:sz w:val="24"/>
        </w:rPr>
        <w:t>L</w:t>
      </w:r>
      <w:r>
        <w:rPr>
          <w:rFonts w:hint="eastAsia" w:ascii="宋体" w:hAnsi="宋体"/>
          <w:sz w:val="24"/>
        </w:rPr>
        <w:t>×</w:t>
      </w:r>
      <w:r>
        <w:rPr>
          <w:rFonts w:eastAsiaTheme="minorEastAsia"/>
          <w:sz w:val="24"/>
        </w:rPr>
        <w:t>B</w:t>
      </w:r>
      <w:r>
        <w:rPr>
          <w:rFonts w:hint="eastAsia" w:ascii="宋体" w:hAnsi="宋体"/>
          <w:sz w:val="24"/>
        </w:rPr>
        <w:t>×</w:t>
      </w:r>
      <w:r>
        <w:rPr>
          <w:rFonts w:eastAsiaTheme="minorEastAsia"/>
          <w:sz w:val="24"/>
        </w:rPr>
        <w:t>H=8</w:t>
      </w:r>
      <w:r>
        <w:rPr>
          <w:rFonts w:hint="eastAsia" w:ascii="宋体" w:hAnsi="宋体"/>
          <w:sz w:val="24"/>
        </w:rPr>
        <w:t>×</w:t>
      </w:r>
      <w:r>
        <w:rPr>
          <w:rFonts w:eastAsiaTheme="minorEastAsia"/>
          <w:sz w:val="24"/>
        </w:rPr>
        <w:t>4</w:t>
      </w:r>
      <w:r>
        <w:rPr>
          <w:rFonts w:hint="eastAsia" w:ascii="宋体" w:hAnsi="宋体"/>
          <w:sz w:val="24"/>
        </w:rPr>
        <w:t>×</w:t>
      </w:r>
      <w:r>
        <w:rPr>
          <w:rFonts w:eastAsiaTheme="minorEastAsia"/>
          <w:sz w:val="24"/>
        </w:rPr>
        <w:t>3.5m</w:t>
      </w:r>
      <w:r>
        <w:rPr>
          <w:rFonts w:hAnsiTheme="minorEastAsia" w:eastAsiaTheme="minorEastAsia"/>
          <w:sz w:val="24"/>
        </w:rPr>
        <w:t>，有效水深</w:t>
      </w:r>
      <w:r>
        <w:rPr>
          <w:rFonts w:eastAsiaTheme="minorEastAsia"/>
          <w:sz w:val="24"/>
        </w:rPr>
        <w:t>3.3m</w:t>
      </w:r>
      <w:r>
        <w:rPr>
          <w:rFonts w:hAnsiTheme="minorEastAsia" w:eastAsiaTheme="minorEastAsia"/>
          <w:sz w:val="24"/>
        </w:rPr>
        <w:t>，地下钢砼结构。</w:t>
      </w:r>
    </w:p>
    <w:p>
      <w:pPr>
        <w:spacing w:line="360" w:lineRule="auto"/>
        <w:ind w:firstLine="480" w:firstLineChars="200"/>
        <w:rPr>
          <w:rFonts w:eastAsiaTheme="minorEastAsia"/>
          <w:sz w:val="24"/>
        </w:rPr>
      </w:pPr>
      <w:r>
        <w:rPr>
          <w:rFonts w:hint="eastAsia" w:ascii="宋体" w:hAnsi="宋体" w:cs="宋体"/>
          <w:sz w:val="24"/>
        </w:rPr>
        <w:t>③</w:t>
      </w:r>
      <w:r>
        <w:rPr>
          <w:rFonts w:hAnsiTheme="minorEastAsia" w:eastAsiaTheme="minorEastAsia"/>
          <w:sz w:val="24"/>
        </w:rPr>
        <w:t>浓水池</w:t>
      </w:r>
    </w:p>
    <w:p>
      <w:pPr>
        <w:spacing w:line="360" w:lineRule="auto"/>
        <w:ind w:firstLine="480" w:firstLineChars="200"/>
        <w:rPr>
          <w:rFonts w:eastAsiaTheme="minorEastAsia"/>
          <w:sz w:val="24"/>
        </w:rPr>
      </w:pPr>
      <w:r>
        <w:rPr>
          <w:rFonts w:hAnsiTheme="minorEastAsia" w:eastAsiaTheme="minorEastAsia"/>
          <w:sz w:val="24"/>
        </w:rPr>
        <w:t>浓水池</w:t>
      </w:r>
      <w:r>
        <w:rPr>
          <w:rFonts w:eastAsiaTheme="minorEastAsia"/>
          <w:sz w:val="24"/>
        </w:rPr>
        <w:t>1</w:t>
      </w:r>
      <w:r>
        <w:rPr>
          <w:rFonts w:hAnsiTheme="minorEastAsia" w:eastAsiaTheme="minorEastAsia"/>
          <w:sz w:val="24"/>
        </w:rPr>
        <w:t>座，有效容积</w:t>
      </w:r>
      <w:r>
        <w:rPr>
          <w:rFonts w:eastAsiaTheme="minorEastAsia"/>
          <w:sz w:val="24"/>
        </w:rPr>
        <w:t>100m</w:t>
      </w:r>
      <w:r>
        <w:rPr>
          <w:rFonts w:eastAsiaTheme="minorEastAsia"/>
          <w:sz w:val="24"/>
          <w:vertAlign w:val="superscript"/>
        </w:rPr>
        <w:t>3</w:t>
      </w:r>
      <w:r>
        <w:rPr>
          <w:rFonts w:hAnsiTheme="minorEastAsia" w:eastAsiaTheme="minorEastAsia"/>
          <w:sz w:val="24"/>
        </w:rPr>
        <w:t>，主要储存反渗透浓水。</w:t>
      </w:r>
      <w:r>
        <w:rPr>
          <w:rFonts w:eastAsiaTheme="minorEastAsia"/>
          <w:sz w:val="24"/>
        </w:rPr>
        <w:t>LXBXH=8X4X3.5m</w:t>
      </w:r>
      <w:r>
        <w:rPr>
          <w:rFonts w:hAnsiTheme="minorEastAsia" w:eastAsiaTheme="minorEastAsia"/>
          <w:sz w:val="24"/>
        </w:rPr>
        <w:t>，有效水深</w:t>
      </w:r>
      <w:r>
        <w:rPr>
          <w:rFonts w:eastAsiaTheme="minorEastAsia"/>
          <w:sz w:val="24"/>
        </w:rPr>
        <w:t>3.3m</w:t>
      </w:r>
      <w:r>
        <w:rPr>
          <w:rFonts w:hAnsiTheme="minorEastAsia" w:eastAsiaTheme="minorEastAsia"/>
          <w:sz w:val="24"/>
        </w:rPr>
        <w:t>，地下钢砼结构，该浓水可作为多介质过滤器的反冲洗水。</w:t>
      </w:r>
    </w:p>
    <w:p>
      <w:pPr>
        <w:spacing w:line="360" w:lineRule="auto"/>
        <w:ind w:firstLine="480" w:firstLineChars="200"/>
        <w:rPr>
          <w:rFonts w:eastAsiaTheme="minorEastAsia"/>
          <w:sz w:val="24"/>
        </w:rPr>
      </w:pPr>
      <w:r>
        <w:rPr>
          <w:rFonts w:hint="eastAsia" w:hAnsiTheme="minorEastAsia" w:eastAsiaTheme="minorEastAsia"/>
          <w:sz w:val="24"/>
        </w:rPr>
        <w:t>④</w:t>
      </w:r>
      <w:r>
        <w:rPr>
          <w:rFonts w:hAnsiTheme="minorEastAsia" w:eastAsiaTheme="minorEastAsia"/>
          <w:sz w:val="24"/>
        </w:rPr>
        <w:t>清水池</w:t>
      </w:r>
    </w:p>
    <w:p>
      <w:pPr>
        <w:spacing w:line="360" w:lineRule="auto"/>
        <w:ind w:firstLine="480" w:firstLineChars="200"/>
        <w:rPr>
          <w:rFonts w:eastAsiaTheme="minorEastAsia"/>
          <w:sz w:val="24"/>
        </w:rPr>
      </w:pPr>
      <w:r>
        <w:rPr>
          <w:rFonts w:hAnsiTheme="minorEastAsia" w:eastAsiaTheme="minorEastAsia"/>
          <w:sz w:val="24"/>
        </w:rPr>
        <w:t>清水池</w:t>
      </w:r>
      <w:r>
        <w:rPr>
          <w:rFonts w:eastAsiaTheme="minorEastAsia"/>
          <w:sz w:val="24"/>
        </w:rPr>
        <w:t>2</w:t>
      </w:r>
      <w:r>
        <w:rPr>
          <w:rFonts w:hAnsiTheme="minorEastAsia" w:eastAsiaTheme="minorEastAsia"/>
          <w:sz w:val="24"/>
        </w:rPr>
        <w:t>座，单池调节容积</w:t>
      </w:r>
      <w:r>
        <w:rPr>
          <w:rFonts w:eastAsiaTheme="minorEastAsia"/>
          <w:sz w:val="24"/>
        </w:rPr>
        <w:t>200m</w:t>
      </w:r>
      <w:r>
        <w:rPr>
          <w:rFonts w:eastAsiaTheme="minorEastAsia"/>
          <w:sz w:val="24"/>
          <w:vertAlign w:val="superscript"/>
        </w:rPr>
        <w:t>3</w:t>
      </w:r>
      <w:r>
        <w:rPr>
          <w:rFonts w:hAnsiTheme="minorEastAsia" w:eastAsiaTheme="minorEastAsia"/>
          <w:sz w:val="24"/>
        </w:rPr>
        <w:t>，单座</w:t>
      </w:r>
      <w:r>
        <w:rPr>
          <w:rFonts w:eastAsiaTheme="minorEastAsia"/>
          <w:sz w:val="24"/>
        </w:rPr>
        <w:t>LXBXH=9.6X6.3X3.5m</w:t>
      </w:r>
      <w:r>
        <w:rPr>
          <w:rFonts w:hAnsiTheme="minorEastAsia" w:eastAsiaTheme="minorEastAsia"/>
          <w:sz w:val="24"/>
        </w:rPr>
        <w:t>，有效水深</w:t>
      </w:r>
      <w:r>
        <w:rPr>
          <w:rFonts w:eastAsiaTheme="minorEastAsia"/>
          <w:sz w:val="24"/>
        </w:rPr>
        <w:t>3.3m</w:t>
      </w:r>
      <w:r>
        <w:rPr>
          <w:rFonts w:hAnsiTheme="minorEastAsia" w:eastAsiaTheme="minorEastAsia"/>
          <w:sz w:val="24"/>
        </w:rPr>
        <w:t>，地下钢砼结构。</w:t>
      </w:r>
    </w:p>
    <w:p>
      <w:pPr>
        <w:spacing w:line="360" w:lineRule="auto"/>
        <w:ind w:firstLine="480" w:firstLineChars="200"/>
        <w:rPr>
          <w:rFonts w:eastAsiaTheme="minorEastAsia"/>
          <w:sz w:val="24"/>
        </w:rPr>
      </w:pPr>
      <w:r>
        <w:rPr>
          <w:rFonts w:hint="eastAsia" w:hAnsiTheme="minorEastAsia" w:eastAsiaTheme="minorEastAsia"/>
          <w:sz w:val="24"/>
        </w:rPr>
        <w:t>⑤</w:t>
      </w:r>
      <w:r>
        <w:rPr>
          <w:rFonts w:hAnsiTheme="minorEastAsia" w:eastAsiaTheme="minorEastAsia"/>
          <w:sz w:val="24"/>
        </w:rPr>
        <w:t>送水泵房</w:t>
      </w:r>
    </w:p>
    <w:p>
      <w:pPr>
        <w:spacing w:line="360" w:lineRule="auto"/>
        <w:ind w:firstLine="480" w:firstLineChars="200"/>
        <w:rPr>
          <w:rFonts w:eastAsiaTheme="minorEastAsia"/>
          <w:sz w:val="24"/>
        </w:rPr>
      </w:pPr>
      <w:r>
        <w:rPr>
          <w:rFonts w:hAnsiTheme="minorEastAsia" w:eastAsiaTheme="minorEastAsia"/>
          <w:sz w:val="24"/>
        </w:rPr>
        <w:t>送水泵房设计规模为</w:t>
      </w:r>
      <w:r>
        <w:rPr>
          <w:rFonts w:eastAsiaTheme="minorEastAsia"/>
          <w:sz w:val="24"/>
        </w:rPr>
        <w:t>2000m</w:t>
      </w:r>
      <w:r>
        <w:rPr>
          <w:rFonts w:eastAsiaTheme="minorEastAsia"/>
          <w:sz w:val="24"/>
          <w:vertAlign w:val="superscript"/>
        </w:rPr>
        <w:t>3</w:t>
      </w:r>
      <w:r>
        <w:rPr>
          <w:rFonts w:eastAsiaTheme="minorEastAsia"/>
          <w:sz w:val="24"/>
        </w:rPr>
        <w:t>/d</w:t>
      </w:r>
      <w:r>
        <w:rPr>
          <w:rFonts w:hAnsiTheme="minorEastAsia" w:eastAsiaTheme="minorEastAsia"/>
          <w:sz w:val="24"/>
        </w:rPr>
        <w:t>，时变化系数</w:t>
      </w:r>
      <w:r>
        <w:rPr>
          <w:rFonts w:eastAsiaTheme="minorEastAsia"/>
          <w:sz w:val="24"/>
        </w:rPr>
        <w:t>1.56</w:t>
      </w:r>
      <w:r>
        <w:rPr>
          <w:rFonts w:hAnsiTheme="minorEastAsia" w:eastAsiaTheme="minorEastAsia"/>
          <w:sz w:val="24"/>
        </w:rPr>
        <w:t>。</w:t>
      </w:r>
    </w:p>
    <w:p>
      <w:pPr>
        <w:spacing w:line="360" w:lineRule="auto"/>
        <w:ind w:firstLine="480" w:firstLineChars="200"/>
        <w:rPr>
          <w:rFonts w:eastAsiaTheme="minorEastAsia"/>
          <w:sz w:val="24"/>
        </w:rPr>
      </w:pPr>
      <w:r>
        <w:rPr>
          <w:rFonts w:hAnsiTheme="minorEastAsia" w:eastAsiaTheme="minorEastAsia"/>
          <w:sz w:val="24"/>
        </w:rPr>
        <w:t>根据管网平差成果，工程出厂水压力为</w:t>
      </w:r>
      <w:r>
        <w:rPr>
          <w:rFonts w:eastAsiaTheme="minorEastAsia"/>
          <w:sz w:val="24"/>
        </w:rPr>
        <w:t>0.40MPa</w:t>
      </w:r>
      <w:r>
        <w:rPr>
          <w:rFonts w:hAnsiTheme="minorEastAsia" w:eastAsiaTheme="minorEastAsia"/>
          <w:sz w:val="24"/>
        </w:rPr>
        <w:t>。</w:t>
      </w:r>
    </w:p>
    <w:p>
      <w:pPr>
        <w:spacing w:line="360" w:lineRule="auto"/>
        <w:ind w:firstLine="480" w:firstLineChars="200"/>
        <w:rPr>
          <w:rFonts w:eastAsiaTheme="minorEastAsia"/>
          <w:sz w:val="24"/>
        </w:rPr>
      </w:pPr>
      <w:r>
        <w:rPr>
          <w:rFonts w:hAnsiTheme="minorEastAsia" w:eastAsiaTheme="minorEastAsia"/>
          <w:sz w:val="24"/>
        </w:rPr>
        <w:t>送水泵房平面尺寸：</w:t>
      </w:r>
      <w:r>
        <w:rPr>
          <w:rFonts w:eastAsiaTheme="minorEastAsia"/>
          <w:sz w:val="24"/>
        </w:rPr>
        <w:t>5.8m</w:t>
      </w:r>
      <w:r>
        <w:rPr>
          <w:rFonts w:hint="eastAsia" w:ascii="宋体" w:hAnsi="宋体"/>
          <w:sz w:val="24"/>
        </w:rPr>
        <w:t>×</w:t>
      </w:r>
      <w:r>
        <w:rPr>
          <w:rFonts w:eastAsiaTheme="minorEastAsia"/>
          <w:sz w:val="24"/>
        </w:rPr>
        <w:t>4.4m</w:t>
      </w:r>
      <w:r>
        <w:rPr>
          <w:rFonts w:hAnsiTheme="minorEastAsia" w:eastAsiaTheme="minorEastAsia"/>
          <w:sz w:val="24"/>
        </w:rPr>
        <w:t>，地下钢砼结构。水泵在清水池高水位时自灌启动。</w:t>
      </w:r>
    </w:p>
    <w:p>
      <w:pPr>
        <w:spacing w:line="360" w:lineRule="auto"/>
        <w:ind w:firstLine="480" w:firstLineChars="200"/>
        <w:rPr>
          <w:rFonts w:eastAsiaTheme="minorEastAsia"/>
          <w:sz w:val="24"/>
        </w:rPr>
      </w:pPr>
      <w:r>
        <w:rPr>
          <w:rFonts w:hAnsiTheme="minorEastAsia" w:eastAsiaTheme="minorEastAsia"/>
          <w:sz w:val="24"/>
        </w:rPr>
        <w:t>水泵配置如下：</w:t>
      </w:r>
    </w:p>
    <w:p>
      <w:pPr>
        <w:spacing w:line="360" w:lineRule="auto"/>
        <w:ind w:firstLine="480" w:firstLineChars="200"/>
        <w:rPr>
          <w:rFonts w:eastAsiaTheme="minorEastAsia"/>
          <w:sz w:val="24"/>
        </w:rPr>
      </w:pPr>
      <w:r>
        <w:rPr>
          <w:rFonts w:hAnsiTheme="minorEastAsia" w:eastAsiaTheme="minorEastAsia"/>
          <w:sz w:val="24"/>
        </w:rPr>
        <w:t>两台一用一备（变频调速），单台参数：</w:t>
      </w:r>
      <w:r>
        <w:rPr>
          <w:rFonts w:eastAsiaTheme="minorEastAsia"/>
          <w:sz w:val="24"/>
        </w:rPr>
        <w:t>Q=130m</w:t>
      </w:r>
      <w:r>
        <w:rPr>
          <w:rFonts w:eastAsiaTheme="minorEastAsia"/>
          <w:sz w:val="24"/>
          <w:vertAlign w:val="superscript"/>
        </w:rPr>
        <w:t>3</w:t>
      </w:r>
      <w:r>
        <w:rPr>
          <w:rFonts w:eastAsiaTheme="minorEastAsia"/>
          <w:sz w:val="24"/>
        </w:rPr>
        <w:t>/h</w:t>
      </w:r>
      <w:r>
        <w:rPr>
          <w:rFonts w:hAnsiTheme="minorEastAsia" w:eastAsiaTheme="minorEastAsia"/>
          <w:sz w:val="24"/>
        </w:rPr>
        <w:t>，</w:t>
      </w:r>
      <w:r>
        <w:rPr>
          <w:rFonts w:eastAsiaTheme="minorEastAsia"/>
          <w:sz w:val="24"/>
        </w:rPr>
        <w:t xml:space="preserve">H=40m </w:t>
      </w:r>
      <w:r>
        <w:rPr>
          <w:rFonts w:hAnsiTheme="minorEastAsia" w:eastAsiaTheme="minorEastAsia"/>
          <w:sz w:val="24"/>
        </w:rPr>
        <w:t>，</w:t>
      </w:r>
      <w:r>
        <w:rPr>
          <w:rFonts w:eastAsiaTheme="minorEastAsia"/>
          <w:sz w:val="24"/>
        </w:rPr>
        <w:t>N=30kw</w:t>
      </w:r>
      <w:r>
        <w:rPr>
          <w:rFonts w:hAnsiTheme="minorEastAsia" w:eastAsiaTheme="minorEastAsia"/>
          <w:sz w:val="24"/>
        </w:rPr>
        <w:t>。</w:t>
      </w:r>
    </w:p>
    <w:p>
      <w:pPr>
        <w:spacing w:line="360" w:lineRule="auto"/>
        <w:ind w:firstLine="480" w:firstLineChars="200"/>
        <w:rPr>
          <w:rFonts w:eastAsiaTheme="minorEastAsia"/>
          <w:sz w:val="24"/>
        </w:rPr>
      </w:pPr>
      <w:r>
        <w:rPr>
          <w:rFonts w:hint="eastAsia" w:hAnsiTheme="minorEastAsia" w:eastAsiaTheme="minorEastAsia"/>
          <w:sz w:val="24"/>
        </w:rPr>
        <w:t>⑥</w:t>
      </w:r>
      <w:r>
        <w:rPr>
          <w:rFonts w:hAnsiTheme="minorEastAsia" w:eastAsiaTheme="minorEastAsia"/>
          <w:sz w:val="24"/>
        </w:rPr>
        <w:t>综合设备间（含配电室及自控室）</w:t>
      </w:r>
    </w:p>
    <w:p>
      <w:pPr>
        <w:pStyle w:val="63"/>
        <w:ind w:firstLine="480"/>
        <w:rPr>
          <w:color w:val="auto"/>
        </w:rPr>
      </w:pPr>
      <w:r>
        <w:rPr>
          <w:rFonts w:cs="Times New Roman" w:hAnsiTheme="minorEastAsia" w:eastAsiaTheme="minorEastAsia"/>
          <w:color w:val="auto"/>
          <w:szCs w:val="24"/>
        </w:rPr>
        <w:t>综合设备</w:t>
      </w:r>
      <w:r>
        <w:rPr>
          <w:rFonts w:cs="Times New Roman" w:eastAsiaTheme="minorEastAsia"/>
          <w:color w:val="auto"/>
          <w:szCs w:val="24"/>
        </w:rPr>
        <w:t>L</w:t>
      </w:r>
      <w:r>
        <w:rPr>
          <w:rFonts w:hint="eastAsia" w:ascii="宋体" w:hAnsi="宋体" w:cs="Times New Roman"/>
          <w:color w:val="auto"/>
          <w:szCs w:val="24"/>
        </w:rPr>
        <w:t>×</w:t>
      </w:r>
      <w:r>
        <w:rPr>
          <w:rFonts w:cs="Times New Roman" w:eastAsiaTheme="minorEastAsia"/>
          <w:color w:val="auto"/>
          <w:szCs w:val="24"/>
        </w:rPr>
        <w:t>B</w:t>
      </w:r>
      <w:r>
        <w:rPr>
          <w:rFonts w:hint="eastAsia" w:ascii="宋体" w:hAnsi="宋体" w:cs="Times New Roman"/>
          <w:color w:val="auto"/>
          <w:szCs w:val="24"/>
        </w:rPr>
        <w:t>×</w:t>
      </w:r>
      <w:r>
        <w:rPr>
          <w:rFonts w:cs="Times New Roman" w:eastAsiaTheme="minorEastAsia"/>
          <w:color w:val="auto"/>
          <w:szCs w:val="24"/>
        </w:rPr>
        <w:t>H=34.8</w:t>
      </w:r>
      <w:r>
        <w:rPr>
          <w:rFonts w:hint="eastAsia" w:ascii="宋体" w:hAnsi="宋体" w:cs="Times New Roman"/>
          <w:color w:val="auto"/>
          <w:szCs w:val="24"/>
        </w:rPr>
        <w:t>×</w:t>
      </w:r>
      <w:r>
        <w:rPr>
          <w:rFonts w:cs="Times New Roman" w:eastAsiaTheme="minorEastAsia"/>
          <w:color w:val="auto"/>
          <w:szCs w:val="24"/>
        </w:rPr>
        <w:t>9.9</w:t>
      </w:r>
      <w:r>
        <w:rPr>
          <w:rFonts w:hint="eastAsia" w:ascii="宋体" w:hAnsi="宋体" w:cs="Times New Roman"/>
          <w:color w:val="auto"/>
          <w:szCs w:val="24"/>
        </w:rPr>
        <w:t>×</w:t>
      </w:r>
      <w:r>
        <w:rPr>
          <w:rFonts w:cs="Times New Roman" w:eastAsiaTheme="minorEastAsia"/>
          <w:color w:val="auto"/>
          <w:szCs w:val="24"/>
        </w:rPr>
        <w:t>6m</w:t>
      </w:r>
      <w:r>
        <w:rPr>
          <w:rFonts w:cs="Times New Roman" w:hAnsiTheme="minorEastAsia" w:eastAsiaTheme="minorEastAsia"/>
          <w:color w:val="auto"/>
          <w:szCs w:val="24"/>
        </w:rPr>
        <w:t>，框架结构，主要设备</w:t>
      </w:r>
      <w:r>
        <w:rPr>
          <w:rFonts w:hint="eastAsia"/>
          <w:color w:val="auto"/>
          <w:szCs w:val="21"/>
        </w:rPr>
        <w:t>清单见表2.4-6</w:t>
      </w:r>
      <w:r>
        <w:rPr>
          <w:rFonts w:cs="Times New Roman" w:hAnsiTheme="minorEastAsia" w:eastAsiaTheme="minorEastAsia"/>
          <w:color w:val="auto"/>
          <w:szCs w:val="24"/>
        </w:rPr>
        <w:t>。</w:t>
      </w:r>
    </w:p>
    <w:p>
      <w:pPr>
        <w:pStyle w:val="65"/>
      </w:pPr>
      <w:r>
        <w:rPr>
          <w:rFonts w:hint="eastAsia"/>
        </w:rPr>
        <w:t>表2.4-6     主要设备清单</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2150"/>
        <w:gridCol w:w="2704"/>
        <w:gridCol w:w="1495"/>
        <w:gridCol w:w="880"/>
        <w:gridCol w:w="12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b/>
                <w:szCs w:val="21"/>
              </w:rPr>
            </w:pPr>
            <w:r>
              <w:rPr>
                <w:rFonts w:hAnsiTheme="minorEastAsia" w:eastAsiaTheme="minorEastAsia"/>
                <w:b/>
                <w:szCs w:val="21"/>
              </w:rPr>
              <w:t>序号</w:t>
            </w:r>
          </w:p>
        </w:tc>
        <w:tc>
          <w:tcPr>
            <w:tcW w:w="1163" w:type="pct"/>
            <w:vAlign w:val="center"/>
          </w:tcPr>
          <w:p>
            <w:pPr>
              <w:autoSpaceDE w:val="0"/>
              <w:autoSpaceDN w:val="0"/>
              <w:adjustRightInd w:val="0"/>
              <w:jc w:val="center"/>
              <w:rPr>
                <w:rFonts w:eastAsiaTheme="minorEastAsia"/>
                <w:b/>
                <w:szCs w:val="21"/>
              </w:rPr>
            </w:pPr>
            <w:r>
              <w:rPr>
                <w:rFonts w:hAnsiTheme="minorEastAsia" w:eastAsiaTheme="minorEastAsia"/>
                <w:b/>
                <w:szCs w:val="21"/>
              </w:rPr>
              <w:t>设备名称</w:t>
            </w:r>
          </w:p>
        </w:tc>
        <w:tc>
          <w:tcPr>
            <w:tcW w:w="1463" w:type="pct"/>
            <w:vAlign w:val="center"/>
          </w:tcPr>
          <w:p>
            <w:pPr>
              <w:autoSpaceDE w:val="0"/>
              <w:autoSpaceDN w:val="0"/>
              <w:adjustRightInd w:val="0"/>
              <w:jc w:val="center"/>
              <w:rPr>
                <w:rFonts w:eastAsiaTheme="minorEastAsia"/>
                <w:b/>
                <w:szCs w:val="21"/>
              </w:rPr>
            </w:pPr>
            <w:r>
              <w:rPr>
                <w:rFonts w:hAnsiTheme="minorEastAsia" w:eastAsiaTheme="minorEastAsia"/>
                <w:b/>
                <w:szCs w:val="21"/>
              </w:rPr>
              <w:t>规格</w:t>
            </w:r>
          </w:p>
        </w:tc>
        <w:tc>
          <w:tcPr>
            <w:tcW w:w="809" w:type="pct"/>
            <w:vAlign w:val="center"/>
          </w:tcPr>
          <w:p>
            <w:pPr>
              <w:autoSpaceDE w:val="0"/>
              <w:autoSpaceDN w:val="0"/>
              <w:adjustRightInd w:val="0"/>
              <w:jc w:val="center"/>
              <w:rPr>
                <w:rFonts w:eastAsiaTheme="minorEastAsia"/>
                <w:b/>
                <w:szCs w:val="21"/>
              </w:rPr>
            </w:pPr>
            <w:r>
              <w:rPr>
                <w:rFonts w:hAnsiTheme="minorEastAsia" w:eastAsiaTheme="minorEastAsia"/>
                <w:b/>
                <w:szCs w:val="21"/>
              </w:rPr>
              <w:t>单位</w:t>
            </w:r>
          </w:p>
        </w:tc>
        <w:tc>
          <w:tcPr>
            <w:tcW w:w="476" w:type="pct"/>
            <w:vAlign w:val="center"/>
          </w:tcPr>
          <w:p>
            <w:pPr>
              <w:autoSpaceDE w:val="0"/>
              <w:autoSpaceDN w:val="0"/>
              <w:adjustRightInd w:val="0"/>
              <w:jc w:val="center"/>
              <w:rPr>
                <w:rFonts w:eastAsiaTheme="minorEastAsia"/>
                <w:b/>
                <w:szCs w:val="21"/>
              </w:rPr>
            </w:pPr>
            <w:r>
              <w:rPr>
                <w:rFonts w:hAnsiTheme="minorEastAsia" w:eastAsiaTheme="minorEastAsia"/>
                <w:b/>
                <w:szCs w:val="21"/>
              </w:rPr>
              <w:t>数量</w:t>
            </w:r>
          </w:p>
        </w:tc>
        <w:tc>
          <w:tcPr>
            <w:tcW w:w="677" w:type="pct"/>
            <w:vAlign w:val="center"/>
          </w:tcPr>
          <w:p>
            <w:pPr>
              <w:autoSpaceDE w:val="0"/>
              <w:autoSpaceDN w:val="0"/>
              <w:adjustRightInd w:val="0"/>
              <w:jc w:val="center"/>
              <w:rPr>
                <w:rFonts w:eastAsiaTheme="minorEastAsia"/>
                <w:b/>
                <w:szCs w:val="21"/>
              </w:rPr>
            </w:pPr>
            <w:r>
              <w:rPr>
                <w:rFonts w:hAnsiTheme="minorEastAsia" w:eastAsiaTheme="minorEastAsia"/>
                <w:b/>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p>
        </w:tc>
        <w:tc>
          <w:tcPr>
            <w:tcW w:w="1163" w:type="pct"/>
            <w:vAlign w:val="center"/>
          </w:tcPr>
          <w:p>
            <w:pPr>
              <w:jc w:val="center"/>
              <w:rPr>
                <w:rFonts w:eastAsiaTheme="minorEastAsia"/>
                <w:szCs w:val="21"/>
                <w:lang w:val="zh-CN"/>
              </w:rPr>
            </w:pPr>
            <w:r>
              <w:rPr>
                <w:rFonts w:hAnsiTheme="minorEastAsia" w:eastAsiaTheme="minorEastAsia"/>
                <w:szCs w:val="21"/>
                <w:lang w:val="zh-CN"/>
              </w:rPr>
              <w:t>原水泵</w:t>
            </w:r>
          </w:p>
        </w:tc>
        <w:tc>
          <w:tcPr>
            <w:tcW w:w="1463" w:type="pct"/>
            <w:vAlign w:val="center"/>
          </w:tcPr>
          <w:p>
            <w:pPr>
              <w:jc w:val="center"/>
              <w:rPr>
                <w:rFonts w:eastAsiaTheme="minorEastAsia"/>
                <w:szCs w:val="21"/>
                <w:lang w:val="zh-CN"/>
              </w:rPr>
            </w:pPr>
            <w:r>
              <w:rPr>
                <w:rFonts w:eastAsiaTheme="minorEastAsia"/>
                <w:szCs w:val="21"/>
                <w:lang w:val="zh-CN"/>
              </w:rPr>
              <w:t>Q=60t/h</w:t>
            </w:r>
            <w:r>
              <w:rPr>
                <w:rFonts w:hAnsiTheme="minorEastAsia" w:eastAsiaTheme="minorEastAsia"/>
                <w:szCs w:val="21"/>
                <w:lang w:val="zh-CN"/>
              </w:rPr>
              <w:t>，</w:t>
            </w:r>
            <w:r>
              <w:rPr>
                <w:rFonts w:eastAsiaTheme="minorEastAsia"/>
                <w:szCs w:val="21"/>
                <w:lang w:val="zh-CN"/>
              </w:rPr>
              <w:t>H=30m</w:t>
            </w:r>
            <w:r>
              <w:rPr>
                <w:rFonts w:hAnsiTheme="minorEastAsia" w:eastAsiaTheme="minorEastAsia"/>
                <w:szCs w:val="21"/>
                <w:lang w:val="zh-CN"/>
              </w:rPr>
              <w:t>，单台</w:t>
            </w:r>
            <w:r>
              <w:rPr>
                <w:rFonts w:eastAsiaTheme="minorEastAsia"/>
                <w:szCs w:val="21"/>
                <w:lang w:val="zh-CN"/>
              </w:rPr>
              <w:t>P=11kw</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3</w:t>
            </w:r>
          </w:p>
        </w:tc>
        <w:tc>
          <w:tcPr>
            <w:tcW w:w="677" w:type="pct"/>
            <w:vAlign w:val="center"/>
          </w:tcPr>
          <w:p>
            <w:pPr>
              <w:autoSpaceDE w:val="0"/>
              <w:autoSpaceDN w:val="0"/>
              <w:adjustRightInd w:val="0"/>
              <w:jc w:val="center"/>
              <w:rPr>
                <w:rFonts w:eastAsiaTheme="minorEastAsia"/>
                <w:szCs w:val="21"/>
                <w:lang w:val="zh-CN"/>
              </w:rPr>
            </w:pPr>
            <w:r>
              <w:rPr>
                <w:rFonts w:eastAsiaTheme="minorEastAsia"/>
                <w:szCs w:val="21"/>
                <w:lang w:val="zh-CN"/>
              </w:rPr>
              <w:t>2</w:t>
            </w:r>
            <w:r>
              <w:rPr>
                <w:rFonts w:hAnsiTheme="minorEastAsia" w:eastAsiaTheme="minorEastAsia"/>
                <w:szCs w:val="21"/>
                <w:lang w:val="zh-CN"/>
              </w:rPr>
              <w:t>用</w:t>
            </w:r>
            <w:r>
              <w:rPr>
                <w:rFonts w:eastAsiaTheme="minorEastAsia"/>
                <w:szCs w:val="21"/>
                <w:lang w:val="zh-CN"/>
              </w:rPr>
              <w:t>1</w:t>
            </w:r>
            <w:r>
              <w:rPr>
                <w:rFonts w:hAnsiTheme="minorEastAsia" w:eastAsiaTheme="minorEastAsia"/>
                <w:szCs w:val="21"/>
                <w:lang w:val="zh-CN"/>
              </w:rPr>
              <w:t>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2</w:t>
            </w:r>
          </w:p>
        </w:tc>
        <w:tc>
          <w:tcPr>
            <w:tcW w:w="1163" w:type="pct"/>
            <w:vAlign w:val="center"/>
          </w:tcPr>
          <w:p>
            <w:pPr>
              <w:jc w:val="center"/>
              <w:rPr>
                <w:rFonts w:eastAsiaTheme="minorEastAsia"/>
                <w:szCs w:val="21"/>
                <w:lang w:val="zh-CN"/>
              </w:rPr>
            </w:pPr>
            <w:r>
              <w:rPr>
                <w:rFonts w:hAnsiTheme="minorEastAsia" w:eastAsiaTheme="minorEastAsia"/>
                <w:szCs w:val="21"/>
                <w:lang w:val="zh-CN"/>
              </w:rPr>
              <w:t>凝絮加药罐</w:t>
            </w:r>
          </w:p>
        </w:tc>
        <w:tc>
          <w:tcPr>
            <w:tcW w:w="1463" w:type="pct"/>
            <w:vAlign w:val="center"/>
          </w:tcPr>
          <w:p>
            <w:pPr>
              <w:jc w:val="center"/>
              <w:rPr>
                <w:rFonts w:eastAsiaTheme="minorEastAsia"/>
                <w:szCs w:val="21"/>
                <w:lang w:val="zh-CN"/>
              </w:rPr>
            </w:pPr>
            <w:r>
              <w:rPr>
                <w:rFonts w:eastAsiaTheme="minorEastAsia"/>
                <w:szCs w:val="21"/>
                <w:lang w:val="zh-CN"/>
              </w:rPr>
              <w:t>Φ800×1500</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p>
        </w:tc>
        <w:tc>
          <w:tcPr>
            <w:tcW w:w="677" w:type="pct"/>
            <w:vAlign w:val="center"/>
          </w:tcPr>
          <w:p>
            <w:pPr>
              <w:autoSpaceDE w:val="0"/>
              <w:autoSpaceDN w:val="0"/>
              <w:adjustRightInd w:val="0"/>
              <w:jc w:val="center"/>
              <w:rPr>
                <w:rFonts w:eastAsiaTheme="minorEastAsia"/>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3</w:t>
            </w:r>
          </w:p>
        </w:tc>
        <w:tc>
          <w:tcPr>
            <w:tcW w:w="1163" w:type="pct"/>
            <w:vAlign w:val="center"/>
          </w:tcPr>
          <w:p>
            <w:pPr>
              <w:jc w:val="center"/>
              <w:rPr>
                <w:rFonts w:eastAsiaTheme="minorEastAsia"/>
                <w:szCs w:val="21"/>
                <w:lang w:val="zh-CN"/>
              </w:rPr>
            </w:pPr>
            <w:r>
              <w:rPr>
                <w:rFonts w:hAnsiTheme="minorEastAsia" w:eastAsiaTheme="minorEastAsia"/>
                <w:szCs w:val="21"/>
                <w:lang w:val="zh-CN"/>
              </w:rPr>
              <w:t>多介质过滤器罐体</w:t>
            </w:r>
          </w:p>
        </w:tc>
        <w:tc>
          <w:tcPr>
            <w:tcW w:w="1463" w:type="pct"/>
            <w:vAlign w:val="center"/>
          </w:tcPr>
          <w:p>
            <w:pPr>
              <w:jc w:val="center"/>
              <w:rPr>
                <w:rFonts w:eastAsiaTheme="minorEastAsia"/>
                <w:szCs w:val="21"/>
                <w:lang w:val="zh-CN"/>
              </w:rPr>
            </w:pPr>
            <w:r>
              <w:rPr>
                <w:rFonts w:hAnsiTheme="minorEastAsia" w:eastAsiaTheme="minorEastAsia"/>
                <w:szCs w:val="21"/>
                <w:lang w:val="zh-CN"/>
              </w:rPr>
              <w:t>处理量</w:t>
            </w:r>
            <w:r>
              <w:rPr>
                <w:rFonts w:eastAsiaTheme="minorEastAsia"/>
                <w:szCs w:val="21"/>
                <w:lang w:val="zh-CN"/>
              </w:rPr>
              <w:t>120t/h</w:t>
            </w:r>
            <w:r>
              <w:rPr>
                <w:rFonts w:hAnsiTheme="minorEastAsia" w:eastAsiaTheme="minorEastAsia"/>
                <w:szCs w:val="21"/>
                <w:lang w:val="zh-CN"/>
              </w:rPr>
              <w:t>，滤料：石英砂无烟煤</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p>
        </w:tc>
        <w:tc>
          <w:tcPr>
            <w:tcW w:w="677" w:type="pct"/>
            <w:vAlign w:val="center"/>
          </w:tcPr>
          <w:p>
            <w:pPr>
              <w:autoSpaceDE w:val="0"/>
              <w:autoSpaceDN w:val="0"/>
              <w:adjustRightInd w:val="0"/>
              <w:jc w:val="center"/>
              <w:rPr>
                <w:rFonts w:eastAsiaTheme="minorEastAsia"/>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4</w:t>
            </w:r>
          </w:p>
        </w:tc>
        <w:tc>
          <w:tcPr>
            <w:tcW w:w="1163" w:type="pct"/>
            <w:vAlign w:val="center"/>
          </w:tcPr>
          <w:p>
            <w:pPr>
              <w:jc w:val="center"/>
              <w:rPr>
                <w:rFonts w:eastAsiaTheme="minorEastAsia"/>
                <w:szCs w:val="21"/>
                <w:lang w:val="zh-CN"/>
              </w:rPr>
            </w:pPr>
            <w:r>
              <w:rPr>
                <w:rFonts w:hAnsiTheme="minorEastAsia" w:eastAsiaTheme="minorEastAsia"/>
                <w:szCs w:val="21"/>
                <w:lang w:val="zh-CN"/>
              </w:rPr>
              <w:t>活性炭过滤器罐体</w:t>
            </w:r>
          </w:p>
        </w:tc>
        <w:tc>
          <w:tcPr>
            <w:tcW w:w="1463" w:type="pct"/>
            <w:vAlign w:val="center"/>
          </w:tcPr>
          <w:p>
            <w:pPr>
              <w:jc w:val="center"/>
              <w:rPr>
                <w:rFonts w:eastAsiaTheme="minorEastAsia"/>
                <w:szCs w:val="21"/>
                <w:lang w:val="zh-CN"/>
              </w:rPr>
            </w:pPr>
            <w:r>
              <w:rPr>
                <w:rFonts w:hAnsiTheme="minorEastAsia" w:eastAsiaTheme="minorEastAsia"/>
                <w:szCs w:val="21"/>
                <w:lang w:val="zh-CN"/>
              </w:rPr>
              <w:t>处理量</w:t>
            </w:r>
            <w:r>
              <w:rPr>
                <w:rFonts w:eastAsiaTheme="minorEastAsia"/>
                <w:szCs w:val="21"/>
                <w:lang w:val="zh-CN"/>
              </w:rPr>
              <w:t>120t/h</w:t>
            </w:r>
            <w:r>
              <w:rPr>
                <w:rFonts w:hAnsiTheme="minorEastAsia" w:eastAsiaTheme="minorEastAsia"/>
                <w:szCs w:val="21"/>
                <w:lang w:val="zh-CN"/>
              </w:rPr>
              <w:t>，滤料：活性炭</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p>
        </w:tc>
        <w:tc>
          <w:tcPr>
            <w:tcW w:w="677" w:type="pct"/>
            <w:vAlign w:val="center"/>
          </w:tcPr>
          <w:p>
            <w:pPr>
              <w:autoSpaceDE w:val="0"/>
              <w:autoSpaceDN w:val="0"/>
              <w:adjustRightInd w:val="0"/>
              <w:jc w:val="center"/>
              <w:rPr>
                <w:rFonts w:eastAsiaTheme="minorEastAsia"/>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5</w:t>
            </w:r>
          </w:p>
        </w:tc>
        <w:tc>
          <w:tcPr>
            <w:tcW w:w="1163" w:type="pct"/>
            <w:vAlign w:val="center"/>
          </w:tcPr>
          <w:p>
            <w:pPr>
              <w:jc w:val="center"/>
              <w:rPr>
                <w:rFonts w:eastAsiaTheme="minorEastAsia"/>
                <w:szCs w:val="21"/>
                <w:lang w:val="zh-CN"/>
              </w:rPr>
            </w:pPr>
            <w:r>
              <w:rPr>
                <w:rFonts w:hAnsiTheme="minorEastAsia" w:eastAsiaTheme="minorEastAsia"/>
                <w:szCs w:val="21"/>
                <w:lang w:val="zh-CN"/>
              </w:rPr>
              <w:t>反冲洗设备</w:t>
            </w:r>
          </w:p>
        </w:tc>
        <w:tc>
          <w:tcPr>
            <w:tcW w:w="1463" w:type="pct"/>
            <w:vAlign w:val="center"/>
          </w:tcPr>
          <w:p>
            <w:pPr>
              <w:jc w:val="center"/>
              <w:rPr>
                <w:rFonts w:eastAsiaTheme="minorEastAsia"/>
                <w:szCs w:val="21"/>
                <w:lang w:val="zh-CN"/>
              </w:rPr>
            </w:pPr>
            <w:r>
              <w:rPr>
                <w:rFonts w:hAnsiTheme="minorEastAsia" w:eastAsiaTheme="minorEastAsia"/>
                <w:szCs w:val="21"/>
                <w:lang w:val="zh-CN"/>
              </w:rPr>
              <w:t>含气洗、水洗；反洗泵</w:t>
            </w:r>
            <w:r>
              <w:rPr>
                <w:rFonts w:eastAsiaTheme="minorEastAsia"/>
                <w:szCs w:val="21"/>
                <w:lang w:val="zh-CN"/>
              </w:rPr>
              <w:t>100t/h</w:t>
            </w:r>
            <w:r>
              <w:rPr>
                <w:rFonts w:hint="eastAsia" w:eastAsiaTheme="minorEastAsia"/>
                <w:szCs w:val="21"/>
                <w:lang w:val="zh-CN"/>
              </w:rPr>
              <w:t>，</w:t>
            </w:r>
            <w:r>
              <w:rPr>
                <w:rFonts w:eastAsiaTheme="minorEastAsia"/>
                <w:szCs w:val="21"/>
                <w:lang w:val="zh-CN"/>
              </w:rPr>
              <w:t>H=20m</w:t>
            </w:r>
            <w:r>
              <w:rPr>
                <w:rFonts w:hint="eastAsia" w:eastAsiaTheme="minorEastAsia"/>
                <w:szCs w:val="21"/>
                <w:lang w:val="zh-CN"/>
              </w:rPr>
              <w:t>，</w:t>
            </w:r>
            <w:r>
              <w:rPr>
                <w:rFonts w:eastAsiaTheme="minorEastAsia"/>
                <w:szCs w:val="21"/>
                <w:lang w:val="zh-CN"/>
              </w:rPr>
              <w:t>P=11kw</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p>
        </w:tc>
        <w:tc>
          <w:tcPr>
            <w:tcW w:w="677" w:type="pct"/>
            <w:vAlign w:val="center"/>
          </w:tcPr>
          <w:p>
            <w:pPr>
              <w:autoSpaceDE w:val="0"/>
              <w:autoSpaceDN w:val="0"/>
              <w:adjustRightInd w:val="0"/>
              <w:jc w:val="center"/>
              <w:rPr>
                <w:rFonts w:eastAsiaTheme="minorEastAsia"/>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6</w:t>
            </w:r>
          </w:p>
        </w:tc>
        <w:tc>
          <w:tcPr>
            <w:tcW w:w="1163" w:type="pct"/>
            <w:vAlign w:val="center"/>
          </w:tcPr>
          <w:p>
            <w:pPr>
              <w:jc w:val="center"/>
              <w:rPr>
                <w:rFonts w:eastAsiaTheme="minorEastAsia"/>
                <w:szCs w:val="21"/>
                <w:lang w:val="zh-CN"/>
              </w:rPr>
            </w:pPr>
            <w:r>
              <w:rPr>
                <w:rFonts w:hAnsiTheme="minorEastAsia" w:eastAsiaTheme="minorEastAsia"/>
                <w:szCs w:val="21"/>
                <w:lang w:val="zh-CN"/>
              </w:rPr>
              <w:t>阻垢加药罐</w:t>
            </w:r>
          </w:p>
        </w:tc>
        <w:tc>
          <w:tcPr>
            <w:tcW w:w="1463" w:type="pct"/>
            <w:vAlign w:val="center"/>
          </w:tcPr>
          <w:p>
            <w:pPr>
              <w:jc w:val="center"/>
              <w:rPr>
                <w:rFonts w:eastAsiaTheme="minorEastAsia"/>
                <w:szCs w:val="21"/>
                <w:lang w:val="zh-CN"/>
              </w:rPr>
            </w:pPr>
            <w:r>
              <w:rPr>
                <w:rFonts w:eastAsiaTheme="minorEastAsia"/>
                <w:szCs w:val="21"/>
                <w:lang w:val="zh-CN"/>
              </w:rPr>
              <w:t>Φ800×1500</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p>
        </w:tc>
        <w:tc>
          <w:tcPr>
            <w:tcW w:w="677" w:type="pct"/>
            <w:vAlign w:val="center"/>
          </w:tcPr>
          <w:p>
            <w:pPr>
              <w:autoSpaceDE w:val="0"/>
              <w:autoSpaceDN w:val="0"/>
              <w:adjustRightInd w:val="0"/>
              <w:jc w:val="center"/>
              <w:rPr>
                <w:rFonts w:eastAsiaTheme="minorEastAsia"/>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7</w:t>
            </w:r>
          </w:p>
        </w:tc>
        <w:tc>
          <w:tcPr>
            <w:tcW w:w="1163" w:type="pct"/>
            <w:vAlign w:val="center"/>
          </w:tcPr>
          <w:p>
            <w:pPr>
              <w:jc w:val="center"/>
              <w:rPr>
                <w:rFonts w:eastAsiaTheme="minorEastAsia"/>
                <w:szCs w:val="21"/>
                <w:lang w:val="zh-CN"/>
              </w:rPr>
            </w:pPr>
            <w:r>
              <w:rPr>
                <w:rFonts w:hAnsiTheme="minorEastAsia" w:eastAsiaTheme="minorEastAsia"/>
                <w:szCs w:val="21"/>
                <w:lang w:val="zh-CN"/>
              </w:rPr>
              <w:t>高精过滤器</w:t>
            </w:r>
          </w:p>
        </w:tc>
        <w:tc>
          <w:tcPr>
            <w:tcW w:w="1463" w:type="pct"/>
            <w:vAlign w:val="center"/>
          </w:tcPr>
          <w:p>
            <w:pPr>
              <w:jc w:val="center"/>
              <w:rPr>
                <w:rFonts w:eastAsiaTheme="minorEastAsia"/>
                <w:szCs w:val="21"/>
                <w:lang w:val="zh-CN"/>
              </w:rPr>
            </w:pPr>
            <w:r>
              <w:rPr>
                <w:rFonts w:hAnsiTheme="minorEastAsia" w:eastAsiaTheme="minorEastAsia"/>
                <w:szCs w:val="21"/>
                <w:lang w:val="zh-CN"/>
              </w:rPr>
              <w:t>处理流量</w:t>
            </w:r>
            <w:r>
              <w:rPr>
                <w:rFonts w:eastAsiaTheme="minorEastAsia"/>
                <w:szCs w:val="21"/>
                <w:lang w:val="zh-CN"/>
              </w:rPr>
              <w:t>120t/h</w:t>
            </w:r>
            <w:r>
              <w:rPr>
                <w:rFonts w:hAnsiTheme="minorEastAsia" w:eastAsiaTheme="minorEastAsia"/>
                <w:szCs w:val="21"/>
                <w:lang w:val="zh-CN"/>
              </w:rPr>
              <w:t>，</w:t>
            </w:r>
            <w:r>
              <w:rPr>
                <w:rFonts w:eastAsiaTheme="minorEastAsia"/>
                <w:szCs w:val="21"/>
                <w:lang w:val="zh-CN"/>
              </w:rPr>
              <w:t>5μm</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2</w:t>
            </w:r>
          </w:p>
        </w:tc>
        <w:tc>
          <w:tcPr>
            <w:tcW w:w="677"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r>
              <w:rPr>
                <w:rFonts w:hAnsiTheme="minorEastAsia" w:eastAsiaTheme="minorEastAsia"/>
                <w:szCs w:val="21"/>
                <w:lang w:val="zh-CN"/>
              </w:rPr>
              <w:t>用</w:t>
            </w:r>
            <w:r>
              <w:rPr>
                <w:rFonts w:eastAsiaTheme="minorEastAsia"/>
                <w:szCs w:val="21"/>
                <w:lang w:val="zh-CN"/>
              </w:rPr>
              <w:t>1</w:t>
            </w:r>
            <w:r>
              <w:rPr>
                <w:rFonts w:hAnsiTheme="minorEastAsia" w:eastAsiaTheme="minorEastAsia"/>
                <w:szCs w:val="21"/>
                <w:lang w:val="zh-CN"/>
              </w:rPr>
              <w:t>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8</w:t>
            </w:r>
          </w:p>
        </w:tc>
        <w:tc>
          <w:tcPr>
            <w:tcW w:w="1163" w:type="pct"/>
            <w:vAlign w:val="center"/>
          </w:tcPr>
          <w:p>
            <w:pPr>
              <w:jc w:val="center"/>
              <w:rPr>
                <w:rFonts w:eastAsiaTheme="minorEastAsia"/>
                <w:szCs w:val="21"/>
                <w:lang w:val="zh-CN"/>
              </w:rPr>
            </w:pPr>
            <w:r>
              <w:rPr>
                <w:rFonts w:hAnsiTheme="minorEastAsia" w:eastAsiaTheme="minorEastAsia"/>
                <w:szCs w:val="21"/>
                <w:lang w:val="zh-CN"/>
              </w:rPr>
              <w:t>高压泵</w:t>
            </w:r>
          </w:p>
        </w:tc>
        <w:tc>
          <w:tcPr>
            <w:tcW w:w="1463" w:type="pct"/>
            <w:vAlign w:val="center"/>
          </w:tcPr>
          <w:p>
            <w:pPr>
              <w:jc w:val="center"/>
              <w:rPr>
                <w:rFonts w:eastAsiaTheme="minorEastAsia"/>
                <w:szCs w:val="21"/>
                <w:lang w:val="zh-CN"/>
              </w:rPr>
            </w:pPr>
            <w:r>
              <w:rPr>
                <w:rFonts w:eastAsiaTheme="minorEastAsia"/>
                <w:szCs w:val="21"/>
                <w:lang w:val="zh-CN"/>
              </w:rPr>
              <w:t>Q=60m</w:t>
            </w:r>
            <w:r>
              <w:rPr>
                <w:rFonts w:eastAsiaTheme="minorEastAsia"/>
                <w:szCs w:val="21"/>
                <w:vertAlign w:val="superscript"/>
                <w:lang w:val="zh-CN"/>
              </w:rPr>
              <w:t>3</w:t>
            </w:r>
            <w:r>
              <w:rPr>
                <w:rFonts w:eastAsiaTheme="minorEastAsia"/>
                <w:szCs w:val="21"/>
                <w:lang w:val="zh-CN"/>
              </w:rPr>
              <w:t>/h</w:t>
            </w:r>
            <w:r>
              <w:rPr>
                <w:rFonts w:hint="eastAsia" w:eastAsiaTheme="minorEastAsia"/>
                <w:szCs w:val="21"/>
                <w:lang w:val="zh-CN"/>
              </w:rPr>
              <w:t>，</w:t>
            </w:r>
            <w:r>
              <w:rPr>
                <w:rFonts w:eastAsiaTheme="minorEastAsia"/>
                <w:szCs w:val="21"/>
                <w:lang w:val="zh-CN"/>
              </w:rPr>
              <w:t>H=110m</w:t>
            </w:r>
            <w:r>
              <w:rPr>
                <w:rFonts w:hAnsiTheme="minorEastAsia" w:eastAsiaTheme="minorEastAsia"/>
                <w:szCs w:val="21"/>
                <w:lang w:val="zh-CN"/>
              </w:rPr>
              <w:t>，单台</w:t>
            </w:r>
            <w:r>
              <w:rPr>
                <w:rFonts w:eastAsiaTheme="minorEastAsia"/>
                <w:szCs w:val="21"/>
                <w:lang w:val="zh-CN"/>
              </w:rPr>
              <w:t>P=30kw</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3</w:t>
            </w:r>
          </w:p>
        </w:tc>
        <w:tc>
          <w:tcPr>
            <w:tcW w:w="677" w:type="pct"/>
            <w:vAlign w:val="center"/>
          </w:tcPr>
          <w:p>
            <w:pPr>
              <w:autoSpaceDE w:val="0"/>
              <w:autoSpaceDN w:val="0"/>
              <w:adjustRightInd w:val="0"/>
              <w:jc w:val="center"/>
              <w:rPr>
                <w:rFonts w:eastAsiaTheme="minorEastAsia"/>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9</w:t>
            </w:r>
          </w:p>
        </w:tc>
        <w:tc>
          <w:tcPr>
            <w:tcW w:w="1163" w:type="pct"/>
            <w:vAlign w:val="center"/>
          </w:tcPr>
          <w:p>
            <w:pPr>
              <w:jc w:val="center"/>
              <w:rPr>
                <w:rFonts w:eastAsiaTheme="minorEastAsia"/>
                <w:szCs w:val="21"/>
                <w:lang w:val="zh-CN"/>
              </w:rPr>
            </w:pPr>
            <w:r>
              <w:rPr>
                <w:rFonts w:hAnsiTheme="minorEastAsia" w:eastAsiaTheme="minorEastAsia"/>
                <w:szCs w:val="21"/>
                <w:lang w:val="zh-CN"/>
              </w:rPr>
              <w:t>反渗透装置</w:t>
            </w:r>
          </w:p>
        </w:tc>
        <w:tc>
          <w:tcPr>
            <w:tcW w:w="1463" w:type="pct"/>
            <w:vAlign w:val="center"/>
          </w:tcPr>
          <w:p>
            <w:pPr>
              <w:jc w:val="center"/>
              <w:rPr>
                <w:rFonts w:eastAsiaTheme="minorEastAsia"/>
                <w:szCs w:val="21"/>
                <w:lang w:val="zh-CN"/>
              </w:rPr>
            </w:pPr>
            <w:r>
              <w:rPr>
                <w:rFonts w:hAnsiTheme="minorEastAsia" w:eastAsiaTheme="minorEastAsia"/>
                <w:szCs w:val="21"/>
                <w:lang w:val="zh-CN"/>
              </w:rPr>
              <w:t>处理量</w:t>
            </w:r>
            <w:r>
              <w:rPr>
                <w:rFonts w:eastAsiaTheme="minorEastAsia"/>
                <w:szCs w:val="21"/>
                <w:lang w:val="zh-CN"/>
              </w:rPr>
              <w:t>84t/h</w:t>
            </w:r>
            <w:r>
              <w:rPr>
                <w:rFonts w:hAnsiTheme="minorEastAsia" w:eastAsiaTheme="minorEastAsia"/>
                <w:szCs w:val="21"/>
                <w:lang w:val="zh-CN"/>
              </w:rPr>
              <w:t>，</w:t>
            </w:r>
            <w:r>
              <w:rPr>
                <w:rFonts w:eastAsiaTheme="minorEastAsia"/>
                <w:szCs w:val="21"/>
                <w:lang w:val="zh-CN"/>
              </w:rPr>
              <w:t>RO</w:t>
            </w:r>
            <w:r>
              <w:rPr>
                <w:rFonts w:hAnsiTheme="minorEastAsia" w:eastAsiaTheme="minorEastAsia"/>
                <w:szCs w:val="21"/>
                <w:lang w:val="zh-CN"/>
              </w:rPr>
              <w:t>反渗透</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p>
        </w:tc>
        <w:tc>
          <w:tcPr>
            <w:tcW w:w="677" w:type="pct"/>
            <w:vAlign w:val="center"/>
          </w:tcPr>
          <w:p>
            <w:pPr>
              <w:autoSpaceDE w:val="0"/>
              <w:autoSpaceDN w:val="0"/>
              <w:adjustRightInd w:val="0"/>
              <w:jc w:val="center"/>
              <w:rPr>
                <w:rFonts w:eastAsiaTheme="minorEastAsia"/>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10</w:t>
            </w:r>
          </w:p>
        </w:tc>
        <w:tc>
          <w:tcPr>
            <w:tcW w:w="1163" w:type="pct"/>
            <w:vAlign w:val="center"/>
          </w:tcPr>
          <w:p>
            <w:pPr>
              <w:jc w:val="center"/>
              <w:rPr>
                <w:rFonts w:eastAsiaTheme="minorEastAsia"/>
                <w:szCs w:val="21"/>
                <w:lang w:val="zh-CN"/>
              </w:rPr>
            </w:pPr>
            <w:r>
              <w:rPr>
                <w:rFonts w:hAnsiTheme="minorEastAsia" w:eastAsiaTheme="minorEastAsia"/>
                <w:szCs w:val="21"/>
                <w:lang w:val="zh-CN"/>
              </w:rPr>
              <w:t>中间水泵</w:t>
            </w:r>
          </w:p>
        </w:tc>
        <w:tc>
          <w:tcPr>
            <w:tcW w:w="1463" w:type="pct"/>
            <w:vAlign w:val="center"/>
          </w:tcPr>
          <w:p>
            <w:pPr>
              <w:jc w:val="center"/>
              <w:rPr>
                <w:rFonts w:eastAsiaTheme="minorEastAsia"/>
                <w:szCs w:val="21"/>
                <w:lang w:val="zh-CN"/>
              </w:rPr>
            </w:pPr>
            <w:r>
              <w:rPr>
                <w:rFonts w:eastAsiaTheme="minorEastAsia"/>
                <w:szCs w:val="21"/>
                <w:lang w:val="zh-CN"/>
              </w:rPr>
              <w:t>Q=42m</w:t>
            </w:r>
            <w:r>
              <w:rPr>
                <w:rFonts w:eastAsiaTheme="minorEastAsia"/>
                <w:szCs w:val="21"/>
                <w:vertAlign w:val="superscript"/>
                <w:lang w:val="zh-CN"/>
              </w:rPr>
              <w:t>3</w:t>
            </w:r>
            <w:r>
              <w:rPr>
                <w:rFonts w:eastAsiaTheme="minorEastAsia"/>
                <w:szCs w:val="21"/>
                <w:lang w:val="zh-CN"/>
              </w:rPr>
              <w:t>/h</w:t>
            </w:r>
            <w:r>
              <w:rPr>
                <w:rFonts w:hint="eastAsia" w:eastAsiaTheme="minorEastAsia"/>
                <w:szCs w:val="21"/>
                <w:lang w:val="zh-CN"/>
              </w:rPr>
              <w:t>，</w:t>
            </w:r>
            <w:r>
              <w:rPr>
                <w:rFonts w:eastAsiaTheme="minorEastAsia"/>
                <w:szCs w:val="21"/>
                <w:lang w:val="zh-CN"/>
              </w:rPr>
              <w:t>H=40m</w:t>
            </w:r>
            <w:r>
              <w:rPr>
                <w:rFonts w:hAnsiTheme="minorEastAsia" w:eastAsiaTheme="minorEastAsia"/>
                <w:szCs w:val="21"/>
                <w:lang w:val="zh-CN"/>
              </w:rPr>
              <w:t>，单台</w:t>
            </w:r>
            <w:r>
              <w:rPr>
                <w:rFonts w:eastAsiaTheme="minorEastAsia"/>
                <w:szCs w:val="21"/>
                <w:lang w:val="zh-CN"/>
              </w:rPr>
              <w:t>P=7.5kw</w:t>
            </w:r>
            <w:r>
              <w:rPr>
                <w:rFonts w:hAnsiTheme="minorEastAsia" w:eastAsiaTheme="minorEastAsia"/>
                <w:szCs w:val="21"/>
                <w:lang w:val="zh-CN"/>
              </w:rPr>
              <w:t>，</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3</w:t>
            </w:r>
          </w:p>
        </w:tc>
        <w:tc>
          <w:tcPr>
            <w:tcW w:w="677" w:type="pct"/>
            <w:vAlign w:val="center"/>
          </w:tcPr>
          <w:p>
            <w:pPr>
              <w:autoSpaceDE w:val="0"/>
              <w:autoSpaceDN w:val="0"/>
              <w:adjustRightInd w:val="0"/>
              <w:jc w:val="center"/>
              <w:rPr>
                <w:rFonts w:eastAsiaTheme="minorEastAsia"/>
                <w:szCs w:val="21"/>
                <w:lang w:val="zh-CN"/>
              </w:rPr>
            </w:pPr>
            <w:r>
              <w:rPr>
                <w:rFonts w:eastAsiaTheme="minorEastAsia"/>
                <w:szCs w:val="21"/>
                <w:lang w:val="zh-CN"/>
              </w:rPr>
              <w:t>2</w:t>
            </w:r>
            <w:r>
              <w:rPr>
                <w:rFonts w:hAnsiTheme="minorEastAsia" w:eastAsiaTheme="minorEastAsia"/>
                <w:szCs w:val="21"/>
                <w:lang w:val="zh-CN"/>
              </w:rPr>
              <w:t>用</w:t>
            </w:r>
            <w:r>
              <w:rPr>
                <w:rFonts w:eastAsiaTheme="minorEastAsia"/>
                <w:szCs w:val="21"/>
                <w:lang w:val="zh-CN"/>
              </w:rPr>
              <w:t>1</w:t>
            </w:r>
            <w:r>
              <w:rPr>
                <w:rFonts w:hAnsiTheme="minorEastAsia" w:eastAsiaTheme="minorEastAsia"/>
                <w:szCs w:val="21"/>
                <w:lang w:val="zh-CN"/>
              </w:rPr>
              <w:t>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11</w:t>
            </w:r>
          </w:p>
        </w:tc>
        <w:tc>
          <w:tcPr>
            <w:tcW w:w="1163" w:type="pct"/>
            <w:vAlign w:val="center"/>
          </w:tcPr>
          <w:p>
            <w:pPr>
              <w:jc w:val="center"/>
              <w:rPr>
                <w:rFonts w:eastAsiaTheme="minorEastAsia"/>
                <w:szCs w:val="21"/>
                <w:lang w:val="zh-CN"/>
              </w:rPr>
            </w:pPr>
            <w:r>
              <w:rPr>
                <w:rFonts w:hAnsiTheme="minorEastAsia" w:eastAsiaTheme="minorEastAsia"/>
                <w:szCs w:val="21"/>
                <w:lang w:val="zh-CN"/>
              </w:rPr>
              <w:t>送水泵</w:t>
            </w:r>
          </w:p>
        </w:tc>
        <w:tc>
          <w:tcPr>
            <w:tcW w:w="1463" w:type="pct"/>
            <w:vAlign w:val="center"/>
          </w:tcPr>
          <w:p>
            <w:pPr>
              <w:jc w:val="center"/>
              <w:rPr>
                <w:rFonts w:eastAsiaTheme="minorEastAsia"/>
                <w:szCs w:val="21"/>
                <w:lang w:val="zh-CN"/>
              </w:rPr>
            </w:pPr>
            <w:r>
              <w:rPr>
                <w:rFonts w:eastAsiaTheme="minorEastAsia"/>
                <w:szCs w:val="21"/>
              </w:rPr>
              <w:t>Q=130m</w:t>
            </w:r>
            <w:r>
              <w:rPr>
                <w:rFonts w:eastAsiaTheme="minorEastAsia"/>
                <w:szCs w:val="21"/>
                <w:vertAlign w:val="superscript"/>
              </w:rPr>
              <w:t>3</w:t>
            </w:r>
            <w:r>
              <w:rPr>
                <w:rFonts w:eastAsiaTheme="minorEastAsia"/>
                <w:szCs w:val="21"/>
              </w:rPr>
              <w:t>/h</w:t>
            </w:r>
            <w:r>
              <w:rPr>
                <w:rFonts w:hAnsiTheme="minorEastAsia" w:eastAsiaTheme="minorEastAsia"/>
                <w:szCs w:val="21"/>
              </w:rPr>
              <w:t>，</w:t>
            </w:r>
            <w:r>
              <w:rPr>
                <w:rFonts w:eastAsiaTheme="minorEastAsia"/>
                <w:szCs w:val="21"/>
              </w:rPr>
              <w:t>H=40m</w:t>
            </w:r>
            <w:r>
              <w:rPr>
                <w:rFonts w:hAnsiTheme="minorEastAsia" w:eastAsiaTheme="minorEastAsia"/>
                <w:szCs w:val="21"/>
              </w:rPr>
              <w:t>，</w:t>
            </w:r>
            <w:r>
              <w:rPr>
                <w:rFonts w:eastAsiaTheme="minorEastAsia"/>
                <w:szCs w:val="21"/>
              </w:rPr>
              <w:t>N=30kw</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2</w:t>
            </w:r>
          </w:p>
        </w:tc>
        <w:tc>
          <w:tcPr>
            <w:tcW w:w="677"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r>
              <w:rPr>
                <w:rFonts w:hAnsiTheme="minorEastAsia" w:eastAsiaTheme="minorEastAsia"/>
                <w:szCs w:val="21"/>
                <w:lang w:val="zh-CN"/>
              </w:rPr>
              <w:t>用</w:t>
            </w:r>
            <w:r>
              <w:rPr>
                <w:rFonts w:eastAsiaTheme="minorEastAsia"/>
                <w:szCs w:val="21"/>
                <w:lang w:val="zh-CN"/>
              </w:rPr>
              <w:t>1</w:t>
            </w:r>
            <w:r>
              <w:rPr>
                <w:rFonts w:hAnsiTheme="minorEastAsia" w:eastAsiaTheme="minorEastAsia"/>
                <w:szCs w:val="21"/>
                <w:lang w:val="zh-CN"/>
              </w:rPr>
              <w:t>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12</w:t>
            </w:r>
          </w:p>
        </w:tc>
        <w:tc>
          <w:tcPr>
            <w:tcW w:w="1163" w:type="pct"/>
            <w:vAlign w:val="center"/>
          </w:tcPr>
          <w:p>
            <w:pPr>
              <w:jc w:val="center"/>
              <w:rPr>
                <w:rFonts w:eastAsiaTheme="minorEastAsia"/>
                <w:szCs w:val="21"/>
                <w:lang w:val="zh-CN"/>
              </w:rPr>
            </w:pPr>
            <w:r>
              <w:rPr>
                <w:rFonts w:hAnsiTheme="minorEastAsia" w:eastAsiaTheme="minorEastAsia"/>
                <w:szCs w:val="21"/>
                <w:lang w:val="zh-CN"/>
              </w:rPr>
              <w:t>除氟装置</w:t>
            </w:r>
          </w:p>
        </w:tc>
        <w:tc>
          <w:tcPr>
            <w:tcW w:w="1463" w:type="pct"/>
            <w:vAlign w:val="center"/>
          </w:tcPr>
          <w:p>
            <w:pPr>
              <w:wordWrap w:val="0"/>
              <w:jc w:val="center"/>
              <w:rPr>
                <w:rFonts w:eastAsiaTheme="minorEastAsia"/>
                <w:szCs w:val="21"/>
                <w:lang w:val="zh-CN"/>
              </w:rPr>
            </w:pPr>
            <w:r>
              <w:rPr>
                <w:rFonts w:hAnsiTheme="minorEastAsia" w:eastAsiaTheme="minorEastAsia"/>
                <w:szCs w:val="21"/>
                <w:lang w:val="zh-CN"/>
              </w:rPr>
              <w:t>处理量</w:t>
            </w:r>
            <w:r>
              <w:rPr>
                <w:rFonts w:eastAsiaTheme="minorEastAsia"/>
                <w:szCs w:val="21"/>
                <w:lang w:val="zh-CN"/>
              </w:rPr>
              <w:t>84t/h</w:t>
            </w:r>
            <w:r>
              <w:rPr>
                <w:rFonts w:hAnsiTheme="minorEastAsia" w:eastAsiaTheme="minorEastAsia"/>
                <w:szCs w:val="21"/>
                <w:lang w:val="zh-CN"/>
              </w:rPr>
              <w:t>；反洗泵：</w:t>
            </w:r>
            <w:r>
              <w:rPr>
                <w:rFonts w:eastAsiaTheme="minorEastAsia"/>
                <w:szCs w:val="21"/>
                <w:lang w:val="zh-CN"/>
              </w:rPr>
              <w:t>Q=84m3/h ,H=20m</w:t>
            </w:r>
            <w:r>
              <w:rPr>
                <w:rFonts w:hAnsiTheme="minorEastAsia" w:eastAsiaTheme="minorEastAsia"/>
                <w:szCs w:val="21"/>
                <w:lang w:val="zh-CN"/>
              </w:rPr>
              <w:t>，</w:t>
            </w:r>
            <w:r>
              <w:rPr>
                <w:rFonts w:eastAsiaTheme="minorEastAsia"/>
                <w:szCs w:val="21"/>
                <w:lang w:val="zh-CN"/>
              </w:rPr>
              <w:t>P=7.5kw</w:t>
            </w:r>
            <w:r>
              <w:rPr>
                <w:rFonts w:hAnsiTheme="minorEastAsia" w:eastAsiaTheme="minorEastAsia"/>
                <w:szCs w:val="21"/>
                <w:lang w:val="zh-CN"/>
              </w:rPr>
              <w:t>，</w:t>
            </w:r>
            <w:r>
              <w:rPr>
                <w:rFonts w:eastAsiaTheme="minorEastAsia"/>
                <w:szCs w:val="21"/>
                <w:lang w:val="zh-CN"/>
              </w:rPr>
              <w:t>1</w:t>
            </w:r>
            <w:r>
              <w:rPr>
                <w:rFonts w:hAnsiTheme="minorEastAsia" w:eastAsiaTheme="minorEastAsia"/>
                <w:szCs w:val="21"/>
                <w:lang w:val="zh-CN"/>
              </w:rPr>
              <w:t>用</w:t>
            </w:r>
          </w:p>
          <w:p>
            <w:pPr>
              <w:wordWrap w:val="0"/>
              <w:jc w:val="center"/>
              <w:rPr>
                <w:rFonts w:eastAsiaTheme="minorEastAsia"/>
                <w:szCs w:val="21"/>
                <w:lang w:val="zh-CN"/>
              </w:rPr>
            </w:pPr>
            <w:r>
              <w:rPr>
                <w:rFonts w:hAnsiTheme="minorEastAsia" w:eastAsiaTheme="minorEastAsia"/>
                <w:szCs w:val="21"/>
                <w:lang w:val="zh-CN"/>
              </w:rPr>
              <w:t>再生泵：</w:t>
            </w:r>
            <w:r>
              <w:rPr>
                <w:rFonts w:eastAsiaTheme="minorEastAsia"/>
                <w:szCs w:val="21"/>
                <w:lang w:val="zh-CN"/>
              </w:rPr>
              <w:t>Q=20m3/h ,H=20m</w:t>
            </w:r>
            <w:r>
              <w:rPr>
                <w:rFonts w:hAnsiTheme="minorEastAsia" w:eastAsiaTheme="minorEastAsia"/>
                <w:szCs w:val="21"/>
                <w:lang w:val="zh-CN"/>
              </w:rPr>
              <w:t>，</w:t>
            </w:r>
            <w:r>
              <w:rPr>
                <w:rFonts w:eastAsiaTheme="minorEastAsia"/>
                <w:szCs w:val="21"/>
                <w:lang w:val="zh-CN"/>
              </w:rPr>
              <w:t>P=2.2kw</w:t>
            </w:r>
            <w:r>
              <w:rPr>
                <w:rFonts w:hAnsiTheme="minorEastAsia" w:eastAsiaTheme="minorEastAsia"/>
                <w:szCs w:val="21"/>
                <w:lang w:val="zh-CN"/>
              </w:rPr>
              <w:t>，</w:t>
            </w:r>
            <w:r>
              <w:rPr>
                <w:rFonts w:eastAsiaTheme="minorEastAsia"/>
                <w:szCs w:val="21"/>
                <w:lang w:val="zh-CN"/>
              </w:rPr>
              <w:t>1</w:t>
            </w:r>
            <w:r>
              <w:rPr>
                <w:rFonts w:hAnsiTheme="minorEastAsia" w:eastAsiaTheme="minorEastAsia"/>
                <w:szCs w:val="21"/>
                <w:lang w:val="zh-CN"/>
              </w:rPr>
              <w:t>用</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套</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p>
        </w:tc>
        <w:tc>
          <w:tcPr>
            <w:tcW w:w="677" w:type="pct"/>
            <w:vAlign w:val="center"/>
          </w:tcPr>
          <w:p>
            <w:pPr>
              <w:autoSpaceDE w:val="0"/>
              <w:autoSpaceDN w:val="0"/>
              <w:adjustRightInd w:val="0"/>
              <w:jc w:val="center"/>
              <w:rPr>
                <w:rFonts w:eastAsiaTheme="minorEastAsia"/>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12" w:type="pct"/>
            <w:vAlign w:val="center"/>
          </w:tcPr>
          <w:p>
            <w:pPr>
              <w:autoSpaceDE w:val="0"/>
              <w:autoSpaceDN w:val="0"/>
              <w:adjustRightInd w:val="0"/>
              <w:jc w:val="center"/>
              <w:rPr>
                <w:rFonts w:eastAsiaTheme="minorEastAsia"/>
                <w:szCs w:val="21"/>
                <w:lang w:val="zh-CN"/>
              </w:rPr>
            </w:pPr>
            <w:r>
              <w:rPr>
                <w:rFonts w:eastAsiaTheme="minorEastAsia"/>
                <w:szCs w:val="21"/>
                <w:lang w:val="zh-CN"/>
              </w:rPr>
              <w:t>13</w:t>
            </w:r>
          </w:p>
        </w:tc>
        <w:tc>
          <w:tcPr>
            <w:tcW w:w="1163" w:type="pct"/>
            <w:vAlign w:val="center"/>
          </w:tcPr>
          <w:p>
            <w:pPr>
              <w:jc w:val="center"/>
              <w:rPr>
                <w:rFonts w:eastAsiaTheme="minorEastAsia"/>
                <w:szCs w:val="21"/>
                <w:lang w:val="zh-CN"/>
              </w:rPr>
            </w:pPr>
            <w:r>
              <w:rPr>
                <w:rFonts w:hAnsiTheme="minorEastAsia" w:eastAsiaTheme="minorEastAsia"/>
                <w:szCs w:val="21"/>
                <w:lang w:val="zh-CN"/>
              </w:rPr>
              <w:t>二氧化氯发生装置</w:t>
            </w:r>
          </w:p>
        </w:tc>
        <w:tc>
          <w:tcPr>
            <w:tcW w:w="1463" w:type="pct"/>
            <w:vAlign w:val="center"/>
          </w:tcPr>
          <w:p>
            <w:pPr>
              <w:jc w:val="center"/>
              <w:rPr>
                <w:rFonts w:eastAsiaTheme="minorEastAsia"/>
                <w:szCs w:val="21"/>
                <w:lang w:val="zh-CN"/>
              </w:rPr>
            </w:pPr>
            <w:r>
              <w:rPr>
                <w:rFonts w:eastAsiaTheme="minorEastAsia"/>
                <w:szCs w:val="21"/>
                <w:lang w:val="zh-CN"/>
              </w:rPr>
              <w:t>100g/h</w:t>
            </w:r>
            <w:r>
              <w:rPr>
                <w:rFonts w:hAnsiTheme="minorEastAsia" w:eastAsiaTheme="minorEastAsia"/>
                <w:szCs w:val="21"/>
                <w:lang w:val="zh-CN"/>
              </w:rPr>
              <w:t>有效氯产量</w:t>
            </w:r>
          </w:p>
        </w:tc>
        <w:tc>
          <w:tcPr>
            <w:tcW w:w="809" w:type="pct"/>
            <w:vAlign w:val="center"/>
          </w:tcPr>
          <w:p>
            <w:pPr>
              <w:autoSpaceDE w:val="0"/>
              <w:autoSpaceDN w:val="0"/>
              <w:adjustRightInd w:val="0"/>
              <w:jc w:val="center"/>
              <w:rPr>
                <w:rFonts w:eastAsiaTheme="minorEastAsia"/>
                <w:szCs w:val="21"/>
                <w:lang w:val="zh-CN"/>
              </w:rPr>
            </w:pPr>
            <w:r>
              <w:rPr>
                <w:rFonts w:hAnsiTheme="minorEastAsia" w:eastAsiaTheme="minorEastAsia"/>
                <w:szCs w:val="21"/>
                <w:lang w:val="zh-CN"/>
              </w:rPr>
              <w:t>台</w:t>
            </w:r>
          </w:p>
        </w:tc>
        <w:tc>
          <w:tcPr>
            <w:tcW w:w="476" w:type="pct"/>
            <w:vAlign w:val="center"/>
          </w:tcPr>
          <w:p>
            <w:pPr>
              <w:autoSpaceDE w:val="0"/>
              <w:autoSpaceDN w:val="0"/>
              <w:adjustRightInd w:val="0"/>
              <w:jc w:val="center"/>
              <w:rPr>
                <w:rFonts w:eastAsiaTheme="minorEastAsia"/>
                <w:szCs w:val="21"/>
                <w:lang w:val="zh-CN"/>
              </w:rPr>
            </w:pPr>
            <w:r>
              <w:rPr>
                <w:rFonts w:eastAsiaTheme="minorEastAsia"/>
                <w:szCs w:val="21"/>
                <w:lang w:val="zh-CN"/>
              </w:rPr>
              <w:t>2</w:t>
            </w:r>
          </w:p>
        </w:tc>
        <w:tc>
          <w:tcPr>
            <w:tcW w:w="677" w:type="pct"/>
            <w:vAlign w:val="center"/>
          </w:tcPr>
          <w:p>
            <w:pPr>
              <w:autoSpaceDE w:val="0"/>
              <w:autoSpaceDN w:val="0"/>
              <w:adjustRightInd w:val="0"/>
              <w:jc w:val="center"/>
              <w:rPr>
                <w:rFonts w:eastAsiaTheme="minorEastAsia"/>
                <w:szCs w:val="21"/>
                <w:lang w:val="zh-CN"/>
              </w:rPr>
            </w:pPr>
            <w:r>
              <w:rPr>
                <w:rFonts w:eastAsiaTheme="minorEastAsia"/>
                <w:szCs w:val="21"/>
                <w:lang w:val="zh-CN"/>
              </w:rPr>
              <w:t>1</w:t>
            </w:r>
            <w:r>
              <w:rPr>
                <w:rFonts w:hAnsiTheme="minorEastAsia" w:eastAsiaTheme="minorEastAsia"/>
                <w:szCs w:val="21"/>
                <w:lang w:val="zh-CN"/>
              </w:rPr>
              <w:t>用</w:t>
            </w:r>
            <w:r>
              <w:rPr>
                <w:rFonts w:eastAsiaTheme="minorEastAsia"/>
                <w:szCs w:val="21"/>
                <w:lang w:val="zh-CN"/>
              </w:rPr>
              <w:t>1</w:t>
            </w:r>
            <w:r>
              <w:rPr>
                <w:rFonts w:hAnsiTheme="minorEastAsia" w:eastAsiaTheme="minorEastAsia"/>
                <w:szCs w:val="21"/>
                <w:lang w:val="zh-CN"/>
              </w:rPr>
              <w:t>备</w:t>
            </w:r>
          </w:p>
        </w:tc>
      </w:tr>
    </w:tbl>
    <w:p>
      <w:pPr>
        <w:pStyle w:val="63"/>
        <w:ind w:firstLine="480"/>
        <w:rPr>
          <w:color w:val="auto"/>
        </w:rPr>
      </w:pPr>
      <w:r>
        <w:rPr>
          <w:rFonts w:hint="eastAsia"/>
          <w:color w:val="auto"/>
        </w:rPr>
        <w:t>（3）原辅材料消耗</w:t>
      </w:r>
    </w:p>
    <w:p>
      <w:pPr>
        <w:pStyle w:val="63"/>
        <w:ind w:firstLine="480"/>
        <w:rPr>
          <w:color w:val="auto"/>
        </w:rPr>
      </w:pPr>
      <w:r>
        <w:rPr>
          <w:rFonts w:hint="eastAsia"/>
          <w:color w:val="auto"/>
        </w:rPr>
        <w:t>①原辅料消耗量</w:t>
      </w:r>
    </w:p>
    <w:p>
      <w:pPr>
        <w:pStyle w:val="63"/>
        <w:ind w:firstLine="480"/>
        <w:rPr>
          <w:color w:val="auto"/>
        </w:rPr>
      </w:pPr>
      <w:r>
        <w:rPr>
          <w:rFonts w:hint="eastAsia"/>
          <w:color w:val="auto"/>
        </w:rPr>
        <w:t>保障房给水处理站原水来自16#、17#、18#水源井，主要辅料为投加的混凝剂聚合氯化铝(PAC)和消毒剂二氧化氯，二氧化氯由盐酸和次氯酸钠通过二氧化氯发生器现场制备。液态PAC投加量为10mg/L，其浓度约为9%；用二氧化氯消毒投加量为1mg/L。主要物料消耗量见表2.4-7。</w:t>
      </w:r>
    </w:p>
    <w:p>
      <w:pPr>
        <w:pStyle w:val="65"/>
      </w:pPr>
      <w:r>
        <w:rPr>
          <w:rFonts w:hint="eastAsia"/>
        </w:rPr>
        <w:t>表2.4-7  主要原辅料消耗量</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129"/>
        <w:gridCol w:w="1991"/>
        <w:gridCol w:w="2187"/>
        <w:gridCol w:w="19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19" w:type="pct"/>
            <w:vAlign w:val="center"/>
          </w:tcPr>
          <w:p>
            <w:pPr>
              <w:jc w:val="center"/>
              <w:rPr>
                <w:b/>
                <w:szCs w:val="21"/>
              </w:rPr>
            </w:pPr>
            <w:r>
              <w:rPr>
                <w:rFonts w:hint="eastAsia"/>
                <w:b/>
                <w:szCs w:val="21"/>
              </w:rPr>
              <w:t>序号</w:t>
            </w:r>
          </w:p>
        </w:tc>
        <w:tc>
          <w:tcPr>
            <w:tcW w:w="1152" w:type="pct"/>
            <w:vAlign w:val="center"/>
          </w:tcPr>
          <w:p>
            <w:pPr>
              <w:jc w:val="center"/>
              <w:rPr>
                <w:b/>
                <w:szCs w:val="21"/>
              </w:rPr>
            </w:pPr>
            <w:r>
              <w:rPr>
                <w:rFonts w:hint="eastAsia"/>
                <w:b/>
                <w:szCs w:val="21"/>
              </w:rPr>
              <w:t>名称</w:t>
            </w:r>
          </w:p>
        </w:tc>
        <w:tc>
          <w:tcPr>
            <w:tcW w:w="1077" w:type="pct"/>
            <w:vAlign w:val="center"/>
          </w:tcPr>
          <w:p>
            <w:pPr>
              <w:jc w:val="center"/>
              <w:rPr>
                <w:b/>
                <w:szCs w:val="21"/>
              </w:rPr>
            </w:pPr>
            <w:r>
              <w:rPr>
                <w:rFonts w:hint="eastAsia"/>
                <w:b/>
                <w:szCs w:val="21"/>
              </w:rPr>
              <w:t>重要组分</w:t>
            </w:r>
          </w:p>
        </w:tc>
        <w:tc>
          <w:tcPr>
            <w:tcW w:w="1183" w:type="pct"/>
            <w:vAlign w:val="center"/>
          </w:tcPr>
          <w:p>
            <w:pPr>
              <w:jc w:val="center"/>
              <w:rPr>
                <w:b/>
                <w:szCs w:val="21"/>
              </w:rPr>
            </w:pPr>
            <w:r>
              <w:rPr>
                <w:rFonts w:hint="eastAsia"/>
                <w:b/>
                <w:szCs w:val="21"/>
              </w:rPr>
              <w:t>消耗量（t/a）</w:t>
            </w:r>
          </w:p>
        </w:tc>
        <w:tc>
          <w:tcPr>
            <w:tcW w:w="1069" w:type="pct"/>
            <w:vAlign w:val="center"/>
          </w:tcPr>
          <w:p>
            <w:pPr>
              <w:jc w:val="center"/>
              <w:rPr>
                <w:b/>
                <w:szCs w:val="21"/>
              </w:rPr>
            </w:pPr>
            <w:r>
              <w:rPr>
                <w:rFonts w:hint="eastAsia"/>
                <w:b/>
                <w:szCs w:val="21"/>
              </w:rPr>
              <w:t>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19" w:type="pct"/>
            <w:vAlign w:val="center"/>
          </w:tcPr>
          <w:p>
            <w:pPr>
              <w:jc w:val="center"/>
              <w:rPr>
                <w:szCs w:val="21"/>
              </w:rPr>
            </w:pPr>
            <w:r>
              <w:rPr>
                <w:rFonts w:hint="eastAsia"/>
                <w:szCs w:val="21"/>
              </w:rPr>
              <w:t>1</w:t>
            </w:r>
          </w:p>
        </w:tc>
        <w:tc>
          <w:tcPr>
            <w:tcW w:w="1152" w:type="pct"/>
            <w:vAlign w:val="center"/>
          </w:tcPr>
          <w:p>
            <w:pPr>
              <w:jc w:val="center"/>
              <w:rPr>
                <w:szCs w:val="21"/>
              </w:rPr>
            </w:pPr>
            <w:r>
              <w:rPr>
                <w:rFonts w:hint="eastAsia"/>
                <w:szCs w:val="21"/>
              </w:rPr>
              <w:t>混凝剂</w:t>
            </w:r>
          </w:p>
        </w:tc>
        <w:tc>
          <w:tcPr>
            <w:tcW w:w="1077" w:type="pct"/>
            <w:vAlign w:val="center"/>
          </w:tcPr>
          <w:p>
            <w:pPr>
              <w:jc w:val="center"/>
              <w:rPr>
                <w:szCs w:val="21"/>
              </w:rPr>
            </w:pPr>
            <w:r>
              <w:rPr>
                <w:rFonts w:hint="eastAsia"/>
                <w:szCs w:val="21"/>
              </w:rPr>
              <w:t>PAC</w:t>
            </w:r>
          </w:p>
        </w:tc>
        <w:tc>
          <w:tcPr>
            <w:tcW w:w="1183" w:type="pct"/>
            <w:vAlign w:val="center"/>
          </w:tcPr>
          <w:p>
            <w:pPr>
              <w:jc w:val="center"/>
              <w:rPr>
                <w:szCs w:val="21"/>
              </w:rPr>
            </w:pPr>
            <w:r>
              <w:rPr>
                <w:rFonts w:hint="eastAsia"/>
                <w:szCs w:val="21"/>
              </w:rPr>
              <w:t>6.57</w:t>
            </w:r>
          </w:p>
        </w:tc>
        <w:tc>
          <w:tcPr>
            <w:tcW w:w="1069" w:type="pct"/>
            <w:vAlign w:val="center"/>
          </w:tcPr>
          <w:p>
            <w:pPr>
              <w:jc w:val="center"/>
              <w:rPr>
                <w:szCs w:val="21"/>
              </w:rPr>
            </w:pPr>
            <w:r>
              <w:rPr>
                <w:rFonts w:hint="eastAsia"/>
                <w:szCs w:val="21"/>
              </w:rPr>
              <w:t>外购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19" w:type="pct"/>
            <w:vAlign w:val="center"/>
          </w:tcPr>
          <w:p>
            <w:pPr>
              <w:jc w:val="center"/>
              <w:rPr>
                <w:szCs w:val="21"/>
              </w:rPr>
            </w:pPr>
            <w:r>
              <w:rPr>
                <w:rFonts w:hint="eastAsia"/>
                <w:szCs w:val="21"/>
              </w:rPr>
              <w:t>2</w:t>
            </w:r>
          </w:p>
        </w:tc>
        <w:tc>
          <w:tcPr>
            <w:tcW w:w="1152" w:type="pct"/>
            <w:vAlign w:val="center"/>
          </w:tcPr>
          <w:p>
            <w:pPr>
              <w:jc w:val="center"/>
              <w:rPr>
                <w:szCs w:val="21"/>
              </w:rPr>
            </w:pPr>
            <w:r>
              <w:rPr>
                <w:rFonts w:hint="eastAsia"/>
                <w:szCs w:val="21"/>
              </w:rPr>
              <w:t>消毒剂</w:t>
            </w:r>
          </w:p>
        </w:tc>
        <w:tc>
          <w:tcPr>
            <w:tcW w:w="1077" w:type="pct"/>
            <w:vAlign w:val="center"/>
          </w:tcPr>
          <w:p>
            <w:pPr>
              <w:jc w:val="center"/>
              <w:rPr>
                <w:szCs w:val="21"/>
              </w:rPr>
            </w:pPr>
            <w:r>
              <w:rPr>
                <w:rFonts w:hint="eastAsia"/>
                <w:szCs w:val="21"/>
              </w:rPr>
              <w:t>ClO</w:t>
            </w:r>
            <w:r>
              <w:rPr>
                <w:rFonts w:hint="eastAsia"/>
                <w:szCs w:val="21"/>
                <w:vertAlign w:val="subscript"/>
              </w:rPr>
              <w:t>2</w:t>
            </w:r>
          </w:p>
        </w:tc>
        <w:tc>
          <w:tcPr>
            <w:tcW w:w="1183" w:type="pct"/>
            <w:vAlign w:val="center"/>
          </w:tcPr>
          <w:p>
            <w:pPr>
              <w:jc w:val="center"/>
              <w:rPr>
                <w:szCs w:val="21"/>
              </w:rPr>
            </w:pPr>
            <w:r>
              <w:rPr>
                <w:rFonts w:hint="eastAsia"/>
                <w:szCs w:val="21"/>
              </w:rPr>
              <w:t>0.73</w:t>
            </w:r>
          </w:p>
        </w:tc>
        <w:tc>
          <w:tcPr>
            <w:tcW w:w="1069" w:type="pct"/>
            <w:vAlign w:val="center"/>
          </w:tcPr>
          <w:p>
            <w:pPr>
              <w:jc w:val="center"/>
              <w:rPr>
                <w:szCs w:val="21"/>
              </w:rPr>
            </w:pPr>
            <w:r>
              <w:rPr>
                <w:rFonts w:hint="eastAsia"/>
                <w:szCs w:val="21"/>
              </w:rPr>
              <w:t>现场制备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19" w:type="pct"/>
            <w:vAlign w:val="center"/>
          </w:tcPr>
          <w:p>
            <w:pPr>
              <w:jc w:val="center"/>
              <w:rPr>
                <w:szCs w:val="21"/>
              </w:rPr>
            </w:pPr>
            <w:r>
              <w:rPr>
                <w:rFonts w:hint="eastAsia"/>
                <w:szCs w:val="21"/>
              </w:rPr>
              <w:t>3</w:t>
            </w:r>
          </w:p>
        </w:tc>
        <w:tc>
          <w:tcPr>
            <w:tcW w:w="1152" w:type="pct"/>
            <w:vAlign w:val="center"/>
          </w:tcPr>
          <w:p>
            <w:pPr>
              <w:jc w:val="center"/>
              <w:rPr>
                <w:szCs w:val="21"/>
              </w:rPr>
            </w:pPr>
            <w:r>
              <w:rPr>
                <w:rFonts w:hint="eastAsia"/>
                <w:szCs w:val="21"/>
              </w:rPr>
              <w:t>盐酸</w:t>
            </w:r>
          </w:p>
        </w:tc>
        <w:tc>
          <w:tcPr>
            <w:tcW w:w="1077" w:type="pct"/>
            <w:vAlign w:val="center"/>
          </w:tcPr>
          <w:p>
            <w:pPr>
              <w:jc w:val="center"/>
              <w:rPr>
                <w:szCs w:val="21"/>
              </w:rPr>
            </w:pPr>
            <w:r>
              <w:rPr>
                <w:rFonts w:hint="eastAsia"/>
                <w:szCs w:val="21"/>
              </w:rPr>
              <w:t>HCl</w:t>
            </w:r>
          </w:p>
        </w:tc>
        <w:tc>
          <w:tcPr>
            <w:tcW w:w="1183" w:type="pct"/>
            <w:vAlign w:val="center"/>
          </w:tcPr>
          <w:p>
            <w:pPr>
              <w:jc w:val="center"/>
              <w:rPr>
                <w:szCs w:val="21"/>
              </w:rPr>
            </w:pPr>
            <w:r>
              <w:rPr>
                <w:rFonts w:hint="eastAsia"/>
                <w:szCs w:val="21"/>
              </w:rPr>
              <w:t>0.8</w:t>
            </w:r>
          </w:p>
        </w:tc>
        <w:tc>
          <w:tcPr>
            <w:tcW w:w="1069" w:type="pct"/>
            <w:vAlign w:val="center"/>
          </w:tcPr>
          <w:p>
            <w:pPr>
              <w:jc w:val="center"/>
              <w:rPr>
                <w:szCs w:val="21"/>
              </w:rPr>
            </w:pPr>
            <w:r>
              <w:rPr>
                <w:rFonts w:hint="eastAsia"/>
                <w:szCs w:val="21"/>
              </w:rPr>
              <w:t>外购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19" w:type="pct"/>
            <w:vAlign w:val="center"/>
          </w:tcPr>
          <w:p>
            <w:pPr>
              <w:jc w:val="center"/>
              <w:rPr>
                <w:szCs w:val="21"/>
              </w:rPr>
            </w:pPr>
            <w:r>
              <w:rPr>
                <w:rFonts w:hint="eastAsia"/>
                <w:szCs w:val="21"/>
              </w:rPr>
              <w:t>4</w:t>
            </w:r>
          </w:p>
        </w:tc>
        <w:tc>
          <w:tcPr>
            <w:tcW w:w="1152" w:type="pct"/>
            <w:vAlign w:val="center"/>
          </w:tcPr>
          <w:p>
            <w:pPr>
              <w:jc w:val="center"/>
              <w:rPr>
                <w:szCs w:val="21"/>
              </w:rPr>
            </w:pPr>
            <w:r>
              <w:rPr>
                <w:rFonts w:hint="eastAsia"/>
                <w:szCs w:val="21"/>
              </w:rPr>
              <w:t>次氯酸钠</w:t>
            </w:r>
          </w:p>
        </w:tc>
        <w:tc>
          <w:tcPr>
            <w:tcW w:w="1077" w:type="pct"/>
            <w:vAlign w:val="center"/>
          </w:tcPr>
          <w:p>
            <w:pPr>
              <w:jc w:val="center"/>
              <w:rPr>
                <w:szCs w:val="21"/>
              </w:rPr>
            </w:pPr>
            <w:r>
              <w:rPr>
                <w:rFonts w:hint="eastAsia"/>
                <w:szCs w:val="21"/>
              </w:rPr>
              <w:t>NaClO</w:t>
            </w:r>
          </w:p>
        </w:tc>
        <w:tc>
          <w:tcPr>
            <w:tcW w:w="1183" w:type="pct"/>
            <w:vAlign w:val="center"/>
          </w:tcPr>
          <w:p>
            <w:pPr>
              <w:jc w:val="center"/>
              <w:rPr>
                <w:szCs w:val="21"/>
              </w:rPr>
            </w:pPr>
            <w:r>
              <w:rPr>
                <w:rFonts w:hint="eastAsia"/>
                <w:szCs w:val="21"/>
              </w:rPr>
              <w:t>0.4</w:t>
            </w:r>
          </w:p>
        </w:tc>
        <w:tc>
          <w:tcPr>
            <w:tcW w:w="1069" w:type="pct"/>
            <w:vAlign w:val="center"/>
          </w:tcPr>
          <w:p>
            <w:pPr>
              <w:jc w:val="center"/>
              <w:rPr>
                <w:szCs w:val="21"/>
              </w:rPr>
            </w:pPr>
            <w:r>
              <w:rPr>
                <w:rFonts w:hint="eastAsia"/>
                <w:szCs w:val="21"/>
              </w:rPr>
              <w:t>外购</w:t>
            </w:r>
          </w:p>
        </w:tc>
      </w:tr>
    </w:tbl>
    <w:p>
      <w:pPr>
        <w:pStyle w:val="63"/>
        <w:ind w:firstLine="480"/>
        <w:rPr>
          <w:color w:val="auto"/>
        </w:rPr>
      </w:pPr>
      <w:r>
        <w:rPr>
          <w:rFonts w:hint="eastAsia"/>
          <w:color w:val="auto"/>
        </w:rPr>
        <w:t>②主要辅料理化性质、毒理性质</w:t>
      </w:r>
    </w:p>
    <w:p>
      <w:pPr>
        <w:pStyle w:val="63"/>
        <w:ind w:firstLine="480"/>
        <w:rPr>
          <w:color w:val="auto"/>
        </w:rPr>
      </w:pPr>
      <w:r>
        <w:rPr>
          <w:rFonts w:hint="eastAsia"/>
          <w:color w:val="auto"/>
        </w:rPr>
        <w:t>保障房给水处理站使用主要辅料为PAC、ClO</w:t>
      </w:r>
      <w:r>
        <w:rPr>
          <w:rFonts w:hint="eastAsia"/>
          <w:color w:val="auto"/>
          <w:vertAlign w:val="subscript"/>
        </w:rPr>
        <w:t>2</w:t>
      </w:r>
      <w:r>
        <w:rPr>
          <w:rFonts w:hint="eastAsia"/>
          <w:color w:val="auto"/>
        </w:rPr>
        <w:t>，其理化性质、毒理性质见表2.4-8。</w:t>
      </w:r>
    </w:p>
    <w:p>
      <w:pPr>
        <w:pStyle w:val="65"/>
      </w:pPr>
      <w:r>
        <w:rPr>
          <w:rFonts w:hint="eastAsia"/>
        </w:rPr>
        <w:t>表2.4-8  主要辅料理化性质、毒理性质</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02"/>
        <w:gridCol w:w="2976"/>
        <w:gridCol w:w="2835"/>
        <w:gridCol w:w="23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596" w:type="pct"/>
            <w:vAlign w:val="center"/>
          </w:tcPr>
          <w:p>
            <w:pPr>
              <w:jc w:val="center"/>
              <w:rPr>
                <w:b/>
                <w:szCs w:val="21"/>
              </w:rPr>
            </w:pPr>
            <w:r>
              <w:rPr>
                <w:rFonts w:hint="eastAsia"/>
                <w:b/>
                <w:szCs w:val="21"/>
              </w:rPr>
              <w:t>名称</w:t>
            </w:r>
          </w:p>
        </w:tc>
        <w:tc>
          <w:tcPr>
            <w:tcW w:w="1610" w:type="pct"/>
            <w:vAlign w:val="center"/>
          </w:tcPr>
          <w:p>
            <w:pPr>
              <w:jc w:val="center"/>
              <w:rPr>
                <w:b/>
                <w:szCs w:val="21"/>
              </w:rPr>
            </w:pPr>
            <w:r>
              <w:rPr>
                <w:rFonts w:hint="eastAsia"/>
                <w:b/>
                <w:szCs w:val="21"/>
              </w:rPr>
              <w:t>理化性质</w:t>
            </w:r>
          </w:p>
        </w:tc>
        <w:tc>
          <w:tcPr>
            <w:tcW w:w="1534" w:type="pct"/>
            <w:vAlign w:val="center"/>
          </w:tcPr>
          <w:p>
            <w:pPr>
              <w:jc w:val="center"/>
              <w:rPr>
                <w:b/>
                <w:szCs w:val="21"/>
              </w:rPr>
            </w:pPr>
            <w:r>
              <w:rPr>
                <w:rFonts w:hint="eastAsia"/>
                <w:b/>
                <w:szCs w:val="21"/>
              </w:rPr>
              <w:t>燃烧爆炸性</w:t>
            </w:r>
          </w:p>
        </w:tc>
        <w:tc>
          <w:tcPr>
            <w:tcW w:w="1260" w:type="pct"/>
            <w:vAlign w:val="center"/>
          </w:tcPr>
          <w:p>
            <w:pPr>
              <w:jc w:val="center"/>
              <w:rPr>
                <w:b/>
                <w:szCs w:val="21"/>
              </w:rPr>
            </w:pPr>
            <w:r>
              <w:rPr>
                <w:rFonts w:hint="eastAsia"/>
                <w:b/>
                <w:szCs w:val="21"/>
              </w:rPr>
              <w:t>毒理性质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Align w:val="center"/>
          </w:tcPr>
          <w:p>
            <w:pPr>
              <w:spacing w:line="360" w:lineRule="auto"/>
              <w:jc w:val="center"/>
              <w:rPr>
                <w:szCs w:val="21"/>
              </w:rPr>
            </w:pPr>
            <w:r>
              <w:rPr>
                <w:rFonts w:hint="eastAsia"/>
                <w:szCs w:val="21"/>
              </w:rPr>
              <w:t>聚合氯化铝</w:t>
            </w:r>
          </w:p>
        </w:tc>
        <w:tc>
          <w:tcPr>
            <w:tcW w:w="1610" w:type="pct"/>
            <w:vAlign w:val="center"/>
          </w:tcPr>
          <w:p>
            <w:pPr>
              <w:jc w:val="center"/>
              <w:rPr>
                <w:szCs w:val="21"/>
              </w:rPr>
            </w:pPr>
            <w:r>
              <w:rPr>
                <w:szCs w:val="21"/>
              </w:rPr>
              <w:t>聚合氯化铝</w:t>
            </w:r>
            <w:r>
              <w:rPr>
                <w:rFonts w:hint="eastAsia"/>
                <w:szCs w:val="21"/>
              </w:rPr>
              <w:t>溶液无无色透明液体，易溶于水，絮凝能力强。</w:t>
            </w:r>
          </w:p>
        </w:tc>
        <w:tc>
          <w:tcPr>
            <w:tcW w:w="1534" w:type="pct"/>
            <w:vAlign w:val="center"/>
          </w:tcPr>
          <w:p>
            <w:pPr>
              <w:jc w:val="center"/>
              <w:rPr>
                <w:szCs w:val="21"/>
              </w:rPr>
            </w:pPr>
            <w:r>
              <w:rPr>
                <w:rFonts w:hint="eastAsia"/>
                <w:szCs w:val="21"/>
              </w:rPr>
              <w:t>不易燃烧</w:t>
            </w:r>
          </w:p>
        </w:tc>
        <w:tc>
          <w:tcPr>
            <w:tcW w:w="1260" w:type="pct"/>
            <w:vAlign w:val="center"/>
          </w:tcPr>
          <w:p>
            <w:pPr>
              <w:jc w:val="center"/>
              <w:rPr>
                <w:szCs w:val="21"/>
              </w:rPr>
            </w:pPr>
            <w:r>
              <w:rPr>
                <w:rFonts w:hint="eastAsia"/>
                <w:szCs w:val="21"/>
              </w:rPr>
              <w:t>LD</w:t>
            </w:r>
            <w:r>
              <w:rPr>
                <w:rFonts w:hint="eastAsia"/>
                <w:szCs w:val="21"/>
                <w:vertAlign w:val="subscript"/>
              </w:rPr>
              <w:t>50</w:t>
            </w:r>
            <w:r>
              <w:rPr>
                <w:rFonts w:hint="eastAsia"/>
                <w:szCs w:val="21"/>
              </w:rPr>
              <w:t>:3730mg/kg（大鼠经口）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Align w:val="center"/>
          </w:tcPr>
          <w:p>
            <w:pPr>
              <w:jc w:val="center"/>
              <w:rPr>
                <w:szCs w:val="21"/>
              </w:rPr>
            </w:pPr>
            <w:r>
              <w:rPr>
                <w:rFonts w:hint="eastAsia"/>
                <w:szCs w:val="21"/>
              </w:rPr>
              <w:t>二氧化氯（ClO</w:t>
            </w:r>
            <w:r>
              <w:rPr>
                <w:rFonts w:hint="eastAsia"/>
                <w:szCs w:val="21"/>
                <w:vertAlign w:val="subscript"/>
              </w:rPr>
              <w:t>2</w:t>
            </w:r>
            <w:r>
              <w:rPr>
                <w:rFonts w:hint="eastAsia"/>
                <w:szCs w:val="21"/>
              </w:rPr>
              <w:t>）</w:t>
            </w:r>
          </w:p>
        </w:tc>
        <w:tc>
          <w:tcPr>
            <w:tcW w:w="1610" w:type="pct"/>
            <w:vAlign w:val="center"/>
          </w:tcPr>
          <w:p>
            <w:pPr>
              <w:jc w:val="center"/>
              <w:rPr>
                <w:szCs w:val="21"/>
              </w:rPr>
            </w:pPr>
            <w:r>
              <w:rPr>
                <w:szCs w:val="21"/>
              </w:rPr>
              <w:t>红黄色有</w:t>
            </w:r>
            <w:r>
              <w:rPr>
                <w:bCs/>
                <w:szCs w:val="21"/>
              </w:rPr>
              <w:t>强烈刺激性臭味</w:t>
            </w:r>
            <w:r>
              <w:rPr>
                <w:szCs w:val="21"/>
              </w:rPr>
              <w:t>气体</w:t>
            </w:r>
            <w:r>
              <w:rPr>
                <w:rFonts w:hint="eastAsia"/>
                <w:szCs w:val="21"/>
              </w:rPr>
              <w:t>，</w:t>
            </w:r>
            <w:r>
              <w:rPr>
                <w:szCs w:val="21"/>
              </w:rPr>
              <w:t>液体为红褐色，固体为橙红色</w:t>
            </w:r>
            <w:r>
              <w:rPr>
                <w:rFonts w:hint="eastAsia"/>
                <w:szCs w:val="21"/>
              </w:rPr>
              <w:t>。</w:t>
            </w:r>
          </w:p>
        </w:tc>
        <w:tc>
          <w:tcPr>
            <w:tcW w:w="1534" w:type="pct"/>
            <w:vAlign w:val="center"/>
          </w:tcPr>
          <w:p>
            <w:pPr>
              <w:jc w:val="center"/>
              <w:rPr>
                <w:szCs w:val="21"/>
              </w:rPr>
            </w:pPr>
            <w:r>
              <w:rPr>
                <w:szCs w:val="21"/>
              </w:rPr>
              <w:t>二氧化氯能与许多化学物质发生爆炸性反应。对热、震动、撞击和摩擦相当敏感，极易分解发生爆炸。受热和受光照或能促进</w:t>
            </w:r>
            <w:r>
              <w:fldChar w:fldCharType="begin"/>
            </w:r>
            <w:r>
              <w:instrText xml:space="preserve"> HYPERLINK "http://baike.baidu.com/view/1345677.htm" \t "_blank" </w:instrText>
            </w:r>
            <w:r>
              <w:fldChar w:fldCharType="separate"/>
            </w:r>
            <w:r>
              <w:rPr>
                <w:rStyle w:val="29"/>
                <w:color w:val="auto"/>
                <w:szCs w:val="21"/>
              </w:rPr>
              <w:t>氧化作用</w:t>
            </w:r>
            <w:r>
              <w:rPr>
                <w:rStyle w:val="29"/>
                <w:color w:val="auto"/>
                <w:szCs w:val="21"/>
              </w:rPr>
              <w:fldChar w:fldCharType="end"/>
            </w:r>
            <w:r>
              <w:rPr>
                <w:szCs w:val="21"/>
              </w:rPr>
              <w:t>的物质时，能促进分解并易引起爆炸</w:t>
            </w:r>
            <w:r>
              <w:rPr>
                <w:rFonts w:hint="eastAsia"/>
                <w:szCs w:val="21"/>
              </w:rPr>
              <w:t>。</w:t>
            </w:r>
          </w:p>
        </w:tc>
        <w:tc>
          <w:tcPr>
            <w:tcW w:w="1260" w:type="pct"/>
            <w:vAlign w:val="center"/>
          </w:tcPr>
          <w:p>
            <w:pPr>
              <w:jc w:val="center"/>
              <w:rPr>
                <w:szCs w:val="21"/>
              </w:rPr>
            </w:pPr>
            <w:r>
              <w:rPr>
                <w:szCs w:val="21"/>
              </w:rPr>
              <w:t>其经口LD</w:t>
            </w:r>
            <w:r>
              <w:rPr>
                <w:szCs w:val="21"/>
                <w:vertAlign w:val="subscript"/>
              </w:rPr>
              <w:t>50</w:t>
            </w:r>
            <w:r>
              <w:rPr>
                <w:szCs w:val="21"/>
              </w:rPr>
              <w:t>&gt;10000mg/kg</w:t>
            </w:r>
          </w:p>
          <w:p>
            <w:pPr>
              <w:jc w:val="center"/>
              <w:rPr>
                <w:szCs w:val="21"/>
              </w:rPr>
            </w:pPr>
            <w:r>
              <w:rPr>
                <w:rFonts w:hint="eastAsia"/>
                <w:szCs w:val="21"/>
              </w:rPr>
              <w:t>其浓度</w:t>
            </w:r>
            <w:r>
              <w:rPr>
                <w:szCs w:val="21"/>
              </w:rPr>
              <w:t>低于500ppm时，影响可以忽略，100ppm以下对人没任何影响</w:t>
            </w:r>
            <w:r>
              <w:rPr>
                <w:rFonts w:hint="eastAsia"/>
                <w:szCs w:val="21"/>
              </w:rPr>
              <w:t>，起安全浓度为</w:t>
            </w:r>
            <w:r>
              <w:rPr>
                <w:szCs w:val="21"/>
              </w:rPr>
              <w:t>0.75mg/1</w:t>
            </w: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Align w:val="center"/>
          </w:tcPr>
          <w:p>
            <w:pPr>
              <w:jc w:val="center"/>
              <w:rPr>
                <w:szCs w:val="21"/>
              </w:rPr>
            </w:pPr>
            <w:r>
              <w:rPr>
                <w:rFonts w:hint="eastAsia"/>
                <w:szCs w:val="21"/>
              </w:rPr>
              <w:t>盐酸</w:t>
            </w:r>
          </w:p>
        </w:tc>
        <w:tc>
          <w:tcPr>
            <w:tcW w:w="1610" w:type="pct"/>
            <w:vAlign w:val="center"/>
          </w:tcPr>
          <w:p>
            <w:pPr>
              <w:jc w:val="center"/>
              <w:rPr>
                <w:szCs w:val="21"/>
              </w:rPr>
            </w:pPr>
            <w:r>
              <w:rPr>
                <w:rFonts w:hint="eastAsia"/>
                <w:szCs w:val="21"/>
              </w:rPr>
              <w:t>盐酸是无色液体，有腐蚀性，为氯化氢的水溶液，具有刺激性气味。</w:t>
            </w:r>
          </w:p>
        </w:tc>
        <w:tc>
          <w:tcPr>
            <w:tcW w:w="1534" w:type="pct"/>
            <w:vAlign w:val="center"/>
          </w:tcPr>
          <w:p>
            <w:pPr>
              <w:jc w:val="center"/>
              <w:rPr>
                <w:szCs w:val="21"/>
              </w:rPr>
            </w:pPr>
            <w:r>
              <w:rPr>
                <w:rFonts w:hint="eastAsia"/>
                <w:szCs w:val="21"/>
              </w:rPr>
              <w:t>不易燃烧</w:t>
            </w:r>
          </w:p>
        </w:tc>
        <w:tc>
          <w:tcPr>
            <w:tcW w:w="1260" w:type="pct"/>
            <w:vAlign w:val="center"/>
          </w:tcPr>
          <w:p>
            <w:pPr>
              <w:jc w:val="center"/>
              <w:rPr>
                <w:szCs w:val="21"/>
              </w:rPr>
            </w:pPr>
            <w:r>
              <w:rPr>
                <w:rFonts w:hint="eastAsia"/>
                <w:szCs w:val="21"/>
              </w:rPr>
              <w:t>LD50900mg/kg（兔经口）；LC503124ppm，1小时(大鼠吸入)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96" w:type="pct"/>
            <w:vAlign w:val="center"/>
          </w:tcPr>
          <w:p>
            <w:pPr>
              <w:jc w:val="center"/>
              <w:rPr>
                <w:szCs w:val="21"/>
              </w:rPr>
            </w:pPr>
            <w:r>
              <w:rPr>
                <w:rFonts w:hint="eastAsia"/>
                <w:szCs w:val="21"/>
              </w:rPr>
              <w:t>次氯酸钠</w:t>
            </w:r>
          </w:p>
        </w:tc>
        <w:tc>
          <w:tcPr>
            <w:tcW w:w="1610" w:type="pct"/>
            <w:vAlign w:val="center"/>
          </w:tcPr>
          <w:p>
            <w:pPr>
              <w:jc w:val="center"/>
              <w:rPr>
                <w:szCs w:val="21"/>
              </w:rPr>
            </w:pPr>
            <w:r>
              <w:rPr>
                <w:rFonts w:hint="eastAsia"/>
                <w:szCs w:val="21"/>
              </w:rPr>
              <w:t>微黄色（溶液）或白色粉末（固体），氧化性强，常用于水的净化，以及作消毒剂、纸浆漂白等。</w:t>
            </w:r>
          </w:p>
        </w:tc>
        <w:tc>
          <w:tcPr>
            <w:tcW w:w="1534" w:type="pct"/>
            <w:vAlign w:val="center"/>
          </w:tcPr>
          <w:p>
            <w:pPr>
              <w:jc w:val="center"/>
              <w:rPr>
                <w:szCs w:val="21"/>
              </w:rPr>
            </w:pPr>
            <w:r>
              <w:rPr>
                <w:rFonts w:hint="eastAsia"/>
                <w:szCs w:val="21"/>
              </w:rPr>
              <w:t>不易燃烧</w:t>
            </w:r>
          </w:p>
        </w:tc>
        <w:tc>
          <w:tcPr>
            <w:tcW w:w="1260" w:type="pct"/>
            <w:vAlign w:val="center"/>
          </w:tcPr>
          <w:p>
            <w:pPr>
              <w:jc w:val="center"/>
              <w:rPr>
                <w:szCs w:val="21"/>
              </w:rPr>
            </w:pPr>
            <w:r>
              <w:rPr>
                <w:rFonts w:hint="eastAsia"/>
                <w:szCs w:val="21"/>
              </w:rPr>
              <w:t>LD50：8500mg/kg（小鼠经口）</w:t>
            </w:r>
          </w:p>
        </w:tc>
      </w:tr>
    </w:tbl>
    <w:p>
      <w:pPr>
        <w:pStyle w:val="61"/>
        <w:rPr>
          <w:color w:val="auto"/>
        </w:rPr>
      </w:pPr>
      <w:bookmarkStart w:id="30" w:name="_Toc436902148"/>
      <w:r>
        <w:rPr>
          <w:rFonts w:hint="eastAsia"/>
          <w:color w:val="auto"/>
        </w:rPr>
        <w:t>2.5总平面布置及其合理性</w:t>
      </w:r>
      <w:bookmarkEnd w:id="30"/>
    </w:p>
    <w:p>
      <w:pPr>
        <w:pStyle w:val="63"/>
        <w:ind w:firstLine="480"/>
        <w:rPr>
          <w:color w:val="auto"/>
        </w:rPr>
      </w:pPr>
      <w:r>
        <w:rPr>
          <w:rFonts w:hint="eastAsia"/>
          <w:color w:val="auto"/>
        </w:rPr>
        <w:t>项目包括水源地、输水管线、水源管理站三部分，其总体布局见图2.5-1。</w:t>
      </w:r>
    </w:p>
    <w:p>
      <w:pPr>
        <w:pStyle w:val="63"/>
        <w:ind w:firstLine="480"/>
        <w:rPr>
          <w:color w:val="auto"/>
        </w:rPr>
      </w:pPr>
      <w:r>
        <w:rPr>
          <w:color w:val="auto"/>
        </w:rPr>
        <w:t>（1）</w:t>
      </w:r>
      <w:r>
        <w:rPr>
          <w:rFonts w:hint="eastAsia"/>
          <w:color w:val="auto"/>
        </w:rPr>
        <w:t>水源地</w:t>
      </w:r>
    </w:p>
    <w:p>
      <w:pPr>
        <w:pStyle w:val="63"/>
        <w:ind w:firstLine="480"/>
        <w:rPr>
          <w:color w:val="auto"/>
        </w:rPr>
      </w:pPr>
      <w:r>
        <w:rPr>
          <w:color w:val="auto"/>
        </w:rPr>
        <w:t>水源地水源井沿</w:t>
      </w:r>
      <w:r>
        <w:rPr>
          <w:rFonts w:hint="eastAsia"/>
          <w:color w:val="auto"/>
        </w:rPr>
        <w:t>泾河两岸布设，</w:t>
      </w:r>
      <w:r>
        <w:rPr>
          <w:color w:val="auto"/>
        </w:rPr>
        <w:t>水源井布置在</w:t>
      </w:r>
      <w:r>
        <w:rPr>
          <w:rFonts w:hint="eastAsia"/>
          <w:color w:val="auto"/>
        </w:rPr>
        <w:t>道路</w:t>
      </w:r>
      <w:r>
        <w:rPr>
          <w:color w:val="auto"/>
        </w:rPr>
        <w:t>绿化带内</w:t>
      </w:r>
      <w:r>
        <w:rPr>
          <w:rFonts w:hint="eastAsia"/>
          <w:color w:val="auto"/>
        </w:rPr>
        <w:t>。</w:t>
      </w:r>
    </w:p>
    <w:p>
      <w:pPr>
        <w:pStyle w:val="63"/>
        <w:ind w:firstLine="480"/>
        <w:rPr>
          <w:color w:val="auto"/>
        </w:rPr>
      </w:pPr>
      <w:r>
        <w:rPr>
          <w:rFonts w:hint="eastAsia"/>
          <w:color w:val="auto"/>
        </w:rPr>
        <w:t>（2）输水管线</w:t>
      </w:r>
    </w:p>
    <w:p>
      <w:pPr>
        <w:pStyle w:val="63"/>
        <w:ind w:firstLine="480"/>
        <w:rPr>
          <w:color w:val="auto"/>
        </w:rPr>
      </w:pPr>
      <w:r>
        <w:rPr>
          <w:rFonts w:hint="eastAsia"/>
          <w:color w:val="auto"/>
          <w:szCs w:val="28"/>
        </w:rPr>
        <w:t>泾河北岸输水管线沿道路两侧20m宽绿带内布设，</w:t>
      </w:r>
      <w:r>
        <w:rPr>
          <w:rFonts w:hint="eastAsia"/>
          <w:color w:val="auto"/>
        </w:rPr>
        <w:t>泾河北岸</w:t>
      </w:r>
      <w:r>
        <w:rPr>
          <w:color w:val="auto"/>
        </w:rPr>
        <w:t>的水源井</w:t>
      </w:r>
      <w:r>
        <w:rPr>
          <w:rFonts w:hint="eastAsia"/>
          <w:color w:val="auto"/>
        </w:rPr>
        <w:t>供水</w:t>
      </w:r>
      <w:r>
        <w:rPr>
          <w:color w:val="auto"/>
        </w:rPr>
        <w:t>需通过</w:t>
      </w:r>
      <w:r>
        <w:rPr>
          <w:rFonts w:hint="eastAsia"/>
          <w:color w:val="auto"/>
          <w:szCs w:val="28"/>
        </w:rPr>
        <w:t>穿越泾惠渠退水渠二处，</w:t>
      </w:r>
      <w:r>
        <w:rPr>
          <w:color w:val="auto"/>
        </w:rPr>
        <w:t>输送至新建</w:t>
      </w:r>
      <w:r>
        <w:rPr>
          <w:rFonts w:hint="eastAsia"/>
          <w:color w:val="auto"/>
        </w:rPr>
        <w:t>水源管理站。</w:t>
      </w:r>
      <w:r>
        <w:rPr>
          <w:rFonts w:hint="eastAsia"/>
          <w:color w:val="auto"/>
          <w:szCs w:val="28"/>
        </w:rPr>
        <w:t>泾惠渠退河道</w:t>
      </w:r>
      <w:r>
        <w:rPr>
          <w:color w:val="auto"/>
        </w:rPr>
        <w:t>断面较窄，采用敷设倒虹管形式从河底穿越。该方案管道埋在河床以下，工程施工难度不大，适应过洪能力强，对河道防洪基本无不利影响，且不需要采取复杂的防冻、防伸缩措施，只需采取适当的防冲措施，具有较大的优越性。</w:t>
      </w:r>
    </w:p>
    <w:p>
      <w:pPr>
        <w:pStyle w:val="63"/>
        <w:ind w:firstLine="480"/>
        <w:rPr>
          <w:color w:val="auto"/>
        </w:rPr>
      </w:pPr>
      <w:r>
        <w:rPr>
          <w:rFonts w:hint="eastAsia"/>
          <w:color w:val="auto"/>
        </w:rPr>
        <w:t>（3）水源管理站</w:t>
      </w:r>
    </w:p>
    <w:p>
      <w:pPr>
        <w:pStyle w:val="63"/>
        <w:ind w:firstLine="480"/>
        <w:rPr>
          <w:color w:val="auto"/>
        </w:rPr>
      </w:pPr>
      <w:r>
        <w:rPr>
          <w:rFonts w:hint="eastAsia"/>
          <w:color w:val="auto"/>
        </w:rPr>
        <w:t>水源管理站新建场地原地形北高南低、西高东低，相对较平，设计场地西北高，东南低，本站分为两大功能区，西面53米宽范围内为管理生活区，东面67米范围内为生产区。</w:t>
      </w:r>
    </w:p>
    <w:p>
      <w:pPr>
        <w:pStyle w:val="63"/>
        <w:ind w:firstLine="480"/>
        <w:rPr>
          <w:color w:val="auto"/>
        </w:rPr>
      </w:pPr>
      <w:r>
        <w:rPr>
          <w:rFonts w:hint="eastAsia"/>
          <w:color w:val="auto"/>
        </w:rPr>
        <w:t>生产区内布置了配水池、送水泵房、变配电室及仓库及车库。</w:t>
      </w:r>
    </w:p>
    <w:p>
      <w:pPr>
        <w:pStyle w:val="63"/>
        <w:ind w:firstLine="480"/>
        <w:rPr>
          <w:color w:val="auto"/>
        </w:rPr>
      </w:pPr>
      <w:r>
        <w:rPr>
          <w:rFonts w:hint="eastAsia"/>
          <w:color w:val="auto"/>
        </w:rPr>
        <w:t>管理生活区布置了值班室、综合办公楼、食堂。综合办公楼、食堂布置在生活区中，组成一个西南向开敞广场，周围布有草坪、停车场及大块绿地，形成一个较为安宁的独立空间。综合办公楼前面留有进深39米，面宽达30米的宽敞场地，此处除布置必要停车场及道路外，其余均作为绿地及广场。此处还可进一步进行环境优化设计，使其成为全厂优美环境中的精品地段。</w:t>
      </w:r>
    </w:p>
    <w:p>
      <w:pPr>
        <w:pStyle w:val="63"/>
        <w:ind w:firstLine="480"/>
        <w:rPr>
          <w:color w:val="auto"/>
        </w:rPr>
      </w:pPr>
      <w:r>
        <w:rPr>
          <w:rFonts w:hint="eastAsia"/>
          <w:color w:val="auto"/>
        </w:rPr>
        <w:t>生产区与生活管理区之间有一条宽6m长68m的南北向林荫道相分隔，东西两区更显明确，便于管理，站围墙北面为20m的高泾南路绿带。</w:t>
      </w:r>
    </w:p>
    <w:p>
      <w:pPr>
        <w:pStyle w:val="63"/>
        <w:ind w:firstLine="480"/>
        <w:rPr>
          <w:color w:val="auto"/>
        </w:rPr>
      </w:pPr>
      <w:r>
        <w:rPr>
          <w:rFonts w:hint="eastAsia"/>
          <w:color w:val="auto"/>
        </w:rPr>
        <w:t>（4）泾河北岸保障房给水处理站</w:t>
      </w:r>
    </w:p>
    <w:p>
      <w:pPr>
        <w:pStyle w:val="63"/>
        <w:ind w:firstLine="480"/>
        <w:rPr>
          <w:color w:val="auto"/>
        </w:rPr>
      </w:pPr>
      <w:r>
        <w:rPr>
          <w:rFonts w:hint="eastAsia"/>
          <w:color w:val="auto"/>
        </w:rPr>
        <w:t>泾河北岸保障房给水处理站位于现状20m绿化带内，布置时尽量减少对现状绿化带的影响。把处理站布置在长约72m范围内。站内构筑物沿正阳大道西侧绿化带布设，由南向北依次为原水池、配电室、自控室、综合设备间（中间水池、浓水池）、清水池，送水泵房，最宽处17m。全站除建筑物、构筑物、道路占地外，其余地带全部绿化。站围墙北面为20米的正阳大道绿带，均可种较高大乔木，能有效减弱西北风影响，厂内道路两侧种植具有观赏性的行道树。构筑物、建筑物周边可种植草坪、花卉及各种灌木。</w:t>
      </w:r>
    </w:p>
    <w:p>
      <w:pPr>
        <w:pStyle w:val="63"/>
        <w:ind w:firstLine="480"/>
        <w:rPr>
          <w:color w:val="auto"/>
        </w:rPr>
      </w:pPr>
      <w:r>
        <w:rPr>
          <w:color w:val="auto"/>
        </w:rPr>
        <w:t>总体上，项目总体布局符合地下水开采</w:t>
      </w:r>
      <w:r>
        <w:rPr>
          <w:rFonts w:cs="Times New Roman"/>
          <w:color w:val="auto"/>
        </w:rPr>
        <w:t>-</w:t>
      </w:r>
      <w:r>
        <w:rPr>
          <w:rFonts w:hint="eastAsia"/>
          <w:color w:val="auto"/>
        </w:rPr>
        <w:t>输送</w:t>
      </w:r>
      <w:r>
        <w:rPr>
          <w:rFonts w:cs="Times New Roman"/>
          <w:color w:val="auto"/>
        </w:rPr>
        <w:t>-</w:t>
      </w:r>
      <w:r>
        <w:rPr>
          <w:rFonts w:hint="eastAsia"/>
          <w:color w:val="auto"/>
        </w:rPr>
        <w:t>泵站提升输送流程</w:t>
      </w:r>
      <w:r>
        <w:rPr>
          <w:color w:val="auto"/>
        </w:rPr>
        <w:t>，项目本身为非污染型项目，从环保的角度看，上述布局合理。</w:t>
      </w:r>
    </w:p>
    <w:p>
      <w:pPr>
        <w:pStyle w:val="61"/>
        <w:rPr>
          <w:color w:val="auto"/>
        </w:rPr>
      </w:pPr>
      <w:bookmarkStart w:id="31" w:name="_Toc436902149"/>
      <w:r>
        <w:rPr>
          <w:rFonts w:hint="eastAsia"/>
          <w:color w:val="auto"/>
        </w:rPr>
        <w:t>2.6组织机构及劳动定员</w:t>
      </w:r>
      <w:bookmarkEnd w:id="31"/>
    </w:p>
    <w:p>
      <w:pPr>
        <w:pStyle w:val="63"/>
        <w:ind w:firstLine="480"/>
        <w:rPr>
          <w:color w:val="auto"/>
        </w:rPr>
      </w:pPr>
      <w:r>
        <w:rPr>
          <w:rFonts w:hint="eastAsia"/>
          <w:color w:val="auto"/>
        </w:rPr>
        <w:t>本项目的建设单位为泾河新城水务管理有限公司，也是最终的管理经营单位。该公司行政上隶属于陕西省西咸新区泾河新城建设集团。按现行国家政策，工程建设以法人为代表项目责任制，负责建设和行营管理的全过程。</w:t>
      </w:r>
    </w:p>
    <w:p>
      <w:pPr>
        <w:pStyle w:val="63"/>
        <w:ind w:firstLine="480"/>
        <w:rPr>
          <w:color w:val="auto"/>
        </w:rPr>
      </w:pPr>
      <w:r>
        <w:rPr>
          <w:rFonts w:hint="eastAsia"/>
          <w:color w:val="auto"/>
        </w:rPr>
        <w:t>水源地管理站劳动定员为37人，</w:t>
      </w:r>
      <w:r>
        <w:rPr>
          <w:color w:val="auto"/>
        </w:rPr>
        <w:t>按照五班三运转配备</w:t>
      </w:r>
      <w:r>
        <w:rPr>
          <w:rFonts w:hint="eastAsia"/>
          <w:color w:val="auto"/>
        </w:rPr>
        <w:t>。项目建设期计划为10个月。运营期</w:t>
      </w:r>
      <w:r>
        <w:rPr>
          <w:rFonts w:hint="eastAsia" w:cs="Times New Roman"/>
          <w:color w:val="auto"/>
          <w:szCs w:val="24"/>
        </w:rPr>
        <w:t>考虑到农业灌溉抽水是区内地下水的主要排泄方式，由于农灌抽水主要集中在每年的3、5、6、8、12月，这一期间农灌抽水强度大。为保护区内地下水资源，避免与农灌争水及由此引发的其他矛盾，应急水源地开采在时间上避开农灌季，即应急水源地每年开采时间为约210天。</w:t>
      </w:r>
    </w:p>
    <w:p>
      <w:pPr>
        <w:pStyle w:val="63"/>
        <w:ind w:firstLine="480"/>
        <w:rPr>
          <w:color w:val="auto"/>
        </w:rPr>
        <w:sectPr>
          <w:pgSz w:w="11906" w:h="16838"/>
          <w:pgMar w:top="1440" w:right="1440" w:bottom="1440" w:left="1440" w:header="851" w:footer="992" w:gutter="0"/>
          <w:cols w:space="720" w:num="1"/>
          <w:titlePg/>
          <w:docGrid w:type="lines" w:linePitch="312" w:charSpace="0"/>
        </w:sectPr>
      </w:pPr>
    </w:p>
    <w:p>
      <w:pPr>
        <w:pStyle w:val="60"/>
        <w:spacing w:before="156" w:after="156"/>
      </w:pPr>
      <w:bookmarkStart w:id="32" w:name="_Toc436902150"/>
      <w:r>
        <w:t xml:space="preserve">3 </w:t>
      </w:r>
      <w:r>
        <w:rPr>
          <w:rFonts w:hint="eastAsia"/>
        </w:rPr>
        <w:t>工程分析</w:t>
      </w:r>
      <w:bookmarkEnd w:id="32"/>
    </w:p>
    <w:p>
      <w:pPr>
        <w:pStyle w:val="63"/>
        <w:ind w:firstLine="480"/>
        <w:rPr>
          <w:color w:val="auto"/>
        </w:rPr>
      </w:pPr>
      <w:r>
        <w:rPr>
          <w:color w:val="auto"/>
        </w:rPr>
        <w:t>本工程属地下水源地开发项目，对环境的影响主要为施工过程中产生的废气、废水、噪声、固废等对环境的影响，以及水源地、</w:t>
      </w:r>
      <w:r>
        <w:rPr>
          <w:rFonts w:hint="eastAsia"/>
          <w:color w:val="auto"/>
        </w:rPr>
        <w:t>水源管理站</w:t>
      </w:r>
      <w:r>
        <w:rPr>
          <w:color w:val="auto"/>
        </w:rPr>
        <w:t>、输水管线施工过程对生态环境的影响；营运期主要污染因素包括水源地泵站噪声、地下水开采后对地下水水位的影响，</w:t>
      </w:r>
      <w:r>
        <w:rPr>
          <w:rFonts w:hint="eastAsia"/>
          <w:color w:val="auto"/>
        </w:rPr>
        <w:t>管理站</w:t>
      </w:r>
      <w:r>
        <w:rPr>
          <w:color w:val="auto"/>
        </w:rPr>
        <w:t>设备噪声、废水、生活垃圾等对环境的影响。</w:t>
      </w:r>
    </w:p>
    <w:p>
      <w:pPr>
        <w:pStyle w:val="61"/>
        <w:rPr>
          <w:color w:val="auto"/>
        </w:rPr>
      </w:pPr>
      <w:bookmarkStart w:id="33" w:name="_Toc436902151"/>
      <w:r>
        <w:rPr>
          <w:bCs/>
          <w:color w:val="auto"/>
        </w:rPr>
        <w:t xml:space="preserve">3.1 </w:t>
      </w:r>
      <w:r>
        <w:rPr>
          <w:color w:val="auto"/>
        </w:rPr>
        <w:t>施工期污染源及污染物</w:t>
      </w:r>
      <w:bookmarkEnd w:id="33"/>
    </w:p>
    <w:p>
      <w:pPr>
        <w:pStyle w:val="63"/>
        <w:ind w:firstLine="480"/>
        <w:rPr>
          <w:color w:val="auto"/>
        </w:rPr>
      </w:pPr>
      <w:r>
        <w:rPr>
          <w:color w:val="auto"/>
        </w:rPr>
        <w:t>施工期主要工艺流程及产污环节见图</w:t>
      </w:r>
      <w:r>
        <w:rPr>
          <w:rFonts w:cs="Times New Roman"/>
          <w:color w:val="auto"/>
        </w:rPr>
        <w:t>3.1-1</w:t>
      </w:r>
      <w:r>
        <w:rPr>
          <w:color w:val="auto"/>
        </w:rPr>
        <w:t>。</w:t>
      </w:r>
    </w:p>
    <w:p>
      <w:pPr>
        <w:pStyle w:val="63"/>
        <w:spacing w:line="240" w:lineRule="auto"/>
        <w:ind w:firstLine="0" w:firstLineChars="0"/>
        <w:jc w:val="center"/>
        <w:rPr>
          <w:color w:val="auto"/>
        </w:rPr>
      </w:pPr>
      <w:r>
        <w:rPr>
          <w:color w:val="auto"/>
        </w:rPr>
        <w:object>
          <v:shape id="_x0000_i1025" o:spt="75" type="#_x0000_t75" style="height:269.3pt;width:292.7pt;" o:ole="t" filled="f" o:preferrelative="t" stroked="f" coordsize="21600,21600">
            <v:path/>
            <v:fill on="f" focussize="0,0"/>
            <v:stroke on="f" joinstyle="miter"/>
            <v:imagedata r:id="rId15" o:title=""/>
            <o:lock v:ext="edit" aspectratio="t"/>
            <w10:wrap type="none"/>
            <w10:anchorlock/>
          </v:shape>
          <o:OLEObject Type="Embed" ProgID="Visio.Drawing.11" ShapeID="_x0000_i1025" DrawAspect="Content" ObjectID="_1468075725" r:id="rId14">
            <o:LockedField>false</o:LockedField>
          </o:OLEObject>
        </w:object>
      </w:r>
    </w:p>
    <w:p>
      <w:pPr>
        <w:pStyle w:val="70"/>
        <w:ind w:firstLine="0" w:firstLineChars="0"/>
        <w:jc w:val="center"/>
        <w:outlineLvl w:val="9"/>
        <w:rPr>
          <w:rFonts w:ascii="Times New Roman" w:cs="Times New Roman"/>
          <w:color w:val="auto"/>
          <w:sz w:val="21"/>
          <w:szCs w:val="21"/>
        </w:rPr>
      </w:pPr>
      <w:r>
        <w:rPr>
          <w:rFonts w:ascii="Times New Roman" w:hAnsi="宋体" w:cs="Times New Roman"/>
          <w:color w:val="auto"/>
          <w:sz w:val="21"/>
          <w:szCs w:val="21"/>
        </w:rPr>
        <w:t>图</w:t>
      </w:r>
      <w:r>
        <w:rPr>
          <w:rFonts w:ascii="Times New Roman" w:cs="Times New Roman"/>
          <w:color w:val="auto"/>
          <w:sz w:val="21"/>
          <w:szCs w:val="21"/>
        </w:rPr>
        <w:t xml:space="preserve">3.1-1  </w:t>
      </w:r>
      <w:r>
        <w:rPr>
          <w:rFonts w:ascii="Times New Roman" w:hAnsi="宋体" w:cs="Times New Roman"/>
          <w:color w:val="auto"/>
          <w:sz w:val="21"/>
          <w:szCs w:val="21"/>
        </w:rPr>
        <w:t>施工期主要工艺流程及产污环节图</w:t>
      </w:r>
    </w:p>
    <w:p>
      <w:pPr>
        <w:pStyle w:val="62"/>
        <w:rPr>
          <w:color w:val="auto"/>
        </w:rPr>
      </w:pPr>
      <w:r>
        <w:rPr>
          <w:color w:val="auto"/>
        </w:rPr>
        <w:t>3.1.1</w:t>
      </w:r>
      <w:r>
        <w:rPr>
          <w:rFonts w:ascii="宋体" w:hAnsi="宋体" w:cs="宋体"/>
          <w:color w:val="auto"/>
        </w:rPr>
        <w:t>施工期废气</w:t>
      </w:r>
    </w:p>
    <w:p>
      <w:pPr>
        <w:pStyle w:val="63"/>
        <w:ind w:firstLine="480"/>
        <w:rPr>
          <w:color w:val="auto"/>
        </w:rPr>
      </w:pPr>
      <w:r>
        <w:rPr>
          <w:color w:val="auto"/>
        </w:rPr>
        <w:t>施工期产生的废气主要为</w:t>
      </w:r>
      <w:r>
        <w:rPr>
          <w:rFonts w:hint="eastAsia"/>
          <w:color w:val="auto"/>
        </w:rPr>
        <w:t>场地平整、</w:t>
      </w:r>
      <w:r>
        <w:rPr>
          <w:color w:val="auto"/>
        </w:rPr>
        <w:t>工程管</w:t>
      </w:r>
      <w:r>
        <w:rPr>
          <w:rFonts w:hint="eastAsia"/>
          <w:color w:val="auto"/>
        </w:rPr>
        <w:t>沟</w:t>
      </w:r>
      <w:r>
        <w:rPr>
          <w:color w:val="auto"/>
        </w:rPr>
        <w:t>开挖、交通运输、施工机械和临时堆放等过程产生的粉尘以及燃油机械产生的尾气。</w:t>
      </w:r>
      <w:r>
        <w:rPr>
          <w:rFonts w:ascii="宋体" w:hAnsi="宋体"/>
          <w:color w:val="auto"/>
          <w:szCs w:val="24"/>
        </w:rPr>
        <w:t>此外，项目输水管道敷设中多采用PE管</w:t>
      </w:r>
      <w:r>
        <w:rPr>
          <w:rFonts w:hint="eastAsia" w:ascii="宋体" w:hAnsi="宋体"/>
          <w:color w:val="auto"/>
          <w:szCs w:val="24"/>
        </w:rPr>
        <w:t>，</w:t>
      </w:r>
      <w:r>
        <w:rPr>
          <w:rFonts w:ascii="宋体" w:hAnsi="宋体"/>
          <w:color w:val="auto"/>
          <w:szCs w:val="24"/>
        </w:rPr>
        <w:t>铸铁管购买已作防腐处理的管材，不涉及油漆及沥青废气排放。</w:t>
      </w:r>
    </w:p>
    <w:p>
      <w:pPr>
        <w:autoSpaceDE w:val="0"/>
        <w:autoSpaceDN w:val="0"/>
        <w:adjustRightInd w:val="0"/>
        <w:spacing w:line="360" w:lineRule="auto"/>
        <w:ind w:left="420"/>
        <w:rPr>
          <w:sz w:val="24"/>
        </w:rPr>
      </w:pPr>
      <w:r>
        <w:rPr>
          <w:sz w:val="24"/>
        </w:rPr>
        <w:t>（1）粉尘</w:t>
      </w:r>
    </w:p>
    <w:p>
      <w:pPr>
        <w:pStyle w:val="63"/>
        <w:ind w:firstLine="480"/>
        <w:rPr>
          <w:color w:val="auto"/>
        </w:rPr>
      </w:pPr>
      <w:r>
        <w:rPr>
          <w:color w:val="auto"/>
        </w:rPr>
        <w:t>施工过程中，土方开挖、场地平整、材料运输及装卸等施工活动都会产生无组织排放粉尘。无组织排放粉尘的产生量取决于施工强度和气象条件等因素，一般情况下风速大于2.5m/s时易产生粉尘，影响区域主要集中在施工区域周围100m范围内，影响程度下风向大于上风向。类比国内</w:t>
      </w:r>
      <w:r>
        <w:rPr>
          <w:rFonts w:hint="eastAsia"/>
          <w:color w:val="auto"/>
        </w:rPr>
        <w:t>同类项目</w:t>
      </w:r>
      <w:r>
        <w:rPr>
          <w:color w:val="auto"/>
        </w:rPr>
        <w:t>，施工厂界</w:t>
      </w:r>
      <w:r>
        <w:rPr>
          <w:rFonts w:hint="eastAsia"/>
          <w:color w:val="auto"/>
        </w:rPr>
        <w:t>扬尘起尘量为0.02kg/h。</w:t>
      </w:r>
    </w:p>
    <w:p>
      <w:pPr>
        <w:autoSpaceDE w:val="0"/>
        <w:autoSpaceDN w:val="0"/>
        <w:adjustRightInd w:val="0"/>
        <w:spacing w:line="360" w:lineRule="auto"/>
        <w:ind w:firstLine="480" w:firstLineChars="200"/>
        <w:rPr>
          <w:sz w:val="24"/>
        </w:rPr>
      </w:pPr>
      <w:r>
        <w:rPr>
          <w:sz w:val="24"/>
        </w:rPr>
        <w:t>（2）燃油机械尾气</w:t>
      </w:r>
    </w:p>
    <w:p>
      <w:pPr>
        <w:pStyle w:val="63"/>
        <w:ind w:firstLine="480"/>
        <w:rPr>
          <w:color w:val="auto"/>
        </w:rPr>
      </w:pPr>
      <w:r>
        <w:rPr>
          <w:color w:val="auto"/>
        </w:rPr>
        <w:t>机动车尾气主要来自施工机械和运输车辆等，主要污染物是</w:t>
      </w:r>
      <w:r>
        <w:rPr>
          <w:rFonts w:cs="Times New Roman"/>
          <w:color w:val="auto"/>
        </w:rPr>
        <w:t>NO</w:t>
      </w:r>
      <w:r>
        <w:rPr>
          <w:rFonts w:hint="eastAsia" w:cs="Times New Roman"/>
          <w:color w:val="auto"/>
          <w:vertAlign w:val="subscript"/>
        </w:rPr>
        <w:t>X</w:t>
      </w:r>
      <w:r>
        <w:rPr>
          <w:color w:val="auto"/>
        </w:rPr>
        <w:t>、</w:t>
      </w:r>
      <w:r>
        <w:rPr>
          <w:rFonts w:cs="Times New Roman"/>
          <w:color w:val="auto"/>
        </w:rPr>
        <w:t>CO</w:t>
      </w:r>
      <w:r>
        <w:rPr>
          <w:color w:val="auto"/>
        </w:rPr>
        <w:t>、</w:t>
      </w:r>
      <w:r>
        <w:rPr>
          <w:rFonts w:cs="Times New Roman"/>
          <w:color w:val="auto"/>
        </w:rPr>
        <w:t>HC</w:t>
      </w:r>
      <w:r>
        <w:rPr>
          <w:color w:val="auto"/>
        </w:rPr>
        <w:t>等，其源强大小主要取决于施工机械维护保养和作业机械的数量及密度。一般情况下，由于施工机械作业的流动性、阶段性和间断性的特点，施工场地平均单位时间排放的尾气污染物总量并不大。</w:t>
      </w:r>
    </w:p>
    <w:p>
      <w:pPr>
        <w:pStyle w:val="62"/>
        <w:rPr>
          <w:color w:val="auto"/>
        </w:rPr>
      </w:pPr>
      <w:r>
        <w:rPr>
          <w:bCs/>
          <w:color w:val="auto"/>
        </w:rPr>
        <w:t>3.1.2</w:t>
      </w:r>
      <w:r>
        <w:rPr>
          <w:rFonts w:ascii="宋体" w:hAnsi="宋体" w:cs="宋体"/>
          <w:color w:val="auto"/>
        </w:rPr>
        <w:t>施工期废水</w:t>
      </w:r>
    </w:p>
    <w:p>
      <w:pPr>
        <w:pStyle w:val="63"/>
        <w:ind w:firstLine="480"/>
        <w:rPr>
          <w:color w:val="auto"/>
        </w:rPr>
      </w:pPr>
      <w:r>
        <w:rPr>
          <w:color w:val="auto"/>
        </w:rPr>
        <w:t>施工期间所产生的废水主要来自施工作业在管道敷设过程、厂区建设产生</w:t>
      </w:r>
      <w:r>
        <w:rPr>
          <w:rFonts w:hint="eastAsia"/>
          <w:color w:val="auto"/>
        </w:rPr>
        <w:t>的</w:t>
      </w:r>
      <w:r>
        <w:rPr>
          <w:color w:val="auto"/>
        </w:rPr>
        <w:t>机械修理系统废水、施工人员生活污水</w:t>
      </w:r>
      <w:r>
        <w:rPr>
          <w:rFonts w:hint="eastAsia"/>
          <w:color w:val="auto"/>
        </w:rPr>
        <w:t>、钻井</w:t>
      </w:r>
      <w:r>
        <w:rPr>
          <w:color w:val="auto"/>
        </w:rPr>
        <w:t>工程废水。</w:t>
      </w:r>
    </w:p>
    <w:p>
      <w:pPr>
        <w:pStyle w:val="63"/>
        <w:ind w:firstLine="480"/>
        <w:rPr>
          <w:color w:val="auto"/>
        </w:rPr>
      </w:pPr>
      <w:r>
        <w:rPr>
          <w:color w:val="auto"/>
        </w:rPr>
        <w:t>（</w:t>
      </w:r>
      <w:r>
        <w:rPr>
          <w:rFonts w:hint="eastAsia"/>
          <w:color w:val="auto"/>
        </w:rPr>
        <w:t>1</w:t>
      </w:r>
      <w:r>
        <w:rPr>
          <w:color w:val="auto"/>
        </w:rPr>
        <w:t>）机械修理系统废水</w:t>
      </w:r>
    </w:p>
    <w:p>
      <w:pPr>
        <w:pStyle w:val="63"/>
        <w:ind w:firstLine="480"/>
        <w:rPr>
          <w:color w:val="auto"/>
        </w:rPr>
      </w:pPr>
      <w:r>
        <w:rPr>
          <w:color w:val="auto"/>
        </w:rPr>
        <w:t>施工期机械修配和汽车的保养修理过程中会有含石油类的污水排放。废水具有不连续排放的特点，主要污染物为石油类和SS，一般情况下，石油类含量在10~30mg/L，SS在500mg/L左右。</w:t>
      </w:r>
    </w:p>
    <w:p>
      <w:pPr>
        <w:snapToGrid w:val="0"/>
        <w:spacing w:line="360" w:lineRule="auto"/>
        <w:ind w:firstLine="480" w:firstLineChars="200"/>
        <w:rPr>
          <w:sz w:val="24"/>
        </w:rPr>
      </w:pPr>
      <w:r>
        <w:rPr>
          <w:sz w:val="24"/>
        </w:rPr>
        <w:t>（</w:t>
      </w:r>
      <w:r>
        <w:rPr>
          <w:rFonts w:hint="eastAsia"/>
          <w:sz w:val="24"/>
        </w:rPr>
        <w:t>2</w:t>
      </w:r>
      <w:r>
        <w:rPr>
          <w:sz w:val="24"/>
        </w:rPr>
        <w:t>）施工期生活污水</w:t>
      </w:r>
    </w:p>
    <w:p>
      <w:pPr>
        <w:spacing w:line="360" w:lineRule="auto"/>
        <w:ind w:firstLine="480" w:firstLineChars="200"/>
        <w:rPr>
          <w:spacing w:val="4"/>
          <w:sz w:val="24"/>
        </w:rPr>
      </w:pPr>
      <w:r>
        <w:rPr>
          <w:sz w:val="24"/>
        </w:rPr>
        <w:t>施工人员生活用水量按每人每天100L计，污水排放系数0.8，高峰时施工人员按每日用工</w:t>
      </w:r>
      <w:r>
        <w:rPr>
          <w:rFonts w:hint="eastAsia"/>
          <w:sz w:val="24"/>
        </w:rPr>
        <w:t>2</w:t>
      </w:r>
      <w:r>
        <w:rPr>
          <w:sz w:val="24"/>
        </w:rPr>
        <w:t>0人计算，则生活污水量最高约</w:t>
      </w:r>
      <w:r>
        <w:rPr>
          <w:rFonts w:hint="eastAsia"/>
          <w:sz w:val="24"/>
        </w:rPr>
        <w:t>1.6</w:t>
      </w:r>
      <w:r>
        <w:rPr>
          <w:sz w:val="24"/>
        </w:rPr>
        <w:t>m</w:t>
      </w:r>
      <w:r>
        <w:rPr>
          <w:sz w:val="24"/>
          <w:vertAlign w:val="superscript"/>
        </w:rPr>
        <w:t>3</w:t>
      </w:r>
      <w:r>
        <w:rPr>
          <w:sz w:val="24"/>
        </w:rPr>
        <w:t>/d，主要污染物为BOD</w:t>
      </w:r>
      <w:r>
        <w:rPr>
          <w:sz w:val="24"/>
          <w:vertAlign w:val="subscript"/>
        </w:rPr>
        <w:t>5</w:t>
      </w:r>
      <w:r>
        <w:rPr>
          <w:sz w:val="24"/>
        </w:rPr>
        <w:t>、COD、SS、</w:t>
      </w:r>
      <w:r>
        <w:rPr>
          <w:rFonts w:hint="eastAsia"/>
          <w:sz w:val="24"/>
        </w:rPr>
        <w:t>氨氮</w:t>
      </w:r>
      <w:r>
        <w:rPr>
          <w:sz w:val="24"/>
        </w:rPr>
        <w:t>等，</w:t>
      </w:r>
      <w:r>
        <w:rPr>
          <w:spacing w:val="4"/>
          <w:sz w:val="24"/>
        </w:rPr>
        <w:t>根据类比资料，污染物产生浓度COD为200mg/L、BOD</w:t>
      </w:r>
      <w:r>
        <w:rPr>
          <w:spacing w:val="4"/>
          <w:sz w:val="24"/>
          <w:vertAlign w:val="subscript"/>
        </w:rPr>
        <w:t>5</w:t>
      </w:r>
      <w:r>
        <w:rPr>
          <w:spacing w:val="4"/>
          <w:sz w:val="24"/>
        </w:rPr>
        <w:t>为80mg/L、SS为100mg/L、氨氮为12mg/L。</w:t>
      </w:r>
    </w:p>
    <w:p>
      <w:pPr>
        <w:spacing w:line="360" w:lineRule="auto"/>
        <w:ind w:firstLine="496" w:firstLineChars="200"/>
        <w:rPr>
          <w:spacing w:val="4"/>
          <w:sz w:val="24"/>
        </w:rPr>
      </w:pPr>
      <w:r>
        <w:rPr>
          <w:rFonts w:hint="eastAsia"/>
          <w:spacing w:val="4"/>
          <w:sz w:val="24"/>
        </w:rPr>
        <w:t>（3）钻井工程废水</w:t>
      </w:r>
    </w:p>
    <w:p>
      <w:pPr>
        <w:pStyle w:val="63"/>
        <w:ind w:firstLine="480"/>
        <w:rPr>
          <w:color w:val="auto"/>
        </w:rPr>
      </w:pPr>
      <w:r>
        <w:rPr>
          <w:rFonts w:hint="eastAsia"/>
          <w:color w:val="auto"/>
        </w:rPr>
        <w:t>钻井过程中的循环用水和钻孔排渣储存于泥浆池，泥浆池用0.2mm厚的塑料布衬底及侧壁，不留接缝，边缘用素土压实，泥浆池沉淀后上清液循环使用，泥浆坑泥渣定期清掏后运至项目所在地的垃圾填埋场处置。</w:t>
      </w:r>
    </w:p>
    <w:p>
      <w:pPr>
        <w:pStyle w:val="62"/>
        <w:rPr>
          <w:rFonts w:ascii="宋体" w:hAnsi="宋体" w:cs="宋体"/>
          <w:color w:val="auto"/>
        </w:rPr>
      </w:pPr>
      <w:r>
        <w:rPr>
          <w:bCs/>
          <w:color w:val="auto"/>
        </w:rPr>
        <w:t>3.1.3</w:t>
      </w:r>
      <w:r>
        <w:rPr>
          <w:rFonts w:ascii="宋体" w:hAnsi="宋体" w:cs="宋体"/>
          <w:color w:val="auto"/>
        </w:rPr>
        <w:t>施工期噪声</w:t>
      </w:r>
    </w:p>
    <w:p>
      <w:pPr>
        <w:pStyle w:val="63"/>
        <w:ind w:firstLine="480"/>
        <w:rPr>
          <w:color w:val="auto"/>
        </w:rPr>
      </w:pPr>
      <w:r>
        <w:rPr>
          <w:color w:val="auto"/>
        </w:rPr>
        <w:t>施工期噪声污染主要来自施工机械及车辆运输，源强在</w:t>
      </w:r>
      <w:r>
        <w:rPr>
          <w:rFonts w:cs="Times New Roman"/>
          <w:color w:val="auto"/>
        </w:rPr>
        <w:t>85~110dB(A)</w:t>
      </w:r>
      <w:r>
        <w:rPr>
          <w:color w:val="auto"/>
        </w:rPr>
        <w:t>。根据类比资料，一般施工主要机械设备及其噪声源强见表</w:t>
      </w:r>
      <w:r>
        <w:rPr>
          <w:rFonts w:cs="Times New Roman"/>
          <w:color w:val="auto"/>
        </w:rPr>
        <w:t>3.1-1</w:t>
      </w:r>
      <w:r>
        <w:rPr>
          <w:color w:val="auto"/>
        </w:rPr>
        <w:t>。</w:t>
      </w:r>
    </w:p>
    <w:p>
      <w:pPr>
        <w:pStyle w:val="65"/>
      </w:pPr>
      <w:r>
        <w:t>表3.1-1  施工期主要施工设备噪声源强[dB(A)]</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955"/>
        <w:gridCol w:w="2834"/>
        <w:gridCol w:w="706"/>
        <w:gridCol w:w="1174"/>
        <w:gridCol w:w="1237"/>
        <w:gridCol w:w="1336"/>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1058" w:type="pct"/>
            <w:vAlign w:val="center"/>
          </w:tcPr>
          <w:p>
            <w:pPr>
              <w:pStyle w:val="58"/>
              <w:spacing w:line="360" w:lineRule="auto"/>
              <w:jc w:val="center"/>
              <w:rPr>
                <w:b/>
                <w:color w:val="auto"/>
                <w:sz w:val="21"/>
                <w:szCs w:val="21"/>
              </w:rPr>
            </w:pPr>
            <w:r>
              <w:rPr>
                <w:rFonts w:hint="eastAsia"/>
                <w:b/>
                <w:color w:val="auto"/>
                <w:sz w:val="21"/>
                <w:szCs w:val="21"/>
              </w:rPr>
              <w:t>噪声源位置</w:t>
            </w:r>
          </w:p>
        </w:tc>
        <w:tc>
          <w:tcPr>
            <w:tcW w:w="1533" w:type="pct"/>
            <w:vAlign w:val="center"/>
          </w:tcPr>
          <w:p>
            <w:pPr>
              <w:pStyle w:val="58"/>
              <w:spacing w:line="360" w:lineRule="auto"/>
              <w:jc w:val="center"/>
              <w:rPr>
                <w:b/>
                <w:color w:val="auto"/>
                <w:sz w:val="21"/>
                <w:szCs w:val="21"/>
              </w:rPr>
            </w:pPr>
            <w:r>
              <w:rPr>
                <w:rFonts w:hint="eastAsia"/>
                <w:b/>
                <w:color w:val="auto"/>
                <w:sz w:val="21"/>
                <w:szCs w:val="21"/>
              </w:rPr>
              <w:t>设备名称</w:t>
            </w:r>
          </w:p>
        </w:tc>
        <w:tc>
          <w:tcPr>
            <w:tcW w:w="382" w:type="pct"/>
            <w:vAlign w:val="center"/>
          </w:tcPr>
          <w:p>
            <w:pPr>
              <w:pStyle w:val="58"/>
              <w:spacing w:line="360" w:lineRule="auto"/>
              <w:jc w:val="center"/>
              <w:rPr>
                <w:b/>
                <w:color w:val="auto"/>
                <w:sz w:val="21"/>
                <w:szCs w:val="21"/>
              </w:rPr>
            </w:pPr>
            <w:r>
              <w:rPr>
                <w:rFonts w:hint="eastAsia"/>
                <w:b/>
                <w:color w:val="auto"/>
                <w:sz w:val="21"/>
                <w:szCs w:val="21"/>
              </w:rPr>
              <w:t>数量</w:t>
            </w:r>
          </w:p>
        </w:tc>
        <w:tc>
          <w:tcPr>
            <w:tcW w:w="635" w:type="pct"/>
            <w:vAlign w:val="center"/>
          </w:tcPr>
          <w:p>
            <w:pPr>
              <w:pStyle w:val="58"/>
              <w:spacing w:line="360" w:lineRule="auto"/>
              <w:jc w:val="center"/>
              <w:rPr>
                <w:b/>
                <w:color w:val="auto"/>
                <w:sz w:val="21"/>
                <w:szCs w:val="21"/>
              </w:rPr>
            </w:pPr>
            <w:r>
              <w:rPr>
                <w:rFonts w:hint="eastAsia"/>
                <w:b/>
                <w:color w:val="auto"/>
                <w:sz w:val="21"/>
                <w:szCs w:val="21"/>
              </w:rPr>
              <w:t>声源强度</w:t>
            </w:r>
          </w:p>
        </w:tc>
        <w:tc>
          <w:tcPr>
            <w:tcW w:w="669" w:type="pct"/>
            <w:vAlign w:val="center"/>
          </w:tcPr>
          <w:p>
            <w:pPr>
              <w:pStyle w:val="58"/>
              <w:spacing w:line="360" w:lineRule="auto"/>
              <w:jc w:val="center"/>
              <w:rPr>
                <w:b/>
                <w:color w:val="auto"/>
                <w:sz w:val="21"/>
                <w:szCs w:val="21"/>
              </w:rPr>
            </w:pPr>
            <w:r>
              <w:rPr>
                <w:rFonts w:hint="eastAsia"/>
                <w:b/>
                <w:color w:val="auto"/>
                <w:sz w:val="21"/>
                <w:szCs w:val="21"/>
              </w:rPr>
              <w:t>声源性质</w:t>
            </w:r>
          </w:p>
        </w:tc>
        <w:tc>
          <w:tcPr>
            <w:tcW w:w="723" w:type="pct"/>
            <w:vAlign w:val="center"/>
          </w:tcPr>
          <w:p>
            <w:pPr>
              <w:pStyle w:val="58"/>
              <w:spacing w:line="360" w:lineRule="auto"/>
              <w:jc w:val="center"/>
              <w:rPr>
                <w:b/>
                <w:color w:val="auto"/>
                <w:sz w:val="21"/>
                <w:szCs w:val="21"/>
              </w:rPr>
            </w:pPr>
            <w:r>
              <w:rPr>
                <w:rFonts w:hint="eastAsia"/>
                <w:b/>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058" w:type="pct"/>
            <w:vAlign w:val="center"/>
          </w:tcPr>
          <w:p>
            <w:pPr>
              <w:pStyle w:val="58"/>
              <w:spacing w:line="360" w:lineRule="auto"/>
              <w:jc w:val="center"/>
              <w:rPr>
                <w:color w:val="auto"/>
                <w:sz w:val="21"/>
                <w:szCs w:val="21"/>
                <w:lang w:eastAsia="zh-CN"/>
              </w:rPr>
            </w:pPr>
            <w:r>
              <w:rPr>
                <w:rFonts w:hint="eastAsia"/>
                <w:color w:val="auto"/>
                <w:sz w:val="21"/>
                <w:szCs w:val="21"/>
              </w:rPr>
              <w:t>水源地施工</w:t>
            </w:r>
          </w:p>
        </w:tc>
        <w:tc>
          <w:tcPr>
            <w:tcW w:w="1533" w:type="pct"/>
            <w:vAlign w:val="center"/>
          </w:tcPr>
          <w:p>
            <w:pPr>
              <w:pStyle w:val="58"/>
              <w:jc w:val="center"/>
              <w:rPr>
                <w:color w:val="auto"/>
                <w:sz w:val="21"/>
                <w:szCs w:val="21"/>
                <w:lang w:eastAsia="zh-CN"/>
              </w:rPr>
            </w:pPr>
            <w:r>
              <w:rPr>
                <w:rFonts w:hint="eastAsia"/>
                <w:color w:val="auto"/>
                <w:sz w:val="21"/>
                <w:szCs w:val="21"/>
                <w:lang w:eastAsia="zh-CN"/>
              </w:rPr>
              <w:t>打桩机、铆枪、压缩机、钻机、挖掘机、翻斗车、钢筋切断机等</w:t>
            </w:r>
          </w:p>
        </w:tc>
        <w:tc>
          <w:tcPr>
            <w:tcW w:w="382" w:type="pct"/>
            <w:vAlign w:val="center"/>
          </w:tcPr>
          <w:p>
            <w:pPr>
              <w:pStyle w:val="63"/>
              <w:ind w:firstLine="0" w:firstLineChars="0"/>
              <w:jc w:val="center"/>
              <w:rPr>
                <w:color w:val="auto"/>
                <w:sz w:val="21"/>
                <w:szCs w:val="21"/>
              </w:rPr>
            </w:pPr>
            <w:r>
              <w:rPr>
                <w:rFonts w:hint="eastAsia"/>
                <w:color w:val="auto"/>
                <w:sz w:val="21"/>
                <w:szCs w:val="21"/>
              </w:rPr>
              <w:t>若干</w:t>
            </w:r>
          </w:p>
        </w:tc>
        <w:tc>
          <w:tcPr>
            <w:tcW w:w="635" w:type="pct"/>
            <w:vAlign w:val="center"/>
          </w:tcPr>
          <w:p>
            <w:pPr>
              <w:pStyle w:val="58"/>
              <w:spacing w:line="360" w:lineRule="auto"/>
              <w:jc w:val="center"/>
              <w:rPr>
                <w:color w:val="auto"/>
                <w:sz w:val="21"/>
                <w:szCs w:val="21"/>
              </w:rPr>
            </w:pPr>
            <w:r>
              <w:rPr>
                <w:color w:val="auto"/>
                <w:sz w:val="21"/>
                <w:szCs w:val="21"/>
              </w:rPr>
              <w:t>90~110</w:t>
            </w:r>
          </w:p>
        </w:tc>
        <w:tc>
          <w:tcPr>
            <w:tcW w:w="669" w:type="pct"/>
            <w:vAlign w:val="center"/>
          </w:tcPr>
          <w:p>
            <w:pPr>
              <w:pStyle w:val="58"/>
              <w:spacing w:line="360" w:lineRule="auto"/>
              <w:jc w:val="center"/>
              <w:rPr>
                <w:color w:val="auto"/>
                <w:sz w:val="21"/>
                <w:szCs w:val="21"/>
              </w:rPr>
            </w:pPr>
            <w:r>
              <w:rPr>
                <w:rFonts w:hint="eastAsia"/>
                <w:color w:val="auto"/>
                <w:sz w:val="21"/>
                <w:szCs w:val="21"/>
              </w:rPr>
              <w:t>流动声源</w:t>
            </w:r>
          </w:p>
        </w:tc>
        <w:tc>
          <w:tcPr>
            <w:tcW w:w="723" w:type="pct"/>
            <w:vMerge w:val="restart"/>
            <w:vAlign w:val="center"/>
          </w:tcPr>
          <w:p>
            <w:pPr>
              <w:pStyle w:val="58"/>
              <w:jc w:val="center"/>
              <w:rPr>
                <w:color w:val="auto"/>
                <w:sz w:val="21"/>
                <w:szCs w:val="21"/>
                <w:lang w:eastAsia="zh-CN"/>
              </w:rPr>
            </w:pPr>
            <w:r>
              <w:rPr>
                <w:rFonts w:hint="eastAsia"/>
                <w:color w:val="auto"/>
                <w:sz w:val="21"/>
                <w:szCs w:val="21"/>
                <w:lang w:eastAsia="zh-CN"/>
              </w:rPr>
              <w:t>施工结束后噪声即消失</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058" w:type="pct"/>
            <w:vAlign w:val="center"/>
          </w:tcPr>
          <w:p>
            <w:pPr>
              <w:pStyle w:val="58"/>
              <w:spacing w:line="360" w:lineRule="auto"/>
              <w:jc w:val="center"/>
              <w:rPr>
                <w:color w:val="auto"/>
                <w:sz w:val="21"/>
                <w:szCs w:val="21"/>
              </w:rPr>
            </w:pPr>
            <w:r>
              <w:rPr>
                <w:rFonts w:hint="eastAsia"/>
                <w:color w:val="auto"/>
                <w:sz w:val="21"/>
                <w:szCs w:val="21"/>
                <w:lang w:eastAsia="zh-CN"/>
              </w:rPr>
              <w:t>管理站</w:t>
            </w:r>
            <w:r>
              <w:rPr>
                <w:rFonts w:hint="eastAsia"/>
                <w:color w:val="auto"/>
                <w:sz w:val="21"/>
                <w:szCs w:val="21"/>
              </w:rPr>
              <w:t>施工</w:t>
            </w:r>
          </w:p>
        </w:tc>
        <w:tc>
          <w:tcPr>
            <w:tcW w:w="1533" w:type="pct"/>
            <w:vAlign w:val="center"/>
          </w:tcPr>
          <w:p>
            <w:pPr>
              <w:pStyle w:val="58"/>
              <w:jc w:val="center"/>
              <w:rPr>
                <w:color w:val="auto"/>
                <w:sz w:val="21"/>
                <w:szCs w:val="21"/>
                <w:lang w:eastAsia="zh-CN"/>
              </w:rPr>
            </w:pPr>
            <w:r>
              <w:rPr>
                <w:rFonts w:hint="eastAsia"/>
                <w:color w:val="auto"/>
                <w:sz w:val="21"/>
                <w:szCs w:val="21"/>
                <w:lang w:eastAsia="zh-CN"/>
              </w:rPr>
              <w:t>推土机、灌装机、油泵、挖土机、铲土机、打桩机、装载机等</w:t>
            </w:r>
          </w:p>
        </w:tc>
        <w:tc>
          <w:tcPr>
            <w:tcW w:w="382" w:type="pct"/>
            <w:vAlign w:val="center"/>
          </w:tcPr>
          <w:p>
            <w:pPr>
              <w:pStyle w:val="63"/>
              <w:ind w:firstLine="0" w:firstLineChars="0"/>
              <w:jc w:val="center"/>
              <w:rPr>
                <w:color w:val="auto"/>
                <w:sz w:val="21"/>
                <w:szCs w:val="21"/>
              </w:rPr>
            </w:pPr>
            <w:r>
              <w:rPr>
                <w:rFonts w:hint="eastAsia"/>
                <w:color w:val="auto"/>
                <w:sz w:val="21"/>
                <w:szCs w:val="21"/>
              </w:rPr>
              <w:t>若干</w:t>
            </w:r>
          </w:p>
        </w:tc>
        <w:tc>
          <w:tcPr>
            <w:tcW w:w="635" w:type="pct"/>
            <w:vAlign w:val="center"/>
          </w:tcPr>
          <w:p>
            <w:pPr>
              <w:pStyle w:val="58"/>
              <w:spacing w:line="360" w:lineRule="auto"/>
              <w:jc w:val="center"/>
              <w:rPr>
                <w:color w:val="auto"/>
                <w:sz w:val="21"/>
                <w:szCs w:val="21"/>
              </w:rPr>
            </w:pPr>
            <w:r>
              <w:rPr>
                <w:color w:val="auto"/>
                <w:sz w:val="21"/>
                <w:szCs w:val="21"/>
              </w:rPr>
              <w:t>95～100</w:t>
            </w:r>
          </w:p>
        </w:tc>
        <w:tc>
          <w:tcPr>
            <w:tcW w:w="669" w:type="pct"/>
            <w:vAlign w:val="center"/>
          </w:tcPr>
          <w:p>
            <w:pPr>
              <w:pStyle w:val="58"/>
              <w:jc w:val="center"/>
              <w:rPr>
                <w:color w:val="auto"/>
                <w:sz w:val="21"/>
                <w:szCs w:val="21"/>
              </w:rPr>
            </w:pPr>
            <w:r>
              <w:rPr>
                <w:rFonts w:hint="eastAsia"/>
                <w:color w:val="auto"/>
                <w:sz w:val="21"/>
                <w:szCs w:val="21"/>
              </w:rPr>
              <w:t>连续稳态声源</w:t>
            </w:r>
          </w:p>
        </w:tc>
        <w:tc>
          <w:tcPr>
            <w:tcW w:w="723" w:type="pct"/>
            <w:vMerge w:val="continue"/>
            <w:vAlign w:val="center"/>
          </w:tcPr>
          <w:p>
            <w:pPr>
              <w:pStyle w:val="63"/>
              <w:ind w:firstLine="0" w:firstLineChars="0"/>
              <w:jc w:val="center"/>
              <w:rPr>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058" w:type="pct"/>
            <w:vAlign w:val="center"/>
          </w:tcPr>
          <w:p>
            <w:pPr>
              <w:pStyle w:val="58"/>
              <w:spacing w:line="360" w:lineRule="auto"/>
              <w:jc w:val="center"/>
              <w:rPr>
                <w:color w:val="auto"/>
                <w:sz w:val="21"/>
                <w:szCs w:val="21"/>
                <w:lang w:eastAsia="zh-CN"/>
              </w:rPr>
            </w:pPr>
            <w:r>
              <w:rPr>
                <w:rFonts w:hint="eastAsia"/>
                <w:color w:val="auto"/>
                <w:sz w:val="21"/>
                <w:szCs w:val="21"/>
              </w:rPr>
              <w:t>管线施工</w:t>
            </w:r>
          </w:p>
        </w:tc>
        <w:tc>
          <w:tcPr>
            <w:tcW w:w="1533" w:type="pct"/>
            <w:vAlign w:val="center"/>
          </w:tcPr>
          <w:p>
            <w:pPr>
              <w:pStyle w:val="58"/>
              <w:spacing w:line="360" w:lineRule="auto"/>
              <w:jc w:val="center"/>
              <w:rPr>
                <w:color w:val="auto"/>
                <w:sz w:val="21"/>
                <w:szCs w:val="21"/>
                <w:lang w:eastAsia="zh-CN"/>
              </w:rPr>
            </w:pPr>
            <w:r>
              <w:rPr>
                <w:rFonts w:hint="eastAsia"/>
                <w:color w:val="auto"/>
                <w:sz w:val="21"/>
                <w:szCs w:val="21"/>
                <w:lang w:eastAsia="zh-CN"/>
              </w:rPr>
              <w:t>推土机、卷扬机、装载机、焊机等</w:t>
            </w:r>
          </w:p>
        </w:tc>
        <w:tc>
          <w:tcPr>
            <w:tcW w:w="382" w:type="pct"/>
            <w:vAlign w:val="center"/>
          </w:tcPr>
          <w:p>
            <w:pPr>
              <w:pStyle w:val="63"/>
              <w:ind w:firstLine="0" w:firstLineChars="0"/>
              <w:jc w:val="center"/>
              <w:rPr>
                <w:color w:val="auto"/>
                <w:sz w:val="21"/>
                <w:szCs w:val="21"/>
              </w:rPr>
            </w:pPr>
            <w:r>
              <w:rPr>
                <w:rFonts w:hint="eastAsia"/>
                <w:color w:val="auto"/>
                <w:sz w:val="21"/>
                <w:szCs w:val="21"/>
              </w:rPr>
              <w:t>若干</w:t>
            </w:r>
          </w:p>
        </w:tc>
        <w:tc>
          <w:tcPr>
            <w:tcW w:w="635" w:type="pct"/>
            <w:vAlign w:val="center"/>
          </w:tcPr>
          <w:p>
            <w:pPr>
              <w:pStyle w:val="58"/>
              <w:spacing w:line="360" w:lineRule="auto"/>
              <w:jc w:val="center"/>
              <w:rPr>
                <w:color w:val="auto"/>
                <w:sz w:val="21"/>
                <w:szCs w:val="21"/>
              </w:rPr>
            </w:pPr>
            <w:r>
              <w:rPr>
                <w:color w:val="auto"/>
                <w:sz w:val="21"/>
                <w:szCs w:val="21"/>
              </w:rPr>
              <w:t>85～100</w:t>
            </w:r>
          </w:p>
        </w:tc>
        <w:tc>
          <w:tcPr>
            <w:tcW w:w="669" w:type="pct"/>
            <w:vAlign w:val="center"/>
          </w:tcPr>
          <w:p>
            <w:pPr>
              <w:pStyle w:val="58"/>
              <w:spacing w:line="360" w:lineRule="auto"/>
              <w:jc w:val="center"/>
              <w:rPr>
                <w:color w:val="auto"/>
                <w:sz w:val="21"/>
                <w:szCs w:val="21"/>
              </w:rPr>
            </w:pPr>
            <w:r>
              <w:rPr>
                <w:rFonts w:hint="eastAsia"/>
                <w:color w:val="auto"/>
                <w:sz w:val="21"/>
                <w:szCs w:val="21"/>
              </w:rPr>
              <w:t>流动声源</w:t>
            </w:r>
          </w:p>
        </w:tc>
        <w:tc>
          <w:tcPr>
            <w:tcW w:w="723" w:type="pct"/>
            <w:vMerge w:val="continue"/>
            <w:vAlign w:val="center"/>
          </w:tcPr>
          <w:p>
            <w:pPr>
              <w:pStyle w:val="63"/>
              <w:ind w:firstLine="0" w:firstLineChars="0"/>
              <w:jc w:val="center"/>
              <w:rPr>
                <w:color w:val="auto"/>
                <w:sz w:val="21"/>
                <w:szCs w:val="21"/>
              </w:rPr>
            </w:pPr>
          </w:p>
        </w:tc>
      </w:tr>
    </w:tbl>
    <w:p>
      <w:pPr>
        <w:pStyle w:val="62"/>
        <w:rPr>
          <w:color w:val="auto"/>
        </w:rPr>
      </w:pPr>
      <w:r>
        <w:rPr>
          <w:bCs/>
          <w:color w:val="auto"/>
        </w:rPr>
        <w:t>3.1.4</w:t>
      </w:r>
      <w:r>
        <w:rPr>
          <w:rFonts w:ascii="宋体" w:hAnsi="宋体" w:cs="宋体"/>
          <w:color w:val="auto"/>
        </w:rPr>
        <w:t>施工期固废</w:t>
      </w:r>
    </w:p>
    <w:p>
      <w:pPr>
        <w:pStyle w:val="63"/>
        <w:ind w:firstLine="480"/>
        <w:rPr>
          <w:snapToGrid w:val="0"/>
          <w:color w:val="auto"/>
          <w:lang w:val="en-GB"/>
        </w:rPr>
      </w:pPr>
      <w:r>
        <w:rPr>
          <w:snapToGrid w:val="0"/>
          <w:color w:val="auto"/>
          <w:lang w:val="en-GB"/>
        </w:rPr>
        <w:t>施工期产生的固体废物主要为施工弃土石方、管道施工废料、</w:t>
      </w:r>
      <w:r>
        <w:rPr>
          <w:rFonts w:hint="eastAsia"/>
          <w:snapToGrid w:val="0"/>
          <w:color w:val="auto"/>
          <w:lang w:val="en-GB"/>
        </w:rPr>
        <w:t>管理站</w:t>
      </w:r>
      <w:r>
        <w:rPr>
          <w:snapToGrid w:val="0"/>
          <w:color w:val="auto"/>
          <w:lang w:val="en-GB"/>
        </w:rPr>
        <w:t>建筑废料和生活垃圾等。</w:t>
      </w:r>
    </w:p>
    <w:p>
      <w:pPr>
        <w:pStyle w:val="63"/>
        <w:ind w:firstLine="480"/>
        <w:rPr>
          <w:snapToGrid w:val="0"/>
          <w:color w:val="auto"/>
          <w:lang w:val="en-GB"/>
        </w:rPr>
      </w:pPr>
      <w:r>
        <w:rPr>
          <w:snapToGrid w:val="0"/>
          <w:color w:val="auto"/>
          <w:lang w:val="en-GB"/>
        </w:rPr>
        <w:t>（1）施工土石方</w:t>
      </w:r>
    </w:p>
    <w:p>
      <w:pPr>
        <w:pStyle w:val="63"/>
        <w:ind w:firstLine="480"/>
        <w:jc w:val="both"/>
        <w:rPr>
          <w:color w:val="auto"/>
        </w:rPr>
      </w:pPr>
      <w:r>
        <w:rPr>
          <w:color w:val="auto"/>
        </w:rPr>
        <w:t>项目挖填方工程主要在建设输水管线、</w:t>
      </w:r>
      <w:r>
        <w:rPr>
          <w:rFonts w:hint="eastAsia"/>
          <w:color w:val="auto"/>
        </w:rPr>
        <w:t>水源管理站和保障房给水处理站工程</w:t>
      </w:r>
      <w:r>
        <w:rPr>
          <w:color w:val="auto"/>
        </w:rPr>
        <w:t>。</w:t>
      </w:r>
    </w:p>
    <w:p>
      <w:pPr>
        <w:pStyle w:val="63"/>
        <w:ind w:firstLine="480"/>
        <w:jc w:val="both"/>
        <w:rPr>
          <w:color w:val="auto"/>
        </w:rPr>
      </w:pPr>
      <w:r>
        <w:rPr>
          <w:rFonts w:hint="eastAsia"/>
          <w:color w:val="auto"/>
        </w:rPr>
        <w:t>①</w:t>
      </w:r>
      <w:r>
        <w:rPr>
          <w:color w:val="auto"/>
        </w:rPr>
        <w:t>输水管线长度共计</w:t>
      </w:r>
      <w:r>
        <w:rPr>
          <w:rFonts w:hint="eastAsia"/>
          <w:color w:val="auto"/>
        </w:rPr>
        <w:t>25189</w:t>
      </w:r>
      <w:r>
        <w:rPr>
          <w:color w:val="auto"/>
        </w:rPr>
        <w:t>m，管径为DN</w:t>
      </w:r>
      <w:r>
        <w:rPr>
          <w:rFonts w:hint="eastAsia"/>
          <w:color w:val="auto"/>
        </w:rPr>
        <w:t>15</w:t>
      </w:r>
      <w:r>
        <w:rPr>
          <w:color w:val="auto"/>
        </w:rPr>
        <w:t>0~DN</w:t>
      </w:r>
      <w:r>
        <w:rPr>
          <w:rFonts w:hint="eastAsia"/>
          <w:color w:val="auto"/>
        </w:rPr>
        <w:t>6</w:t>
      </w:r>
      <w:r>
        <w:rPr>
          <w:color w:val="auto"/>
        </w:rPr>
        <w:t>00。管沟开挖时，开挖断面为梯形，底宽为1.2m，开挖深度为2.1m，顶宽2.46m</w:t>
      </w:r>
      <w:r>
        <w:rPr>
          <w:rFonts w:hint="eastAsia"/>
          <w:color w:val="auto"/>
        </w:rPr>
        <w:t>，</w:t>
      </w:r>
      <w:r>
        <w:rPr>
          <w:rFonts w:hint="eastAsia"/>
          <w:snapToGrid w:val="0"/>
          <w:color w:val="auto"/>
          <w:lang w:val="en-GB"/>
        </w:rPr>
        <w:t>管沟开挖产生土石方6.86万m</w:t>
      </w:r>
      <w:r>
        <w:rPr>
          <w:rFonts w:hint="eastAsia"/>
          <w:snapToGrid w:val="0"/>
          <w:color w:val="auto"/>
          <w:vertAlign w:val="superscript"/>
          <w:lang w:val="en-GB"/>
        </w:rPr>
        <w:t>3</w:t>
      </w:r>
      <w:r>
        <w:rPr>
          <w:rFonts w:hint="eastAsia"/>
          <w:snapToGrid w:val="0"/>
          <w:color w:val="auto"/>
          <w:lang w:val="en-GB"/>
        </w:rPr>
        <w:t>，开挖土石方全部用于</w:t>
      </w:r>
      <w:r>
        <w:rPr>
          <w:color w:val="auto"/>
        </w:rPr>
        <w:t>输水管</w:t>
      </w:r>
      <w:r>
        <w:rPr>
          <w:rFonts w:hint="eastAsia"/>
          <w:snapToGrid w:val="0"/>
          <w:color w:val="auto"/>
          <w:lang w:val="en-GB"/>
        </w:rPr>
        <w:t>道填埋，土石方回填7.26万m</w:t>
      </w:r>
      <w:r>
        <w:rPr>
          <w:rFonts w:hint="eastAsia"/>
          <w:snapToGrid w:val="0"/>
          <w:color w:val="auto"/>
          <w:vertAlign w:val="superscript"/>
          <w:lang w:val="en-GB"/>
        </w:rPr>
        <w:t>3</w:t>
      </w:r>
      <w:r>
        <w:rPr>
          <w:rFonts w:hint="eastAsia"/>
          <w:snapToGrid w:val="0"/>
          <w:color w:val="auto"/>
          <w:lang w:val="en-GB"/>
        </w:rPr>
        <w:t>，外购砂石料0.34万m</w:t>
      </w:r>
      <w:r>
        <w:rPr>
          <w:rFonts w:hint="eastAsia"/>
          <w:snapToGrid w:val="0"/>
          <w:color w:val="auto"/>
          <w:vertAlign w:val="superscript"/>
          <w:lang w:val="en-GB"/>
        </w:rPr>
        <w:t>3</w:t>
      </w:r>
      <w:r>
        <w:rPr>
          <w:rFonts w:hint="eastAsia"/>
          <w:snapToGrid w:val="0"/>
          <w:color w:val="auto"/>
          <w:lang w:val="en-GB"/>
        </w:rPr>
        <w:t>。其中表层土开挖后堆存在管沟最外侧，施工结束后将表层土回填于表层，对区域进行植被恢复。</w:t>
      </w:r>
    </w:p>
    <w:p>
      <w:pPr>
        <w:pStyle w:val="63"/>
        <w:ind w:firstLine="480"/>
        <w:rPr>
          <w:color w:val="auto"/>
        </w:rPr>
      </w:pPr>
      <w:r>
        <w:rPr>
          <w:rFonts w:hint="eastAsia"/>
          <w:color w:val="auto"/>
        </w:rPr>
        <w:t>②水源管理站和约占地17.1亩，保障房给水处理站工程占地2.1亩，平整场地产生的土方全部回填，用于厂区道路及绿化覆土。环评要求在全厂土方平衡上尽量减小挖方与填方的差数，以减少土方工程投资。</w:t>
      </w:r>
    </w:p>
    <w:p>
      <w:pPr>
        <w:pStyle w:val="63"/>
        <w:ind w:firstLine="480"/>
        <w:rPr>
          <w:snapToGrid w:val="0"/>
          <w:color w:val="auto"/>
          <w:lang w:val="en-GB"/>
        </w:rPr>
      </w:pPr>
      <w:r>
        <w:rPr>
          <w:rFonts w:hint="eastAsia"/>
          <w:color w:val="auto"/>
        </w:rPr>
        <w:t>（2）</w:t>
      </w:r>
      <w:r>
        <w:rPr>
          <w:snapToGrid w:val="0"/>
          <w:color w:val="auto"/>
          <w:lang w:val="en-GB"/>
        </w:rPr>
        <w:t>管道施工废料</w:t>
      </w:r>
    </w:p>
    <w:p>
      <w:pPr>
        <w:pStyle w:val="63"/>
        <w:ind w:firstLine="480"/>
        <w:rPr>
          <w:snapToGrid w:val="0"/>
          <w:color w:val="auto"/>
          <w:lang w:val="en-GB"/>
        </w:rPr>
      </w:pPr>
      <w:r>
        <w:rPr>
          <w:rFonts w:hint="eastAsia"/>
          <w:color w:val="auto"/>
        </w:rPr>
        <w:t>管道</w:t>
      </w:r>
      <w:r>
        <w:rPr>
          <w:color w:val="auto"/>
        </w:rPr>
        <w:t>施工废料主要包括焊接作业中产生</w:t>
      </w:r>
      <w:r>
        <w:rPr>
          <w:rFonts w:hint="eastAsia"/>
          <w:color w:val="auto"/>
        </w:rPr>
        <w:t>的</w:t>
      </w:r>
      <w:r>
        <w:rPr>
          <w:color w:val="auto"/>
        </w:rPr>
        <w:t>废焊条、防腐作业中产生的废防腐材料、防腐保温布及施工过程中产生的废混凝土等。根据类比调查，</w:t>
      </w:r>
      <w:r>
        <w:rPr>
          <w:rFonts w:hint="eastAsia"/>
          <w:color w:val="auto"/>
        </w:rPr>
        <w:t>输水管道</w:t>
      </w:r>
      <w:r>
        <w:rPr>
          <w:color w:val="auto"/>
        </w:rPr>
        <w:t>施工废料的产生量</w:t>
      </w:r>
      <w:r>
        <w:rPr>
          <w:rFonts w:hint="eastAsia"/>
          <w:color w:val="auto"/>
        </w:rPr>
        <w:t>约</w:t>
      </w:r>
      <w:r>
        <w:rPr>
          <w:color w:val="auto"/>
        </w:rPr>
        <w:t>为0.2t/km，</w:t>
      </w:r>
      <w:r>
        <w:rPr>
          <w:rFonts w:hint="eastAsia"/>
          <w:color w:val="auto"/>
        </w:rPr>
        <w:t>配水管网</w:t>
      </w:r>
      <w:r>
        <w:rPr>
          <w:color w:val="auto"/>
        </w:rPr>
        <w:t>施工废料的产生量</w:t>
      </w:r>
      <w:r>
        <w:rPr>
          <w:rFonts w:hint="eastAsia"/>
          <w:color w:val="auto"/>
        </w:rPr>
        <w:t>约</w:t>
      </w:r>
      <w:r>
        <w:rPr>
          <w:color w:val="auto"/>
        </w:rPr>
        <w:t>为0.</w:t>
      </w:r>
      <w:r>
        <w:rPr>
          <w:rFonts w:hint="eastAsia"/>
          <w:color w:val="auto"/>
        </w:rPr>
        <w:t>1t</w:t>
      </w:r>
      <w:r>
        <w:rPr>
          <w:color w:val="auto"/>
        </w:rPr>
        <w:t>/km</w:t>
      </w:r>
      <w:r>
        <w:rPr>
          <w:rFonts w:hint="eastAsia"/>
          <w:color w:val="auto"/>
        </w:rPr>
        <w:t>，</w:t>
      </w:r>
      <w:r>
        <w:rPr>
          <w:color w:val="auto"/>
        </w:rPr>
        <w:t>本项目施工过程产生的</w:t>
      </w:r>
      <w:r>
        <w:rPr>
          <w:rFonts w:hint="eastAsia"/>
          <w:color w:val="auto"/>
        </w:rPr>
        <w:t>管道</w:t>
      </w:r>
      <w:r>
        <w:rPr>
          <w:color w:val="auto"/>
        </w:rPr>
        <w:t>施工废料量为</w:t>
      </w:r>
      <w:r>
        <w:rPr>
          <w:rFonts w:hint="eastAsia"/>
          <w:color w:val="auto"/>
        </w:rPr>
        <w:t>2.06</w:t>
      </w:r>
      <w:r>
        <w:rPr>
          <w:color w:val="auto"/>
        </w:rPr>
        <w:t>t。</w:t>
      </w:r>
    </w:p>
    <w:p>
      <w:pPr>
        <w:pStyle w:val="63"/>
        <w:ind w:firstLine="480"/>
        <w:rPr>
          <w:snapToGrid w:val="0"/>
          <w:color w:val="auto"/>
          <w:lang w:val="en-GB"/>
        </w:rPr>
      </w:pPr>
      <w:r>
        <w:rPr>
          <w:rFonts w:hint="eastAsia"/>
          <w:snapToGrid w:val="0"/>
          <w:color w:val="auto"/>
          <w:lang w:val="en-GB"/>
        </w:rPr>
        <w:t>（3）</w:t>
      </w:r>
      <w:r>
        <w:rPr>
          <w:snapToGrid w:val="0"/>
          <w:color w:val="auto"/>
          <w:lang w:val="en-GB"/>
        </w:rPr>
        <w:t>厂区建筑垃圾</w:t>
      </w:r>
    </w:p>
    <w:p>
      <w:pPr>
        <w:pStyle w:val="63"/>
        <w:ind w:firstLine="480"/>
        <w:rPr>
          <w:snapToGrid w:val="0"/>
          <w:color w:val="auto"/>
          <w:lang w:val="en-GB"/>
        </w:rPr>
      </w:pPr>
      <w:r>
        <w:rPr>
          <w:color w:val="auto"/>
        </w:rPr>
        <w:t>建筑垃圾主要在构筑物建造过程中产生，根据相关资料，建造过程中建筑垃圾产生量通常在20~50kg/m</w:t>
      </w:r>
      <w:r>
        <w:rPr>
          <w:color w:val="auto"/>
          <w:vertAlign w:val="superscript"/>
        </w:rPr>
        <w:t>2</w:t>
      </w:r>
      <w:r>
        <w:rPr>
          <w:color w:val="auto"/>
        </w:rPr>
        <w:t>之间，具体产生量与设计方案、工人素质和建筑材料使用管理水平有关。本项目</w:t>
      </w:r>
      <w:r>
        <w:rPr>
          <w:rFonts w:hint="eastAsia"/>
          <w:color w:val="auto"/>
        </w:rPr>
        <w:t>水源管理站和保障房给水处理站</w:t>
      </w:r>
      <w:r>
        <w:rPr>
          <w:color w:val="auto"/>
        </w:rPr>
        <w:t>总建筑面积为</w:t>
      </w:r>
      <w:r>
        <w:rPr>
          <w:rFonts w:hint="eastAsia"/>
          <w:color w:val="auto"/>
        </w:rPr>
        <w:t>2777.11</w:t>
      </w:r>
      <w:r>
        <w:rPr>
          <w:color w:val="auto"/>
        </w:rPr>
        <w:t>m</w:t>
      </w:r>
      <w:r>
        <w:rPr>
          <w:color w:val="auto"/>
          <w:vertAlign w:val="superscript"/>
        </w:rPr>
        <w:t>2</w:t>
      </w:r>
      <w:r>
        <w:rPr>
          <w:color w:val="auto"/>
        </w:rPr>
        <w:t>，建筑垃圾产生量按35kg/m</w:t>
      </w:r>
      <w:r>
        <w:rPr>
          <w:color w:val="auto"/>
          <w:vertAlign w:val="superscript"/>
        </w:rPr>
        <w:t>2</w:t>
      </w:r>
      <w:r>
        <w:rPr>
          <w:color w:val="auto"/>
        </w:rPr>
        <w:t>进行计算，则产生量为</w:t>
      </w:r>
      <w:r>
        <w:rPr>
          <w:rFonts w:hint="eastAsia"/>
          <w:color w:val="auto"/>
        </w:rPr>
        <w:t>97.2</w:t>
      </w:r>
      <w:r>
        <w:rPr>
          <w:color w:val="auto"/>
        </w:rPr>
        <w:t>t。主要成分为废混凝土、废砖瓦、废木</w:t>
      </w:r>
      <w:r>
        <w:rPr>
          <w:snapToGrid w:val="0"/>
          <w:color w:val="auto"/>
          <w:lang w:val="en-GB"/>
        </w:rPr>
        <w:t>料、废钢材等惰性材料。</w:t>
      </w:r>
    </w:p>
    <w:p>
      <w:pPr>
        <w:pStyle w:val="63"/>
        <w:ind w:firstLine="480"/>
        <w:rPr>
          <w:snapToGrid w:val="0"/>
          <w:color w:val="auto"/>
          <w:lang w:val="en-GB"/>
        </w:rPr>
      </w:pPr>
      <w:r>
        <w:rPr>
          <w:rFonts w:hint="eastAsia"/>
          <w:snapToGrid w:val="0"/>
          <w:color w:val="auto"/>
          <w:lang w:val="en-GB"/>
        </w:rPr>
        <w:t>（4）生活垃圾</w:t>
      </w:r>
    </w:p>
    <w:p>
      <w:pPr>
        <w:pStyle w:val="63"/>
        <w:ind w:firstLine="480"/>
        <w:rPr>
          <w:color w:val="auto"/>
        </w:rPr>
      </w:pPr>
      <w:r>
        <w:rPr>
          <w:color w:val="auto"/>
        </w:rPr>
        <w:t>工程建设期间，将有少量施工生活垃圾</w:t>
      </w:r>
      <w:r>
        <w:rPr>
          <w:rFonts w:hint="eastAsia"/>
          <w:color w:val="auto"/>
        </w:rPr>
        <w:t>产生</w:t>
      </w:r>
      <w:r>
        <w:rPr>
          <w:color w:val="auto"/>
        </w:rPr>
        <w:t>。垃圾组成主要为纸屑、餐饮剩余物、包装袋等。施工期总工期为</w:t>
      </w:r>
      <w:r>
        <w:rPr>
          <w:rFonts w:hint="eastAsia"/>
          <w:color w:val="auto"/>
        </w:rPr>
        <w:t>10</w:t>
      </w:r>
      <w:r>
        <w:rPr>
          <w:color w:val="auto"/>
        </w:rPr>
        <w:t>个月，施工期平均施工人数20人/d，垃圾产生量按每人</w:t>
      </w:r>
      <w:r>
        <w:rPr>
          <w:rFonts w:hint="eastAsia"/>
          <w:color w:val="auto"/>
        </w:rPr>
        <w:t>1.0</w:t>
      </w:r>
      <w:r>
        <w:rPr>
          <w:color w:val="auto"/>
        </w:rPr>
        <w:t>kg/d计算，则施工期平均生活垃圾产生量为</w:t>
      </w:r>
      <w:r>
        <w:rPr>
          <w:rFonts w:hint="eastAsia"/>
          <w:color w:val="auto"/>
        </w:rPr>
        <w:t>20</w:t>
      </w:r>
      <w:r>
        <w:rPr>
          <w:color w:val="auto"/>
        </w:rPr>
        <w:t>kg/d，施工期产生垃圾总量为</w:t>
      </w:r>
      <w:r>
        <w:rPr>
          <w:rFonts w:hint="eastAsia"/>
          <w:color w:val="auto"/>
        </w:rPr>
        <w:t>0.2</w:t>
      </w:r>
      <w:r>
        <w:rPr>
          <w:color w:val="auto"/>
        </w:rPr>
        <w:t>t。</w:t>
      </w:r>
    </w:p>
    <w:p>
      <w:pPr>
        <w:pStyle w:val="62"/>
        <w:rPr>
          <w:color w:val="auto"/>
        </w:rPr>
      </w:pPr>
      <w:r>
        <w:rPr>
          <w:bCs/>
          <w:color w:val="auto"/>
        </w:rPr>
        <w:t>3.1.5</w:t>
      </w:r>
      <w:r>
        <w:rPr>
          <w:color w:val="auto"/>
        </w:rPr>
        <w:t>施工期生态影响</w:t>
      </w:r>
    </w:p>
    <w:p>
      <w:pPr>
        <w:pStyle w:val="63"/>
        <w:ind w:firstLine="480"/>
        <w:rPr>
          <w:color w:val="auto"/>
        </w:rPr>
      </w:pPr>
      <w:r>
        <w:rPr>
          <w:rFonts w:hint="eastAsia"/>
          <w:color w:val="auto"/>
        </w:rPr>
        <w:t>本项目保障房给水处理站和管线布设在绿化带中，水源管理站占地属于荒地，地貌见下图3.1-2。</w:t>
      </w:r>
      <w:r>
        <w:rPr>
          <w:color w:val="auto"/>
        </w:rPr>
        <w:t>施工期对生态环境的影响主要体现在占地对植被、土壤的破坏，建设过程造成的水土流失和对现有生态系统的扰动。</w:t>
      </w:r>
    </w:p>
    <w:p>
      <w:pPr>
        <w:pStyle w:val="63"/>
        <w:ind w:firstLine="480"/>
        <w:rPr>
          <w:color w:val="auto"/>
        </w:rPr>
      </w:pPr>
      <w:r>
        <w:rPr>
          <w:color w:val="auto"/>
        </w:rPr>
        <w:t>对植物的影响主要有占地面积原有植物的清理、占压及施工人群的干扰，工程不但造成直接破坏区的植被剥离，还将对间接破坏区的植被造成压占，将造成局部区域生物量的减少。本项目占地多为</w:t>
      </w:r>
      <w:r>
        <w:rPr>
          <w:rFonts w:hint="eastAsia"/>
          <w:color w:val="auto"/>
        </w:rPr>
        <w:t>道路绿化带和耕地</w:t>
      </w:r>
      <w:r>
        <w:rPr>
          <w:color w:val="auto"/>
        </w:rPr>
        <w:t>，对</w:t>
      </w:r>
      <w:r>
        <w:rPr>
          <w:rFonts w:hint="eastAsia"/>
          <w:color w:val="auto"/>
        </w:rPr>
        <w:t>道路绿化带和</w:t>
      </w:r>
      <w:r>
        <w:rPr>
          <w:color w:val="auto"/>
        </w:rPr>
        <w:t>农田植被将产生一定的破坏。</w:t>
      </w:r>
    </w:p>
    <w:p>
      <w:pPr>
        <w:pStyle w:val="63"/>
        <w:ind w:firstLine="480"/>
        <w:rPr>
          <w:color w:val="auto"/>
        </w:rPr>
      </w:pPr>
      <w:r>
        <w:rPr>
          <w:color w:val="auto"/>
        </w:rPr>
        <w:t>工程对土壤的影响主要表现为对土壤性质、土壤肥力和土壤污染影响三个方面，工程土方的开挖和回填，将造成土壤结构的改变，进而导致土壤肥力的降低，对</w:t>
      </w:r>
      <w:r>
        <w:rPr>
          <w:rFonts w:hint="eastAsia"/>
          <w:color w:val="auto"/>
        </w:rPr>
        <w:t>绿化带</w:t>
      </w:r>
      <w:r>
        <w:rPr>
          <w:color w:val="auto"/>
        </w:rPr>
        <w:t>植被的生长造成一定影响。施工过程中产生的施工垃圾、生活垃圾和废（污）水等，如不收集处理残留于土壤中，会对土壤造成污染。</w:t>
      </w:r>
    </w:p>
    <w:p>
      <w:pPr>
        <w:pStyle w:val="63"/>
        <w:ind w:firstLine="480"/>
        <w:rPr>
          <w:color w:val="auto"/>
        </w:rPr>
      </w:pPr>
      <w:r>
        <w:rPr>
          <w:color w:val="auto"/>
        </w:rPr>
        <w:t>水源井、泵房、</w:t>
      </w:r>
      <w:r>
        <w:rPr>
          <w:rFonts w:hint="eastAsia"/>
          <w:color w:val="auto"/>
        </w:rPr>
        <w:t>管理站、保障房给水处理站</w:t>
      </w:r>
      <w:r>
        <w:rPr>
          <w:color w:val="auto"/>
        </w:rPr>
        <w:t>及管线施工扰动，将使施工场地及周围的土壤结构和植被遭到破坏，降低水土保持功能，加剧水土流失。项目不但造成弃土弃渣的直接水土流失加剧，还可能将加剧地表直接破坏区的水土流失，对区域的水土流失有加剧的趋势。随着生态恢复和保护措施的实施，水土流失将得到有效的控制和减缓</w:t>
      </w:r>
      <w:r>
        <w:rPr>
          <w:color w:val="auto"/>
          <w:sz w:val="23"/>
        </w:rPr>
        <w:t>。</w:t>
      </w:r>
    </w:p>
    <w:p>
      <w:pPr>
        <w:pStyle w:val="63"/>
        <w:ind w:firstLine="480"/>
        <w:jc w:val="both"/>
        <w:rPr>
          <w:color w:val="auto"/>
        </w:rPr>
      </w:pPr>
      <w:r>
        <w:rPr>
          <w:color w:val="auto"/>
        </w:rPr>
        <w:t>本项目占地包括永久占地和临时占地，永久占用的土地将永久性的改变土地利用结构和功能，临时占地将在短期改变土地利用的结构和功能，但可以得到生态恢复。永久性占地总面积为</w:t>
      </w:r>
      <w:r>
        <w:rPr>
          <w:rFonts w:hint="eastAsia"/>
          <w:color w:val="auto"/>
        </w:rPr>
        <w:t>19.2</w:t>
      </w:r>
      <w:r>
        <w:rPr>
          <w:color w:val="auto"/>
        </w:rPr>
        <w:t>亩，主要为新建水源井</w:t>
      </w:r>
      <w:r>
        <w:rPr>
          <w:rFonts w:hint="eastAsia"/>
          <w:color w:val="auto"/>
        </w:rPr>
        <w:t>和水源管理站</w:t>
      </w:r>
      <w:r>
        <w:rPr>
          <w:color w:val="auto"/>
        </w:rPr>
        <w:t>占地；临时性占地总面积为</w:t>
      </w:r>
      <w:r>
        <w:rPr>
          <w:rFonts w:hint="eastAsia"/>
          <w:color w:val="auto"/>
        </w:rPr>
        <w:t>216</w:t>
      </w:r>
      <w:r>
        <w:rPr>
          <w:color w:val="auto"/>
        </w:rPr>
        <w:t>亩，主要是施工开挖土方堆场、管线安装、料场、施工便道以及施工临时设施占地占用。具体见表3.1-2。</w:t>
      </w:r>
    </w:p>
    <w:p>
      <w:pPr>
        <w:pStyle w:val="65"/>
      </w:pPr>
      <w:r>
        <w:t>表3.1-2  项目占地表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667"/>
        <w:gridCol w:w="1945"/>
        <w:gridCol w:w="1961"/>
        <w:gridCol w:w="1919"/>
        <w:gridCol w:w="1750"/>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02" w:type="pct"/>
            <w:vAlign w:val="center"/>
          </w:tcPr>
          <w:p>
            <w:pPr>
              <w:pStyle w:val="63"/>
              <w:ind w:firstLine="0" w:firstLineChars="0"/>
              <w:jc w:val="center"/>
              <w:rPr>
                <w:rFonts w:cs="Times New Roman"/>
                <w:b/>
                <w:color w:val="auto"/>
                <w:sz w:val="21"/>
                <w:szCs w:val="21"/>
              </w:rPr>
            </w:pPr>
            <w:r>
              <w:rPr>
                <w:rFonts w:hint="eastAsia" w:hAnsi="宋体" w:cs="Times New Roman"/>
                <w:b/>
                <w:color w:val="auto"/>
                <w:sz w:val="21"/>
                <w:szCs w:val="21"/>
              </w:rPr>
              <w:t>占地类型</w:t>
            </w:r>
          </w:p>
        </w:tc>
        <w:tc>
          <w:tcPr>
            <w:tcW w:w="1052" w:type="pct"/>
            <w:vAlign w:val="center"/>
          </w:tcPr>
          <w:p>
            <w:pPr>
              <w:pStyle w:val="63"/>
              <w:ind w:firstLine="0" w:firstLineChars="0"/>
              <w:jc w:val="center"/>
              <w:rPr>
                <w:rFonts w:cs="Times New Roman"/>
                <w:b/>
                <w:color w:val="auto"/>
                <w:sz w:val="21"/>
                <w:szCs w:val="21"/>
              </w:rPr>
            </w:pPr>
            <w:r>
              <w:rPr>
                <w:rFonts w:hAnsi="宋体" w:cs="Times New Roman"/>
                <w:b/>
                <w:color w:val="auto"/>
                <w:sz w:val="21"/>
                <w:szCs w:val="21"/>
              </w:rPr>
              <w:t>项目</w:t>
            </w:r>
          </w:p>
        </w:tc>
        <w:tc>
          <w:tcPr>
            <w:tcW w:w="1061" w:type="pct"/>
            <w:vAlign w:val="center"/>
          </w:tcPr>
          <w:p>
            <w:pPr>
              <w:pStyle w:val="63"/>
              <w:ind w:firstLine="0" w:firstLineChars="0"/>
              <w:jc w:val="center"/>
              <w:rPr>
                <w:rFonts w:cs="Times New Roman"/>
                <w:b/>
                <w:color w:val="auto"/>
                <w:sz w:val="21"/>
                <w:szCs w:val="21"/>
              </w:rPr>
            </w:pPr>
            <w:r>
              <w:rPr>
                <w:rFonts w:hAnsi="宋体" w:cs="Times New Roman"/>
                <w:b/>
                <w:color w:val="auto"/>
                <w:sz w:val="21"/>
                <w:szCs w:val="21"/>
              </w:rPr>
              <w:t>数量</w:t>
            </w:r>
          </w:p>
        </w:tc>
        <w:tc>
          <w:tcPr>
            <w:tcW w:w="1038" w:type="pct"/>
            <w:vAlign w:val="center"/>
          </w:tcPr>
          <w:p>
            <w:pPr>
              <w:pStyle w:val="63"/>
              <w:ind w:firstLine="0" w:firstLineChars="0"/>
              <w:jc w:val="center"/>
              <w:rPr>
                <w:rFonts w:cs="Times New Roman"/>
                <w:b/>
                <w:color w:val="auto"/>
                <w:sz w:val="21"/>
                <w:szCs w:val="21"/>
              </w:rPr>
            </w:pPr>
            <w:r>
              <w:rPr>
                <w:rFonts w:hAnsi="宋体" w:cs="Times New Roman"/>
                <w:b/>
                <w:color w:val="auto"/>
                <w:sz w:val="21"/>
                <w:szCs w:val="21"/>
              </w:rPr>
              <w:t>占地面积（亩）</w:t>
            </w:r>
          </w:p>
        </w:tc>
        <w:tc>
          <w:tcPr>
            <w:tcW w:w="947" w:type="pct"/>
            <w:vAlign w:val="center"/>
          </w:tcPr>
          <w:p>
            <w:pPr>
              <w:pStyle w:val="63"/>
              <w:ind w:firstLine="0" w:firstLineChars="0"/>
              <w:jc w:val="center"/>
              <w:rPr>
                <w:rFonts w:hAnsi="宋体" w:cs="Times New Roman"/>
                <w:b/>
                <w:color w:val="auto"/>
                <w:sz w:val="21"/>
                <w:szCs w:val="21"/>
              </w:rPr>
            </w:pPr>
            <w:r>
              <w:rPr>
                <w:rFonts w:hint="eastAsia" w:hAnsi="宋体" w:cs="Times New Roman"/>
                <w:b/>
                <w:color w:val="auto"/>
                <w:sz w:val="21"/>
                <w:szCs w:val="21"/>
              </w:rPr>
              <w:t>占地类型</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02" w:type="pct"/>
            <w:vMerge w:val="restart"/>
            <w:vAlign w:val="center"/>
          </w:tcPr>
          <w:p>
            <w:pPr>
              <w:pStyle w:val="63"/>
              <w:ind w:firstLine="0" w:firstLineChars="0"/>
              <w:jc w:val="center"/>
              <w:rPr>
                <w:rFonts w:cs="Times New Roman"/>
                <w:color w:val="auto"/>
                <w:sz w:val="21"/>
                <w:szCs w:val="21"/>
              </w:rPr>
            </w:pPr>
            <w:r>
              <w:rPr>
                <w:color w:val="auto"/>
                <w:sz w:val="21"/>
                <w:szCs w:val="21"/>
              </w:rPr>
              <w:t>永久占地</w:t>
            </w:r>
          </w:p>
        </w:tc>
        <w:tc>
          <w:tcPr>
            <w:tcW w:w="1052" w:type="pct"/>
            <w:vAlign w:val="center"/>
          </w:tcPr>
          <w:p>
            <w:pPr>
              <w:pStyle w:val="58"/>
              <w:jc w:val="center"/>
              <w:rPr>
                <w:rFonts w:ascii="Times New Roman" w:hAnsi="Times New Roman" w:cs="Times New Roman"/>
                <w:color w:val="auto"/>
                <w:sz w:val="21"/>
                <w:szCs w:val="21"/>
              </w:rPr>
            </w:pPr>
            <w:r>
              <w:rPr>
                <w:color w:val="auto"/>
                <w:sz w:val="21"/>
                <w:szCs w:val="21"/>
              </w:rPr>
              <w:t>水源井及泵房</w:t>
            </w:r>
          </w:p>
        </w:tc>
        <w:tc>
          <w:tcPr>
            <w:tcW w:w="1061"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21眼井及泵房</w:t>
            </w:r>
          </w:p>
        </w:tc>
        <w:tc>
          <w:tcPr>
            <w:tcW w:w="1038"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0.8</w:t>
            </w:r>
          </w:p>
        </w:tc>
        <w:tc>
          <w:tcPr>
            <w:tcW w:w="947"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交通用地</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02" w:type="pct"/>
            <w:vMerge w:val="continue"/>
            <w:vAlign w:val="center"/>
          </w:tcPr>
          <w:p>
            <w:pPr>
              <w:pStyle w:val="63"/>
              <w:ind w:firstLine="0" w:firstLineChars="0"/>
              <w:jc w:val="center"/>
              <w:rPr>
                <w:rFonts w:cs="Times New Roman"/>
                <w:color w:val="auto"/>
                <w:sz w:val="21"/>
                <w:szCs w:val="21"/>
              </w:rPr>
            </w:pPr>
          </w:p>
        </w:tc>
        <w:tc>
          <w:tcPr>
            <w:tcW w:w="1052"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水源管理站</w:t>
            </w:r>
          </w:p>
        </w:tc>
        <w:tc>
          <w:tcPr>
            <w:tcW w:w="1061"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1座</w:t>
            </w:r>
          </w:p>
        </w:tc>
        <w:tc>
          <w:tcPr>
            <w:tcW w:w="1038"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17.1</w:t>
            </w:r>
          </w:p>
        </w:tc>
        <w:tc>
          <w:tcPr>
            <w:tcW w:w="947"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耕地</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02" w:type="pct"/>
            <w:vMerge w:val="continue"/>
            <w:vAlign w:val="center"/>
          </w:tcPr>
          <w:p>
            <w:pPr>
              <w:pStyle w:val="63"/>
              <w:ind w:firstLine="0" w:firstLineChars="0"/>
              <w:jc w:val="center"/>
              <w:rPr>
                <w:rFonts w:cs="Times New Roman"/>
                <w:color w:val="auto"/>
                <w:sz w:val="21"/>
                <w:szCs w:val="21"/>
              </w:rPr>
            </w:pPr>
          </w:p>
        </w:tc>
        <w:tc>
          <w:tcPr>
            <w:tcW w:w="1052"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保障房给水处理站</w:t>
            </w:r>
          </w:p>
        </w:tc>
        <w:tc>
          <w:tcPr>
            <w:tcW w:w="1061"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1座</w:t>
            </w:r>
          </w:p>
        </w:tc>
        <w:tc>
          <w:tcPr>
            <w:tcW w:w="1038"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2.1</w:t>
            </w:r>
          </w:p>
        </w:tc>
        <w:tc>
          <w:tcPr>
            <w:tcW w:w="947"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交通用地</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02" w:type="pct"/>
            <w:vMerge w:val="continue"/>
            <w:vAlign w:val="center"/>
          </w:tcPr>
          <w:p>
            <w:pPr>
              <w:pStyle w:val="63"/>
              <w:ind w:firstLine="0" w:firstLineChars="0"/>
              <w:jc w:val="center"/>
              <w:rPr>
                <w:rFonts w:cs="Times New Roman"/>
                <w:color w:val="auto"/>
                <w:sz w:val="21"/>
                <w:szCs w:val="21"/>
              </w:rPr>
            </w:pPr>
          </w:p>
        </w:tc>
        <w:tc>
          <w:tcPr>
            <w:tcW w:w="1052" w:type="pct"/>
            <w:vAlign w:val="center"/>
          </w:tcPr>
          <w:p>
            <w:pPr>
              <w:pStyle w:val="58"/>
              <w:jc w:val="center"/>
              <w:rPr>
                <w:rFonts w:ascii="Times New Roman" w:hAnsi="Times New Roman" w:cs="Times New Roman"/>
                <w:color w:val="auto"/>
                <w:sz w:val="21"/>
                <w:szCs w:val="21"/>
              </w:rPr>
            </w:pPr>
            <w:r>
              <w:rPr>
                <w:color w:val="auto"/>
                <w:sz w:val="21"/>
                <w:szCs w:val="21"/>
              </w:rPr>
              <w:t>永久占地面积小计</w:t>
            </w:r>
          </w:p>
        </w:tc>
        <w:tc>
          <w:tcPr>
            <w:tcW w:w="1061"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w:t>
            </w:r>
          </w:p>
        </w:tc>
        <w:tc>
          <w:tcPr>
            <w:tcW w:w="1038"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20</w:t>
            </w:r>
          </w:p>
        </w:tc>
        <w:tc>
          <w:tcPr>
            <w:tcW w:w="947"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02" w:type="pct"/>
            <w:vMerge w:val="restart"/>
            <w:vAlign w:val="center"/>
          </w:tcPr>
          <w:p>
            <w:pPr>
              <w:pStyle w:val="63"/>
              <w:ind w:firstLine="0" w:firstLineChars="0"/>
              <w:jc w:val="center"/>
              <w:rPr>
                <w:rFonts w:cs="Times New Roman"/>
                <w:color w:val="auto"/>
                <w:sz w:val="21"/>
                <w:szCs w:val="21"/>
              </w:rPr>
            </w:pPr>
            <w:r>
              <w:rPr>
                <w:color w:val="auto"/>
                <w:sz w:val="21"/>
                <w:szCs w:val="21"/>
              </w:rPr>
              <w:t>临时占地</w:t>
            </w:r>
          </w:p>
        </w:tc>
        <w:tc>
          <w:tcPr>
            <w:tcW w:w="1052" w:type="pct"/>
            <w:vAlign w:val="center"/>
          </w:tcPr>
          <w:p>
            <w:pPr>
              <w:pStyle w:val="58"/>
              <w:jc w:val="center"/>
              <w:rPr>
                <w:rFonts w:ascii="Times New Roman" w:hAnsi="Times New Roman" w:cs="Times New Roman"/>
                <w:color w:val="auto"/>
                <w:sz w:val="21"/>
                <w:szCs w:val="21"/>
              </w:rPr>
            </w:pPr>
            <w:r>
              <w:rPr>
                <w:color w:val="auto"/>
                <w:sz w:val="21"/>
                <w:szCs w:val="21"/>
              </w:rPr>
              <w:t>输水管道</w:t>
            </w:r>
          </w:p>
        </w:tc>
        <w:tc>
          <w:tcPr>
            <w:tcW w:w="1061"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15840km</w:t>
            </w:r>
          </w:p>
        </w:tc>
        <w:tc>
          <w:tcPr>
            <w:tcW w:w="1038"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90.84</w:t>
            </w:r>
          </w:p>
        </w:tc>
        <w:tc>
          <w:tcPr>
            <w:tcW w:w="947"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交通用地</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02" w:type="pct"/>
            <w:vMerge w:val="continue"/>
            <w:vAlign w:val="center"/>
          </w:tcPr>
          <w:p>
            <w:pPr>
              <w:pStyle w:val="63"/>
              <w:ind w:firstLine="0" w:firstLineChars="0"/>
              <w:jc w:val="center"/>
              <w:rPr>
                <w:rFonts w:cs="Times New Roman"/>
                <w:color w:val="auto"/>
                <w:sz w:val="21"/>
                <w:szCs w:val="21"/>
              </w:rPr>
            </w:pPr>
          </w:p>
        </w:tc>
        <w:tc>
          <w:tcPr>
            <w:tcW w:w="1052" w:type="pct"/>
            <w:vAlign w:val="center"/>
          </w:tcPr>
          <w:p>
            <w:pPr>
              <w:pStyle w:val="58"/>
              <w:jc w:val="center"/>
              <w:rPr>
                <w:rFonts w:ascii="Times New Roman" w:hAnsi="Times New Roman" w:cs="Times New Roman"/>
                <w:color w:val="auto"/>
                <w:sz w:val="21"/>
                <w:szCs w:val="21"/>
              </w:rPr>
            </w:pPr>
            <w:r>
              <w:rPr>
                <w:color w:val="auto"/>
                <w:sz w:val="21"/>
                <w:szCs w:val="21"/>
              </w:rPr>
              <w:t>临时占地面积小计</w:t>
            </w:r>
          </w:p>
        </w:tc>
        <w:tc>
          <w:tcPr>
            <w:tcW w:w="1061"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w:t>
            </w:r>
          </w:p>
        </w:tc>
        <w:tc>
          <w:tcPr>
            <w:tcW w:w="1038"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110.84</w:t>
            </w:r>
          </w:p>
        </w:tc>
        <w:tc>
          <w:tcPr>
            <w:tcW w:w="947"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w:t>
            </w:r>
          </w:p>
        </w:tc>
      </w:tr>
    </w:tbl>
    <w:p>
      <w:pPr>
        <w:pStyle w:val="61"/>
        <w:rPr>
          <w:color w:val="auto"/>
        </w:rPr>
      </w:pPr>
      <w:bookmarkStart w:id="34" w:name="_Toc436902152"/>
      <w:r>
        <w:rPr>
          <w:bCs/>
          <w:color w:val="auto"/>
        </w:rPr>
        <w:t xml:space="preserve">3.2 </w:t>
      </w:r>
      <w:r>
        <w:rPr>
          <w:color w:val="auto"/>
        </w:rPr>
        <w:t>营运期污染源及污染物</w:t>
      </w:r>
      <w:bookmarkEnd w:id="34"/>
    </w:p>
    <w:p>
      <w:pPr>
        <w:pStyle w:val="63"/>
        <w:ind w:firstLine="480"/>
        <w:rPr>
          <w:color w:val="auto"/>
        </w:rPr>
      </w:pPr>
      <w:r>
        <w:rPr>
          <w:rFonts w:hint="eastAsia"/>
          <w:color w:val="auto"/>
        </w:rPr>
        <w:t>本项目建成后原水输送至泾阳县第三水厂，因泾阳县第三水厂近期内难以扩建完毕，为保障2015年12月底交付使用的崇文重点镇保障房一期用水需求，在保障房附近设置给水处理站，待泾阳县第三水厂扩建工程或张家山泉供水工程实施后，该处理站将作为备用水源。</w:t>
      </w:r>
    </w:p>
    <w:p>
      <w:pPr>
        <w:pStyle w:val="63"/>
        <w:ind w:firstLine="480"/>
        <w:rPr>
          <w:color w:val="auto"/>
        </w:rPr>
      </w:pPr>
      <w:r>
        <w:rPr>
          <w:rFonts w:hint="eastAsia"/>
          <w:color w:val="auto"/>
        </w:rPr>
        <w:t>综上所述，本项目运营期</w:t>
      </w:r>
      <w:r>
        <w:rPr>
          <w:color w:val="auto"/>
        </w:rPr>
        <w:t>主要</w:t>
      </w:r>
      <w:r>
        <w:rPr>
          <w:rFonts w:hint="eastAsia"/>
          <w:color w:val="auto"/>
        </w:rPr>
        <w:t>是水源管理站和保障房给水处理站水源井</w:t>
      </w:r>
      <w:r>
        <w:rPr>
          <w:color w:val="auto"/>
        </w:rPr>
        <w:t>工艺流程及产污环节见图3.</w:t>
      </w:r>
      <w:r>
        <w:rPr>
          <w:rFonts w:hint="eastAsia"/>
          <w:color w:val="auto"/>
        </w:rPr>
        <w:t>2</w:t>
      </w:r>
      <w:r>
        <w:rPr>
          <w:color w:val="auto"/>
        </w:rPr>
        <w:t>-</w:t>
      </w:r>
      <w:r>
        <w:rPr>
          <w:rFonts w:hint="eastAsia"/>
          <w:color w:val="auto"/>
        </w:rPr>
        <w:t>1和图3.2-2</w:t>
      </w:r>
      <w:r>
        <w:rPr>
          <w:color w:val="auto"/>
        </w:rPr>
        <w:t>。</w:t>
      </w:r>
    </w:p>
    <w:p>
      <w:pPr>
        <w:pStyle w:val="65"/>
      </w:pPr>
      <w:r>
        <w:object>
          <v:shape id="_x0000_i1026" o:spt="75" type="#_x0000_t75" style="height:80.4pt;width:450.7pt;" o:ole="t" filled="f" o:preferrelative="t" stroked="f" coordsize="21600,21600">
            <v:path/>
            <v:fill on="f" focussize="0,0"/>
            <v:stroke on="f" joinstyle="miter"/>
            <v:imagedata r:id="rId17" o:title=""/>
            <o:lock v:ext="edit" aspectratio="t"/>
            <w10:wrap type="none"/>
            <w10:anchorlock/>
          </v:shape>
          <o:OLEObject Type="Embed" ProgID="Visio.Drawing.11" ShapeID="_x0000_i1026" DrawAspect="Content" ObjectID="_1468075726" r:id="rId16">
            <o:LockedField>false</o:LockedField>
          </o:OLEObject>
        </w:object>
      </w:r>
      <w:r>
        <w:t>图3.</w:t>
      </w:r>
      <w:r>
        <w:rPr>
          <w:rFonts w:hint="eastAsia"/>
        </w:rPr>
        <w:t>2</w:t>
      </w:r>
      <w:r>
        <w:t>-</w:t>
      </w:r>
      <w:r>
        <w:rPr>
          <w:rFonts w:hint="eastAsia"/>
        </w:rPr>
        <w:t>1水源管理站</w:t>
      </w:r>
      <w:r>
        <w:t>主要工艺流程及产污环节图</w:t>
      </w:r>
    </w:p>
    <w:p>
      <w:pPr>
        <w:pStyle w:val="63"/>
        <w:ind w:firstLine="480"/>
        <w:rPr>
          <w:color w:val="auto"/>
        </w:rPr>
      </w:pPr>
      <w:r>
        <w:rPr>
          <w:rFonts w:hint="eastAsia"/>
          <w:color w:val="auto"/>
        </w:rPr>
        <w:t>配水池的主要作用是调节净水厂处理量与水源井之间的差值，设计容量为0.4万</w:t>
      </w:r>
      <w:r>
        <w:rPr>
          <w:color w:val="auto"/>
        </w:rPr>
        <w:t>m</w:t>
      </w:r>
      <w:r>
        <w:rPr>
          <w:rFonts w:hint="eastAsia"/>
          <w:color w:val="auto"/>
          <w:vertAlign w:val="superscript"/>
        </w:rPr>
        <w:t>3</w:t>
      </w:r>
      <w:r>
        <w:rPr>
          <w:rFonts w:hint="eastAsia"/>
          <w:color w:val="auto"/>
        </w:rPr>
        <w:t>，分为对称2格，调节容量比率约为15％。平面尺寸：34</w:t>
      </w:r>
      <w:r>
        <w:rPr>
          <w:rFonts w:hint="eastAsia" w:ascii="宋体" w:hAnsi="宋体"/>
          <w:color w:val="auto"/>
        </w:rPr>
        <w:t>×</w:t>
      </w:r>
      <w:r>
        <w:rPr>
          <w:rFonts w:hint="eastAsia"/>
          <w:color w:val="auto"/>
        </w:rPr>
        <w:t>27</w:t>
      </w:r>
      <w:r>
        <w:rPr>
          <w:color w:val="auto"/>
        </w:rPr>
        <w:t>m</w:t>
      </w:r>
      <w:r>
        <w:rPr>
          <w:rFonts w:hint="eastAsia"/>
          <w:color w:val="auto"/>
        </w:rPr>
        <w:t>，池深：5</w:t>
      </w:r>
      <w:r>
        <w:rPr>
          <w:color w:val="auto"/>
        </w:rPr>
        <w:t>m</w:t>
      </w:r>
      <w:r>
        <w:rPr>
          <w:rFonts w:hint="eastAsia"/>
          <w:color w:val="auto"/>
        </w:rPr>
        <w:t>，最大水深：4.5</w:t>
      </w:r>
      <w:r>
        <w:rPr>
          <w:color w:val="auto"/>
        </w:rPr>
        <w:t>m</w:t>
      </w:r>
      <w:r>
        <w:rPr>
          <w:rFonts w:hint="eastAsia"/>
          <w:color w:val="auto"/>
        </w:rPr>
        <w:t>。</w:t>
      </w:r>
    </w:p>
    <w:p>
      <w:pPr>
        <w:pStyle w:val="63"/>
        <w:spacing w:line="240" w:lineRule="auto"/>
        <w:ind w:firstLine="0" w:firstLineChars="0"/>
        <w:jc w:val="center"/>
        <w:rPr>
          <w:color w:val="auto"/>
        </w:rPr>
      </w:pPr>
      <w:r>
        <w:rPr>
          <w:color w:val="auto"/>
        </w:rPr>
        <w:object>
          <v:shape id="_x0000_i1027" o:spt="75" type="#_x0000_t75" style="height:245pt;width:386.2pt;" o:ole="t" filled="f" o:preferrelative="t" stroked="f" coordsize="21600,21600">
            <v:path/>
            <v:fill on="f" focussize="0,0"/>
            <v:stroke on="f" joinstyle="miter"/>
            <v:imagedata r:id="rId19" o:title=""/>
            <o:lock v:ext="edit" aspectratio="t"/>
            <w10:wrap type="none"/>
            <w10:anchorlock/>
          </v:shape>
          <o:OLEObject Type="Embed" ProgID="Visio.Drawing.11" ShapeID="_x0000_i1027" DrawAspect="Content" ObjectID="_1468075727" r:id="rId18">
            <o:LockedField>false</o:LockedField>
          </o:OLEObject>
        </w:object>
      </w:r>
    </w:p>
    <w:p>
      <w:pPr>
        <w:pStyle w:val="65"/>
      </w:pPr>
      <w:r>
        <w:rPr>
          <w:rFonts w:hint="eastAsia"/>
        </w:rPr>
        <w:t>图3.2-2   保障房给水处理站</w:t>
      </w:r>
      <w:r>
        <w:t>主要工艺流程及产污环节图</w:t>
      </w:r>
    </w:p>
    <w:p>
      <w:pPr>
        <w:pStyle w:val="63"/>
        <w:ind w:firstLine="480"/>
        <w:rPr>
          <w:color w:val="auto"/>
        </w:rPr>
      </w:pPr>
      <w:r>
        <w:rPr>
          <w:rFonts w:hint="eastAsia"/>
          <w:color w:val="auto"/>
        </w:rPr>
        <w:t>为保障2015年12月底交付使用的崇文重点镇保障房一期用水需求，在保障房附近设置给水处理站，由口16#、17#、18#水源井供水，井间距约1000m，单井出水量1250m</w:t>
      </w:r>
      <w:r>
        <w:rPr>
          <w:rFonts w:hint="eastAsia"/>
          <w:color w:val="auto"/>
          <w:vertAlign w:val="superscript"/>
        </w:rPr>
        <w:t>3</w:t>
      </w:r>
      <w:r>
        <w:rPr>
          <w:rFonts w:hint="eastAsia"/>
          <w:color w:val="auto"/>
        </w:rPr>
        <w:t>/d，井深200m，待泾阳县第三水厂扩建工程或张家山泉供水工程实施后,该水厂将作为备用水厂。给水处理站设计工艺为“</w:t>
      </w:r>
      <w:r>
        <w:rPr>
          <w:color w:val="auto"/>
        </w:rPr>
        <w:t>多介质</w:t>
      </w:r>
      <w:r>
        <w:rPr>
          <w:rFonts w:hint="eastAsia"/>
          <w:color w:val="auto"/>
        </w:rPr>
        <w:t>过滤器</w:t>
      </w:r>
      <w:r>
        <w:rPr>
          <w:color w:val="auto"/>
        </w:rPr>
        <w:t>+反渗透</w:t>
      </w:r>
      <w:r>
        <w:rPr>
          <w:rFonts w:hint="eastAsia"/>
          <w:color w:val="auto"/>
        </w:rPr>
        <w:t>净化+活性氧化铝吸附法除氟罐”。消毒采用二氧化氯消毒。处理后水经送水泵房加压后接入正阳大道现状DN600mm的给水管道。</w:t>
      </w:r>
    </w:p>
    <w:p>
      <w:pPr>
        <w:pStyle w:val="62"/>
        <w:rPr>
          <w:color w:val="auto"/>
        </w:rPr>
      </w:pPr>
      <w:r>
        <w:rPr>
          <w:color w:val="auto"/>
        </w:rPr>
        <w:t>3.2.1</w:t>
      </w:r>
      <w:r>
        <w:rPr>
          <w:rFonts w:ascii="宋体" w:hAnsi="宋体" w:cs="宋体"/>
          <w:color w:val="auto"/>
        </w:rPr>
        <w:t>营运期废气</w:t>
      </w:r>
    </w:p>
    <w:p>
      <w:pPr>
        <w:pStyle w:val="63"/>
        <w:ind w:firstLine="480"/>
        <w:rPr>
          <w:color w:val="auto"/>
        </w:rPr>
      </w:pPr>
      <w:r>
        <w:rPr>
          <w:rFonts w:hint="eastAsia"/>
          <w:color w:val="auto"/>
        </w:rPr>
        <w:t>水源管理站供热热源引自泾河新城市政配套热力管网，项目运营期废气仅有加氯车间微量泄露的Cl</w:t>
      </w:r>
      <w:r>
        <w:rPr>
          <w:rFonts w:hint="eastAsia"/>
          <w:color w:val="auto"/>
          <w:vertAlign w:val="subscript"/>
        </w:rPr>
        <w:t>2</w:t>
      </w:r>
      <w:r>
        <w:rPr>
          <w:rFonts w:hint="eastAsia"/>
          <w:color w:val="auto"/>
        </w:rPr>
        <w:t>和餐饮油烟，</w:t>
      </w:r>
    </w:p>
    <w:p>
      <w:pPr>
        <w:pStyle w:val="63"/>
        <w:ind w:firstLine="480"/>
        <w:rPr>
          <w:color w:val="auto"/>
        </w:rPr>
      </w:pPr>
      <w:r>
        <w:rPr>
          <w:rFonts w:hint="eastAsia"/>
          <w:color w:val="auto"/>
        </w:rPr>
        <w:t>（1）微量泄露的Cl</w:t>
      </w:r>
      <w:r>
        <w:rPr>
          <w:rFonts w:hint="eastAsia"/>
          <w:color w:val="auto"/>
          <w:vertAlign w:val="subscript"/>
        </w:rPr>
        <w:t>2</w:t>
      </w:r>
    </w:p>
    <w:p>
      <w:pPr>
        <w:pStyle w:val="63"/>
        <w:ind w:firstLine="480"/>
        <w:rPr>
          <w:color w:val="auto"/>
        </w:rPr>
      </w:pPr>
      <w:r>
        <w:rPr>
          <w:rFonts w:hint="eastAsia"/>
          <w:color w:val="auto"/>
        </w:rPr>
        <w:t>本项目正常工况下无生产废气产生，</w:t>
      </w:r>
      <w:r>
        <w:rPr>
          <w:snapToGrid w:val="0"/>
          <w:color w:val="auto"/>
        </w:rPr>
        <w:t>加氯间</w:t>
      </w:r>
      <w:r>
        <w:rPr>
          <w:rFonts w:hint="eastAsia"/>
          <w:snapToGrid w:val="0"/>
          <w:color w:val="auto"/>
        </w:rPr>
        <w:t>泄露事故会</w:t>
      </w:r>
      <w:r>
        <w:rPr>
          <w:snapToGrid w:val="0"/>
          <w:color w:val="auto"/>
        </w:rPr>
        <w:t>产生二氧化氯</w:t>
      </w:r>
      <w:r>
        <w:rPr>
          <w:rFonts w:hint="eastAsia"/>
          <w:snapToGrid w:val="0"/>
          <w:color w:val="auto"/>
        </w:rPr>
        <w:t>。</w:t>
      </w:r>
    </w:p>
    <w:p>
      <w:pPr>
        <w:pStyle w:val="63"/>
        <w:ind w:firstLine="480"/>
        <w:rPr>
          <w:color w:val="auto"/>
        </w:rPr>
      </w:pPr>
      <w:r>
        <w:rPr>
          <w:rFonts w:hint="eastAsia"/>
          <w:color w:val="auto"/>
        </w:rPr>
        <w:t>（2）餐饮油烟</w:t>
      </w:r>
    </w:p>
    <w:p>
      <w:pPr>
        <w:pStyle w:val="63"/>
        <w:ind w:firstLine="480"/>
        <w:rPr>
          <w:color w:val="auto"/>
        </w:rPr>
      </w:pPr>
      <w:r>
        <w:rPr>
          <w:rFonts w:hint="eastAsia"/>
          <w:color w:val="auto"/>
        </w:rPr>
        <w:t>本工程编制总定员为37人，采用管理劳动人员34人，</w:t>
      </w:r>
      <w:r>
        <w:rPr>
          <w:color w:val="auto"/>
        </w:rPr>
        <w:t>按照五班三运转配备</w:t>
      </w:r>
      <w:r>
        <w:rPr>
          <w:rFonts w:hint="eastAsia"/>
          <w:color w:val="auto"/>
        </w:rPr>
        <w:t>，最大在岗人为14人，保障房给水处理站不设食堂，水源管理站食堂</w:t>
      </w:r>
      <w:r>
        <w:rPr>
          <w:color w:val="auto"/>
        </w:rPr>
        <w:t>设基准灶头数</w:t>
      </w:r>
      <w:r>
        <w:rPr>
          <w:rFonts w:hint="eastAsia"/>
          <w:color w:val="auto"/>
        </w:rPr>
        <w:t>1</w:t>
      </w:r>
      <w:r>
        <w:rPr>
          <w:color w:val="auto"/>
        </w:rPr>
        <w:t>个，规模属于小型食堂</w:t>
      </w:r>
      <w:r>
        <w:rPr>
          <w:rFonts w:hint="eastAsia"/>
          <w:color w:val="auto"/>
        </w:rPr>
        <w:t>，</w:t>
      </w:r>
      <w:r>
        <w:rPr>
          <w:color w:val="auto"/>
        </w:rPr>
        <w:t>预计年工作</w:t>
      </w:r>
      <w:r>
        <w:rPr>
          <w:rFonts w:hint="eastAsia"/>
          <w:color w:val="auto"/>
        </w:rPr>
        <w:t>210</w:t>
      </w:r>
      <w:r>
        <w:rPr>
          <w:color w:val="auto"/>
        </w:rPr>
        <w:t>天，</w:t>
      </w:r>
      <w:r>
        <w:rPr>
          <w:rFonts w:hint="eastAsia"/>
          <w:color w:val="auto"/>
        </w:rPr>
        <w:t>食堂</w:t>
      </w:r>
      <w:r>
        <w:rPr>
          <w:color w:val="auto"/>
        </w:rPr>
        <w:t>日</w:t>
      </w:r>
      <w:r>
        <w:rPr>
          <w:rFonts w:hint="eastAsia"/>
          <w:color w:val="auto"/>
        </w:rPr>
        <w:t>运行</w:t>
      </w:r>
      <w:r>
        <w:rPr>
          <w:color w:val="auto"/>
        </w:rPr>
        <w:t>约</w:t>
      </w:r>
      <w:r>
        <w:rPr>
          <w:rFonts w:hint="eastAsia"/>
          <w:color w:val="auto"/>
        </w:rPr>
        <w:t>6</w:t>
      </w:r>
      <w:r>
        <w:rPr>
          <w:color w:val="auto"/>
        </w:rPr>
        <w:t>h。根据《饮食业环境保护技术规范》，预计餐饮油烟排放量为</w:t>
      </w:r>
      <w:r>
        <w:rPr>
          <w:rFonts w:hint="eastAsia"/>
          <w:color w:val="auto"/>
        </w:rPr>
        <w:t>2</w:t>
      </w:r>
      <w:r>
        <w:rPr>
          <w:color w:val="auto"/>
        </w:rPr>
        <w:t>000m</w:t>
      </w:r>
      <w:r>
        <w:rPr>
          <w:color w:val="auto"/>
          <w:vertAlign w:val="superscript"/>
        </w:rPr>
        <w:t>3</w:t>
      </w:r>
      <w:r>
        <w:rPr>
          <w:color w:val="auto"/>
        </w:rPr>
        <w:t>/h。</w:t>
      </w:r>
      <w:r>
        <w:rPr>
          <w:rFonts w:hint="eastAsia"/>
          <w:color w:val="auto"/>
        </w:rPr>
        <w:t>食堂</w:t>
      </w:r>
      <w:r>
        <w:rPr>
          <w:color w:val="auto"/>
        </w:rPr>
        <w:t>食用油耗油系数以</w:t>
      </w:r>
      <w:r>
        <w:rPr>
          <w:rFonts w:hint="eastAsia"/>
          <w:color w:val="auto"/>
        </w:rPr>
        <w:t>5</w:t>
      </w:r>
      <w:r>
        <w:rPr>
          <w:color w:val="auto"/>
        </w:rPr>
        <w:t>kg/100人·d计，油烟和油的挥发量占总耗油量的2%～4%之间，本次以2.83%计，则餐厅厨房油烟年产生量为</w:t>
      </w:r>
      <w:r>
        <w:rPr>
          <w:rFonts w:hint="eastAsia"/>
          <w:color w:val="auto"/>
        </w:rPr>
        <w:t>7.23</w:t>
      </w:r>
      <w:r>
        <w:rPr>
          <w:color w:val="auto"/>
        </w:rPr>
        <w:t>kg/a，产生浓度为</w:t>
      </w:r>
      <w:r>
        <w:rPr>
          <w:rFonts w:hint="eastAsia"/>
          <w:color w:val="auto"/>
        </w:rPr>
        <w:t>1.65</w:t>
      </w:r>
      <w:r>
        <w:rPr>
          <w:color w:val="auto"/>
        </w:rPr>
        <w:t>mg/m</w:t>
      </w:r>
      <w:r>
        <w:rPr>
          <w:color w:val="auto"/>
          <w:vertAlign w:val="superscript"/>
        </w:rPr>
        <w:t>3</w:t>
      </w:r>
      <w:r>
        <w:rPr>
          <w:color w:val="auto"/>
        </w:rPr>
        <w:t>。拟设计在食堂安装1套油烟净化设备对油烟进行净化，处理后的废气经屋顶排空。油烟净化装置净化效率按</w:t>
      </w:r>
      <w:r>
        <w:rPr>
          <w:rFonts w:hint="eastAsia"/>
          <w:color w:val="auto"/>
        </w:rPr>
        <w:t>65</w:t>
      </w:r>
      <w:r>
        <w:rPr>
          <w:color w:val="auto"/>
        </w:rPr>
        <w:t>%计算，则本项目餐饮油烟的排放量为</w:t>
      </w:r>
      <w:r>
        <w:rPr>
          <w:rFonts w:hint="eastAsia"/>
          <w:color w:val="auto"/>
        </w:rPr>
        <w:t>2.53</w:t>
      </w:r>
      <w:r>
        <w:rPr>
          <w:color w:val="auto"/>
        </w:rPr>
        <w:t>kg/a，排放浓度约为</w:t>
      </w:r>
      <w:r>
        <w:rPr>
          <w:rFonts w:hint="eastAsia"/>
          <w:color w:val="auto"/>
        </w:rPr>
        <w:t>0.58</w:t>
      </w:r>
      <w:r>
        <w:rPr>
          <w:color w:val="auto"/>
        </w:rPr>
        <w:t>mg/m</w:t>
      </w:r>
      <w:r>
        <w:rPr>
          <w:color w:val="auto"/>
          <w:vertAlign w:val="superscript"/>
        </w:rPr>
        <w:t>3</w:t>
      </w:r>
      <w:r>
        <w:rPr>
          <w:color w:val="auto"/>
        </w:rPr>
        <w:t>。</w:t>
      </w:r>
    </w:p>
    <w:p>
      <w:pPr>
        <w:pStyle w:val="62"/>
        <w:rPr>
          <w:color w:val="auto"/>
        </w:rPr>
      </w:pPr>
      <w:r>
        <w:rPr>
          <w:rFonts w:hint="eastAsia"/>
          <w:color w:val="auto"/>
        </w:rPr>
        <w:t>3.2.1运营期废水</w:t>
      </w:r>
    </w:p>
    <w:p>
      <w:pPr>
        <w:pStyle w:val="63"/>
        <w:ind w:firstLine="480"/>
        <w:jc w:val="both"/>
        <w:rPr>
          <w:color w:val="auto"/>
        </w:rPr>
      </w:pPr>
      <w:r>
        <w:rPr>
          <w:rFonts w:hint="eastAsia"/>
          <w:color w:val="auto"/>
        </w:rPr>
        <w:t>（1）生产废水</w:t>
      </w:r>
    </w:p>
    <w:p>
      <w:pPr>
        <w:pStyle w:val="63"/>
        <w:ind w:firstLine="480"/>
        <w:jc w:val="both"/>
        <w:rPr>
          <w:color w:val="auto"/>
        </w:rPr>
      </w:pPr>
      <w:r>
        <w:rPr>
          <w:color w:val="auto"/>
        </w:rPr>
        <w:t>生产废水主要为</w:t>
      </w:r>
      <w:r>
        <w:rPr>
          <w:rFonts w:hint="eastAsia"/>
          <w:color w:val="auto"/>
        </w:rPr>
        <w:t>保障房给水处理站多介质过滤器、活性炭过滤器、除氟交换器反冲洗废水和反渗透产生的浓水。反渗透浓水经浓水池回用作为多介质过滤器的反冲洗水，反冲洗</w:t>
      </w:r>
      <w:r>
        <w:rPr>
          <w:color w:val="auto"/>
        </w:rPr>
        <w:t>废水中的物质以无机物为主，废水与原水相比无其它外加有害物质，唯泥沙含量较高</w:t>
      </w:r>
      <w:r>
        <w:rPr>
          <w:rFonts w:hint="eastAsia"/>
          <w:color w:val="auto"/>
        </w:rPr>
        <w:t>，废水经沉淀池沉淀后，上清液回流至原水池，再次进入净化过程。</w:t>
      </w:r>
    </w:p>
    <w:p>
      <w:pPr>
        <w:pStyle w:val="63"/>
        <w:ind w:firstLine="480"/>
        <w:jc w:val="both"/>
        <w:rPr>
          <w:color w:val="auto"/>
        </w:rPr>
      </w:pPr>
      <w:r>
        <w:rPr>
          <w:color w:val="auto"/>
        </w:rPr>
        <w:t>污泥脱水设备对沉淀池排泥进行进一步脱水处理，将排泥含水率从95%左右降至80%左右</w:t>
      </w:r>
      <w:r>
        <w:rPr>
          <w:rFonts w:hint="eastAsia"/>
          <w:color w:val="auto"/>
        </w:rPr>
        <w:t>，</w:t>
      </w:r>
      <w:r>
        <w:rPr>
          <w:color w:val="auto"/>
        </w:rPr>
        <w:t>脱水液进入</w:t>
      </w:r>
      <w:r>
        <w:rPr>
          <w:rFonts w:hint="eastAsia"/>
          <w:color w:val="auto"/>
        </w:rPr>
        <w:t>沉淀池</w:t>
      </w:r>
      <w:r>
        <w:rPr>
          <w:color w:val="auto"/>
        </w:rPr>
        <w:t>，最终进入原水池再次进行处理</w:t>
      </w:r>
      <w:r>
        <w:rPr>
          <w:rFonts w:hint="eastAsia"/>
          <w:color w:val="auto"/>
        </w:rPr>
        <w:t>，</w:t>
      </w:r>
      <w:r>
        <w:rPr>
          <w:color w:val="auto"/>
        </w:rPr>
        <w:t>最终生产废水随污泥排出。</w:t>
      </w:r>
    </w:p>
    <w:p>
      <w:pPr>
        <w:pStyle w:val="63"/>
        <w:ind w:firstLine="480"/>
        <w:jc w:val="both"/>
        <w:rPr>
          <w:color w:val="auto"/>
        </w:rPr>
      </w:pPr>
      <w:r>
        <w:rPr>
          <w:rFonts w:hint="eastAsia"/>
          <w:color w:val="auto"/>
        </w:rPr>
        <w:t>（2）生活废水</w:t>
      </w:r>
    </w:p>
    <w:p>
      <w:pPr>
        <w:pStyle w:val="63"/>
        <w:ind w:firstLine="480"/>
        <w:jc w:val="both"/>
        <w:rPr>
          <w:color w:val="auto"/>
        </w:rPr>
      </w:pPr>
      <w:r>
        <w:rPr>
          <w:rFonts w:hint="eastAsia"/>
          <w:color w:val="auto"/>
        </w:rPr>
        <w:t>本项目运营期无生产废水产生，运营期废水主要为生活污水，根据可行性研究报告管理站劳动人员37人，最大在岗人为14人。</w:t>
      </w:r>
      <w:r>
        <w:rPr>
          <w:color w:val="auto"/>
        </w:rPr>
        <w:t>生活用水量按每人每天100L计算，排污系数按0.8计算，生活污水产生量约</w:t>
      </w:r>
      <w:r>
        <w:rPr>
          <w:rFonts w:hint="eastAsia"/>
          <w:color w:val="auto"/>
        </w:rPr>
        <w:t>1.12</w:t>
      </w:r>
      <w:r>
        <w:rPr>
          <w:color w:val="auto"/>
        </w:rPr>
        <w:t>m</w:t>
      </w:r>
      <w:r>
        <w:rPr>
          <w:color w:val="auto"/>
          <w:vertAlign w:val="superscript"/>
        </w:rPr>
        <w:t>3</w:t>
      </w:r>
      <w:r>
        <w:rPr>
          <w:color w:val="auto"/>
        </w:rPr>
        <w:t>/d（</w:t>
      </w:r>
      <w:r>
        <w:rPr>
          <w:rFonts w:hint="eastAsia"/>
          <w:color w:val="auto"/>
        </w:rPr>
        <w:t>235.2</w:t>
      </w:r>
      <w:r>
        <w:rPr>
          <w:color w:val="auto"/>
        </w:rPr>
        <w:t>m</w:t>
      </w:r>
      <w:r>
        <w:rPr>
          <w:color w:val="auto"/>
          <w:vertAlign w:val="superscript"/>
        </w:rPr>
        <w:t>3</w:t>
      </w:r>
      <w:r>
        <w:rPr>
          <w:color w:val="auto"/>
        </w:rPr>
        <w:t>/a）</w:t>
      </w:r>
      <w:r>
        <w:rPr>
          <w:rFonts w:hint="eastAsia"/>
          <w:color w:val="auto"/>
        </w:rPr>
        <w:t>。</w:t>
      </w:r>
    </w:p>
    <w:p>
      <w:pPr>
        <w:pStyle w:val="63"/>
        <w:ind w:firstLine="480"/>
        <w:jc w:val="both"/>
        <w:rPr>
          <w:color w:val="auto"/>
        </w:rPr>
      </w:pPr>
      <w:r>
        <w:rPr>
          <w:rFonts w:hint="eastAsia"/>
          <w:color w:val="auto"/>
        </w:rPr>
        <w:t>保障房给水处理站周边市政污水管网已到达，污水直接进入市政污水管网；水源管理站厂址周边无市政排水系统，环评建议在水源管理站建设一套处理工艺为“A/O生物接触氧化工艺”的地埋式污水处理装置和一座2m</w:t>
      </w:r>
      <w:r>
        <w:rPr>
          <w:rFonts w:hint="eastAsia"/>
          <w:color w:val="auto"/>
          <w:vertAlign w:val="superscript"/>
        </w:rPr>
        <w:t>3</w:t>
      </w:r>
      <w:r>
        <w:rPr>
          <w:rFonts w:hint="eastAsia"/>
          <w:color w:val="auto"/>
        </w:rPr>
        <w:t>的化粪池，餐饮废水经油水分离器处理后和其他污水一起进入化粪池，处理的水质满足《城市杂用水水质标准》（GB/T18920-2002）绿化水质达标后回用于水源管理站厂区内绿化，保证废水无外排。</w:t>
      </w:r>
    </w:p>
    <w:p>
      <w:pPr>
        <w:pStyle w:val="62"/>
        <w:rPr>
          <w:color w:val="auto"/>
        </w:rPr>
      </w:pPr>
      <w:r>
        <w:rPr>
          <w:color w:val="auto"/>
        </w:rPr>
        <w:t>3.2.1</w:t>
      </w:r>
      <w:r>
        <w:rPr>
          <w:rFonts w:ascii="宋体" w:hAnsi="宋体" w:cs="宋体"/>
          <w:color w:val="auto"/>
        </w:rPr>
        <w:t>营运期噪声</w:t>
      </w:r>
    </w:p>
    <w:p>
      <w:pPr>
        <w:pStyle w:val="63"/>
        <w:ind w:firstLine="480"/>
        <w:rPr>
          <w:color w:val="auto"/>
        </w:rPr>
      </w:pPr>
      <w:r>
        <w:rPr>
          <w:color w:val="auto"/>
        </w:rPr>
        <w:t>项目营运期噪声源包括水源地地面式</w:t>
      </w:r>
      <w:r>
        <w:rPr>
          <w:rFonts w:hint="eastAsia"/>
          <w:color w:val="auto"/>
        </w:rPr>
        <w:t>潜水泵房</w:t>
      </w:r>
      <w:r>
        <w:rPr>
          <w:color w:val="auto"/>
        </w:rPr>
        <w:t>噪声</w:t>
      </w:r>
      <w:r>
        <w:rPr>
          <w:rFonts w:hint="eastAsia"/>
          <w:color w:val="auto"/>
        </w:rPr>
        <w:t>、水源管理站送水泵房</w:t>
      </w:r>
      <w:r>
        <w:rPr>
          <w:color w:val="auto"/>
        </w:rPr>
        <w:t>设备噪声</w:t>
      </w:r>
      <w:r>
        <w:rPr>
          <w:rFonts w:hint="eastAsia"/>
          <w:color w:val="auto"/>
        </w:rPr>
        <w:t>及保障房给水处理站设备噪声</w:t>
      </w:r>
      <w:r>
        <w:rPr>
          <w:color w:val="auto"/>
        </w:rPr>
        <w:t>，具体见表3.2-</w:t>
      </w:r>
      <w:r>
        <w:rPr>
          <w:rFonts w:hint="eastAsia" w:cs="Times New Roman"/>
          <w:color w:val="auto"/>
        </w:rPr>
        <w:t>4</w:t>
      </w:r>
      <w:r>
        <w:rPr>
          <w:color w:val="auto"/>
        </w:rPr>
        <w:t>。</w:t>
      </w:r>
    </w:p>
    <w:p>
      <w:pPr>
        <w:pStyle w:val="65"/>
      </w:pPr>
      <w:r>
        <w:t>表3.2-</w:t>
      </w:r>
      <w:r>
        <w:rPr>
          <w:rFonts w:hint="eastAsia"/>
        </w:rPr>
        <w:t>4</w:t>
      </w:r>
      <w:r>
        <w:t>营运期噪声源汇总表</w:t>
      </w:r>
    </w:p>
    <w:tbl>
      <w:tblPr>
        <w:tblStyle w:val="2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40"/>
        <w:gridCol w:w="1540"/>
        <w:gridCol w:w="1540"/>
        <w:gridCol w:w="1540"/>
        <w:gridCol w:w="1541"/>
        <w:gridCol w:w="15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Align w:val="center"/>
          </w:tcPr>
          <w:p>
            <w:pPr>
              <w:pStyle w:val="65"/>
            </w:pPr>
            <w:r>
              <w:rPr>
                <w:rFonts w:hint="eastAsia"/>
              </w:rPr>
              <w:t>位置</w:t>
            </w:r>
          </w:p>
        </w:tc>
        <w:tc>
          <w:tcPr>
            <w:tcW w:w="1540" w:type="dxa"/>
            <w:vAlign w:val="center"/>
          </w:tcPr>
          <w:p>
            <w:pPr>
              <w:pStyle w:val="65"/>
            </w:pPr>
            <w:r>
              <w:rPr>
                <w:rFonts w:hint="eastAsia"/>
              </w:rPr>
              <w:t>噪声源</w:t>
            </w:r>
          </w:p>
        </w:tc>
        <w:tc>
          <w:tcPr>
            <w:tcW w:w="1540" w:type="dxa"/>
            <w:vAlign w:val="center"/>
          </w:tcPr>
          <w:p>
            <w:pPr>
              <w:pStyle w:val="65"/>
            </w:pPr>
            <w:r>
              <w:rPr>
                <w:rFonts w:hint="eastAsia"/>
              </w:rPr>
              <w:t>数量（座/台）</w:t>
            </w:r>
          </w:p>
        </w:tc>
        <w:tc>
          <w:tcPr>
            <w:tcW w:w="1540" w:type="dxa"/>
            <w:vAlign w:val="center"/>
          </w:tcPr>
          <w:p>
            <w:pPr>
              <w:pStyle w:val="65"/>
            </w:pPr>
            <w:r>
              <w:rPr>
                <w:rFonts w:hint="eastAsia"/>
              </w:rPr>
              <w:t>减噪前单台声压级dB（A）</w:t>
            </w:r>
          </w:p>
        </w:tc>
        <w:tc>
          <w:tcPr>
            <w:tcW w:w="1541" w:type="dxa"/>
            <w:vAlign w:val="center"/>
          </w:tcPr>
          <w:p>
            <w:pPr>
              <w:pStyle w:val="65"/>
            </w:pPr>
            <w:r>
              <w:rPr>
                <w:rFonts w:hint="eastAsia"/>
              </w:rPr>
              <w:t>减噪措施</w:t>
            </w:r>
          </w:p>
        </w:tc>
        <w:tc>
          <w:tcPr>
            <w:tcW w:w="1541" w:type="dxa"/>
            <w:vAlign w:val="center"/>
          </w:tcPr>
          <w:p>
            <w:pPr>
              <w:pStyle w:val="65"/>
            </w:pPr>
            <w:r>
              <w:rPr>
                <w:rFonts w:hint="eastAsia"/>
              </w:rPr>
              <w:t>减噪后单台声压级dB（A）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Align w:val="center"/>
          </w:tcPr>
          <w:p>
            <w:pPr>
              <w:pStyle w:val="65"/>
              <w:rPr>
                <w:b w:val="0"/>
              </w:rPr>
            </w:pPr>
            <w:r>
              <w:rPr>
                <w:rFonts w:hint="eastAsia"/>
                <w:b w:val="0"/>
              </w:rPr>
              <w:t>水源地</w:t>
            </w:r>
          </w:p>
        </w:tc>
        <w:tc>
          <w:tcPr>
            <w:tcW w:w="1540" w:type="dxa"/>
            <w:vAlign w:val="center"/>
          </w:tcPr>
          <w:p>
            <w:pPr>
              <w:pStyle w:val="65"/>
              <w:rPr>
                <w:b w:val="0"/>
              </w:rPr>
            </w:pPr>
            <w:r>
              <w:rPr>
                <w:rFonts w:hint="eastAsia"/>
                <w:b w:val="0"/>
              </w:rPr>
              <w:t>潜水泵房</w:t>
            </w:r>
          </w:p>
        </w:tc>
        <w:tc>
          <w:tcPr>
            <w:tcW w:w="1540" w:type="dxa"/>
            <w:vAlign w:val="center"/>
          </w:tcPr>
          <w:p>
            <w:pPr>
              <w:pStyle w:val="65"/>
              <w:rPr>
                <w:b w:val="0"/>
              </w:rPr>
            </w:pPr>
            <w:r>
              <w:rPr>
                <w:rFonts w:hint="eastAsia"/>
                <w:b w:val="0"/>
              </w:rPr>
              <w:t>21</w:t>
            </w:r>
          </w:p>
        </w:tc>
        <w:tc>
          <w:tcPr>
            <w:tcW w:w="1540" w:type="dxa"/>
            <w:vAlign w:val="center"/>
          </w:tcPr>
          <w:p>
            <w:pPr>
              <w:pStyle w:val="65"/>
              <w:rPr>
                <w:b w:val="0"/>
              </w:rPr>
            </w:pPr>
            <w:r>
              <w:rPr>
                <w:rFonts w:hint="eastAsia"/>
                <w:b w:val="0"/>
              </w:rPr>
              <w:t>75</w:t>
            </w:r>
          </w:p>
        </w:tc>
        <w:tc>
          <w:tcPr>
            <w:tcW w:w="1541" w:type="dxa"/>
            <w:vAlign w:val="center"/>
          </w:tcPr>
          <w:p>
            <w:pPr>
              <w:pStyle w:val="58"/>
              <w:jc w:val="center"/>
              <w:rPr>
                <w:b/>
                <w:color w:val="auto"/>
                <w:lang w:eastAsia="zh-CN"/>
              </w:rPr>
            </w:pPr>
            <w:r>
              <w:rPr>
                <w:color w:val="auto"/>
                <w:sz w:val="21"/>
                <w:szCs w:val="21"/>
              </w:rPr>
              <w:t>基础减震、吸声</w:t>
            </w:r>
            <w:r>
              <w:rPr>
                <w:rFonts w:hint="eastAsia"/>
                <w:color w:val="auto"/>
                <w:sz w:val="21"/>
                <w:szCs w:val="21"/>
                <w:lang w:eastAsia="zh-CN"/>
              </w:rPr>
              <w:t>隔声</w:t>
            </w:r>
          </w:p>
        </w:tc>
        <w:tc>
          <w:tcPr>
            <w:tcW w:w="1541" w:type="dxa"/>
            <w:vAlign w:val="center"/>
          </w:tcPr>
          <w:p>
            <w:pPr>
              <w:pStyle w:val="65"/>
              <w:rPr>
                <w:b w:val="0"/>
              </w:rPr>
            </w:pPr>
            <w:r>
              <w:rPr>
                <w:rFonts w:hint="eastAsia"/>
                <w:b w:val="0"/>
              </w:rPr>
              <w:t>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Align w:val="center"/>
          </w:tcPr>
          <w:p>
            <w:pPr>
              <w:pStyle w:val="65"/>
              <w:rPr>
                <w:b w:val="0"/>
              </w:rPr>
            </w:pPr>
            <w:r>
              <w:rPr>
                <w:rFonts w:hint="eastAsia"/>
                <w:b w:val="0"/>
              </w:rPr>
              <w:t>水源管理站</w:t>
            </w:r>
          </w:p>
        </w:tc>
        <w:tc>
          <w:tcPr>
            <w:tcW w:w="1540" w:type="dxa"/>
            <w:vAlign w:val="center"/>
          </w:tcPr>
          <w:p>
            <w:pPr>
              <w:pStyle w:val="65"/>
              <w:rPr>
                <w:b w:val="0"/>
              </w:rPr>
            </w:pPr>
            <w:r>
              <w:rPr>
                <w:rFonts w:hint="eastAsia"/>
                <w:b w:val="0"/>
              </w:rPr>
              <w:t>潜水泵</w:t>
            </w:r>
          </w:p>
        </w:tc>
        <w:tc>
          <w:tcPr>
            <w:tcW w:w="1540" w:type="dxa"/>
            <w:vAlign w:val="center"/>
          </w:tcPr>
          <w:p>
            <w:pPr>
              <w:pStyle w:val="65"/>
              <w:rPr>
                <w:b w:val="0"/>
              </w:rPr>
            </w:pPr>
            <w:r>
              <w:rPr>
                <w:rFonts w:hint="eastAsia"/>
                <w:b w:val="0"/>
              </w:rPr>
              <w:t>4</w:t>
            </w:r>
          </w:p>
        </w:tc>
        <w:tc>
          <w:tcPr>
            <w:tcW w:w="1540" w:type="dxa"/>
            <w:vAlign w:val="center"/>
          </w:tcPr>
          <w:p>
            <w:pPr>
              <w:pStyle w:val="65"/>
              <w:rPr>
                <w:b w:val="0"/>
              </w:rPr>
            </w:pPr>
            <w:r>
              <w:rPr>
                <w:rFonts w:hint="eastAsia"/>
                <w:b w:val="0"/>
              </w:rPr>
              <w:t>90~95</w:t>
            </w:r>
          </w:p>
        </w:tc>
        <w:tc>
          <w:tcPr>
            <w:tcW w:w="1541" w:type="dxa"/>
            <w:vAlign w:val="center"/>
          </w:tcPr>
          <w:p>
            <w:pPr>
              <w:pStyle w:val="65"/>
              <w:rPr>
                <w:b w:val="0"/>
              </w:rPr>
            </w:pPr>
            <w:r>
              <w:rPr>
                <w:rFonts w:ascii="宋体" w:hAnsi="Calibri" w:cs="宋体"/>
                <w:b w:val="0"/>
                <w:kern w:val="0"/>
                <w:szCs w:val="21"/>
              </w:rPr>
              <w:t>基础减震、</w:t>
            </w:r>
            <w:r>
              <w:rPr>
                <w:b w:val="0"/>
                <w:szCs w:val="21"/>
              </w:rPr>
              <w:t>吸声</w:t>
            </w:r>
            <w:r>
              <w:rPr>
                <w:rFonts w:hint="eastAsia"/>
                <w:b w:val="0"/>
                <w:szCs w:val="21"/>
              </w:rPr>
              <w:t>隔声</w:t>
            </w:r>
          </w:p>
        </w:tc>
        <w:tc>
          <w:tcPr>
            <w:tcW w:w="1541" w:type="dxa"/>
            <w:vAlign w:val="center"/>
          </w:tcPr>
          <w:p>
            <w:pPr>
              <w:pStyle w:val="65"/>
              <w:rPr>
                <w:b w:val="0"/>
              </w:rPr>
            </w:pPr>
            <w:r>
              <w:rPr>
                <w:rFonts w:hint="eastAsia"/>
                <w:b w:val="0"/>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restart"/>
            <w:vAlign w:val="center"/>
          </w:tcPr>
          <w:p>
            <w:pPr>
              <w:pStyle w:val="65"/>
              <w:rPr>
                <w:b w:val="0"/>
              </w:rPr>
            </w:pPr>
            <w:r>
              <w:rPr>
                <w:rFonts w:hint="eastAsia"/>
                <w:b w:val="0"/>
              </w:rPr>
              <w:t>保障房给水处理站</w:t>
            </w:r>
          </w:p>
        </w:tc>
        <w:tc>
          <w:tcPr>
            <w:tcW w:w="1540" w:type="dxa"/>
            <w:vAlign w:val="center"/>
          </w:tcPr>
          <w:p>
            <w:pPr>
              <w:pStyle w:val="65"/>
              <w:rPr>
                <w:b w:val="0"/>
              </w:rPr>
            </w:pPr>
            <w:r>
              <w:rPr>
                <w:rFonts w:hint="eastAsia"/>
                <w:b w:val="0"/>
              </w:rPr>
              <w:t>水泵</w:t>
            </w:r>
          </w:p>
        </w:tc>
        <w:tc>
          <w:tcPr>
            <w:tcW w:w="1540" w:type="dxa"/>
            <w:vAlign w:val="center"/>
          </w:tcPr>
          <w:p>
            <w:pPr>
              <w:pStyle w:val="65"/>
              <w:rPr>
                <w:b w:val="0"/>
              </w:rPr>
            </w:pPr>
            <w:r>
              <w:rPr>
                <w:rFonts w:hint="eastAsia"/>
                <w:b w:val="0"/>
              </w:rPr>
              <w:t>11</w:t>
            </w:r>
          </w:p>
        </w:tc>
        <w:tc>
          <w:tcPr>
            <w:tcW w:w="1540" w:type="dxa"/>
            <w:vAlign w:val="center"/>
          </w:tcPr>
          <w:p>
            <w:pPr>
              <w:pStyle w:val="65"/>
              <w:rPr>
                <w:b w:val="0"/>
              </w:rPr>
            </w:pPr>
            <w:r>
              <w:rPr>
                <w:rFonts w:hint="eastAsia"/>
                <w:b w:val="0"/>
              </w:rPr>
              <w:t>90~95</w:t>
            </w:r>
          </w:p>
        </w:tc>
        <w:tc>
          <w:tcPr>
            <w:tcW w:w="1541" w:type="dxa"/>
            <w:vAlign w:val="center"/>
          </w:tcPr>
          <w:p>
            <w:pPr>
              <w:pStyle w:val="65"/>
              <w:rPr>
                <w:rFonts w:ascii="宋体" w:hAnsi="Calibri" w:cs="宋体"/>
                <w:b w:val="0"/>
                <w:kern w:val="0"/>
                <w:szCs w:val="21"/>
              </w:rPr>
            </w:pPr>
            <w:r>
              <w:rPr>
                <w:b w:val="0"/>
                <w:szCs w:val="21"/>
              </w:rPr>
              <w:t>基础减震、吸声</w:t>
            </w:r>
            <w:r>
              <w:rPr>
                <w:rFonts w:hint="eastAsia"/>
                <w:b w:val="0"/>
                <w:szCs w:val="21"/>
              </w:rPr>
              <w:t>隔声</w:t>
            </w:r>
          </w:p>
        </w:tc>
        <w:tc>
          <w:tcPr>
            <w:tcW w:w="1541" w:type="dxa"/>
            <w:vAlign w:val="center"/>
          </w:tcPr>
          <w:p>
            <w:pPr>
              <w:pStyle w:val="65"/>
              <w:rPr>
                <w:b w:val="0"/>
              </w:rPr>
            </w:pPr>
            <w:r>
              <w:rPr>
                <w:rFonts w:hint="eastAsia"/>
                <w:b w:val="0"/>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vAlign w:val="center"/>
          </w:tcPr>
          <w:p>
            <w:pPr>
              <w:pStyle w:val="65"/>
              <w:rPr>
                <w:b w:val="0"/>
              </w:rPr>
            </w:pPr>
          </w:p>
        </w:tc>
        <w:tc>
          <w:tcPr>
            <w:tcW w:w="1540" w:type="dxa"/>
            <w:vAlign w:val="center"/>
          </w:tcPr>
          <w:p>
            <w:pPr>
              <w:pStyle w:val="58"/>
              <w:jc w:val="center"/>
              <w:rPr>
                <w:b/>
                <w:color w:val="auto"/>
              </w:rPr>
            </w:pPr>
            <w:r>
              <w:rPr>
                <w:color w:val="auto"/>
                <w:sz w:val="21"/>
                <w:szCs w:val="21"/>
              </w:rPr>
              <w:t>污泥离心脱水机</w:t>
            </w:r>
          </w:p>
        </w:tc>
        <w:tc>
          <w:tcPr>
            <w:tcW w:w="1540" w:type="dxa"/>
            <w:vAlign w:val="center"/>
          </w:tcPr>
          <w:p>
            <w:pPr>
              <w:pStyle w:val="65"/>
              <w:rPr>
                <w:b w:val="0"/>
              </w:rPr>
            </w:pPr>
            <w:r>
              <w:rPr>
                <w:rFonts w:hint="eastAsia"/>
                <w:b w:val="0"/>
              </w:rPr>
              <w:t>1</w:t>
            </w:r>
          </w:p>
        </w:tc>
        <w:tc>
          <w:tcPr>
            <w:tcW w:w="1540" w:type="dxa"/>
            <w:vAlign w:val="center"/>
          </w:tcPr>
          <w:p>
            <w:pPr>
              <w:pStyle w:val="65"/>
              <w:rPr>
                <w:b w:val="0"/>
              </w:rPr>
            </w:pPr>
            <w:r>
              <w:rPr>
                <w:rFonts w:hint="eastAsia"/>
                <w:b w:val="0"/>
              </w:rPr>
              <w:t>85~90</w:t>
            </w:r>
          </w:p>
        </w:tc>
        <w:tc>
          <w:tcPr>
            <w:tcW w:w="1541" w:type="dxa"/>
            <w:vAlign w:val="center"/>
          </w:tcPr>
          <w:p>
            <w:pPr>
              <w:pStyle w:val="65"/>
              <w:rPr>
                <w:rFonts w:ascii="宋体" w:hAnsi="Calibri" w:cs="宋体"/>
                <w:b w:val="0"/>
                <w:kern w:val="0"/>
                <w:szCs w:val="21"/>
              </w:rPr>
            </w:pPr>
            <w:r>
              <w:rPr>
                <w:b w:val="0"/>
                <w:szCs w:val="21"/>
              </w:rPr>
              <w:t>基础减震、</w:t>
            </w:r>
            <w:r>
              <w:rPr>
                <w:rFonts w:hint="eastAsia"/>
                <w:b w:val="0"/>
                <w:szCs w:val="21"/>
              </w:rPr>
              <w:t>隔声</w:t>
            </w:r>
          </w:p>
        </w:tc>
        <w:tc>
          <w:tcPr>
            <w:tcW w:w="1541" w:type="dxa"/>
            <w:vAlign w:val="center"/>
          </w:tcPr>
          <w:p>
            <w:pPr>
              <w:pStyle w:val="65"/>
              <w:rPr>
                <w:b w:val="0"/>
              </w:rPr>
            </w:pPr>
            <w:r>
              <w:rPr>
                <w:rFonts w:hint="eastAsia"/>
                <w:b w:val="0"/>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vAlign w:val="center"/>
          </w:tcPr>
          <w:p>
            <w:pPr>
              <w:pStyle w:val="65"/>
              <w:rPr>
                <w:b w:val="0"/>
              </w:rPr>
            </w:pPr>
          </w:p>
        </w:tc>
        <w:tc>
          <w:tcPr>
            <w:tcW w:w="1540" w:type="dxa"/>
            <w:vAlign w:val="center"/>
          </w:tcPr>
          <w:p>
            <w:pPr>
              <w:pStyle w:val="58"/>
              <w:jc w:val="center"/>
              <w:rPr>
                <w:color w:val="auto"/>
                <w:sz w:val="21"/>
                <w:szCs w:val="21"/>
              </w:rPr>
            </w:pPr>
            <w:r>
              <w:rPr>
                <w:color w:val="auto"/>
                <w:sz w:val="21"/>
                <w:szCs w:val="21"/>
              </w:rPr>
              <w:t>加药机</w:t>
            </w:r>
          </w:p>
        </w:tc>
        <w:tc>
          <w:tcPr>
            <w:tcW w:w="1540" w:type="dxa"/>
            <w:vAlign w:val="center"/>
          </w:tcPr>
          <w:p>
            <w:pPr>
              <w:pStyle w:val="65"/>
              <w:rPr>
                <w:b w:val="0"/>
              </w:rPr>
            </w:pPr>
            <w:r>
              <w:rPr>
                <w:rFonts w:hint="eastAsia"/>
                <w:b w:val="0"/>
              </w:rPr>
              <w:t>1</w:t>
            </w:r>
          </w:p>
        </w:tc>
        <w:tc>
          <w:tcPr>
            <w:tcW w:w="1540" w:type="dxa"/>
            <w:vAlign w:val="center"/>
          </w:tcPr>
          <w:p>
            <w:pPr>
              <w:pStyle w:val="65"/>
              <w:rPr>
                <w:b w:val="0"/>
              </w:rPr>
            </w:pPr>
            <w:r>
              <w:rPr>
                <w:rFonts w:hint="eastAsia"/>
                <w:b w:val="0"/>
                <w:szCs w:val="21"/>
              </w:rPr>
              <w:t>75</w:t>
            </w:r>
          </w:p>
        </w:tc>
        <w:tc>
          <w:tcPr>
            <w:tcW w:w="1541" w:type="dxa"/>
            <w:vAlign w:val="center"/>
          </w:tcPr>
          <w:p>
            <w:pPr>
              <w:pStyle w:val="65"/>
              <w:rPr>
                <w:b w:val="0"/>
                <w:szCs w:val="21"/>
              </w:rPr>
            </w:pPr>
            <w:r>
              <w:rPr>
                <w:b w:val="0"/>
                <w:szCs w:val="21"/>
              </w:rPr>
              <w:t>基础减震、</w:t>
            </w:r>
            <w:r>
              <w:rPr>
                <w:rFonts w:hint="eastAsia"/>
                <w:b w:val="0"/>
                <w:szCs w:val="21"/>
              </w:rPr>
              <w:t>隔声</w:t>
            </w:r>
          </w:p>
        </w:tc>
        <w:tc>
          <w:tcPr>
            <w:tcW w:w="1541" w:type="dxa"/>
            <w:vAlign w:val="center"/>
          </w:tcPr>
          <w:p>
            <w:pPr>
              <w:pStyle w:val="65"/>
              <w:rPr>
                <w:b w:val="0"/>
              </w:rPr>
            </w:pPr>
            <w:r>
              <w:rPr>
                <w:rFonts w:hint="eastAsia"/>
                <w:b w:val="0"/>
              </w:rPr>
              <w:t>70</w:t>
            </w:r>
          </w:p>
        </w:tc>
      </w:tr>
    </w:tbl>
    <w:p>
      <w:pPr>
        <w:pStyle w:val="62"/>
        <w:rPr>
          <w:rFonts w:ascii="宋体" w:hAnsi="宋体" w:cs="宋体"/>
          <w:color w:val="auto"/>
        </w:rPr>
      </w:pPr>
      <w:r>
        <w:rPr>
          <w:color w:val="auto"/>
        </w:rPr>
        <w:t>3.2.1</w:t>
      </w:r>
      <w:r>
        <w:rPr>
          <w:rFonts w:ascii="宋体" w:hAnsi="宋体" w:cs="宋体"/>
          <w:color w:val="auto"/>
        </w:rPr>
        <w:t>营运期固废</w:t>
      </w:r>
    </w:p>
    <w:p>
      <w:pPr>
        <w:pStyle w:val="63"/>
        <w:ind w:firstLine="480"/>
        <w:rPr>
          <w:color w:val="auto"/>
        </w:rPr>
      </w:pPr>
      <w:r>
        <w:rPr>
          <w:color w:val="auto"/>
        </w:rPr>
        <w:t>项目营运期固体废弃物</w:t>
      </w:r>
      <w:r>
        <w:rPr>
          <w:rFonts w:hint="eastAsia"/>
          <w:color w:val="auto"/>
        </w:rPr>
        <w:t>主要是活性氧化铝吸附法除氟罐清洗的杂质、</w:t>
      </w:r>
      <w:r>
        <w:rPr>
          <w:color w:val="auto"/>
        </w:rPr>
        <w:t>化验室危险废物</w:t>
      </w:r>
      <w:r>
        <w:rPr>
          <w:rFonts w:hint="eastAsia"/>
          <w:color w:val="auto"/>
        </w:rPr>
        <w:t>、</w:t>
      </w:r>
      <w:r>
        <w:rPr>
          <w:color w:val="auto"/>
        </w:rPr>
        <w:t>沉淀池和滤池产生的泥沙</w:t>
      </w:r>
      <w:r>
        <w:rPr>
          <w:rFonts w:hint="eastAsia"/>
          <w:color w:val="auto"/>
        </w:rPr>
        <w:t>、</w:t>
      </w:r>
      <w:r>
        <w:rPr>
          <w:color w:val="auto"/>
        </w:rPr>
        <w:t>生活垃圾</w:t>
      </w:r>
      <w:r>
        <w:rPr>
          <w:rFonts w:hint="eastAsia"/>
          <w:color w:val="auto"/>
        </w:rPr>
        <w:t>和食堂废油脂</w:t>
      </w:r>
      <w:r>
        <w:rPr>
          <w:color w:val="auto"/>
        </w:rPr>
        <w:t>。</w:t>
      </w:r>
    </w:p>
    <w:p>
      <w:pPr>
        <w:pStyle w:val="63"/>
        <w:ind w:firstLine="480"/>
        <w:rPr>
          <w:color w:val="auto"/>
        </w:rPr>
      </w:pPr>
      <w:r>
        <w:rPr>
          <w:rFonts w:hint="eastAsia"/>
          <w:color w:val="auto"/>
        </w:rPr>
        <w:t>（1）活性氧化铝吸附法除氟罐清洗的杂质</w:t>
      </w:r>
    </w:p>
    <w:p>
      <w:pPr>
        <w:pStyle w:val="63"/>
        <w:ind w:firstLine="480"/>
        <w:rPr>
          <w:color w:val="auto"/>
        </w:rPr>
      </w:pPr>
      <w:r>
        <w:rPr>
          <w:rFonts w:hint="eastAsia"/>
          <w:color w:val="auto"/>
        </w:rPr>
        <w:t>本项目废活性炭主要产生在保障房给水处理站活性氧化铝吸附过程中，用活性氧化铝的R</w:t>
      </w:r>
      <w:r>
        <w:rPr>
          <w:rFonts w:hint="eastAsia"/>
          <w:color w:val="auto"/>
          <w:vertAlign w:val="subscript"/>
        </w:rPr>
        <w:t>2</w:t>
      </w:r>
      <w:r>
        <w:rPr>
          <w:rFonts w:hint="eastAsia"/>
          <w:color w:val="auto"/>
        </w:rPr>
        <w:t>SO</w:t>
      </w:r>
      <w:r>
        <w:rPr>
          <w:rFonts w:hint="eastAsia"/>
          <w:color w:val="auto"/>
          <w:vertAlign w:val="subscript"/>
        </w:rPr>
        <w:t>4</w:t>
      </w:r>
      <w:r>
        <w:rPr>
          <w:rFonts w:hint="eastAsia"/>
          <w:color w:val="auto"/>
        </w:rPr>
        <w:t>型离子交换剂进行离子吸附交换，其交换反应式如下：</w:t>
      </w:r>
    </w:p>
    <w:p>
      <w:pPr>
        <w:pStyle w:val="63"/>
        <w:ind w:firstLine="480"/>
        <w:rPr>
          <w:color w:val="auto"/>
        </w:rPr>
      </w:pPr>
      <m:oMathPara>
        <m:oMath>
          <m:sSub>
            <m:sSubPr>
              <m:ctrlPr>
                <w:rPr>
                  <w:rFonts w:ascii="Cambria Math" w:hAnsi="Cambria Math"/>
                  <w:color w:val="auto"/>
                </w:rPr>
              </m:ctrlPr>
            </m:sSubPr>
            <m:e>
              <m:r>
                <m:rPr>
                  <m:sty m:val="p"/>
                </m:rPr>
                <w:rPr>
                  <w:rFonts w:ascii="Cambria Math" w:hAnsi="Cambria Math"/>
                  <w:color w:val="auto"/>
                </w:rPr>
                <m:t>R</m:t>
              </m:r>
              <m:ctrlPr>
                <w:rPr>
                  <w:rFonts w:ascii="Cambria Math" w:hAnsi="Cambria Math"/>
                  <w:color w:val="auto"/>
                </w:rPr>
              </m:ctrlPr>
            </m:e>
            <m:sub>
              <m:r>
                <m:rPr>
                  <m:sty m:val="p"/>
                </m:rPr>
                <w:rPr>
                  <w:rFonts w:ascii="Cambria Math" w:hAnsi="Cambria Math"/>
                  <w:color w:val="auto"/>
                </w:rPr>
                <m:t>2</m:t>
              </m:r>
              <m:ctrlPr>
                <w:rPr>
                  <w:rFonts w:ascii="Cambria Math" w:hAnsi="Cambria Math"/>
                  <w:color w:val="auto"/>
                </w:rPr>
              </m:ctrlPr>
            </m:sub>
          </m:sSub>
          <m:r>
            <m:rPr>
              <m:sty m:val="p"/>
            </m:rPr>
            <w:rPr>
              <w:rFonts w:ascii="Cambria Math" w:hAnsi="Cambria Math"/>
              <w:color w:val="auto"/>
            </w:rPr>
            <m:t>S</m:t>
          </m:r>
          <m:sSub>
            <m:sSubPr>
              <m:ctrlPr>
                <w:rPr>
                  <w:rFonts w:ascii="Cambria Math" w:hAnsi="Cambria Math"/>
                  <w:color w:val="auto"/>
                </w:rPr>
              </m:ctrlPr>
            </m:sSubPr>
            <m:e>
              <m:r>
                <m:rPr>
                  <m:sty m:val="p"/>
                </m:rPr>
                <w:rPr>
                  <w:rFonts w:ascii="Cambria Math" w:hAnsi="Cambria Math"/>
                  <w:color w:val="auto"/>
                </w:rPr>
                <m:t>O</m:t>
              </m:r>
              <m:ctrlPr>
                <w:rPr>
                  <w:rFonts w:ascii="Cambria Math" w:hAnsi="Cambria Math"/>
                  <w:color w:val="auto"/>
                </w:rPr>
              </m:ctrlPr>
            </m:e>
            <m:sub>
              <m:r>
                <m:rPr>
                  <m:sty m:val="p"/>
                </m:rPr>
                <w:rPr>
                  <w:rFonts w:ascii="Cambria Math" w:hAnsi="Cambria Math"/>
                  <w:color w:val="auto"/>
                </w:rPr>
                <m:t>4</m:t>
              </m:r>
              <m:ctrlPr>
                <w:rPr>
                  <w:rFonts w:ascii="Cambria Math" w:hAnsi="Cambria Math"/>
                  <w:color w:val="auto"/>
                </w:rPr>
              </m:ctrlPr>
            </m:sub>
          </m:sSub>
          <m:r>
            <m:rPr>
              <m:sty m:val="p"/>
            </m:rPr>
            <w:rPr>
              <w:rFonts w:ascii="Cambria Math" w:hAnsi="Cambria Math"/>
              <w:color w:val="auto"/>
            </w:rPr>
            <m:t>+2</m:t>
          </m:r>
          <m:sSup>
            <m:sSupPr>
              <m:ctrlPr>
                <w:rPr>
                  <w:rFonts w:ascii="Cambria Math" w:hAnsi="Cambria Math"/>
                  <w:color w:val="auto"/>
                </w:rPr>
              </m:ctrlPr>
            </m:sSupPr>
            <m:e>
              <m:r>
                <m:rPr>
                  <m:sty m:val="p"/>
                </m:rPr>
                <w:rPr>
                  <w:rFonts w:ascii="Cambria Math" w:hAnsi="Cambria Math"/>
                  <w:color w:val="auto"/>
                </w:rPr>
                <m:t>F</m:t>
              </m:r>
              <m:ctrlPr>
                <w:rPr>
                  <w:rFonts w:ascii="Cambria Math" w:hAnsi="Cambria Math"/>
                  <w:color w:val="auto"/>
                </w:rPr>
              </m:ctrlPr>
            </m:e>
            <m:sup>
              <m:r>
                <m:rPr>
                  <m:sty m:val="p"/>
                </m:rPr>
                <w:rPr>
                  <w:rFonts w:ascii="Cambria Math" w:hAnsi="Cambria Math"/>
                  <w:color w:val="auto"/>
                </w:rPr>
                <m:t>−</m:t>
              </m:r>
              <m:ctrlPr>
                <w:rPr>
                  <w:rFonts w:ascii="Cambria Math" w:hAnsi="Cambria Math"/>
                  <w:color w:val="auto"/>
                </w:rPr>
              </m:ctrlPr>
            </m:sup>
          </m:sSup>
          <m:r>
            <m:rPr>
              <m:sty m:val="p"/>
            </m:rPr>
            <w:rPr>
              <w:rFonts w:ascii="Cambria Math" w:hAnsi="Cambria Math"/>
              <w:color w:val="auto"/>
            </w:rPr>
            <m:t>=2RF+S</m:t>
          </m:r>
          <m:sSubSup>
            <m:sSubSupPr>
              <m:ctrlPr>
                <w:rPr>
                  <w:rFonts w:ascii="Cambria Math" w:hAnsi="Cambria Math"/>
                  <w:color w:val="auto"/>
                </w:rPr>
              </m:ctrlPr>
            </m:sSubSupPr>
            <m:e>
              <m:r>
                <m:rPr>
                  <m:sty m:val="p"/>
                </m:rPr>
                <w:rPr>
                  <w:rFonts w:ascii="Cambria Math" w:hAnsi="Cambria Math"/>
                  <w:color w:val="auto"/>
                </w:rPr>
                <m:t>O</m:t>
              </m:r>
              <m:ctrlPr>
                <w:rPr>
                  <w:rFonts w:ascii="Cambria Math" w:hAnsi="Cambria Math"/>
                  <w:color w:val="auto"/>
                </w:rPr>
              </m:ctrlPr>
            </m:e>
            <m:sub>
              <m:r>
                <m:rPr>
                  <m:sty m:val="p"/>
                </m:rPr>
                <w:rPr>
                  <w:rFonts w:ascii="Cambria Math" w:hAnsi="Cambria Math"/>
                  <w:color w:val="auto"/>
                </w:rPr>
                <m:t>4</m:t>
              </m:r>
              <m:ctrlPr>
                <w:rPr>
                  <w:rFonts w:ascii="Cambria Math" w:hAnsi="Cambria Math"/>
                  <w:color w:val="auto"/>
                </w:rPr>
              </m:ctrlPr>
            </m:sub>
            <m:sup>
              <m:r>
                <m:rPr>
                  <m:sty m:val="p"/>
                </m:rPr>
                <w:rPr>
                  <w:rFonts w:ascii="Cambria Math" w:hAnsi="Cambria Math"/>
                  <w:color w:val="auto"/>
                </w:rPr>
                <m:t>−2</m:t>
              </m:r>
              <m:ctrlPr>
                <w:rPr>
                  <w:rFonts w:ascii="Cambria Math" w:hAnsi="Cambria Math"/>
                  <w:color w:val="auto"/>
                </w:rPr>
              </m:ctrlPr>
            </m:sup>
          </m:sSubSup>
        </m:oMath>
      </m:oMathPara>
    </w:p>
    <w:p>
      <w:pPr>
        <w:pStyle w:val="63"/>
        <w:ind w:firstLine="480"/>
        <w:rPr>
          <w:color w:val="auto"/>
        </w:rPr>
      </w:pPr>
      <m:oMathPara>
        <m:oMath>
          <m:sSub>
            <m:sSubPr>
              <m:ctrlPr>
                <w:rPr>
                  <w:rFonts w:ascii="Cambria Math" w:hAnsi="Cambria Math"/>
                  <w:color w:val="auto"/>
                </w:rPr>
              </m:ctrlPr>
            </m:sSubPr>
            <m:e>
              <m:r>
                <m:rPr>
                  <m:sty m:val="p"/>
                </m:rPr>
                <w:rPr>
                  <w:rFonts w:ascii="Cambria Math" w:hAnsi="Cambria Math"/>
                  <w:color w:val="auto"/>
                </w:rPr>
                <m:t>R</m:t>
              </m:r>
              <m:ctrlPr>
                <w:rPr>
                  <w:rFonts w:ascii="Cambria Math" w:hAnsi="Cambria Math"/>
                  <w:color w:val="auto"/>
                </w:rPr>
              </m:ctrlPr>
            </m:e>
            <m:sub>
              <m:r>
                <m:rPr>
                  <m:sty m:val="p"/>
                </m:rPr>
                <w:rPr>
                  <w:rFonts w:ascii="Cambria Math" w:hAnsi="Cambria Math"/>
                  <w:color w:val="auto"/>
                </w:rPr>
                <m:t>2</m:t>
              </m:r>
              <m:ctrlPr>
                <w:rPr>
                  <w:rFonts w:ascii="Cambria Math" w:hAnsi="Cambria Math"/>
                  <w:color w:val="auto"/>
                </w:rPr>
              </m:ctrlPr>
            </m:sub>
          </m:sSub>
          <m:r>
            <m:rPr>
              <m:sty m:val="p"/>
            </m:rPr>
            <w:rPr>
              <w:rFonts w:ascii="Cambria Math" w:hAnsi="Cambria Math"/>
              <w:color w:val="auto"/>
            </w:rPr>
            <m:t>S</m:t>
          </m:r>
          <m:sSub>
            <m:sSubPr>
              <m:ctrlPr>
                <w:rPr>
                  <w:rFonts w:ascii="Cambria Math" w:hAnsi="Cambria Math"/>
                  <w:color w:val="auto"/>
                </w:rPr>
              </m:ctrlPr>
            </m:sSubPr>
            <m:e>
              <m:r>
                <m:rPr>
                  <m:sty m:val="p"/>
                </m:rPr>
                <w:rPr>
                  <w:rFonts w:ascii="Cambria Math" w:hAnsi="Cambria Math"/>
                  <w:color w:val="auto"/>
                </w:rPr>
                <m:t>O</m:t>
              </m:r>
              <m:ctrlPr>
                <w:rPr>
                  <w:rFonts w:ascii="Cambria Math" w:hAnsi="Cambria Math"/>
                  <w:color w:val="auto"/>
                </w:rPr>
              </m:ctrlPr>
            </m:e>
            <m:sub>
              <m:r>
                <m:rPr>
                  <m:sty m:val="p"/>
                </m:rPr>
                <w:rPr>
                  <w:rFonts w:ascii="Cambria Math" w:hAnsi="Cambria Math"/>
                  <w:color w:val="auto"/>
                </w:rPr>
                <m:t>4</m:t>
              </m:r>
              <m:ctrlPr>
                <w:rPr>
                  <w:rFonts w:ascii="Cambria Math" w:hAnsi="Cambria Math"/>
                  <w:color w:val="auto"/>
                </w:rPr>
              </m:ctrlPr>
            </m:sub>
          </m:sSub>
          <m:r>
            <m:rPr>
              <m:sty m:val="p"/>
            </m:rPr>
            <w:rPr>
              <w:rFonts w:ascii="Cambria Math" w:hAnsi="Cambria Math"/>
              <w:color w:val="auto"/>
            </w:rPr>
            <m:t>+2HC</m:t>
          </m:r>
          <m:sSubSup>
            <m:sSubSupPr>
              <m:ctrlPr>
                <w:rPr>
                  <w:rFonts w:ascii="Cambria Math" w:hAnsi="Cambria Math"/>
                  <w:color w:val="auto"/>
                </w:rPr>
              </m:ctrlPr>
            </m:sSubSupPr>
            <m:e>
              <m:r>
                <m:rPr>
                  <m:sty m:val="p"/>
                </m:rPr>
                <w:rPr>
                  <w:rFonts w:ascii="Cambria Math" w:hAnsi="Cambria Math"/>
                  <w:color w:val="auto"/>
                </w:rPr>
                <m:t>O</m:t>
              </m:r>
              <m:ctrlPr>
                <w:rPr>
                  <w:rFonts w:ascii="Cambria Math" w:hAnsi="Cambria Math"/>
                  <w:color w:val="auto"/>
                </w:rPr>
              </m:ctrlPr>
            </m:e>
            <m:sub>
              <m:r>
                <m:rPr>
                  <m:sty m:val="p"/>
                </m:rPr>
                <w:rPr>
                  <w:rFonts w:ascii="Cambria Math" w:hAnsi="Cambria Math"/>
                  <w:color w:val="auto"/>
                </w:rPr>
                <m:t>3</m:t>
              </m:r>
              <m:ctrlPr>
                <w:rPr>
                  <w:rFonts w:ascii="Cambria Math" w:hAnsi="Cambria Math"/>
                  <w:color w:val="auto"/>
                </w:rPr>
              </m:ctrlPr>
            </m:sub>
            <m:sup>
              <m:r>
                <m:rPr>
                  <m:sty m:val="p"/>
                </m:rPr>
                <w:rPr>
                  <w:rFonts w:ascii="Cambria Math" w:hAnsi="Cambria Math"/>
                  <w:color w:val="auto"/>
                </w:rPr>
                <m:t>−</m:t>
              </m:r>
              <m:ctrlPr>
                <w:rPr>
                  <w:rFonts w:ascii="Cambria Math" w:hAnsi="Cambria Math"/>
                  <w:color w:val="auto"/>
                </w:rPr>
              </m:ctrlPr>
            </m:sup>
          </m:sSubSup>
          <m:r>
            <m:rPr>
              <m:sty m:val="p"/>
            </m:rPr>
            <w:rPr>
              <w:rFonts w:ascii="Cambria Math" w:hAnsi="Cambria Math"/>
              <w:color w:val="auto"/>
            </w:rPr>
            <m:t>=2HC</m:t>
          </m:r>
          <m:sSub>
            <m:sSubPr>
              <m:ctrlPr>
                <w:rPr>
                  <w:rFonts w:ascii="Cambria Math" w:hAnsi="Cambria Math"/>
                  <w:color w:val="auto"/>
                </w:rPr>
              </m:ctrlPr>
            </m:sSubPr>
            <m:e>
              <m:r>
                <m:rPr>
                  <m:sty m:val="p"/>
                </m:rPr>
                <w:rPr>
                  <w:rFonts w:ascii="Cambria Math" w:hAnsi="Cambria Math"/>
                  <w:color w:val="auto"/>
                </w:rPr>
                <m:t>O</m:t>
              </m:r>
              <m:ctrlPr>
                <w:rPr>
                  <w:rFonts w:ascii="Cambria Math" w:hAnsi="Cambria Math"/>
                  <w:color w:val="auto"/>
                </w:rPr>
              </m:ctrlPr>
            </m:e>
            <m:sub>
              <m:r>
                <m:rPr>
                  <m:sty m:val="p"/>
                </m:rPr>
                <w:rPr>
                  <w:rFonts w:ascii="Cambria Math" w:hAnsi="Cambria Math"/>
                  <w:color w:val="auto"/>
                </w:rPr>
                <m:t>3</m:t>
              </m:r>
              <m:ctrlPr>
                <w:rPr>
                  <w:rFonts w:ascii="Cambria Math" w:hAnsi="Cambria Math"/>
                  <w:color w:val="auto"/>
                </w:rPr>
              </m:ctrlPr>
            </m:sub>
          </m:sSub>
          <m:r>
            <m:rPr>
              <m:sty m:val="p"/>
            </m:rPr>
            <w:rPr>
              <w:rFonts w:ascii="Cambria Math" w:hAnsi="Cambria Math"/>
              <w:color w:val="auto"/>
            </w:rPr>
            <m:t>+S</m:t>
          </m:r>
          <m:sSubSup>
            <m:sSubSupPr>
              <m:ctrlPr>
                <w:rPr>
                  <w:rFonts w:ascii="Cambria Math" w:hAnsi="Cambria Math"/>
                  <w:color w:val="auto"/>
                </w:rPr>
              </m:ctrlPr>
            </m:sSubSupPr>
            <m:e>
              <m:r>
                <m:rPr>
                  <m:sty m:val="p"/>
                </m:rPr>
                <w:rPr>
                  <w:rFonts w:ascii="Cambria Math" w:hAnsi="Cambria Math"/>
                  <w:color w:val="auto"/>
                </w:rPr>
                <m:t>O</m:t>
              </m:r>
              <m:ctrlPr>
                <w:rPr>
                  <w:rFonts w:ascii="Cambria Math" w:hAnsi="Cambria Math"/>
                  <w:color w:val="auto"/>
                </w:rPr>
              </m:ctrlPr>
            </m:e>
            <m:sub>
              <m:r>
                <m:rPr>
                  <m:sty m:val="p"/>
                </m:rPr>
                <w:rPr>
                  <w:rFonts w:ascii="Cambria Math" w:hAnsi="Cambria Math"/>
                  <w:color w:val="auto"/>
                </w:rPr>
                <m:t>4</m:t>
              </m:r>
              <m:ctrlPr>
                <w:rPr>
                  <w:rFonts w:ascii="Cambria Math" w:hAnsi="Cambria Math"/>
                  <w:color w:val="auto"/>
                </w:rPr>
              </m:ctrlPr>
            </m:sub>
            <m:sup>
              <m:r>
                <m:rPr>
                  <m:sty m:val="p"/>
                </m:rPr>
                <w:rPr>
                  <w:rFonts w:ascii="Cambria Math" w:hAnsi="Cambria Math"/>
                  <w:color w:val="auto"/>
                </w:rPr>
                <m:t>−2</m:t>
              </m:r>
              <m:ctrlPr>
                <w:rPr>
                  <w:rFonts w:ascii="Cambria Math" w:hAnsi="Cambria Math"/>
                  <w:color w:val="auto"/>
                </w:rPr>
              </m:ctrlPr>
            </m:sup>
          </m:sSubSup>
        </m:oMath>
      </m:oMathPara>
    </w:p>
    <w:p>
      <w:pPr>
        <w:pStyle w:val="63"/>
        <w:ind w:firstLine="480"/>
        <w:rPr>
          <w:color w:val="auto"/>
        </w:rPr>
      </w:pPr>
      <w:r>
        <w:rPr>
          <w:rFonts w:hint="eastAsia"/>
          <w:color w:val="auto"/>
        </w:rPr>
        <w:t>交换饱和以后，以硫酸铝再生。再生过程是靠再生剂的高浓度战胜选择性，使上述反应向左进行，从而使活性氧化铝得到再生。</w:t>
      </w:r>
    </w:p>
    <w:p>
      <w:pPr>
        <w:pStyle w:val="63"/>
        <w:ind w:firstLine="480"/>
        <w:rPr>
          <w:color w:val="auto"/>
        </w:rPr>
      </w:pPr>
      <w:r>
        <w:rPr>
          <w:rFonts w:hint="eastAsia"/>
          <w:color w:val="auto"/>
        </w:rPr>
        <w:t>活性氧化铝滤料需要定期清洗杂质，盐酸用量与滤料重量之比约1:10左右。类比同类项目，活性氧化铝吸附法除氟罐每3个月清洗一次，本项目清洗废液约1t/a，</w:t>
      </w:r>
      <w:r>
        <w:rPr>
          <w:color w:val="auto"/>
        </w:rPr>
        <w:t>含有废酸（</w:t>
      </w:r>
      <w:r>
        <w:rPr>
          <w:rFonts w:cs="Times New Roman"/>
          <w:color w:val="auto"/>
        </w:rPr>
        <w:t>HW34</w:t>
      </w:r>
      <w:r>
        <w:rPr>
          <w:color w:val="auto"/>
        </w:rPr>
        <w:t>）</w:t>
      </w:r>
      <w:r>
        <w:rPr>
          <w:rFonts w:hint="eastAsia"/>
          <w:color w:val="auto"/>
        </w:rPr>
        <w:t>，为危险废物，交由有资质单位处理。</w:t>
      </w:r>
    </w:p>
    <w:p>
      <w:pPr>
        <w:pStyle w:val="63"/>
        <w:ind w:firstLine="480"/>
        <w:rPr>
          <w:color w:val="auto"/>
        </w:rPr>
      </w:pPr>
      <w:r>
        <w:rPr>
          <w:rFonts w:hint="eastAsia"/>
          <w:color w:val="auto"/>
        </w:rPr>
        <w:t>（2）</w:t>
      </w:r>
      <w:r>
        <w:rPr>
          <w:color w:val="auto"/>
        </w:rPr>
        <w:t>化验室危险废</w:t>
      </w:r>
      <w:r>
        <w:rPr>
          <w:rFonts w:hint="eastAsia"/>
          <w:color w:val="auto"/>
        </w:rPr>
        <w:t>物</w:t>
      </w:r>
    </w:p>
    <w:p>
      <w:pPr>
        <w:pStyle w:val="63"/>
        <w:ind w:firstLine="480"/>
        <w:rPr>
          <w:color w:val="auto"/>
        </w:rPr>
      </w:pPr>
      <w:r>
        <w:rPr>
          <w:rFonts w:hint="eastAsia"/>
          <w:color w:val="auto"/>
        </w:rPr>
        <w:t>水源管理站和保障房给水处理站</w:t>
      </w:r>
      <w:r>
        <w:rPr>
          <w:color w:val="auto"/>
        </w:rPr>
        <w:t>设有化验室，对水质进行检验，用水量约</w:t>
      </w:r>
      <w:r>
        <w:rPr>
          <w:rFonts w:hint="eastAsia" w:cs="Times New Roman"/>
          <w:color w:val="auto"/>
        </w:rPr>
        <w:t>1.2</w:t>
      </w:r>
      <w:r>
        <w:rPr>
          <w:rFonts w:cs="Times New Roman"/>
          <w:color w:val="auto"/>
        </w:rPr>
        <w:t>t/a</w:t>
      </w:r>
      <w:r>
        <w:rPr>
          <w:color w:val="auto"/>
        </w:rPr>
        <w:t>，废</w:t>
      </w:r>
      <w:r>
        <w:rPr>
          <w:rFonts w:hint="eastAsia"/>
          <w:color w:val="auto"/>
        </w:rPr>
        <w:t>夜</w:t>
      </w:r>
      <w:r>
        <w:rPr>
          <w:color w:val="auto"/>
        </w:rPr>
        <w:t>产生量</w:t>
      </w:r>
      <w:r>
        <w:rPr>
          <w:rFonts w:hint="eastAsia" w:cs="Times New Roman"/>
          <w:color w:val="auto"/>
        </w:rPr>
        <w:t>0.96</w:t>
      </w:r>
      <w:r>
        <w:rPr>
          <w:rFonts w:cs="Times New Roman"/>
          <w:color w:val="auto"/>
        </w:rPr>
        <w:t>t/a</w:t>
      </w:r>
      <w:r>
        <w:rPr>
          <w:color w:val="auto"/>
        </w:rPr>
        <w:t>，可能含有废酸（</w:t>
      </w:r>
      <w:r>
        <w:rPr>
          <w:rFonts w:cs="Times New Roman"/>
          <w:color w:val="auto"/>
        </w:rPr>
        <w:t>HW34</w:t>
      </w:r>
      <w:r>
        <w:rPr>
          <w:color w:val="auto"/>
        </w:rPr>
        <w:t>）、废碱（</w:t>
      </w:r>
      <w:r>
        <w:rPr>
          <w:rFonts w:cs="Times New Roman"/>
          <w:color w:val="auto"/>
        </w:rPr>
        <w:t>HW35</w:t>
      </w:r>
      <w:r>
        <w:rPr>
          <w:color w:val="auto"/>
        </w:rPr>
        <w:t>）等，为危险废物，交由有资质单位处理。</w:t>
      </w:r>
    </w:p>
    <w:p>
      <w:pPr>
        <w:pStyle w:val="63"/>
        <w:ind w:firstLine="480"/>
        <w:rPr>
          <w:color w:val="auto"/>
        </w:rPr>
      </w:pPr>
      <w:r>
        <w:rPr>
          <w:rFonts w:hint="eastAsia"/>
          <w:color w:val="auto"/>
        </w:rPr>
        <w:t>（3）</w:t>
      </w:r>
      <w:r>
        <w:rPr>
          <w:color w:val="auto"/>
        </w:rPr>
        <w:t>沉淀池、滤池泥沙</w:t>
      </w:r>
    </w:p>
    <w:p>
      <w:pPr>
        <w:spacing w:line="360" w:lineRule="auto"/>
        <w:ind w:firstLine="480" w:firstLineChars="200"/>
        <w:rPr>
          <w:sz w:val="24"/>
        </w:rPr>
      </w:pPr>
      <w:r>
        <w:rPr>
          <w:rFonts w:hint="eastAsia"/>
          <w:sz w:val="24"/>
        </w:rPr>
        <w:t>给水处理站</w:t>
      </w:r>
      <w:r>
        <w:rPr>
          <w:sz w:val="24"/>
        </w:rPr>
        <w:t>运行期间，沉淀池和滤池会产生一定量的生产废水，其含有大量泥沙等悬浮物。</w:t>
      </w:r>
      <w:r>
        <w:rPr>
          <w:rFonts w:hint="eastAsia"/>
          <w:sz w:val="24"/>
        </w:rPr>
        <w:t>工程设计规模2000m</w:t>
      </w:r>
      <w:r>
        <w:rPr>
          <w:rFonts w:hint="eastAsia"/>
          <w:sz w:val="24"/>
          <w:vertAlign w:val="superscript"/>
        </w:rPr>
        <w:t>3</w:t>
      </w:r>
      <w:r>
        <w:rPr>
          <w:rFonts w:hint="eastAsia"/>
          <w:sz w:val="24"/>
        </w:rPr>
        <w:t>/d，废水产生量为20m</w:t>
      </w:r>
      <w:r>
        <w:rPr>
          <w:rFonts w:hint="eastAsia"/>
          <w:sz w:val="24"/>
          <w:vertAlign w:val="superscript"/>
        </w:rPr>
        <w:t>3</w:t>
      </w:r>
      <w:r>
        <w:rPr>
          <w:rFonts w:hint="eastAsia"/>
          <w:sz w:val="24"/>
        </w:rPr>
        <w:t>/d。类比同类项目，沉淀池和滤池产生污泥量按①式计算，SS与浊度换算按②式计算。</w:t>
      </w:r>
    </w:p>
    <w:p>
      <w:pPr>
        <w:spacing w:beforeLines="50" w:line="360" w:lineRule="auto"/>
        <w:ind w:firstLine="480" w:firstLineChars="200"/>
        <w:jc w:val="center"/>
        <w:rPr>
          <w:sz w:val="24"/>
        </w:rPr>
      </w:pPr>
      <w:r>
        <w:rPr>
          <w:sz w:val="24"/>
        </w:rPr>
        <w:t>S=8.34Q(0.26Al+SS+A)</w:t>
      </w:r>
      <w:r>
        <w:rPr>
          <w:rFonts w:hint="eastAsia"/>
          <w:sz w:val="24"/>
        </w:rPr>
        <w:t>…………………… ①</w:t>
      </w:r>
    </w:p>
    <w:p>
      <w:pPr>
        <w:spacing w:line="360" w:lineRule="auto"/>
        <w:ind w:firstLine="480" w:firstLineChars="200"/>
        <w:rPr>
          <w:sz w:val="24"/>
        </w:rPr>
      </w:pPr>
      <w:r>
        <w:rPr>
          <w:rFonts w:hint="eastAsia"/>
          <w:sz w:val="24"/>
        </w:rPr>
        <w:t>式中：S—干污泥量，lb/d(1lb/d=0.4536kg/d)；</w:t>
      </w:r>
    </w:p>
    <w:p>
      <w:pPr>
        <w:spacing w:line="360" w:lineRule="auto"/>
        <w:ind w:firstLine="1200" w:firstLineChars="500"/>
        <w:rPr>
          <w:sz w:val="24"/>
        </w:rPr>
      </w:pPr>
      <w:r>
        <w:rPr>
          <w:rFonts w:hint="eastAsia"/>
          <w:sz w:val="24"/>
        </w:rPr>
        <w:t>Q—自来水厂净水量，mgd(1mgd=3.785×10</w:t>
      </w:r>
      <w:r>
        <w:rPr>
          <w:rFonts w:hint="eastAsia"/>
          <w:sz w:val="24"/>
          <w:vertAlign w:val="superscript"/>
        </w:rPr>
        <w:t>3</w:t>
      </w:r>
      <w:r>
        <w:rPr>
          <w:rFonts w:hint="eastAsia"/>
          <w:sz w:val="24"/>
        </w:rPr>
        <w:t>m</w:t>
      </w:r>
      <w:r>
        <w:rPr>
          <w:rFonts w:hint="eastAsia"/>
          <w:sz w:val="24"/>
          <w:vertAlign w:val="superscript"/>
        </w:rPr>
        <w:t>3</w:t>
      </w:r>
      <w:r>
        <w:rPr>
          <w:rFonts w:hint="eastAsia"/>
          <w:sz w:val="24"/>
        </w:rPr>
        <w:t>/d)；</w:t>
      </w:r>
    </w:p>
    <w:p>
      <w:pPr>
        <w:spacing w:line="360" w:lineRule="auto"/>
        <w:ind w:firstLine="1200" w:firstLineChars="500"/>
        <w:rPr>
          <w:sz w:val="24"/>
        </w:rPr>
      </w:pPr>
      <w:r>
        <w:rPr>
          <w:rFonts w:hint="eastAsia"/>
          <w:sz w:val="24"/>
        </w:rPr>
        <w:t>Al—铝盐混凝剂投加率(以Al</w:t>
      </w:r>
      <w:r>
        <w:rPr>
          <w:rFonts w:hint="eastAsia"/>
          <w:sz w:val="24"/>
          <w:vertAlign w:val="subscript"/>
        </w:rPr>
        <w:t>2</w:t>
      </w:r>
      <w:r>
        <w:rPr>
          <w:rFonts w:hint="eastAsia"/>
          <w:sz w:val="24"/>
        </w:rPr>
        <w:t>(SO</w:t>
      </w:r>
      <w:r>
        <w:rPr>
          <w:rFonts w:hint="eastAsia"/>
          <w:sz w:val="24"/>
          <w:vertAlign w:val="subscript"/>
        </w:rPr>
        <w:t>4</w:t>
      </w:r>
      <w:r>
        <w:rPr>
          <w:rFonts w:hint="eastAsia"/>
          <w:sz w:val="24"/>
        </w:rPr>
        <w:t>)</w:t>
      </w:r>
      <w:r>
        <w:rPr>
          <w:rFonts w:hint="eastAsia"/>
          <w:sz w:val="24"/>
          <w:vertAlign w:val="subscript"/>
        </w:rPr>
        <w:t>3</w:t>
      </w:r>
      <w:r>
        <w:rPr>
          <w:rFonts w:hint="eastAsia"/>
          <w:sz w:val="24"/>
        </w:rPr>
        <w:t>·14H</w:t>
      </w:r>
      <w:r>
        <w:rPr>
          <w:rFonts w:hint="eastAsia"/>
          <w:sz w:val="24"/>
          <w:vertAlign w:val="subscript"/>
        </w:rPr>
        <w:t>2</w:t>
      </w:r>
      <w:r>
        <w:rPr>
          <w:rFonts w:hint="eastAsia"/>
          <w:sz w:val="24"/>
        </w:rPr>
        <w:t>O计)，取5mg/L；</w:t>
      </w:r>
    </w:p>
    <w:p>
      <w:pPr>
        <w:spacing w:line="360" w:lineRule="auto"/>
        <w:ind w:firstLine="1200" w:firstLineChars="500"/>
        <w:rPr>
          <w:sz w:val="24"/>
        </w:rPr>
      </w:pPr>
      <w:r>
        <w:rPr>
          <w:rFonts w:hint="eastAsia"/>
          <w:sz w:val="24"/>
        </w:rPr>
        <w:t>SS—原水总悬浮固体，mg/L；</w:t>
      </w:r>
    </w:p>
    <w:p>
      <w:pPr>
        <w:spacing w:line="360" w:lineRule="auto"/>
        <w:ind w:firstLine="1200" w:firstLineChars="500"/>
        <w:rPr>
          <w:sz w:val="24"/>
        </w:rPr>
      </w:pPr>
      <w:r>
        <w:rPr>
          <w:rFonts w:hint="eastAsia"/>
          <w:sz w:val="24"/>
        </w:rPr>
        <w:t>A—水处理中其它添加剂，mg/L。</w:t>
      </w:r>
    </w:p>
    <w:p>
      <w:pPr>
        <w:spacing w:beforeLines="50" w:line="360" w:lineRule="auto"/>
        <w:ind w:firstLine="480" w:firstLineChars="200"/>
        <w:jc w:val="center"/>
        <w:rPr>
          <w:sz w:val="24"/>
        </w:rPr>
      </w:pPr>
      <w:r>
        <w:rPr>
          <w:rFonts w:hint="eastAsia"/>
          <w:sz w:val="24"/>
        </w:rPr>
        <w:t>SS=bT……………………②</w:t>
      </w:r>
    </w:p>
    <w:p>
      <w:pPr>
        <w:spacing w:line="360" w:lineRule="auto"/>
        <w:ind w:firstLine="480" w:firstLineChars="200"/>
        <w:rPr>
          <w:sz w:val="24"/>
        </w:rPr>
      </w:pPr>
      <w:r>
        <w:rPr>
          <w:rFonts w:hint="eastAsia"/>
          <w:sz w:val="24"/>
        </w:rPr>
        <w:t>式中：SS—原水的悬浮固体含量，mg/L；</w:t>
      </w:r>
    </w:p>
    <w:p>
      <w:pPr>
        <w:spacing w:line="360" w:lineRule="auto"/>
        <w:ind w:firstLine="1200" w:firstLineChars="500"/>
        <w:rPr>
          <w:sz w:val="24"/>
        </w:rPr>
      </w:pPr>
      <w:r>
        <w:rPr>
          <w:rFonts w:hint="eastAsia"/>
          <w:sz w:val="24"/>
        </w:rPr>
        <w:t>T—原水浊度，NTU。</w:t>
      </w:r>
    </w:p>
    <w:p>
      <w:pPr>
        <w:spacing w:line="360" w:lineRule="auto"/>
        <w:ind w:firstLine="1200" w:firstLineChars="500"/>
        <w:rPr>
          <w:sz w:val="24"/>
        </w:rPr>
      </w:pPr>
      <w:r>
        <w:rPr>
          <w:rFonts w:hint="eastAsia"/>
          <w:sz w:val="24"/>
        </w:rPr>
        <w:t>b—与浊度T有关，取1.0。</w:t>
      </w:r>
    </w:p>
    <w:p>
      <w:pPr>
        <w:pStyle w:val="63"/>
        <w:ind w:firstLine="480"/>
        <w:rPr>
          <w:color w:val="auto"/>
        </w:rPr>
      </w:pPr>
      <w:r>
        <w:rPr>
          <w:rFonts w:hint="eastAsia"/>
          <w:color w:val="auto"/>
        </w:rPr>
        <w:t>经计算，给水处理站污泥产生量为4.6kg/d，年产生量为0.966t/a。</w:t>
      </w:r>
    </w:p>
    <w:p>
      <w:pPr>
        <w:pStyle w:val="63"/>
        <w:ind w:firstLine="480"/>
        <w:rPr>
          <w:color w:val="auto"/>
        </w:rPr>
      </w:pPr>
      <w:r>
        <w:rPr>
          <w:rFonts w:hint="eastAsia"/>
          <w:color w:val="auto"/>
        </w:rPr>
        <w:t>（3）生活垃圾</w:t>
      </w:r>
    </w:p>
    <w:p>
      <w:pPr>
        <w:pStyle w:val="63"/>
        <w:ind w:firstLine="480"/>
        <w:rPr>
          <w:color w:val="auto"/>
        </w:rPr>
      </w:pPr>
      <w:r>
        <w:rPr>
          <w:color w:val="auto"/>
        </w:rPr>
        <w:t>生活垃圾产生量按每人每天1kg计，则产生量为</w:t>
      </w:r>
      <w:r>
        <w:rPr>
          <w:rFonts w:hint="eastAsia"/>
          <w:color w:val="auto"/>
        </w:rPr>
        <w:t>2.94</w:t>
      </w:r>
      <w:r>
        <w:rPr>
          <w:color w:val="auto"/>
        </w:rPr>
        <w:t>t/a。</w:t>
      </w:r>
    </w:p>
    <w:p>
      <w:pPr>
        <w:pStyle w:val="63"/>
        <w:ind w:firstLine="480"/>
        <w:rPr>
          <w:color w:val="auto"/>
        </w:rPr>
      </w:pPr>
      <w:r>
        <w:rPr>
          <w:rFonts w:hint="eastAsia"/>
          <w:color w:val="auto"/>
        </w:rPr>
        <w:t>（4）废油脂</w:t>
      </w:r>
    </w:p>
    <w:p>
      <w:pPr>
        <w:pStyle w:val="63"/>
        <w:ind w:firstLine="480"/>
        <w:rPr>
          <w:color w:val="auto"/>
        </w:rPr>
      </w:pPr>
      <w:r>
        <w:rPr>
          <w:rFonts w:hint="eastAsia"/>
          <w:color w:val="auto"/>
        </w:rPr>
        <w:t>本项目食堂废油脂产生量按食用油使用量的10%计算，则废油脂产生量约为14.7kg/a</w:t>
      </w:r>
    </w:p>
    <w:p>
      <w:pPr>
        <w:pStyle w:val="61"/>
        <w:rPr>
          <w:color w:val="auto"/>
        </w:rPr>
      </w:pPr>
      <w:bookmarkStart w:id="35" w:name="_Toc436902153"/>
      <w:r>
        <w:rPr>
          <w:bCs/>
          <w:color w:val="auto"/>
        </w:rPr>
        <w:t>3.3</w:t>
      </w:r>
      <w:r>
        <w:rPr>
          <w:color w:val="auto"/>
        </w:rPr>
        <w:t>污染物排放情况汇总</w:t>
      </w:r>
      <w:bookmarkEnd w:id="35"/>
    </w:p>
    <w:p>
      <w:pPr>
        <w:pStyle w:val="63"/>
        <w:ind w:firstLine="480"/>
        <w:rPr>
          <w:color w:val="auto"/>
        </w:rPr>
      </w:pPr>
      <w:r>
        <w:rPr>
          <w:color w:val="auto"/>
        </w:rPr>
        <w:t>本项目污染物排放情况汇总见表</w:t>
      </w:r>
      <w:r>
        <w:rPr>
          <w:rFonts w:cs="Times New Roman"/>
          <w:color w:val="auto"/>
        </w:rPr>
        <w:t>3.3-1</w:t>
      </w:r>
      <w:r>
        <w:rPr>
          <w:color w:val="auto"/>
        </w:rPr>
        <w:t>。</w:t>
      </w:r>
    </w:p>
    <w:p>
      <w:pPr>
        <w:pStyle w:val="65"/>
      </w:pPr>
      <w:r>
        <w:t>表3.3-1  本项目污染物排放情况汇总表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693"/>
        <w:gridCol w:w="963"/>
        <w:gridCol w:w="1070"/>
        <w:gridCol w:w="1211"/>
        <w:gridCol w:w="1092"/>
        <w:gridCol w:w="1407"/>
        <w:gridCol w:w="1403"/>
        <w:gridCol w:w="1403"/>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Align w:val="center"/>
          </w:tcPr>
          <w:p>
            <w:pPr>
              <w:pStyle w:val="65"/>
              <w:spacing w:line="360" w:lineRule="auto"/>
            </w:pPr>
            <w:r>
              <w:rPr>
                <w:rFonts w:hint="eastAsia"/>
              </w:rPr>
              <w:t>类型</w:t>
            </w:r>
          </w:p>
        </w:tc>
        <w:tc>
          <w:tcPr>
            <w:tcW w:w="1100" w:type="pct"/>
            <w:gridSpan w:val="2"/>
            <w:vAlign w:val="center"/>
          </w:tcPr>
          <w:p>
            <w:pPr>
              <w:pStyle w:val="65"/>
              <w:spacing w:line="360" w:lineRule="auto"/>
            </w:pPr>
            <w:r>
              <w:rPr>
                <w:rFonts w:hint="eastAsia"/>
              </w:rPr>
              <w:t>污染物种类</w:t>
            </w:r>
          </w:p>
        </w:tc>
        <w:tc>
          <w:tcPr>
            <w:tcW w:w="655" w:type="pct"/>
            <w:tcBorders>
              <w:right w:val="single" w:color="auto" w:sz="4" w:space="0"/>
            </w:tcBorders>
            <w:vAlign w:val="center"/>
          </w:tcPr>
          <w:p>
            <w:pPr>
              <w:pStyle w:val="65"/>
              <w:spacing w:line="360" w:lineRule="auto"/>
            </w:pPr>
            <w:r>
              <w:rPr>
                <w:rFonts w:hint="eastAsia"/>
              </w:rPr>
              <w:t>产生量</w:t>
            </w:r>
          </w:p>
        </w:tc>
        <w:tc>
          <w:tcPr>
            <w:tcW w:w="591" w:type="pct"/>
            <w:tcBorders>
              <w:left w:val="single" w:color="auto" w:sz="4" w:space="0"/>
            </w:tcBorders>
            <w:vAlign w:val="center"/>
          </w:tcPr>
          <w:p>
            <w:pPr>
              <w:pStyle w:val="65"/>
              <w:spacing w:line="360" w:lineRule="auto"/>
            </w:pPr>
            <w:r>
              <w:rPr>
                <w:rFonts w:hint="eastAsia"/>
              </w:rPr>
              <w:t>产生</w:t>
            </w:r>
          </w:p>
          <w:p>
            <w:pPr>
              <w:pStyle w:val="65"/>
              <w:spacing w:line="360" w:lineRule="auto"/>
            </w:pPr>
            <w:r>
              <w:rPr>
                <w:rFonts w:hint="eastAsia"/>
              </w:rPr>
              <w:t>浓度</w:t>
            </w:r>
          </w:p>
        </w:tc>
        <w:tc>
          <w:tcPr>
            <w:tcW w:w="761" w:type="pct"/>
            <w:vAlign w:val="center"/>
          </w:tcPr>
          <w:p>
            <w:pPr>
              <w:pStyle w:val="65"/>
              <w:spacing w:line="360" w:lineRule="auto"/>
            </w:pPr>
            <w:r>
              <w:rPr>
                <w:rFonts w:hint="eastAsia"/>
              </w:rPr>
              <w:t>消减量</w:t>
            </w:r>
          </w:p>
        </w:tc>
        <w:tc>
          <w:tcPr>
            <w:tcW w:w="759" w:type="pct"/>
            <w:vAlign w:val="center"/>
          </w:tcPr>
          <w:p>
            <w:pPr>
              <w:pStyle w:val="65"/>
              <w:spacing w:line="360" w:lineRule="auto"/>
            </w:pPr>
            <w:r>
              <w:rPr>
                <w:rFonts w:hint="eastAsia"/>
              </w:rPr>
              <w:t>排放量</w:t>
            </w:r>
          </w:p>
        </w:tc>
        <w:tc>
          <w:tcPr>
            <w:tcW w:w="759" w:type="pct"/>
          </w:tcPr>
          <w:p>
            <w:pPr>
              <w:pStyle w:val="65"/>
              <w:spacing w:line="360" w:lineRule="auto"/>
            </w:pPr>
            <w:r>
              <w:rPr>
                <w:rFonts w:hint="eastAsia"/>
              </w:rPr>
              <w:t>排放浓度</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Align w:val="center"/>
          </w:tcPr>
          <w:p>
            <w:pPr>
              <w:pStyle w:val="65"/>
              <w:spacing w:line="360" w:lineRule="auto"/>
              <w:rPr>
                <w:b w:val="0"/>
              </w:rPr>
            </w:pPr>
            <w:r>
              <w:rPr>
                <w:rFonts w:hint="eastAsia"/>
                <w:b w:val="0"/>
              </w:rPr>
              <w:t>废气</w:t>
            </w:r>
          </w:p>
        </w:tc>
        <w:tc>
          <w:tcPr>
            <w:tcW w:w="1100" w:type="pct"/>
            <w:gridSpan w:val="2"/>
            <w:vAlign w:val="center"/>
          </w:tcPr>
          <w:p>
            <w:pPr>
              <w:pStyle w:val="65"/>
              <w:spacing w:line="360" w:lineRule="auto"/>
              <w:rPr>
                <w:b w:val="0"/>
              </w:rPr>
            </w:pPr>
            <w:r>
              <w:rPr>
                <w:rFonts w:hint="eastAsia"/>
                <w:b w:val="0"/>
              </w:rPr>
              <w:t>餐饮油烟</w:t>
            </w:r>
          </w:p>
        </w:tc>
        <w:tc>
          <w:tcPr>
            <w:tcW w:w="655" w:type="pct"/>
            <w:tcBorders>
              <w:right w:val="single" w:color="auto" w:sz="4" w:space="0"/>
            </w:tcBorders>
            <w:vAlign w:val="center"/>
          </w:tcPr>
          <w:p>
            <w:pPr>
              <w:pStyle w:val="65"/>
              <w:spacing w:line="360" w:lineRule="auto"/>
              <w:rPr>
                <w:b w:val="0"/>
              </w:rPr>
            </w:pPr>
            <w:r>
              <w:rPr>
                <w:rFonts w:hint="eastAsia"/>
                <w:b w:val="0"/>
              </w:rPr>
              <w:t>7.23 kg/a</w:t>
            </w:r>
          </w:p>
        </w:tc>
        <w:tc>
          <w:tcPr>
            <w:tcW w:w="591" w:type="pct"/>
            <w:tcBorders>
              <w:left w:val="single" w:color="auto" w:sz="4" w:space="0"/>
            </w:tcBorders>
            <w:vAlign w:val="center"/>
          </w:tcPr>
          <w:p>
            <w:pPr>
              <w:pStyle w:val="65"/>
              <w:spacing w:line="360" w:lineRule="auto"/>
              <w:rPr>
                <w:b w:val="0"/>
              </w:rPr>
            </w:pPr>
          </w:p>
        </w:tc>
        <w:tc>
          <w:tcPr>
            <w:tcW w:w="761" w:type="pct"/>
            <w:vAlign w:val="center"/>
          </w:tcPr>
          <w:p>
            <w:pPr>
              <w:pStyle w:val="65"/>
              <w:spacing w:line="360" w:lineRule="auto"/>
              <w:rPr>
                <w:b w:val="0"/>
              </w:rPr>
            </w:pPr>
            <w:r>
              <w:rPr>
                <w:rFonts w:hint="eastAsia"/>
                <w:b w:val="0"/>
              </w:rPr>
              <w:t>4.88 kg/a</w:t>
            </w:r>
          </w:p>
        </w:tc>
        <w:tc>
          <w:tcPr>
            <w:tcW w:w="759" w:type="pct"/>
            <w:vAlign w:val="center"/>
          </w:tcPr>
          <w:p>
            <w:pPr>
              <w:pStyle w:val="65"/>
              <w:spacing w:line="360" w:lineRule="auto"/>
              <w:rPr>
                <w:b w:val="0"/>
              </w:rPr>
            </w:pPr>
            <w:r>
              <w:rPr>
                <w:rFonts w:hint="eastAsia"/>
                <w:b w:val="0"/>
              </w:rPr>
              <w:t>2.35 kg/a</w:t>
            </w:r>
          </w:p>
        </w:tc>
        <w:tc>
          <w:tcPr>
            <w:tcW w:w="759" w:type="pct"/>
          </w:tcPr>
          <w:p>
            <w:pPr>
              <w:pStyle w:val="65"/>
              <w:spacing w:line="360" w:lineRule="auto"/>
              <w:rPr>
                <w:b w:val="0"/>
              </w:rPr>
            </w:pPr>
            <w:r>
              <w:rPr>
                <w:rFonts w:hint="eastAsia"/>
                <w:b w:val="0"/>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Merge w:val="restart"/>
            <w:vAlign w:val="center"/>
          </w:tcPr>
          <w:p>
            <w:pPr>
              <w:pStyle w:val="65"/>
              <w:spacing w:line="360" w:lineRule="auto"/>
              <w:rPr>
                <w:b w:val="0"/>
              </w:rPr>
            </w:pPr>
            <w:r>
              <w:rPr>
                <w:rFonts w:hint="eastAsia"/>
                <w:b w:val="0"/>
              </w:rPr>
              <w:t>废水</w:t>
            </w:r>
          </w:p>
        </w:tc>
        <w:tc>
          <w:tcPr>
            <w:tcW w:w="1100" w:type="pct"/>
            <w:gridSpan w:val="2"/>
            <w:vAlign w:val="center"/>
          </w:tcPr>
          <w:p>
            <w:pPr>
              <w:pStyle w:val="65"/>
              <w:spacing w:line="360" w:lineRule="auto"/>
              <w:rPr>
                <w:b w:val="0"/>
              </w:rPr>
            </w:pPr>
            <w:r>
              <w:rPr>
                <w:rFonts w:hint="eastAsia"/>
                <w:b w:val="0"/>
              </w:rPr>
              <w:t>生产废水</w:t>
            </w:r>
          </w:p>
        </w:tc>
        <w:tc>
          <w:tcPr>
            <w:tcW w:w="655" w:type="pct"/>
            <w:tcBorders>
              <w:right w:val="single" w:color="auto" w:sz="4" w:space="0"/>
            </w:tcBorders>
            <w:vAlign w:val="center"/>
          </w:tcPr>
          <w:p>
            <w:pPr>
              <w:pStyle w:val="65"/>
              <w:spacing w:line="360" w:lineRule="auto"/>
              <w:rPr>
                <w:b w:val="0"/>
              </w:rPr>
            </w:pPr>
            <w:r>
              <w:rPr>
                <w:rFonts w:hint="eastAsia"/>
                <w:b w:val="0"/>
              </w:rPr>
              <w:t>20 t/a</w:t>
            </w:r>
          </w:p>
        </w:tc>
        <w:tc>
          <w:tcPr>
            <w:tcW w:w="591" w:type="pct"/>
            <w:tcBorders>
              <w:left w:val="single" w:color="auto" w:sz="4" w:space="0"/>
            </w:tcBorders>
            <w:vAlign w:val="center"/>
          </w:tcPr>
          <w:p>
            <w:pPr>
              <w:pStyle w:val="65"/>
              <w:spacing w:line="360" w:lineRule="auto"/>
              <w:rPr>
                <w:b w:val="0"/>
              </w:rPr>
            </w:pPr>
            <w:r>
              <w:rPr>
                <w:rFonts w:hint="eastAsia"/>
                <w:b w:val="0"/>
              </w:rPr>
              <w:t>/</w:t>
            </w:r>
          </w:p>
        </w:tc>
        <w:tc>
          <w:tcPr>
            <w:tcW w:w="761" w:type="pct"/>
            <w:vAlign w:val="center"/>
          </w:tcPr>
          <w:p>
            <w:pPr>
              <w:pStyle w:val="65"/>
              <w:spacing w:line="360" w:lineRule="auto"/>
              <w:rPr>
                <w:b w:val="0"/>
              </w:rPr>
            </w:pPr>
            <w:r>
              <w:rPr>
                <w:rFonts w:hint="eastAsia"/>
                <w:b w:val="0"/>
              </w:rPr>
              <w:t>20 t/a</w:t>
            </w:r>
          </w:p>
        </w:tc>
        <w:tc>
          <w:tcPr>
            <w:tcW w:w="759" w:type="pct"/>
            <w:vAlign w:val="center"/>
          </w:tcPr>
          <w:p>
            <w:pPr>
              <w:pStyle w:val="65"/>
              <w:spacing w:line="360" w:lineRule="auto"/>
              <w:rPr>
                <w:b w:val="0"/>
              </w:rPr>
            </w:pPr>
            <w:r>
              <w:rPr>
                <w:rFonts w:hint="eastAsia"/>
                <w:b w:val="0"/>
              </w:rPr>
              <w:t>0</w:t>
            </w:r>
          </w:p>
        </w:tc>
        <w:tc>
          <w:tcPr>
            <w:tcW w:w="759" w:type="pct"/>
          </w:tcPr>
          <w:p>
            <w:pPr>
              <w:pStyle w:val="65"/>
              <w:spacing w:line="360" w:lineRule="auto"/>
              <w:rPr>
                <w:b w:val="0"/>
              </w:rPr>
            </w:pPr>
            <w:r>
              <w:rPr>
                <w:rFonts w:hint="eastAsia"/>
                <w:b w:val="0"/>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Merge w:val="continue"/>
            <w:vAlign w:val="center"/>
          </w:tcPr>
          <w:p>
            <w:pPr>
              <w:pStyle w:val="65"/>
              <w:spacing w:line="360" w:lineRule="auto"/>
              <w:rPr>
                <w:b w:val="0"/>
              </w:rPr>
            </w:pPr>
          </w:p>
        </w:tc>
        <w:tc>
          <w:tcPr>
            <w:tcW w:w="521" w:type="pct"/>
            <w:vMerge w:val="restart"/>
            <w:tcBorders>
              <w:right w:val="single" w:color="auto" w:sz="4" w:space="0"/>
            </w:tcBorders>
            <w:vAlign w:val="center"/>
          </w:tcPr>
          <w:p>
            <w:pPr>
              <w:pStyle w:val="65"/>
              <w:spacing w:line="360" w:lineRule="auto"/>
              <w:rPr>
                <w:b w:val="0"/>
              </w:rPr>
            </w:pPr>
            <w:r>
              <w:rPr>
                <w:rFonts w:hint="eastAsia"/>
                <w:b w:val="0"/>
              </w:rPr>
              <w:t>生活污水235.2t/a</w:t>
            </w:r>
          </w:p>
        </w:tc>
        <w:tc>
          <w:tcPr>
            <w:tcW w:w="579" w:type="pct"/>
            <w:tcBorders>
              <w:left w:val="single" w:color="auto" w:sz="4" w:space="0"/>
            </w:tcBorders>
            <w:vAlign w:val="center"/>
          </w:tcPr>
          <w:p>
            <w:pPr>
              <w:pStyle w:val="65"/>
              <w:spacing w:line="360" w:lineRule="auto"/>
              <w:rPr>
                <w:b w:val="0"/>
              </w:rPr>
            </w:pPr>
            <w:r>
              <w:rPr>
                <w:rFonts w:hint="eastAsia"/>
                <w:b w:val="0"/>
              </w:rPr>
              <w:t>COD</w:t>
            </w:r>
          </w:p>
        </w:tc>
        <w:tc>
          <w:tcPr>
            <w:tcW w:w="655" w:type="pct"/>
            <w:tcBorders>
              <w:right w:val="single" w:color="auto" w:sz="4" w:space="0"/>
            </w:tcBorders>
            <w:vAlign w:val="center"/>
          </w:tcPr>
          <w:p>
            <w:pPr>
              <w:pStyle w:val="65"/>
              <w:spacing w:line="360" w:lineRule="auto"/>
              <w:rPr>
                <w:b w:val="0"/>
              </w:rPr>
            </w:pPr>
            <w:r>
              <w:rPr>
                <w:rFonts w:hint="eastAsia"/>
                <w:b w:val="0"/>
              </w:rPr>
              <w:t>0.11 t/a</w:t>
            </w:r>
          </w:p>
        </w:tc>
        <w:tc>
          <w:tcPr>
            <w:tcW w:w="591" w:type="pct"/>
            <w:tcBorders>
              <w:left w:val="single" w:color="auto" w:sz="4" w:space="0"/>
            </w:tcBorders>
            <w:vAlign w:val="center"/>
          </w:tcPr>
          <w:p>
            <w:pPr>
              <w:pStyle w:val="65"/>
              <w:spacing w:line="360" w:lineRule="auto"/>
              <w:rPr>
                <w:b w:val="0"/>
              </w:rPr>
            </w:pPr>
            <w:r>
              <w:rPr>
                <w:rFonts w:hint="eastAsia"/>
                <w:b w:val="0"/>
              </w:rPr>
              <w:t>460 mg/L</w:t>
            </w:r>
          </w:p>
        </w:tc>
        <w:tc>
          <w:tcPr>
            <w:tcW w:w="761" w:type="pct"/>
            <w:vAlign w:val="center"/>
          </w:tcPr>
          <w:p>
            <w:pPr>
              <w:pStyle w:val="65"/>
              <w:spacing w:line="360" w:lineRule="auto"/>
              <w:rPr>
                <w:b w:val="0"/>
              </w:rPr>
            </w:pPr>
            <w:r>
              <w:rPr>
                <w:rFonts w:hint="eastAsia"/>
                <w:b w:val="0"/>
              </w:rPr>
              <w:t>0.02 t/a</w:t>
            </w:r>
          </w:p>
        </w:tc>
        <w:tc>
          <w:tcPr>
            <w:tcW w:w="759" w:type="pct"/>
            <w:vAlign w:val="center"/>
          </w:tcPr>
          <w:p>
            <w:pPr>
              <w:pStyle w:val="65"/>
              <w:spacing w:line="360" w:lineRule="auto"/>
              <w:rPr>
                <w:b w:val="0"/>
              </w:rPr>
            </w:pPr>
            <w:r>
              <w:rPr>
                <w:rFonts w:hint="eastAsia"/>
                <w:b w:val="0"/>
              </w:rPr>
              <w:t>0.09 t/a</w:t>
            </w:r>
          </w:p>
        </w:tc>
        <w:tc>
          <w:tcPr>
            <w:tcW w:w="759" w:type="pct"/>
            <w:vAlign w:val="center"/>
          </w:tcPr>
          <w:p>
            <w:pPr>
              <w:pStyle w:val="65"/>
              <w:spacing w:line="360" w:lineRule="auto"/>
              <w:rPr>
                <w:b w:val="0"/>
              </w:rPr>
            </w:pPr>
            <w:r>
              <w:rPr>
                <w:rFonts w:hint="eastAsia"/>
                <w:b w:val="0"/>
              </w:rPr>
              <w:t>368 mg/L</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Merge w:val="continue"/>
            <w:vAlign w:val="center"/>
          </w:tcPr>
          <w:p>
            <w:pPr>
              <w:pStyle w:val="65"/>
              <w:spacing w:line="360" w:lineRule="auto"/>
              <w:rPr>
                <w:b w:val="0"/>
              </w:rPr>
            </w:pPr>
          </w:p>
        </w:tc>
        <w:tc>
          <w:tcPr>
            <w:tcW w:w="521" w:type="pct"/>
            <w:vMerge w:val="continue"/>
            <w:tcBorders>
              <w:right w:val="single" w:color="auto" w:sz="4" w:space="0"/>
            </w:tcBorders>
            <w:vAlign w:val="center"/>
          </w:tcPr>
          <w:p>
            <w:pPr>
              <w:pStyle w:val="65"/>
              <w:spacing w:line="360" w:lineRule="auto"/>
              <w:rPr>
                <w:b w:val="0"/>
              </w:rPr>
            </w:pPr>
          </w:p>
        </w:tc>
        <w:tc>
          <w:tcPr>
            <w:tcW w:w="579" w:type="pct"/>
            <w:tcBorders>
              <w:left w:val="single" w:color="auto" w:sz="4" w:space="0"/>
            </w:tcBorders>
            <w:vAlign w:val="center"/>
          </w:tcPr>
          <w:p>
            <w:pPr>
              <w:pStyle w:val="65"/>
              <w:spacing w:line="360" w:lineRule="auto"/>
              <w:rPr>
                <w:b w:val="0"/>
              </w:rPr>
            </w:pPr>
            <w:r>
              <w:rPr>
                <w:rFonts w:hint="eastAsia"/>
                <w:b w:val="0"/>
              </w:rPr>
              <w:t>BOD</w:t>
            </w:r>
          </w:p>
        </w:tc>
        <w:tc>
          <w:tcPr>
            <w:tcW w:w="655" w:type="pct"/>
            <w:tcBorders>
              <w:right w:val="single" w:color="auto" w:sz="4" w:space="0"/>
            </w:tcBorders>
            <w:vAlign w:val="center"/>
          </w:tcPr>
          <w:p>
            <w:pPr>
              <w:pStyle w:val="65"/>
              <w:spacing w:line="360" w:lineRule="auto"/>
              <w:rPr>
                <w:b w:val="0"/>
              </w:rPr>
            </w:pPr>
            <w:r>
              <w:rPr>
                <w:rFonts w:hint="eastAsia"/>
                <w:b w:val="0"/>
              </w:rPr>
              <w:t>0.07 t/a</w:t>
            </w:r>
          </w:p>
        </w:tc>
        <w:tc>
          <w:tcPr>
            <w:tcW w:w="591" w:type="pct"/>
            <w:tcBorders>
              <w:left w:val="single" w:color="auto" w:sz="4" w:space="0"/>
            </w:tcBorders>
            <w:vAlign w:val="center"/>
          </w:tcPr>
          <w:p>
            <w:pPr>
              <w:pStyle w:val="65"/>
              <w:spacing w:line="360" w:lineRule="auto"/>
              <w:rPr>
                <w:b w:val="0"/>
              </w:rPr>
            </w:pPr>
            <w:r>
              <w:rPr>
                <w:rFonts w:hint="eastAsia"/>
                <w:b w:val="0"/>
              </w:rPr>
              <w:t>280 mg/L</w:t>
            </w:r>
          </w:p>
        </w:tc>
        <w:tc>
          <w:tcPr>
            <w:tcW w:w="761" w:type="pct"/>
            <w:vAlign w:val="center"/>
          </w:tcPr>
          <w:p>
            <w:pPr>
              <w:pStyle w:val="65"/>
              <w:spacing w:line="360" w:lineRule="auto"/>
              <w:rPr>
                <w:b w:val="0"/>
              </w:rPr>
            </w:pPr>
            <w:r>
              <w:rPr>
                <w:rFonts w:hint="eastAsia"/>
                <w:b w:val="0"/>
              </w:rPr>
              <w:t>0.01 t/a</w:t>
            </w:r>
          </w:p>
        </w:tc>
        <w:tc>
          <w:tcPr>
            <w:tcW w:w="759" w:type="pct"/>
            <w:vAlign w:val="center"/>
          </w:tcPr>
          <w:p>
            <w:pPr>
              <w:pStyle w:val="65"/>
              <w:spacing w:line="360" w:lineRule="auto"/>
              <w:rPr>
                <w:b w:val="0"/>
              </w:rPr>
            </w:pPr>
            <w:r>
              <w:rPr>
                <w:rFonts w:hint="eastAsia"/>
                <w:b w:val="0"/>
              </w:rPr>
              <w:t>0.06 t/a</w:t>
            </w:r>
          </w:p>
        </w:tc>
        <w:tc>
          <w:tcPr>
            <w:tcW w:w="759" w:type="pct"/>
            <w:vAlign w:val="center"/>
          </w:tcPr>
          <w:p>
            <w:pPr>
              <w:pStyle w:val="65"/>
              <w:spacing w:line="360" w:lineRule="auto"/>
              <w:rPr>
                <w:b w:val="0"/>
              </w:rPr>
            </w:pPr>
            <w:r>
              <w:rPr>
                <w:rFonts w:hint="eastAsia"/>
                <w:b w:val="0"/>
              </w:rPr>
              <w:t>224 mg/L</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Merge w:val="continue"/>
            <w:vAlign w:val="center"/>
          </w:tcPr>
          <w:p>
            <w:pPr>
              <w:pStyle w:val="65"/>
              <w:spacing w:line="360" w:lineRule="auto"/>
              <w:rPr>
                <w:b w:val="0"/>
              </w:rPr>
            </w:pPr>
          </w:p>
        </w:tc>
        <w:tc>
          <w:tcPr>
            <w:tcW w:w="521" w:type="pct"/>
            <w:vMerge w:val="continue"/>
            <w:tcBorders>
              <w:right w:val="single" w:color="auto" w:sz="4" w:space="0"/>
            </w:tcBorders>
            <w:vAlign w:val="center"/>
          </w:tcPr>
          <w:p>
            <w:pPr>
              <w:pStyle w:val="65"/>
              <w:spacing w:line="360" w:lineRule="auto"/>
              <w:rPr>
                <w:b w:val="0"/>
              </w:rPr>
            </w:pPr>
          </w:p>
        </w:tc>
        <w:tc>
          <w:tcPr>
            <w:tcW w:w="579" w:type="pct"/>
            <w:tcBorders>
              <w:left w:val="single" w:color="auto" w:sz="4" w:space="0"/>
            </w:tcBorders>
            <w:vAlign w:val="center"/>
          </w:tcPr>
          <w:p>
            <w:pPr>
              <w:pStyle w:val="65"/>
              <w:spacing w:line="360" w:lineRule="auto"/>
              <w:rPr>
                <w:b w:val="0"/>
              </w:rPr>
            </w:pPr>
            <w:r>
              <w:rPr>
                <w:rFonts w:hint="eastAsia"/>
                <w:b w:val="0"/>
              </w:rPr>
              <w:t>SS</w:t>
            </w:r>
          </w:p>
        </w:tc>
        <w:tc>
          <w:tcPr>
            <w:tcW w:w="655" w:type="pct"/>
            <w:tcBorders>
              <w:right w:val="single" w:color="auto" w:sz="4" w:space="0"/>
            </w:tcBorders>
            <w:vAlign w:val="center"/>
          </w:tcPr>
          <w:p>
            <w:pPr>
              <w:pStyle w:val="65"/>
              <w:spacing w:line="360" w:lineRule="auto"/>
              <w:rPr>
                <w:b w:val="0"/>
              </w:rPr>
            </w:pPr>
            <w:r>
              <w:rPr>
                <w:rFonts w:hint="eastAsia"/>
                <w:b w:val="0"/>
              </w:rPr>
              <w:t>0.07 t/a</w:t>
            </w:r>
          </w:p>
        </w:tc>
        <w:tc>
          <w:tcPr>
            <w:tcW w:w="591" w:type="pct"/>
            <w:tcBorders>
              <w:left w:val="single" w:color="auto" w:sz="4" w:space="0"/>
            </w:tcBorders>
            <w:vAlign w:val="center"/>
          </w:tcPr>
          <w:p>
            <w:pPr>
              <w:pStyle w:val="65"/>
              <w:spacing w:line="360" w:lineRule="auto"/>
              <w:rPr>
                <w:b w:val="0"/>
              </w:rPr>
            </w:pPr>
            <w:r>
              <w:rPr>
                <w:rFonts w:hint="eastAsia"/>
                <w:b w:val="0"/>
              </w:rPr>
              <w:t>300 mg/L</w:t>
            </w:r>
          </w:p>
        </w:tc>
        <w:tc>
          <w:tcPr>
            <w:tcW w:w="761" w:type="pct"/>
            <w:vAlign w:val="center"/>
          </w:tcPr>
          <w:p>
            <w:pPr>
              <w:pStyle w:val="65"/>
              <w:spacing w:line="360" w:lineRule="auto"/>
              <w:rPr>
                <w:b w:val="0"/>
              </w:rPr>
            </w:pPr>
            <w:r>
              <w:rPr>
                <w:rFonts w:hint="eastAsia"/>
                <w:b w:val="0"/>
              </w:rPr>
              <w:t>0.01 t/a</w:t>
            </w:r>
          </w:p>
        </w:tc>
        <w:tc>
          <w:tcPr>
            <w:tcW w:w="759" w:type="pct"/>
            <w:vAlign w:val="center"/>
          </w:tcPr>
          <w:p>
            <w:pPr>
              <w:pStyle w:val="65"/>
              <w:spacing w:line="360" w:lineRule="auto"/>
              <w:rPr>
                <w:b w:val="0"/>
              </w:rPr>
            </w:pPr>
            <w:r>
              <w:rPr>
                <w:rFonts w:hint="eastAsia"/>
                <w:b w:val="0"/>
              </w:rPr>
              <w:t>0.06 t/a</w:t>
            </w:r>
          </w:p>
        </w:tc>
        <w:tc>
          <w:tcPr>
            <w:tcW w:w="759" w:type="pct"/>
            <w:vAlign w:val="center"/>
          </w:tcPr>
          <w:p>
            <w:pPr>
              <w:pStyle w:val="65"/>
              <w:spacing w:line="360" w:lineRule="auto"/>
              <w:rPr>
                <w:b w:val="0"/>
              </w:rPr>
            </w:pPr>
            <w:r>
              <w:rPr>
                <w:rFonts w:hint="eastAsia"/>
                <w:b w:val="0"/>
              </w:rPr>
              <w:t>255 mg/L</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Merge w:val="continue"/>
            <w:vAlign w:val="center"/>
          </w:tcPr>
          <w:p>
            <w:pPr>
              <w:pStyle w:val="65"/>
              <w:spacing w:line="360" w:lineRule="auto"/>
              <w:rPr>
                <w:b w:val="0"/>
              </w:rPr>
            </w:pPr>
          </w:p>
        </w:tc>
        <w:tc>
          <w:tcPr>
            <w:tcW w:w="521" w:type="pct"/>
            <w:vMerge w:val="continue"/>
            <w:tcBorders>
              <w:right w:val="single" w:color="auto" w:sz="4" w:space="0"/>
            </w:tcBorders>
            <w:vAlign w:val="center"/>
          </w:tcPr>
          <w:p>
            <w:pPr>
              <w:pStyle w:val="65"/>
              <w:spacing w:line="360" w:lineRule="auto"/>
              <w:rPr>
                <w:b w:val="0"/>
              </w:rPr>
            </w:pPr>
          </w:p>
        </w:tc>
        <w:tc>
          <w:tcPr>
            <w:tcW w:w="579" w:type="pct"/>
            <w:tcBorders>
              <w:left w:val="single" w:color="auto" w:sz="4" w:space="0"/>
            </w:tcBorders>
            <w:vAlign w:val="center"/>
          </w:tcPr>
          <w:p>
            <w:pPr>
              <w:pStyle w:val="65"/>
              <w:spacing w:line="360" w:lineRule="auto"/>
              <w:rPr>
                <w:b w:val="0"/>
              </w:rPr>
            </w:pPr>
            <w:r>
              <w:rPr>
                <w:rFonts w:hint="eastAsia"/>
                <w:b w:val="0"/>
              </w:rPr>
              <w:t>氨氮</w:t>
            </w:r>
          </w:p>
        </w:tc>
        <w:tc>
          <w:tcPr>
            <w:tcW w:w="655" w:type="pct"/>
            <w:tcBorders>
              <w:right w:val="single" w:color="auto" w:sz="4" w:space="0"/>
            </w:tcBorders>
            <w:vAlign w:val="center"/>
          </w:tcPr>
          <w:p>
            <w:pPr>
              <w:pStyle w:val="65"/>
              <w:spacing w:line="360" w:lineRule="auto"/>
              <w:rPr>
                <w:b w:val="0"/>
              </w:rPr>
            </w:pPr>
            <w:r>
              <w:rPr>
                <w:rFonts w:hint="eastAsia"/>
                <w:b w:val="0"/>
              </w:rPr>
              <w:t>0.01 t/a</w:t>
            </w:r>
          </w:p>
        </w:tc>
        <w:tc>
          <w:tcPr>
            <w:tcW w:w="591" w:type="pct"/>
            <w:tcBorders>
              <w:left w:val="single" w:color="auto" w:sz="4" w:space="0"/>
            </w:tcBorders>
            <w:vAlign w:val="center"/>
          </w:tcPr>
          <w:p>
            <w:pPr>
              <w:pStyle w:val="65"/>
              <w:spacing w:line="360" w:lineRule="auto"/>
              <w:rPr>
                <w:b w:val="0"/>
              </w:rPr>
            </w:pPr>
            <w:r>
              <w:rPr>
                <w:rFonts w:hint="eastAsia"/>
                <w:b w:val="0"/>
              </w:rPr>
              <w:t>35 mg/L</w:t>
            </w:r>
          </w:p>
        </w:tc>
        <w:tc>
          <w:tcPr>
            <w:tcW w:w="761" w:type="pct"/>
            <w:vAlign w:val="center"/>
          </w:tcPr>
          <w:p>
            <w:pPr>
              <w:pStyle w:val="65"/>
              <w:spacing w:line="360" w:lineRule="auto"/>
              <w:rPr>
                <w:b w:val="0"/>
              </w:rPr>
            </w:pPr>
            <w:r>
              <w:rPr>
                <w:rFonts w:hint="eastAsia"/>
                <w:b w:val="0"/>
              </w:rPr>
              <w:t>0.001 t/a</w:t>
            </w:r>
          </w:p>
        </w:tc>
        <w:tc>
          <w:tcPr>
            <w:tcW w:w="759" w:type="pct"/>
            <w:vAlign w:val="center"/>
          </w:tcPr>
          <w:p>
            <w:pPr>
              <w:pStyle w:val="65"/>
              <w:spacing w:line="360" w:lineRule="auto"/>
              <w:rPr>
                <w:b w:val="0"/>
              </w:rPr>
            </w:pPr>
            <w:r>
              <w:rPr>
                <w:rFonts w:hint="eastAsia"/>
                <w:b w:val="0"/>
              </w:rPr>
              <w:t>0.009 t/a</w:t>
            </w:r>
          </w:p>
        </w:tc>
        <w:tc>
          <w:tcPr>
            <w:tcW w:w="759" w:type="pct"/>
            <w:vAlign w:val="center"/>
          </w:tcPr>
          <w:p>
            <w:pPr>
              <w:pStyle w:val="65"/>
              <w:spacing w:line="360" w:lineRule="auto"/>
              <w:rPr>
                <w:b w:val="0"/>
              </w:rPr>
            </w:pPr>
            <w:r>
              <w:rPr>
                <w:rFonts w:hint="eastAsia"/>
                <w:b w:val="0"/>
              </w:rPr>
              <w:t>28 mg/L</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Merge w:val="continue"/>
            <w:vAlign w:val="center"/>
          </w:tcPr>
          <w:p>
            <w:pPr>
              <w:pStyle w:val="65"/>
              <w:spacing w:line="360" w:lineRule="auto"/>
              <w:rPr>
                <w:b w:val="0"/>
              </w:rPr>
            </w:pPr>
          </w:p>
        </w:tc>
        <w:tc>
          <w:tcPr>
            <w:tcW w:w="521" w:type="pct"/>
            <w:vMerge w:val="continue"/>
            <w:tcBorders>
              <w:right w:val="single" w:color="auto" w:sz="4" w:space="0"/>
            </w:tcBorders>
            <w:vAlign w:val="center"/>
          </w:tcPr>
          <w:p>
            <w:pPr>
              <w:pStyle w:val="65"/>
              <w:spacing w:line="360" w:lineRule="auto"/>
              <w:rPr>
                <w:b w:val="0"/>
              </w:rPr>
            </w:pPr>
          </w:p>
        </w:tc>
        <w:tc>
          <w:tcPr>
            <w:tcW w:w="579" w:type="pct"/>
            <w:tcBorders>
              <w:left w:val="single" w:color="auto" w:sz="4" w:space="0"/>
            </w:tcBorders>
            <w:vAlign w:val="center"/>
          </w:tcPr>
          <w:p>
            <w:pPr>
              <w:pStyle w:val="65"/>
              <w:spacing w:line="360" w:lineRule="auto"/>
              <w:rPr>
                <w:b w:val="0"/>
              </w:rPr>
            </w:pPr>
            <w:r>
              <w:rPr>
                <w:rFonts w:hint="eastAsia"/>
                <w:b w:val="0"/>
              </w:rPr>
              <w:t>动植物油</w:t>
            </w:r>
          </w:p>
        </w:tc>
        <w:tc>
          <w:tcPr>
            <w:tcW w:w="655" w:type="pct"/>
            <w:tcBorders>
              <w:right w:val="single" w:color="auto" w:sz="4" w:space="0"/>
            </w:tcBorders>
            <w:vAlign w:val="center"/>
          </w:tcPr>
          <w:p>
            <w:pPr>
              <w:pStyle w:val="65"/>
              <w:spacing w:line="360" w:lineRule="auto"/>
              <w:rPr>
                <w:b w:val="0"/>
              </w:rPr>
            </w:pPr>
            <w:r>
              <w:rPr>
                <w:rFonts w:hint="eastAsia"/>
                <w:b w:val="0"/>
              </w:rPr>
              <w:t>0.024t/a</w:t>
            </w:r>
          </w:p>
        </w:tc>
        <w:tc>
          <w:tcPr>
            <w:tcW w:w="591" w:type="pct"/>
            <w:tcBorders>
              <w:left w:val="single" w:color="auto" w:sz="4" w:space="0"/>
            </w:tcBorders>
            <w:vAlign w:val="center"/>
          </w:tcPr>
          <w:p>
            <w:pPr>
              <w:pStyle w:val="65"/>
              <w:spacing w:line="360" w:lineRule="auto"/>
              <w:rPr>
                <w:b w:val="0"/>
              </w:rPr>
            </w:pPr>
            <w:r>
              <w:rPr>
                <w:rFonts w:hint="eastAsia"/>
                <w:b w:val="0"/>
              </w:rPr>
              <w:t>100 mg/L</w:t>
            </w:r>
          </w:p>
        </w:tc>
        <w:tc>
          <w:tcPr>
            <w:tcW w:w="761" w:type="pct"/>
            <w:vAlign w:val="center"/>
          </w:tcPr>
          <w:p>
            <w:pPr>
              <w:pStyle w:val="65"/>
              <w:spacing w:line="360" w:lineRule="auto"/>
              <w:rPr>
                <w:b w:val="0"/>
              </w:rPr>
            </w:pPr>
            <w:r>
              <w:rPr>
                <w:rFonts w:hint="eastAsia"/>
                <w:b w:val="0"/>
              </w:rPr>
              <w:t>0.018 t/a</w:t>
            </w:r>
          </w:p>
        </w:tc>
        <w:tc>
          <w:tcPr>
            <w:tcW w:w="759" w:type="pct"/>
            <w:vAlign w:val="center"/>
          </w:tcPr>
          <w:p>
            <w:pPr>
              <w:pStyle w:val="65"/>
              <w:spacing w:line="360" w:lineRule="auto"/>
              <w:rPr>
                <w:b w:val="0"/>
              </w:rPr>
            </w:pPr>
            <w:r>
              <w:rPr>
                <w:rFonts w:hint="eastAsia"/>
                <w:b w:val="0"/>
              </w:rPr>
              <w:t>0.006 t/a</w:t>
            </w:r>
          </w:p>
        </w:tc>
        <w:tc>
          <w:tcPr>
            <w:tcW w:w="759" w:type="pct"/>
            <w:vAlign w:val="center"/>
          </w:tcPr>
          <w:p>
            <w:pPr>
              <w:pStyle w:val="65"/>
              <w:spacing w:line="360" w:lineRule="auto"/>
              <w:rPr>
                <w:b w:val="0"/>
              </w:rPr>
            </w:pPr>
            <w:r>
              <w:rPr>
                <w:rFonts w:hint="eastAsia"/>
                <w:b w:val="0"/>
              </w:rPr>
              <w:t>24 mg/L</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Merge w:val="restart"/>
            <w:vAlign w:val="center"/>
          </w:tcPr>
          <w:p>
            <w:pPr>
              <w:pStyle w:val="65"/>
              <w:spacing w:line="360" w:lineRule="auto"/>
              <w:rPr>
                <w:b w:val="0"/>
              </w:rPr>
            </w:pPr>
            <w:r>
              <w:rPr>
                <w:rFonts w:hint="eastAsia"/>
                <w:b w:val="0"/>
              </w:rPr>
              <w:t>固废</w:t>
            </w:r>
          </w:p>
        </w:tc>
        <w:tc>
          <w:tcPr>
            <w:tcW w:w="1100" w:type="pct"/>
            <w:gridSpan w:val="2"/>
            <w:vAlign w:val="center"/>
          </w:tcPr>
          <w:p>
            <w:pPr>
              <w:pStyle w:val="65"/>
              <w:spacing w:line="360" w:lineRule="auto"/>
              <w:rPr>
                <w:b w:val="0"/>
              </w:rPr>
            </w:pPr>
            <w:r>
              <w:rPr>
                <w:rFonts w:hint="eastAsia"/>
                <w:b w:val="0"/>
              </w:rPr>
              <w:t>危险废物</w:t>
            </w:r>
          </w:p>
        </w:tc>
        <w:tc>
          <w:tcPr>
            <w:tcW w:w="655" w:type="pct"/>
            <w:tcBorders>
              <w:right w:val="single" w:color="auto" w:sz="4" w:space="0"/>
            </w:tcBorders>
            <w:vAlign w:val="center"/>
          </w:tcPr>
          <w:p>
            <w:pPr>
              <w:pStyle w:val="65"/>
              <w:spacing w:line="360" w:lineRule="auto"/>
              <w:rPr>
                <w:b w:val="0"/>
              </w:rPr>
            </w:pPr>
            <w:r>
              <w:rPr>
                <w:rFonts w:hint="eastAsia"/>
                <w:b w:val="0"/>
              </w:rPr>
              <w:t>1.96 t/a</w:t>
            </w:r>
          </w:p>
        </w:tc>
        <w:tc>
          <w:tcPr>
            <w:tcW w:w="591" w:type="pct"/>
            <w:tcBorders>
              <w:left w:val="single" w:color="auto" w:sz="4" w:space="0"/>
            </w:tcBorders>
            <w:vAlign w:val="center"/>
          </w:tcPr>
          <w:p>
            <w:pPr>
              <w:pStyle w:val="65"/>
              <w:spacing w:line="360" w:lineRule="auto"/>
              <w:rPr>
                <w:b w:val="0"/>
              </w:rPr>
            </w:pPr>
            <w:r>
              <w:rPr>
                <w:rFonts w:hint="eastAsia"/>
                <w:b w:val="0"/>
              </w:rPr>
              <w:t>/</w:t>
            </w:r>
          </w:p>
        </w:tc>
        <w:tc>
          <w:tcPr>
            <w:tcW w:w="761" w:type="pct"/>
            <w:vAlign w:val="center"/>
          </w:tcPr>
          <w:p>
            <w:pPr>
              <w:pStyle w:val="65"/>
              <w:spacing w:line="360" w:lineRule="auto"/>
              <w:rPr>
                <w:b w:val="0"/>
              </w:rPr>
            </w:pPr>
            <w:r>
              <w:rPr>
                <w:rFonts w:hint="eastAsia"/>
                <w:b w:val="0"/>
              </w:rPr>
              <w:t>1.96 t/a</w:t>
            </w:r>
          </w:p>
        </w:tc>
        <w:tc>
          <w:tcPr>
            <w:tcW w:w="759" w:type="pct"/>
            <w:vAlign w:val="center"/>
          </w:tcPr>
          <w:p>
            <w:pPr>
              <w:pStyle w:val="65"/>
              <w:spacing w:line="360" w:lineRule="auto"/>
              <w:rPr>
                <w:b w:val="0"/>
              </w:rPr>
            </w:pPr>
            <w:r>
              <w:rPr>
                <w:rFonts w:hint="eastAsia"/>
                <w:b w:val="0"/>
              </w:rPr>
              <w:t>1.96 t/a</w:t>
            </w:r>
          </w:p>
        </w:tc>
        <w:tc>
          <w:tcPr>
            <w:tcW w:w="759" w:type="pct"/>
          </w:tcPr>
          <w:p>
            <w:pPr>
              <w:pStyle w:val="65"/>
              <w:spacing w:line="360" w:lineRule="auto"/>
              <w:rPr>
                <w:b w:val="0"/>
              </w:rPr>
            </w:pPr>
            <w:r>
              <w:rPr>
                <w:rFonts w:hint="eastAsia"/>
                <w:b w:val="0"/>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Merge w:val="continue"/>
            <w:vAlign w:val="center"/>
          </w:tcPr>
          <w:p>
            <w:pPr>
              <w:pStyle w:val="65"/>
              <w:spacing w:line="360" w:lineRule="auto"/>
              <w:rPr>
                <w:b w:val="0"/>
              </w:rPr>
            </w:pPr>
          </w:p>
        </w:tc>
        <w:tc>
          <w:tcPr>
            <w:tcW w:w="1100" w:type="pct"/>
            <w:gridSpan w:val="2"/>
            <w:vAlign w:val="center"/>
          </w:tcPr>
          <w:p>
            <w:pPr>
              <w:pStyle w:val="65"/>
              <w:spacing w:line="360" w:lineRule="auto"/>
              <w:rPr>
                <w:b w:val="0"/>
              </w:rPr>
            </w:pPr>
            <w:r>
              <w:rPr>
                <w:b w:val="0"/>
              </w:rPr>
              <w:t>沉淀池、滤池泥沙</w:t>
            </w:r>
          </w:p>
        </w:tc>
        <w:tc>
          <w:tcPr>
            <w:tcW w:w="655" w:type="pct"/>
            <w:tcBorders>
              <w:right w:val="single" w:color="auto" w:sz="4" w:space="0"/>
            </w:tcBorders>
            <w:vAlign w:val="center"/>
          </w:tcPr>
          <w:p>
            <w:pPr>
              <w:pStyle w:val="65"/>
              <w:spacing w:line="360" w:lineRule="auto"/>
              <w:rPr>
                <w:b w:val="0"/>
              </w:rPr>
            </w:pPr>
            <w:r>
              <w:rPr>
                <w:rFonts w:hint="eastAsia"/>
                <w:b w:val="0"/>
              </w:rPr>
              <w:t>0.966t/a</w:t>
            </w:r>
          </w:p>
        </w:tc>
        <w:tc>
          <w:tcPr>
            <w:tcW w:w="591" w:type="pct"/>
            <w:tcBorders>
              <w:left w:val="single" w:color="auto" w:sz="4" w:space="0"/>
            </w:tcBorders>
            <w:vAlign w:val="center"/>
          </w:tcPr>
          <w:p>
            <w:pPr>
              <w:pStyle w:val="65"/>
              <w:spacing w:line="360" w:lineRule="auto"/>
              <w:rPr>
                <w:b w:val="0"/>
              </w:rPr>
            </w:pPr>
            <w:r>
              <w:rPr>
                <w:rFonts w:hint="eastAsia"/>
                <w:b w:val="0"/>
              </w:rPr>
              <w:t>/</w:t>
            </w:r>
          </w:p>
        </w:tc>
        <w:tc>
          <w:tcPr>
            <w:tcW w:w="761" w:type="pct"/>
            <w:vAlign w:val="center"/>
          </w:tcPr>
          <w:p>
            <w:pPr>
              <w:pStyle w:val="65"/>
              <w:spacing w:line="360" w:lineRule="auto"/>
              <w:rPr>
                <w:b w:val="0"/>
              </w:rPr>
            </w:pPr>
            <w:r>
              <w:rPr>
                <w:rFonts w:hint="eastAsia"/>
                <w:b w:val="0"/>
              </w:rPr>
              <w:t>0</w:t>
            </w:r>
          </w:p>
        </w:tc>
        <w:tc>
          <w:tcPr>
            <w:tcW w:w="759" w:type="pct"/>
            <w:vAlign w:val="center"/>
          </w:tcPr>
          <w:p>
            <w:pPr>
              <w:pStyle w:val="65"/>
              <w:spacing w:line="360" w:lineRule="auto"/>
              <w:rPr>
                <w:b w:val="0"/>
              </w:rPr>
            </w:pPr>
            <w:r>
              <w:rPr>
                <w:rFonts w:hint="eastAsia"/>
                <w:b w:val="0"/>
              </w:rPr>
              <w:t>0.966t/a</w:t>
            </w:r>
          </w:p>
        </w:tc>
        <w:tc>
          <w:tcPr>
            <w:tcW w:w="759" w:type="pct"/>
          </w:tcPr>
          <w:p>
            <w:pPr>
              <w:pStyle w:val="65"/>
              <w:spacing w:line="360" w:lineRule="auto"/>
              <w:rPr>
                <w:b w:val="0"/>
              </w:rPr>
            </w:pPr>
            <w:r>
              <w:rPr>
                <w:rFonts w:hint="eastAsia"/>
                <w:b w:val="0"/>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Merge w:val="continue"/>
            <w:vAlign w:val="center"/>
          </w:tcPr>
          <w:p>
            <w:pPr>
              <w:pStyle w:val="65"/>
              <w:spacing w:line="360" w:lineRule="auto"/>
              <w:rPr>
                <w:b w:val="0"/>
              </w:rPr>
            </w:pPr>
          </w:p>
        </w:tc>
        <w:tc>
          <w:tcPr>
            <w:tcW w:w="1100" w:type="pct"/>
            <w:gridSpan w:val="2"/>
            <w:vAlign w:val="center"/>
          </w:tcPr>
          <w:p>
            <w:pPr>
              <w:pStyle w:val="65"/>
              <w:spacing w:line="360" w:lineRule="auto"/>
              <w:rPr>
                <w:b w:val="0"/>
              </w:rPr>
            </w:pPr>
            <w:r>
              <w:rPr>
                <w:rFonts w:hint="eastAsia"/>
                <w:b w:val="0"/>
              </w:rPr>
              <w:t>生活垃圾</w:t>
            </w:r>
          </w:p>
        </w:tc>
        <w:tc>
          <w:tcPr>
            <w:tcW w:w="655" w:type="pct"/>
            <w:tcBorders>
              <w:right w:val="single" w:color="auto" w:sz="4" w:space="0"/>
            </w:tcBorders>
            <w:vAlign w:val="center"/>
          </w:tcPr>
          <w:p>
            <w:pPr>
              <w:pStyle w:val="65"/>
              <w:spacing w:line="360" w:lineRule="auto"/>
              <w:rPr>
                <w:b w:val="0"/>
              </w:rPr>
            </w:pPr>
            <w:r>
              <w:rPr>
                <w:rFonts w:hint="eastAsia"/>
                <w:b w:val="0"/>
              </w:rPr>
              <w:t>2.94 t/a</w:t>
            </w:r>
          </w:p>
        </w:tc>
        <w:tc>
          <w:tcPr>
            <w:tcW w:w="591" w:type="pct"/>
            <w:tcBorders>
              <w:left w:val="single" w:color="auto" w:sz="4" w:space="0"/>
            </w:tcBorders>
            <w:vAlign w:val="center"/>
          </w:tcPr>
          <w:p>
            <w:pPr>
              <w:pStyle w:val="65"/>
              <w:spacing w:line="360" w:lineRule="auto"/>
              <w:rPr>
                <w:b w:val="0"/>
              </w:rPr>
            </w:pPr>
            <w:r>
              <w:rPr>
                <w:rFonts w:hint="eastAsia"/>
                <w:b w:val="0"/>
              </w:rPr>
              <w:t>/</w:t>
            </w:r>
          </w:p>
        </w:tc>
        <w:tc>
          <w:tcPr>
            <w:tcW w:w="761" w:type="pct"/>
            <w:vAlign w:val="center"/>
          </w:tcPr>
          <w:p>
            <w:pPr>
              <w:pStyle w:val="65"/>
              <w:spacing w:line="360" w:lineRule="auto"/>
              <w:rPr>
                <w:b w:val="0"/>
              </w:rPr>
            </w:pPr>
            <w:r>
              <w:rPr>
                <w:rFonts w:hint="eastAsia"/>
                <w:b w:val="0"/>
              </w:rPr>
              <w:t>0</w:t>
            </w:r>
          </w:p>
        </w:tc>
        <w:tc>
          <w:tcPr>
            <w:tcW w:w="759" w:type="pct"/>
            <w:vAlign w:val="center"/>
          </w:tcPr>
          <w:p>
            <w:pPr>
              <w:pStyle w:val="65"/>
              <w:spacing w:line="360" w:lineRule="auto"/>
              <w:rPr>
                <w:b w:val="0"/>
              </w:rPr>
            </w:pPr>
            <w:r>
              <w:rPr>
                <w:rFonts w:hint="eastAsia"/>
                <w:b w:val="0"/>
              </w:rPr>
              <w:t>2.94 t/a</w:t>
            </w:r>
          </w:p>
        </w:tc>
        <w:tc>
          <w:tcPr>
            <w:tcW w:w="759" w:type="pct"/>
          </w:tcPr>
          <w:p>
            <w:pPr>
              <w:pStyle w:val="65"/>
              <w:spacing w:line="360" w:lineRule="auto"/>
              <w:rPr>
                <w:b w:val="0"/>
              </w:rPr>
            </w:pPr>
            <w:r>
              <w:rPr>
                <w:rFonts w:hint="eastAsia"/>
                <w:b w:val="0"/>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75" w:type="pct"/>
            <w:vMerge w:val="continue"/>
            <w:vAlign w:val="center"/>
          </w:tcPr>
          <w:p>
            <w:pPr>
              <w:pStyle w:val="65"/>
              <w:spacing w:line="360" w:lineRule="auto"/>
              <w:rPr>
                <w:b w:val="0"/>
              </w:rPr>
            </w:pPr>
          </w:p>
        </w:tc>
        <w:tc>
          <w:tcPr>
            <w:tcW w:w="1100" w:type="pct"/>
            <w:gridSpan w:val="2"/>
            <w:vAlign w:val="center"/>
          </w:tcPr>
          <w:p>
            <w:pPr>
              <w:pStyle w:val="65"/>
              <w:spacing w:line="360" w:lineRule="auto"/>
              <w:rPr>
                <w:b w:val="0"/>
              </w:rPr>
            </w:pPr>
            <w:r>
              <w:rPr>
                <w:rFonts w:hint="eastAsia"/>
                <w:b w:val="0"/>
              </w:rPr>
              <w:t>废油脂</w:t>
            </w:r>
          </w:p>
        </w:tc>
        <w:tc>
          <w:tcPr>
            <w:tcW w:w="655" w:type="pct"/>
            <w:tcBorders>
              <w:right w:val="single" w:color="auto" w:sz="4" w:space="0"/>
            </w:tcBorders>
            <w:vAlign w:val="center"/>
          </w:tcPr>
          <w:p>
            <w:pPr>
              <w:pStyle w:val="65"/>
              <w:spacing w:line="360" w:lineRule="auto"/>
              <w:rPr>
                <w:b w:val="0"/>
              </w:rPr>
            </w:pPr>
            <w:r>
              <w:rPr>
                <w:rFonts w:hint="eastAsia"/>
                <w:b w:val="0"/>
              </w:rPr>
              <w:t>14.7kg/a</w:t>
            </w:r>
          </w:p>
        </w:tc>
        <w:tc>
          <w:tcPr>
            <w:tcW w:w="591" w:type="pct"/>
            <w:tcBorders>
              <w:left w:val="single" w:color="auto" w:sz="4" w:space="0"/>
            </w:tcBorders>
            <w:vAlign w:val="center"/>
          </w:tcPr>
          <w:p>
            <w:pPr>
              <w:pStyle w:val="65"/>
              <w:spacing w:line="360" w:lineRule="auto"/>
              <w:rPr>
                <w:b w:val="0"/>
              </w:rPr>
            </w:pPr>
            <w:r>
              <w:rPr>
                <w:rFonts w:hint="eastAsia"/>
                <w:b w:val="0"/>
              </w:rPr>
              <w:t>/</w:t>
            </w:r>
          </w:p>
        </w:tc>
        <w:tc>
          <w:tcPr>
            <w:tcW w:w="761" w:type="pct"/>
            <w:vAlign w:val="center"/>
          </w:tcPr>
          <w:p>
            <w:pPr>
              <w:pStyle w:val="65"/>
              <w:spacing w:line="360" w:lineRule="auto"/>
              <w:rPr>
                <w:b w:val="0"/>
              </w:rPr>
            </w:pPr>
            <w:r>
              <w:rPr>
                <w:rFonts w:hint="eastAsia"/>
                <w:b w:val="0"/>
              </w:rPr>
              <w:t>0</w:t>
            </w:r>
          </w:p>
        </w:tc>
        <w:tc>
          <w:tcPr>
            <w:tcW w:w="759" w:type="pct"/>
            <w:vAlign w:val="center"/>
          </w:tcPr>
          <w:p>
            <w:pPr>
              <w:pStyle w:val="65"/>
              <w:spacing w:line="360" w:lineRule="auto"/>
              <w:rPr>
                <w:b w:val="0"/>
              </w:rPr>
            </w:pPr>
            <w:r>
              <w:rPr>
                <w:rFonts w:hint="eastAsia"/>
                <w:b w:val="0"/>
              </w:rPr>
              <w:t>14.7kg/a</w:t>
            </w:r>
          </w:p>
        </w:tc>
        <w:tc>
          <w:tcPr>
            <w:tcW w:w="759" w:type="pct"/>
          </w:tcPr>
          <w:p>
            <w:pPr>
              <w:pStyle w:val="65"/>
              <w:spacing w:line="360" w:lineRule="auto"/>
              <w:rPr>
                <w:b w:val="0"/>
              </w:rPr>
            </w:pPr>
            <w:r>
              <w:rPr>
                <w:rFonts w:hint="eastAsia"/>
                <w:b w:val="0"/>
              </w:rPr>
              <w:t>/</w:t>
            </w:r>
          </w:p>
        </w:tc>
      </w:tr>
    </w:tbl>
    <w:p>
      <w:pPr>
        <w:pStyle w:val="63"/>
        <w:ind w:firstLine="480"/>
        <w:rPr>
          <w:color w:val="auto"/>
        </w:rPr>
        <w:sectPr>
          <w:pgSz w:w="11906" w:h="16838"/>
          <w:pgMar w:top="1440" w:right="1440" w:bottom="1440" w:left="1440" w:header="851" w:footer="992" w:gutter="0"/>
          <w:cols w:space="720" w:num="1"/>
          <w:titlePg/>
          <w:docGrid w:type="lines" w:linePitch="312" w:charSpace="0"/>
        </w:sectPr>
      </w:pPr>
    </w:p>
    <w:p>
      <w:pPr>
        <w:pStyle w:val="60"/>
        <w:spacing w:before="156" w:after="156"/>
      </w:pPr>
      <w:bookmarkStart w:id="36" w:name="_Toc436902154"/>
      <w:r>
        <w:t>4</w:t>
      </w:r>
      <w:r>
        <w:rPr>
          <w:rFonts w:hint="eastAsia"/>
        </w:rPr>
        <w:t xml:space="preserve"> 区域自然环境和社会环境概况</w:t>
      </w:r>
      <w:bookmarkEnd w:id="36"/>
    </w:p>
    <w:p>
      <w:pPr>
        <w:pStyle w:val="61"/>
        <w:rPr>
          <w:color w:val="auto"/>
        </w:rPr>
      </w:pPr>
      <w:bookmarkStart w:id="37" w:name="_Toc436902155"/>
      <w:r>
        <w:rPr>
          <w:bCs/>
          <w:color w:val="auto"/>
        </w:rPr>
        <w:t xml:space="preserve">4.1 </w:t>
      </w:r>
      <w:r>
        <w:rPr>
          <w:color w:val="auto"/>
        </w:rPr>
        <w:t>自然环境概况</w:t>
      </w:r>
      <w:bookmarkEnd w:id="37"/>
    </w:p>
    <w:p>
      <w:pPr>
        <w:pStyle w:val="62"/>
        <w:rPr>
          <w:rFonts w:ascii="宋体" w:hAnsi="宋体" w:cs="宋体"/>
          <w:color w:val="auto"/>
        </w:rPr>
      </w:pPr>
      <w:r>
        <w:rPr>
          <w:color w:val="auto"/>
        </w:rPr>
        <w:t>4.1.1</w:t>
      </w:r>
      <w:r>
        <w:rPr>
          <w:rFonts w:ascii="宋体" w:hAnsi="宋体" w:cs="宋体"/>
          <w:color w:val="auto"/>
        </w:rPr>
        <w:t>地理位置</w:t>
      </w:r>
    </w:p>
    <w:p>
      <w:pPr>
        <w:pStyle w:val="63"/>
        <w:ind w:firstLine="480"/>
        <w:rPr>
          <w:color w:val="auto"/>
        </w:rPr>
      </w:pPr>
      <w:r>
        <w:rPr>
          <w:rFonts w:hAnsi="宋体"/>
          <w:color w:val="auto"/>
        </w:rPr>
        <w:t>泾河新城作为西咸新区五大组团之一，位于西咸新区东北部，咸阳市泾阳县境内，是中华人民共和国大地原点所在地。</w:t>
      </w:r>
      <w:r>
        <w:rPr>
          <w:color w:val="auto"/>
        </w:rPr>
        <w:t>雄踞西安大都市主城区北缘，南临秦汉新城及经开区、东接泾渭新城、北枕三原县、西靠空港物流区，地处未来大西安北部拓展区的核心。</w:t>
      </w:r>
      <w:r>
        <w:rPr>
          <w:rFonts w:hint="eastAsia"/>
          <w:color w:val="auto"/>
        </w:rPr>
        <w:t>总面积</w:t>
      </w:r>
      <w:r>
        <w:rPr>
          <w:color w:val="auto"/>
        </w:rPr>
        <w:t>146</w:t>
      </w:r>
      <w:r>
        <w:rPr>
          <w:rFonts w:hint="eastAsia"/>
          <w:color w:val="auto"/>
        </w:rPr>
        <w:t>平方公里，建设用地</w:t>
      </w:r>
      <w:r>
        <w:rPr>
          <w:color w:val="auto"/>
        </w:rPr>
        <w:t>47</w:t>
      </w:r>
      <w:r>
        <w:rPr>
          <w:rFonts w:hint="eastAsia"/>
          <w:color w:val="auto"/>
        </w:rPr>
        <w:t>平方公里。</w:t>
      </w:r>
      <w:r>
        <w:rPr>
          <w:color w:val="auto"/>
        </w:rPr>
        <w:t>新城南距西安旧城中心28km，西南距咸阳市中心27km，西距咸阳国际机场13km，北距铜川市中心42km，东距阎良副中心40km，</w:t>
      </w:r>
    </w:p>
    <w:p>
      <w:pPr>
        <w:pStyle w:val="63"/>
        <w:ind w:firstLine="480"/>
        <w:rPr>
          <w:color w:val="auto"/>
        </w:rPr>
      </w:pPr>
      <w:r>
        <w:rPr>
          <w:rFonts w:hint="eastAsia"/>
          <w:color w:val="auto"/>
        </w:rPr>
        <w:t>本次水源地位于泾河北岸和南岸，泾河北岸沿高泾大道和泾河大道两侧的绿化带布设水源井，泾河南岸沿泾河弯路南侧布设3眼水源井，水源管理站位于泾河以北，泾河大道与茶马大道交叉口东南角。项目地理位置图见图4.1-1。</w:t>
      </w:r>
    </w:p>
    <w:p>
      <w:pPr>
        <w:pStyle w:val="63"/>
        <w:ind w:firstLine="480"/>
        <w:rPr>
          <w:color w:val="auto"/>
        </w:rPr>
      </w:pPr>
      <w:r>
        <w:rPr>
          <w:color w:val="auto"/>
        </w:rPr>
        <mc:AlternateContent>
          <mc:Choice Requires="wpg">
            <w:drawing>
              <wp:inline distT="0" distB="0" distL="114300" distR="114300">
                <wp:extent cx="5034915" cy="3609975"/>
                <wp:effectExtent l="9525" t="9525" r="22860" b="19050"/>
                <wp:docPr id="6" name="Group 52"/>
                <wp:cNvGraphicFramePr/>
                <a:graphic xmlns:a="http://schemas.openxmlformats.org/drawingml/2006/main">
                  <a:graphicData uri="http://schemas.microsoft.com/office/word/2010/wordprocessingGroup">
                    <wpg:wgp>
                      <wpg:cNvGrpSpPr/>
                      <wpg:grpSpPr>
                        <a:xfrm>
                          <a:off x="0" y="0"/>
                          <a:ext cx="5034915" cy="3609975"/>
                          <a:chOff x="0" y="0"/>
                          <a:chExt cx="7929" cy="5685"/>
                        </a:xfrm>
                      </wpg:grpSpPr>
                      <pic:pic xmlns:pic="http://schemas.openxmlformats.org/drawingml/2006/picture">
                        <pic:nvPicPr>
                          <pic:cNvPr id="4" name="Picture 1" descr="192455qt86r2r2re8tr63g"/>
                          <pic:cNvPicPr>
                            <a:picLocks noChangeAspect="1"/>
                          </pic:cNvPicPr>
                        </pic:nvPicPr>
                        <pic:blipFill>
                          <a:blip r:embed="rId20"/>
                          <a:stretch>
                            <a:fillRect/>
                          </a:stretch>
                        </pic:blipFill>
                        <pic:spPr>
                          <a:xfrm>
                            <a:off x="0" y="0"/>
                            <a:ext cx="7929" cy="5685"/>
                          </a:xfrm>
                          <a:prstGeom prst="rect">
                            <a:avLst/>
                          </a:prstGeom>
                          <a:noFill/>
                          <a:ln w="9525" cap="flat" cmpd="sng">
                            <a:solidFill>
                              <a:srgbClr val="000000"/>
                            </a:solidFill>
                            <a:prstDash val="solid"/>
                            <a:miter/>
                            <a:headEnd type="none" w="med" len="med"/>
                            <a:tailEnd type="none" w="med" len="med"/>
                          </a:ln>
                        </pic:spPr>
                      </pic:pic>
                      <wps:wsp>
                        <wps:cNvPr id="5" name="FreeForm 2"/>
                        <wps:cNvSpPr/>
                        <wps:spPr>
                          <a:xfrm>
                            <a:off x="3622" y="31"/>
                            <a:ext cx="1635" cy="1248"/>
                          </a:xfrm>
                          <a:custGeom>
                            <a:avLst/>
                            <a:gdLst/>
                            <a:ahLst/>
                            <a:cxnLst/>
                            <a:pathLst>
                              <a:path w="1635" h="1248">
                                <a:moveTo>
                                  <a:pt x="60" y="0"/>
                                </a:moveTo>
                                <a:lnTo>
                                  <a:pt x="0" y="156"/>
                                </a:lnTo>
                                <a:lnTo>
                                  <a:pt x="37" y="312"/>
                                </a:lnTo>
                                <a:lnTo>
                                  <a:pt x="97" y="468"/>
                                </a:lnTo>
                                <a:lnTo>
                                  <a:pt x="270" y="624"/>
                                </a:lnTo>
                                <a:lnTo>
                                  <a:pt x="472" y="624"/>
                                </a:lnTo>
                                <a:lnTo>
                                  <a:pt x="592" y="624"/>
                                </a:lnTo>
                                <a:lnTo>
                                  <a:pt x="810" y="624"/>
                                </a:lnTo>
                                <a:lnTo>
                                  <a:pt x="892" y="780"/>
                                </a:lnTo>
                                <a:lnTo>
                                  <a:pt x="885" y="936"/>
                                </a:lnTo>
                                <a:lnTo>
                                  <a:pt x="892" y="1092"/>
                                </a:lnTo>
                                <a:lnTo>
                                  <a:pt x="960" y="1092"/>
                                </a:lnTo>
                                <a:lnTo>
                                  <a:pt x="1087" y="1092"/>
                                </a:lnTo>
                                <a:lnTo>
                                  <a:pt x="1207" y="1248"/>
                                </a:lnTo>
                                <a:lnTo>
                                  <a:pt x="1365" y="1248"/>
                                </a:lnTo>
                                <a:lnTo>
                                  <a:pt x="1470" y="1248"/>
                                </a:lnTo>
                                <a:lnTo>
                                  <a:pt x="1590" y="936"/>
                                </a:lnTo>
                                <a:lnTo>
                                  <a:pt x="1635" y="780"/>
                                </a:lnTo>
                                <a:lnTo>
                                  <a:pt x="1567" y="624"/>
                                </a:lnTo>
                                <a:lnTo>
                                  <a:pt x="1462" y="312"/>
                                </a:lnTo>
                                <a:lnTo>
                                  <a:pt x="1447" y="156"/>
                                </a:lnTo>
                                <a:lnTo>
                                  <a:pt x="1417" y="0"/>
                                </a:lnTo>
                                <a:lnTo>
                                  <a:pt x="60" y="0"/>
                                </a:lnTo>
                                <a:close/>
                              </a:path>
                            </a:pathLst>
                          </a:custGeom>
                          <a:noFill/>
                          <a:ln w="53975" cap="flat" cmpd="sng">
                            <a:solidFill>
                              <a:srgbClr val="0000FF"/>
                            </a:solidFill>
                            <a:prstDash val="solid"/>
                            <a:headEnd type="none" w="med" len="med"/>
                            <a:tailEnd type="none" w="med" len="med"/>
                          </a:ln>
                        </wps:spPr>
                        <wps:bodyPr wrap="square" upright="1"/>
                      </wps:wsp>
                    </wpg:wgp>
                  </a:graphicData>
                </a:graphic>
              </wp:inline>
            </w:drawing>
          </mc:Choice>
          <mc:Fallback>
            <w:pict>
              <v:group id="Group 52" o:spid="_x0000_s1026" o:spt="203" style="height:284.25pt;width:396.45pt;" coordsize="7929,5685" o:gfxdata="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">
                <o:lock v:ext="edit" aspectratio="f"/>
                <v:shape id="Picture 1" o:spid="_x0000_s1026" o:spt="75" alt="192455qt86r2r2re8tr63g" type="#_x0000_t75" style="position:absolute;left:0;top:0;height:5685;width:7929;" filled="f" o:preferrelative="t" stroked="t" coordsize="21600,21600" o:gfxdata="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RTEKL4A&#10;AADaAAAADwAAAAAAAAABACAAAAAiAAAAZHJzL2Rvd25yZXYueG1sUEsBAhQAFAAAAAgAh07iQDMv&#10;BZ47AAAAOQAAABAAAAAAAAAAAQAgAAAADQEAAGRycy9zaGFwZXhtbC54bWxQSwUGAAAAAAYABgBb&#10;AQAAtwMAAAAA&#10;">
                  <v:fill on="f" focussize="0,0"/>
                  <v:stroke color="#000000" joinstyle="miter"/>
                  <v:imagedata r:id="rId20" o:title="192455qt86r2r2re8tr63g"/>
                  <o:lock v:ext="edit" aspectratio="t"/>
                </v:shape>
                <v:shape id="FreeForm 2" o:spid="_x0000_s1026" o:spt="100" style="position:absolute;left:3622;top:31;height:1248;width:1635;" filled="f" stroked="t" coordsize="1635,1248" o:gfxdata="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hePIrgAAADaAAAA&#10;DwAAAAAAAAABACAAAAAiAAAAZHJzL2Rvd25yZXYueG1sUEsBAhQAFAAAAAgAh07iQDMvBZ47AAAA&#10;OQAAABAAAAAAAAAAAQAgAAAABwEAAGRycy9zaGFwZXhtbC54bWxQSwUGAAAAAAYABgBbAQAAsQMA&#10;AAAA&#10;" path="m60,0l0,156,37,312,97,468,270,624,472,624,592,624,810,624,892,780,885,936,892,1092,960,1092,1087,1092,1207,1248,1365,1248,1470,1248,1590,936,1635,780,1567,624,1462,312,1447,156,1417,0,60,0xe">
                  <v:fill on="f" focussize="0,0"/>
                  <v:stroke weight="4.25pt" color="#0000FF" joinstyle="round"/>
                  <v:imagedata o:title=""/>
                  <o:lock v:ext="edit" aspectratio="f"/>
                </v:shape>
                <w10:wrap type="none"/>
                <w10:anchorlock/>
              </v:group>
            </w:pict>
          </mc:Fallback>
        </mc:AlternateContent>
      </w:r>
    </w:p>
    <w:p>
      <w:pPr>
        <w:pStyle w:val="65"/>
      </w:pPr>
      <w:r>
        <w:t>图</w:t>
      </w:r>
      <w:r>
        <w:rPr>
          <w:rFonts w:hint="eastAsia"/>
        </w:rPr>
        <w:t>4.</w:t>
      </w:r>
      <w:r>
        <w:t>1-1泾河新城地理位置图</w:t>
      </w:r>
    </w:p>
    <w:p>
      <w:pPr>
        <w:pStyle w:val="62"/>
        <w:rPr>
          <w:color w:val="auto"/>
        </w:rPr>
      </w:pPr>
      <w:r>
        <w:rPr>
          <w:rFonts w:hint="eastAsia"/>
          <w:color w:val="auto"/>
        </w:rPr>
        <w:t>4.1.2</w:t>
      </w:r>
      <w:r>
        <w:rPr>
          <w:color w:val="auto"/>
        </w:rPr>
        <w:t>地质</w:t>
      </w:r>
      <w:r>
        <w:rPr>
          <w:rFonts w:hint="eastAsia"/>
          <w:color w:val="auto"/>
        </w:rPr>
        <w:t>地貌</w:t>
      </w:r>
    </w:p>
    <w:p>
      <w:pPr>
        <w:pStyle w:val="63"/>
        <w:ind w:firstLine="480"/>
        <w:rPr>
          <w:color w:val="auto"/>
          <w:szCs w:val="24"/>
        </w:rPr>
      </w:pPr>
      <w:r>
        <w:rPr>
          <w:rFonts w:hint="eastAsia"/>
          <w:color w:val="auto"/>
        </w:rPr>
        <w:t>泾河新城位于</w:t>
      </w:r>
      <w:r>
        <w:fldChar w:fldCharType="begin"/>
      </w:r>
      <w:r>
        <w:instrText xml:space="preserve"> HYPERLINK "http://www.hudong.com/wiki/%E6%B8%AD%E6%B2%B3" \t "_blank" \o "渭河" </w:instrText>
      </w:r>
      <w:r>
        <w:fldChar w:fldCharType="separate"/>
      </w:r>
      <w:r>
        <w:rPr>
          <w:rFonts w:hint="eastAsia"/>
          <w:color w:val="auto"/>
        </w:rPr>
        <w:t>渭河</w:t>
      </w:r>
      <w:r>
        <w:rPr>
          <w:rFonts w:hint="eastAsia"/>
          <w:color w:val="auto"/>
        </w:rPr>
        <w:fldChar w:fldCharType="end"/>
      </w:r>
      <w:r>
        <w:rPr>
          <w:rFonts w:hint="eastAsia"/>
          <w:color w:val="auto"/>
        </w:rPr>
        <w:t>地堑北缘中段，岐山至</w:t>
      </w:r>
      <w:r>
        <w:fldChar w:fldCharType="begin"/>
      </w:r>
      <w:r>
        <w:instrText xml:space="preserve"> HYPERLINK "javascript:linkredwin('富平断裂带');" \o "富平断裂带" </w:instrText>
      </w:r>
      <w:r>
        <w:fldChar w:fldCharType="separate"/>
      </w:r>
      <w:r>
        <w:rPr>
          <w:rFonts w:hint="eastAsia"/>
          <w:color w:val="auto"/>
        </w:rPr>
        <w:t>富平断裂带</w:t>
      </w:r>
      <w:r>
        <w:rPr>
          <w:rFonts w:hint="eastAsia"/>
          <w:color w:val="auto"/>
        </w:rPr>
        <w:fldChar w:fldCharType="end"/>
      </w:r>
      <w:r>
        <w:rPr>
          <w:rFonts w:hint="eastAsia"/>
          <w:color w:val="auto"/>
        </w:rPr>
        <w:t>南侧，</w:t>
      </w:r>
      <w:r>
        <w:rPr>
          <w:color w:val="auto"/>
        </w:rPr>
        <w:t>渭河</w:t>
      </w:r>
      <w:r>
        <w:rPr>
          <w:rFonts w:hint="eastAsia"/>
          <w:color w:val="auto"/>
        </w:rPr>
        <w:t>北缘。泾河以南部分为</w:t>
      </w:r>
      <w:r>
        <w:fldChar w:fldCharType="begin"/>
      </w:r>
      <w:r>
        <w:instrText xml:space="preserve"> HYPERLINK "javascript:linkredwin('黄土台塬');" \o "黄土台塬" </w:instrText>
      </w:r>
      <w:r>
        <w:fldChar w:fldCharType="separate"/>
      </w:r>
      <w:r>
        <w:rPr>
          <w:rFonts w:hint="eastAsia"/>
          <w:color w:val="auto"/>
        </w:rPr>
        <w:t>黄土台塬</w:t>
      </w:r>
      <w:r>
        <w:rPr>
          <w:rFonts w:hint="eastAsia"/>
          <w:color w:val="auto"/>
        </w:rPr>
        <w:fldChar w:fldCharType="end"/>
      </w:r>
      <w:r>
        <w:rPr>
          <w:rFonts w:hint="eastAsia"/>
          <w:color w:val="auto"/>
        </w:rPr>
        <w:t>，塬面开阔，</w:t>
      </w:r>
      <w:r>
        <w:rPr>
          <w:color w:val="auto"/>
        </w:rPr>
        <w:t>台塬边缘由于长期受泾河及其支流的切割，形成许多沟壑</w:t>
      </w:r>
      <w:r>
        <w:rPr>
          <w:rFonts w:hint="eastAsia"/>
          <w:color w:val="auto"/>
        </w:rPr>
        <w:t>，海拔为430—500米，用地面积约为25.80平方公里，占新城总面积的17.67%；泾河以北为冲洪积平原，自西向东逐渐展宽降低，大部分海拔400米左右，地势平坦，面积120.20平方公里，占新城总面积的82.33 %。</w:t>
      </w:r>
      <w:r>
        <w:rPr>
          <w:color w:val="auto"/>
          <w:szCs w:val="24"/>
        </w:rPr>
        <w:t>区内地貌主要是泾河塑造的，由河流阶地、冲洪积平原构成的平原地貌</w:t>
      </w:r>
      <w:r>
        <w:rPr>
          <w:rFonts w:hint="eastAsia"/>
          <w:color w:val="auto"/>
          <w:szCs w:val="24"/>
        </w:rPr>
        <w:t>。项目区域地貌图见图4.1-2，</w:t>
      </w:r>
      <w:r>
        <w:rPr>
          <w:rFonts w:hint="eastAsia" w:cs="Times New Roman"/>
          <w:color w:val="auto"/>
          <w:szCs w:val="24"/>
        </w:rPr>
        <w:t>地形地貌剖面图见4.1-3</w:t>
      </w:r>
      <w:r>
        <w:rPr>
          <w:rFonts w:hint="eastAsia"/>
          <w:color w:val="auto"/>
          <w:szCs w:val="24"/>
        </w:rPr>
        <w:t>。</w:t>
      </w:r>
    </w:p>
    <w:p>
      <w:pPr>
        <w:pStyle w:val="63"/>
        <w:ind w:firstLine="0" w:firstLineChars="0"/>
        <w:rPr>
          <w:color w:val="auto"/>
          <w:szCs w:val="24"/>
        </w:rPr>
      </w:pPr>
      <w:r>
        <w:rPr>
          <w:color w:val="auto"/>
          <w:szCs w:val="24"/>
        </w:rPr>
        <w:drawing>
          <wp:inline distT="0" distB="0" distL="0" distR="0">
            <wp:extent cx="5314950" cy="5029200"/>
            <wp:effectExtent l="19050" t="0" r="0" b="0"/>
            <wp:docPr id="8" name="图片 11" descr="地形地貌图（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地形地貌图（新1）.jpg"/>
                    <pic:cNvPicPr>
                      <a:picLocks noChangeAspect="1" noChangeArrowheads="1"/>
                    </pic:cNvPicPr>
                  </pic:nvPicPr>
                  <pic:blipFill>
                    <a:blip r:embed="rId21"/>
                    <a:srcRect/>
                    <a:stretch>
                      <a:fillRect/>
                    </a:stretch>
                  </pic:blipFill>
                  <pic:spPr>
                    <a:xfrm>
                      <a:off x="0" y="0"/>
                      <a:ext cx="5314950" cy="5029200"/>
                    </a:xfrm>
                    <a:prstGeom prst="rect">
                      <a:avLst/>
                    </a:prstGeom>
                    <a:noFill/>
                    <a:ln w="9525">
                      <a:noFill/>
                      <a:miter lim="800000"/>
                      <a:headEnd/>
                      <a:tailEnd/>
                    </a:ln>
                  </pic:spPr>
                </pic:pic>
              </a:graphicData>
            </a:graphic>
          </wp:inline>
        </w:drawing>
      </w:r>
    </w:p>
    <w:p>
      <w:pPr>
        <w:pStyle w:val="65"/>
      </w:pPr>
      <w:r>
        <w:rPr>
          <w:rFonts w:hint="eastAsia"/>
        </w:rPr>
        <w:t>图4.1-2  项目区域</w:t>
      </w:r>
      <w:r>
        <w:t>地貌</w:t>
      </w:r>
      <w:r>
        <w:rPr>
          <w:rFonts w:hint="eastAsia"/>
        </w:rPr>
        <w:t>图</w:t>
      </w:r>
    </w:p>
    <w:p>
      <w:pPr>
        <w:pStyle w:val="63"/>
        <w:ind w:firstLine="480"/>
        <w:rPr>
          <w:color w:val="auto"/>
          <w:szCs w:val="24"/>
        </w:rPr>
      </w:pPr>
      <w:r>
        <w:rPr>
          <w:color w:val="auto"/>
          <w:szCs w:val="24"/>
        </w:rPr>
        <w:t>1、河流阶地</w:t>
      </w:r>
    </w:p>
    <w:p>
      <w:pPr>
        <w:pStyle w:val="63"/>
        <w:ind w:firstLine="480"/>
        <w:rPr>
          <w:color w:val="auto"/>
          <w:szCs w:val="24"/>
        </w:rPr>
      </w:pPr>
      <w:r>
        <w:rPr>
          <w:color w:val="auto"/>
          <w:szCs w:val="24"/>
        </w:rPr>
        <w:t>泾河在该地段仅有漫滩及一、三级阶地，二级阶地被侵蚀，三级阶地位于泾河南侧，分布面积较小。按地貌形态类型分述如</w:t>
      </w:r>
      <w:r>
        <w:rPr>
          <w:rFonts w:hint="eastAsia"/>
          <w:color w:val="auto"/>
          <w:szCs w:val="24"/>
        </w:rPr>
        <w:t>上图4.1-2</w:t>
      </w:r>
      <w:r>
        <w:rPr>
          <w:color w:val="auto"/>
          <w:szCs w:val="24"/>
        </w:rPr>
        <w:t>：</w:t>
      </w:r>
    </w:p>
    <w:p>
      <w:pPr>
        <w:pStyle w:val="63"/>
        <w:ind w:firstLine="480"/>
        <w:rPr>
          <w:color w:val="auto"/>
          <w:szCs w:val="24"/>
        </w:rPr>
      </w:pPr>
      <w:r>
        <w:rPr>
          <w:color w:val="auto"/>
          <w:szCs w:val="24"/>
        </w:rPr>
        <w:t>(1)漫滩</w:t>
      </w:r>
    </w:p>
    <w:p>
      <w:pPr>
        <w:pStyle w:val="63"/>
        <w:ind w:firstLine="480"/>
        <w:rPr>
          <w:color w:val="auto"/>
          <w:szCs w:val="24"/>
        </w:rPr>
      </w:pPr>
      <w:r>
        <w:rPr>
          <w:color w:val="auto"/>
          <w:szCs w:val="24"/>
        </w:rPr>
        <w:t>泾河漫滩沿河两岸分布。滩面平坦，高出河床0.5</w:t>
      </w:r>
      <w:r>
        <w:rPr>
          <w:rFonts w:hint="eastAsia"/>
          <w:color w:val="auto"/>
          <w:szCs w:val="24"/>
        </w:rPr>
        <w:t>－</w:t>
      </w:r>
      <w:r>
        <w:rPr>
          <w:color w:val="auto"/>
          <w:szCs w:val="24"/>
        </w:rPr>
        <w:t>6.0m，向河床微倾斜。地面高程北岸为361</w:t>
      </w:r>
      <w:r>
        <w:rPr>
          <w:rFonts w:hint="eastAsia"/>
          <w:color w:val="auto"/>
          <w:szCs w:val="24"/>
        </w:rPr>
        <w:t>－</w:t>
      </w:r>
      <w:r>
        <w:rPr>
          <w:color w:val="auto"/>
          <w:szCs w:val="24"/>
        </w:rPr>
        <w:t>377m，南岸365</w:t>
      </w:r>
      <w:r>
        <w:rPr>
          <w:rFonts w:hint="eastAsia"/>
          <w:color w:val="auto"/>
          <w:szCs w:val="24"/>
        </w:rPr>
        <w:t>－</w:t>
      </w:r>
      <w:r>
        <w:rPr>
          <w:color w:val="auto"/>
          <w:szCs w:val="24"/>
        </w:rPr>
        <w:t>373m。北岸宽200</w:t>
      </w:r>
      <w:r>
        <w:rPr>
          <w:rFonts w:hint="eastAsia"/>
          <w:color w:val="auto"/>
          <w:szCs w:val="24"/>
        </w:rPr>
        <w:t>－</w:t>
      </w:r>
      <w:r>
        <w:rPr>
          <w:color w:val="auto"/>
          <w:szCs w:val="24"/>
        </w:rPr>
        <w:t>1900m，南岸500</w:t>
      </w:r>
      <w:r>
        <w:rPr>
          <w:rFonts w:hint="eastAsia"/>
          <w:color w:val="auto"/>
          <w:szCs w:val="24"/>
        </w:rPr>
        <w:t>－</w:t>
      </w:r>
      <w:r>
        <w:rPr>
          <w:color w:val="auto"/>
          <w:szCs w:val="24"/>
        </w:rPr>
        <w:t>900m。后缘以1.5</w:t>
      </w:r>
      <w:r>
        <w:rPr>
          <w:rFonts w:hint="eastAsia"/>
          <w:color w:val="auto"/>
          <w:szCs w:val="24"/>
        </w:rPr>
        <w:t>－</w:t>
      </w:r>
      <w:r>
        <w:rPr>
          <w:color w:val="auto"/>
          <w:szCs w:val="24"/>
        </w:rPr>
        <w:t>11.0m高的陡坎同一级阶地接触。组成物质为全新世晚期冲积物，其岩性</w:t>
      </w:r>
      <w:r>
        <w:rPr>
          <w:rFonts w:hint="eastAsia"/>
          <w:color w:val="auto"/>
          <w:szCs w:val="24"/>
        </w:rPr>
        <w:t>在</w:t>
      </w:r>
      <w:r>
        <w:rPr>
          <w:color w:val="auto"/>
          <w:szCs w:val="24"/>
        </w:rPr>
        <w:t>陈家滩以西多为粉质粘土夹粉细砂透镜体，以东则为砂、砂砾卵石，厚15</w:t>
      </w:r>
      <w:r>
        <w:rPr>
          <w:rFonts w:hint="eastAsia"/>
          <w:color w:val="auto"/>
          <w:szCs w:val="24"/>
        </w:rPr>
        <w:t>－</w:t>
      </w:r>
      <w:r>
        <w:rPr>
          <w:color w:val="auto"/>
          <w:szCs w:val="24"/>
        </w:rPr>
        <w:t>18m。</w:t>
      </w:r>
    </w:p>
    <w:p>
      <w:pPr>
        <w:pStyle w:val="63"/>
        <w:ind w:firstLine="480"/>
        <w:rPr>
          <w:color w:val="auto"/>
          <w:szCs w:val="24"/>
        </w:rPr>
      </w:pPr>
      <w:r>
        <w:rPr>
          <w:color w:val="auto"/>
          <w:szCs w:val="24"/>
        </w:rPr>
        <w:t>(2)一级阶地</w:t>
      </w:r>
    </w:p>
    <w:p>
      <w:pPr>
        <w:pStyle w:val="63"/>
        <w:ind w:firstLine="480"/>
        <w:rPr>
          <w:color w:val="auto"/>
          <w:szCs w:val="24"/>
        </w:rPr>
      </w:pPr>
      <w:r>
        <w:rPr>
          <w:color w:val="auto"/>
          <w:szCs w:val="24"/>
        </w:rPr>
        <w:t>泾河一级阶地在泾河两岸均有分布。南岸阶面较狭窄，宽500</w:t>
      </w:r>
      <w:r>
        <w:rPr>
          <w:rFonts w:hint="eastAsia"/>
          <w:color w:val="auto"/>
          <w:szCs w:val="24"/>
        </w:rPr>
        <w:t>－</w:t>
      </w:r>
      <w:r>
        <w:rPr>
          <w:color w:val="auto"/>
          <w:szCs w:val="24"/>
        </w:rPr>
        <w:t>1000m，标高375</w:t>
      </w:r>
      <w:r>
        <w:rPr>
          <w:rFonts w:hint="eastAsia"/>
          <w:color w:val="auto"/>
          <w:szCs w:val="24"/>
        </w:rPr>
        <w:t>－</w:t>
      </w:r>
      <w:r>
        <w:rPr>
          <w:color w:val="auto"/>
          <w:szCs w:val="24"/>
        </w:rPr>
        <w:t>381m，阶地前缘断续与河床或漫滩接触；北岸阶面开阔平坦，微向泾河倾斜，坡降2.5‰</w:t>
      </w:r>
      <w:r>
        <w:rPr>
          <w:rFonts w:hint="eastAsia"/>
          <w:color w:val="auto"/>
          <w:szCs w:val="24"/>
        </w:rPr>
        <w:t>－</w:t>
      </w:r>
      <w:r>
        <w:rPr>
          <w:color w:val="auto"/>
          <w:szCs w:val="24"/>
        </w:rPr>
        <w:t>4.3‰，地面高程372</w:t>
      </w:r>
      <w:r>
        <w:rPr>
          <w:rFonts w:hint="eastAsia"/>
          <w:color w:val="auto"/>
          <w:szCs w:val="24"/>
        </w:rPr>
        <w:t>－</w:t>
      </w:r>
      <w:r>
        <w:rPr>
          <w:color w:val="auto"/>
          <w:szCs w:val="24"/>
        </w:rPr>
        <w:t>391m，南北宽大于4000m，阶地中部有北东向宽浅洼地，地形略显起伏，前缘高出漫滩1.5</w:t>
      </w:r>
      <w:r>
        <w:rPr>
          <w:rFonts w:hint="eastAsia"/>
          <w:color w:val="auto"/>
          <w:szCs w:val="24"/>
        </w:rPr>
        <w:t>－</w:t>
      </w:r>
      <w:r>
        <w:rPr>
          <w:color w:val="auto"/>
          <w:szCs w:val="24"/>
        </w:rPr>
        <w:t>11.0m，阶地东侧二级冲洪积平原毗连。阶地组成物质，北岸为粉土、粉质粘土与砂砾石互层，厚30</w:t>
      </w:r>
      <w:r>
        <w:rPr>
          <w:rFonts w:hint="eastAsia"/>
          <w:color w:val="auto"/>
          <w:szCs w:val="24"/>
        </w:rPr>
        <w:t>－</w:t>
      </w:r>
      <w:r>
        <w:rPr>
          <w:color w:val="auto"/>
          <w:szCs w:val="24"/>
        </w:rPr>
        <w:t>35m，南岸则为中粗砂与粉质粘土，厚46m。</w:t>
      </w:r>
    </w:p>
    <w:p>
      <w:pPr>
        <w:pStyle w:val="63"/>
        <w:ind w:firstLine="480"/>
        <w:rPr>
          <w:color w:val="auto"/>
          <w:szCs w:val="24"/>
        </w:rPr>
      </w:pPr>
      <w:r>
        <w:rPr>
          <w:color w:val="auto"/>
          <w:szCs w:val="24"/>
        </w:rPr>
        <w:t>(3)三级阶地</w:t>
      </w:r>
    </w:p>
    <w:p>
      <w:pPr>
        <w:pStyle w:val="63"/>
        <w:ind w:firstLine="480"/>
        <w:rPr>
          <w:color w:val="auto"/>
          <w:szCs w:val="24"/>
        </w:rPr>
      </w:pPr>
      <w:r>
        <w:rPr>
          <w:color w:val="auto"/>
          <w:szCs w:val="24"/>
        </w:rPr>
        <w:t>分布于渭河北岸的梁村塬。阶地前缘因人工开挖而后移，阶面平坦，高程407</w:t>
      </w:r>
      <w:r>
        <w:rPr>
          <w:rFonts w:hint="eastAsia"/>
          <w:color w:val="auto"/>
          <w:szCs w:val="24"/>
        </w:rPr>
        <w:t>－</w:t>
      </w:r>
      <w:r>
        <w:rPr>
          <w:color w:val="auto"/>
          <w:szCs w:val="24"/>
        </w:rPr>
        <w:t>409米，宽600</w:t>
      </w:r>
      <w:r>
        <w:rPr>
          <w:rFonts w:hint="eastAsia"/>
          <w:color w:val="auto"/>
          <w:szCs w:val="24"/>
        </w:rPr>
        <w:t>－</w:t>
      </w:r>
      <w:r>
        <w:rPr>
          <w:color w:val="auto"/>
          <w:szCs w:val="24"/>
        </w:rPr>
        <w:t>1800米，前缘以陡坎高于河床38，高于一级阶地20m左右。下部组成物为冲积含砾中粗砂，厚44m；上为黄土，厚39m，夹四层古土壤。</w:t>
      </w:r>
    </w:p>
    <w:p>
      <w:pPr>
        <w:pStyle w:val="63"/>
        <w:ind w:firstLine="480"/>
        <w:rPr>
          <w:color w:val="auto"/>
          <w:szCs w:val="24"/>
        </w:rPr>
      </w:pPr>
      <w:r>
        <w:rPr>
          <w:color w:val="auto"/>
          <w:szCs w:val="24"/>
        </w:rPr>
        <w:t>2、冲洪积平原</w:t>
      </w:r>
    </w:p>
    <w:p>
      <w:pPr>
        <w:pStyle w:val="63"/>
        <w:ind w:firstLine="480"/>
        <w:rPr>
          <w:color w:val="auto"/>
          <w:szCs w:val="24"/>
        </w:rPr>
      </w:pPr>
      <w:r>
        <w:rPr>
          <w:color w:val="auto"/>
          <w:szCs w:val="24"/>
        </w:rPr>
        <w:t>冲洪积平原仅分布于勘</w:t>
      </w:r>
      <w:r>
        <w:rPr>
          <w:rFonts w:hint="eastAsia"/>
          <w:color w:val="auto"/>
          <w:szCs w:val="24"/>
        </w:rPr>
        <w:t>查</w:t>
      </w:r>
      <w:r>
        <w:rPr>
          <w:color w:val="auto"/>
          <w:szCs w:val="24"/>
        </w:rPr>
        <w:t>区东北隅。根据其地貌形态、组成物质和结构划分为近代洪积扇、一至四级冲洪积平原。近代洪积扇上覆于一级冲洪积平原之后部，一级冲洪积平原迭于二级冲洪积平原之上。</w:t>
      </w:r>
      <w:r>
        <w:rPr>
          <w:rFonts w:hint="eastAsia"/>
          <w:color w:val="auto"/>
          <w:szCs w:val="24"/>
        </w:rPr>
        <w:t>项目所在区域内仅分布有</w:t>
      </w:r>
      <w:r>
        <w:rPr>
          <w:color w:val="auto"/>
          <w:szCs w:val="24"/>
        </w:rPr>
        <w:t>近代洪积扇</w:t>
      </w:r>
      <w:r>
        <w:rPr>
          <w:rFonts w:hint="eastAsia"/>
          <w:color w:val="auto"/>
          <w:szCs w:val="24"/>
        </w:rPr>
        <w:t>、</w:t>
      </w:r>
      <w:r>
        <w:rPr>
          <w:color w:val="auto"/>
          <w:szCs w:val="24"/>
        </w:rPr>
        <w:t>一级冲洪积平原</w:t>
      </w:r>
      <w:r>
        <w:rPr>
          <w:rFonts w:hint="eastAsia"/>
          <w:color w:val="auto"/>
          <w:szCs w:val="24"/>
        </w:rPr>
        <w:t>和二</w:t>
      </w:r>
      <w:r>
        <w:rPr>
          <w:color w:val="auto"/>
          <w:szCs w:val="24"/>
        </w:rPr>
        <w:t>级冲洪积平原</w:t>
      </w:r>
      <w:r>
        <w:rPr>
          <w:rFonts w:hint="eastAsia"/>
          <w:color w:val="auto"/>
          <w:szCs w:val="24"/>
        </w:rPr>
        <w:t>。</w:t>
      </w:r>
    </w:p>
    <w:p>
      <w:pPr>
        <w:pStyle w:val="63"/>
        <w:ind w:firstLine="480"/>
        <w:rPr>
          <w:color w:val="auto"/>
          <w:szCs w:val="24"/>
        </w:rPr>
      </w:pPr>
      <w:r>
        <w:rPr>
          <w:color w:val="auto"/>
          <w:szCs w:val="24"/>
        </w:rPr>
        <w:t>(1)近代洪积扇</w:t>
      </w:r>
    </w:p>
    <w:p>
      <w:pPr>
        <w:pStyle w:val="63"/>
        <w:ind w:firstLine="480"/>
        <w:rPr>
          <w:color w:val="auto"/>
          <w:szCs w:val="24"/>
        </w:rPr>
      </w:pPr>
      <w:r>
        <w:rPr>
          <w:color w:val="auto"/>
          <w:szCs w:val="24"/>
        </w:rPr>
        <w:t>分布在</w:t>
      </w:r>
      <w:r>
        <w:rPr>
          <w:rFonts w:hint="eastAsia"/>
          <w:color w:val="auto"/>
          <w:szCs w:val="24"/>
        </w:rPr>
        <w:t>项目区东北</w:t>
      </w:r>
      <w:r>
        <w:rPr>
          <w:color w:val="auto"/>
          <w:szCs w:val="24"/>
        </w:rPr>
        <w:t>部，位于黄土台塬以南，南部与泾河一级阶地毗邻。扇面形态明显，前缘彼此相接成裙，形成带状分布的洪积扇裙。各扇体大小不等，扇面坡降为5‰</w:t>
      </w:r>
      <w:r>
        <w:rPr>
          <w:rFonts w:hint="eastAsia"/>
          <w:color w:val="auto"/>
          <w:szCs w:val="24"/>
        </w:rPr>
        <w:t>－</w:t>
      </w:r>
      <w:r>
        <w:rPr>
          <w:color w:val="auto"/>
          <w:szCs w:val="24"/>
        </w:rPr>
        <w:t>20‰。</w:t>
      </w:r>
    </w:p>
    <w:p>
      <w:pPr>
        <w:pStyle w:val="63"/>
        <w:ind w:firstLine="480"/>
        <w:rPr>
          <w:color w:val="auto"/>
          <w:szCs w:val="24"/>
        </w:rPr>
      </w:pPr>
      <w:r>
        <w:rPr>
          <w:color w:val="auto"/>
          <w:szCs w:val="24"/>
        </w:rPr>
        <w:t>组成物质为全新统上部的粉土、粉质粘土和粉细砂，局部含钙质结核，厚度小于10m。</w:t>
      </w:r>
    </w:p>
    <w:p>
      <w:pPr>
        <w:pStyle w:val="63"/>
        <w:ind w:firstLine="480"/>
        <w:rPr>
          <w:color w:val="auto"/>
          <w:szCs w:val="24"/>
        </w:rPr>
      </w:pPr>
      <w:r>
        <w:rPr>
          <w:color w:val="auto"/>
          <w:szCs w:val="24"/>
        </w:rPr>
        <w:t>(2)一级冲洪积平原</w:t>
      </w:r>
    </w:p>
    <w:p>
      <w:pPr>
        <w:pStyle w:val="63"/>
        <w:ind w:firstLine="480"/>
        <w:rPr>
          <w:color w:val="auto"/>
          <w:szCs w:val="24"/>
        </w:rPr>
      </w:pPr>
      <w:r>
        <w:rPr>
          <w:color w:val="auto"/>
          <w:szCs w:val="24"/>
        </w:rPr>
        <w:t>分布于</w:t>
      </w:r>
      <w:r>
        <w:rPr>
          <w:rFonts w:hint="eastAsia"/>
          <w:color w:val="auto"/>
          <w:szCs w:val="24"/>
        </w:rPr>
        <w:t>项目区</w:t>
      </w:r>
      <w:r>
        <w:rPr>
          <w:color w:val="auto"/>
          <w:szCs w:val="24"/>
        </w:rPr>
        <w:t>东北角，向北、向东延伸。地形平缓，由西向东渐低，高375</w:t>
      </w:r>
      <w:r>
        <w:rPr>
          <w:rFonts w:hint="eastAsia"/>
          <w:color w:val="auto"/>
          <w:szCs w:val="24"/>
        </w:rPr>
        <w:t>－</w:t>
      </w:r>
      <w:r>
        <w:rPr>
          <w:color w:val="auto"/>
          <w:szCs w:val="24"/>
        </w:rPr>
        <w:t>379m，坡降2.7‰。西部与三级冲洪积平原呈2</w:t>
      </w:r>
      <w:r>
        <w:rPr>
          <w:rFonts w:hint="eastAsia"/>
          <w:color w:val="auto"/>
          <w:szCs w:val="24"/>
        </w:rPr>
        <w:t>－</w:t>
      </w:r>
      <w:r>
        <w:rPr>
          <w:color w:val="auto"/>
          <w:szCs w:val="24"/>
        </w:rPr>
        <w:t>5m的陡坎相接，与泾河一级阶地呈5</w:t>
      </w:r>
      <w:r>
        <w:rPr>
          <w:rFonts w:hint="eastAsia"/>
          <w:color w:val="auto"/>
          <w:szCs w:val="24"/>
        </w:rPr>
        <w:t>－</w:t>
      </w:r>
      <w:r>
        <w:rPr>
          <w:color w:val="auto"/>
          <w:szCs w:val="24"/>
        </w:rPr>
        <w:t>10m陡坎接触。组成物质为全新统下部的粉上、粉质粘土及薄层粉砂，由南而北渐厚。厚度约1－14m。</w:t>
      </w:r>
    </w:p>
    <w:p>
      <w:pPr>
        <w:pStyle w:val="63"/>
        <w:ind w:firstLine="480"/>
        <w:rPr>
          <w:color w:val="auto"/>
          <w:szCs w:val="24"/>
        </w:rPr>
      </w:pPr>
      <w:r>
        <w:rPr>
          <w:color w:val="auto"/>
          <w:szCs w:val="24"/>
        </w:rPr>
        <w:t>(3)二级冲洪积平原</w:t>
      </w:r>
    </w:p>
    <w:p>
      <w:pPr>
        <w:pStyle w:val="63"/>
        <w:ind w:firstLine="480"/>
        <w:rPr>
          <w:color w:val="auto"/>
          <w:szCs w:val="24"/>
        </w:rPr>
      </w:pPr>
      <w:r>
        <w:rPr>
          <w:color w:val="auto"/>
          <w:szCs w:val="24"/>
        </w:rPr>
        <w:t>仅残留于石村杨、北横流、大齐村与崇皇一带的局部地区。塬面较平坦，地面标高430</w:t>
      </w:r>
      <w:r>
        <w:rPr>
          <w:rFonts w:hint="eastAsia"/>
          <w:color w:val="auto"/>
          <w:szCs w:val="24"/>
        </w:rPr>
        <w:t>－</w:t>
      </w:r>
      <w:r>
        <w:rPr>
          <w:color w:val="auto"/>
          <w:szCs w:val="24"/>
        </w:rPr>
        <w:t>399m。南部与泾河一级阶地以6</w:t>
      </w:r>
      <w:r>
        <w:rPr>
          <w:rFonts w:hint="eastAsia"/>
          <w:color w:val="auto"/>
          <w:szCs w:val="24"/>
        </w:rPr>
        <w:t>－</w:t>
      </w:r>
      <w:r>
        <w:rPr>
          <w:color w:val="auto"/>
          <w:szCs w:val="24"/>
        </w:rPr>
        <w:t>10m陡坎接触，与一级冲洪积平原多以缓坡过渡。南缘小冲沟较发育</w:t>
      </w:r>
      <w:r>
        <w:rPr>
          <w:rFonts w:hint="eastAsia"/>
          <w:color w:val="auto"/>
          <w:szCs w:val="24"/>
        </w:rPr>
        <w:t>，</w:t>
      </w:r>
      <w:r>
        <w:rPr>
          <w:color w:val="auto"/>
          <w:szCs w:val="24"/>
        </w:rPr>
        <w:t>多呈“U”字型。</w:t>
      </w:r>
    </w:p>
    <w:p>
      <w:pPr>
        <w:pStyle w:val="63"/>
        <w:ind w:firstLine="480"/>
        <w:rPr>
          <w:color w:val="auto"/>
          <w:szCs w:val="24"/>
        </w:rPr>
      </w:pPr>
      <w:r>
        <w:rPr>
          <w:color w:val="auto"/>
          <w:szCs w:val="24"/>
        </w:rPr>
        <w:t>组成物质上部为上更新统上部黄土（厚约8</w:t>
      </w:r>
      <w:r>
        <w:rPr>
          <w:rFonts w:hint="eastAsia"/>
          <w:color w:val="auto"/>
          <w:szCs w:val="24"/>
        </w:rPr>
        <w:t>－</w:t>
      </w:r>
      <w:r>
        <w:rPr>
          <w:color w:val="auto"/>
          <w:szCs w:val="24"/>
        </w:rPr>
        <w:t>10m），下部为上更新统下部的粉细砂、粉土及砂砾卵石层冲洪积层。总厚度约50</w:t>
      </w:r>
      <w:r>
        <w:rPr>
          <w:rFonts w:hint="eastAsia"/>
          <w:color w:val="auto"/>
          <w:szCs w:val="24"/>
        </w:rPr>
        <w:t>－</w:t>
      </w:r>
      <w:r>
        <w:rPr>
          <w:color w:val="auto"/>
          <w:szCs w:val="24"/>
        </w:rPr>
        <w:t>70m。</w:t>
      </w:r>
    </w:p>
    <w:p>
      <w:pPr>
        <w:pStyle w:val="62"/>
        <w:rPr>
          <w:color w:val="auto"/>
        </w:rPr>
      </w:pPr>
      <w:r>
        <w:rPr>
          <w:rFonts w:hint="eastAsia"/>
          <w:color w:val="auto"/>
        </w:rPr>
        <w:t>4.1.3气候气象</w:t>
      </w:r>
    </w:p>
    <w:p>
      <w:pPr>
        <w:pStyle w:val="63"/>
        <w:ind w:firstLine="480"/>
        <w:rPr>
          <w:rFonts w:cs="Times New Roman"/>
          <w:color w:val="auto"/>
          <w:szCs w:val="24"/>
        </w:rPr>
      </w:pPr>
      <w:r>
        <w:rPr>
          <w:rFonts w:hint="eastAsia"/>
          <w:color w:val="auto"/>
        </w:rPr>
        <w:t>泾河属</w:t>
      </w:r>
      <w:r>
        <w:fldChar w:fldCharType="begin"/>
      </w:r>
      <w:r>
        <w:instrText xml:space="preserve"> HYPERLINK "javascript:linkredwin('暖温带大陆性季风气候');" \o "暖温带大陆性季风气候" </w:instrText>
      </w:r>
      <w:r>
        <w:fldChar w:fldCharType="separate"/>
      </w:r>
      <w:r>
        <w:rPr>
          <w:rFonts w:hint="eastAsia"/>
          <w:color w:val="auto"/>
        </w:rPr>
        <w:t>暖温带大陆性季风气候</w:t>
      </w:r>
      <w:r>
        <w:rPr>
          <w:rFonts w:hint="eastAsia"/>
          <w:color w:val="auto"/>
        </w:rPr>
        <w:fldChar w:fldCharType="end"/>
      </w:r>
      <w:r>
        <w:rPr>
          <w:rFonts w:hint="eastAsia"/>
          <w:color w:val="auto"/>
        </w:rPr>
        <w:t>，四季冷暖、干湿分明，</w:t>
      </w:r>
      <w:r>
        <w:rPr>
          <w:color w:val="auto"/>
        </w:rPr>
        <w:t>冬季寒冷干燥，夏季炎热多雨，降水量年际变化很大，七月、九月降水较为集中。泾阳县多年月平均气象要素图</w:t>
      </w:r>
      <w:r>
        <w:rPr>
          <w:rFonts w:hint="eastAsia"/>
          <w:color w:val="auto"/>
        </w:rPr>
        <w:t>见图4.1-4，</w:t>
      </w:r>
      <w:r>
        <w:rPr>
          <w:color w:val="auto"/>
        </w:rPr>
        <w:t>据</w:t>
      </w:r>
      <w:r>
        <w:rPr>
          <w:rFonts w:cs="Times New Roman"/>
          <w:color w:val="auto"/>
          <w:szCs w:val="24"/>
        </w:rPr>
        <w:t>泾阳县气象站资料分述如下：</w:t>
      </w:r>
    </w:p>
    <w:p>
      <w:pPr>
        <w:pStyle w:val="63"/>
        <w:ind w:firstLine="0" w:firstLineChars="0"/>
        <w:jc w:val="center"/>
        <w:rPr>
          <w:rFonts w:cs="Times New Roman"/>
          <w:color w:val="auto"/>
          <w:szCs w:val="24"/>
        </w:rPr>
      </w:pPr>
      <w:r>
        <w:rPr>
          <w:rFonts w:cs="Times New Roman"/>
          <w:color w:val="auto"/>
          <w:szCs w:val="24"/>
        </w:rPr>
        <w:drawing>
          <wp:inline distT="0" distB="0" distL="0" distR="0">
            <wp:extent cx="5276850" cy="2895600"/>
            <wp:effectExtent l="19050" t="0" r="0" b="0"/>
            <wp:docPr id="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9"/>
                    <pic:cNvPicPr>
                      <a:picLocks noChangeAspect="1" noChangeArrowheads="1"/>
                    </pic:cNvPicPr>
                  </pic:nvPicPr>
                  <pic:blipFill>
                    <a:blip r:embed="rId22"/>
                    <a:srcRect/>
                    <a:stretch>
                      <a:fillRect/>
                    </a:stretch>
                  </pic:blipFill>
                  <pic:spPr>
                    <a:xfrm>
                      <a:off x="0" y="0"/>
                      <a:ext cx="5276850" cy="2895600"/>
                    </a:xfrm>
                    <a:prstGeom prst="rect">
                      <a:avLst/>
                    </a:prstGeom>
                    <a:noFill/>
                    <a:ln w="9525">
                      <a:noFill/>
                      <a:miter lim="800000"/>
                      <a:headEnd/>
                      <a:tailEnd/>
                    </a:ln>
                  </pic:spPr>
                </pic:pic>
              </a:graphicData>
            </a:graphic>
          </wp:inline>
        </w:drawing>
      </w:r>
    </w:p>
    <w:p>
      <w:pPr>
        <w:pStyle w:val="65"/>
      </w:pPr>
      <w:r>
        <w:t>图</w:t>
      </w:r>
      <w:r>
        <w:rPr>
          <w:rFonts w:hint="eastAsia"/>
        </w:rPr>
        <w:t>4.1-4</w:t>
      </w:r>
      <w:r>
        <w:t xml:space="preserve">  泾阳县多年月平均气象要素图</w:t>
      </w:r>
    </w:p>
    <w:p>
      <w:pPr>
        <w:pStyle w:val="63"/>
        <w:ind w:firstLine="480"/>
        <w:rPr>
          <w:color w:val="auto"/>
        </w:rPr>
      </w:pPr>
      <w:r>
        <w:rPr>
          <w:color w:val="auto"/>
        </w:rPr>
        <w:t>1、气温</w:t>
      </w:r>
    </w:p>
    <w:p>
      <w:pPr>
        <w:pStyle w:val="63"/>
        <w:ind w:firstLine="480"/>
        <w:rPr>
          <w:color w:val="auto"/>
        </w:rPr>
      </w:pPr>
      <w:r>
        <w:rPr>
          <w:color w:val="auto"/>
        </w:rPr>
        <w:t>多年平均气温13.1</w:t>
      </w:r>
      <w:r>
        <w:rPr>
          <w:rFonts w:hint="eastAsia" w:ascii="宋体" w:hAnsi="宋体"/>
          <w:color w:val="auto"/>
        </w:rPr>
        <w:t>℃</w:t>
      </w:r>
      <w:r>
        <w:rPr>
          <w:color w:val="auto"/>
        </w:rPr>
        <w:t>，7月份最高平均气温25.9</w:t>
      </w:r>
      <w:r>
        <w:rPr>
          <w:rFonts w:hint="eastAsia" w:ascii="宋体" w:hAnsi="宋体"/>
          <w:color w:val="auto"/>
        </w:rPr>
        <w:t>℃</w:t>
      </w:r>
      <w:r>
        <w:rPr>
          <w:color w:val="auto"/>
        </w:rPr>
        <w:t>，元月份最低平均气温零下0.5</w:t>
      </w:r>
      <w:r>
        <w:rPr>
          <w:rFonts w:hint="eastAsia" w:ascii="宋体" w:hAnsi="宋体"/>
          <w:color w:val="auto"/>
        </w:rPr>
        <w:t>℃</w:t>
      </w:r>
      <w:r>
        <w:rPr>
          <w:color w:val="auto"/>
        </w:rPr>
        <w:t>。极端最高气温39.5</w:t>
      </w:r>
      <w:r>
        <w:rPr>
          <w:rFonts w:hint="eastAsia" w:ascii="宋体" w:hAnsi="宋体"/>
          <w:color w:val="auto"/>
        </w:rPr>
        <w:t>℃</w:t>
      </w:r>
      <w:r>
        <w:rPr>
          <w:color w:val="auto"/>
        </w:rPr>
        <w:t>（1990年7月7日），极端最低气温零下19.4</w:t>
      </w:r>
      <w:r>
        <w:rPr>
          <w:rFonts w:hint="eastAsia" w:ascii="宋体" w:hAnsi="宋体"/>
          <w:color w:val="auto"/>
        </w:rPr>
        <w:t>℃</w:t>
      </w:r>
      <w:r>
        <w:rPr>
          <w:color w:val="auto"/>
        </w:rPr>
        <w:t>（1990年12月28日）。多年平均日照时数2195.2小时，无霜期272天。</w:t>
      </w:r>
    </w:p>
    <w:p>
      <w:pPr>
        <w:pStyle w:val="63"/>
        <w:ind w:firstLine="480"/>
        <w:rPr>
          <w:color w:val="auto"/>
        </w:rPr>
      </w:pPr>
      <w:r>
        <w:rPr>
          <w:color w:val="auto"/>
        </w:rPr>
        <w:t>2、降水量</w:t>
      </w:r>
    </w:p>
    <w:p>
      <w:pPr>
        <w:pStyle w:val="63"/>
        <w:ind w:firstLine="480"/>
        <w:rPr>
          <w:color w:val="auto"/>
        </w:rPr>
      </w:pPr>
      <w:r>
        <w:rPr>
          <w:color w:val="auto"/>
        </w:rPr>
        <w:t>全县多年年均降水量504.7毫米，最多降水量840.6毫米，最少为3毫米。年内降水量分配不均，多集中在7、8、9月，约占全年降水量50%以上；而12、1、2月降水量小，仅占全年降水量的3%。月最大降水量246.8mm（1984年9月），日最大降水量49.9mm（1991年9月15日）。形成了旱涝不均的气候特征。（见图</w:t>
      </w:r>
      <w:r>
        <w:rPr>
          <w:rFonts w:hint="eastAsia"/>
          <w:color w:val="auto"/>
        </w:rPr>
        <w:t>4.1-5</w:t>
      </w:r>
      <w:r>
        <w:rPr>
          <w:color w:val="auto"/>
        </w:rPr>
        <w:t>）。</w:t>
      </w:r>
    </w:p>
    <w:p>
      <w:pPr>
        <w:pStyle w:val="63"/>
        <w:ind w:firstLine="480"/>
        <w:rPr>
          <w:color w:val="auto"/>
        </w:rPr>
      </w:pPr>
    </w:p>
    <w:p>
      <w:pPr>
        <w:pStyle w:val="63"/>
        <w:ind w:firstLine="480"/>
        <w:rPr>
          <w:color w:val="auto"/>
        </w:rPr>
      </w:pPr>
    </w:p>
    <w:p>
      <w:pPr>
        <w:pStyle w:val="63"/>
        <w:ind w:firstLine="0" w:firstLineChars="0"/>
        <w:jc w:val="center"/>
        <w:rPr>
          <w:color w:val="auto"/>
        </w:rPr>
      </w:pPr>
      <w:r>
        <w:rPr>
          <w:color w:val="auto"/>
        </w:rPr>
        <w:drawing>
          <wp:inline distT="0" distB="0" distL="0" distR="0">
            <wp:extent cx="5276850" cy="2305050"/>
            <wp:effectExtent l="19050" t="0" r="0"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noChangeArrowheads="1"/>
                    </pic:cNvPicPr>
                  </pic:nvPicPr>
                  <pic:blipFill>
                    <a:blip r:embed="rId23"/>
                    <a:srcRect/>
                    <a:stretch>
                      <a:fillRect/>
                    </a:stretch>
                  </pic:blipFill>
                  <pic:spPr>
                    <a:xfrm>
                      <a:off x="0" y="0"/>
                      <a:ext cx="5276850" cy="2305050"/>
                    </a:xfrm>
                    <a:prstGeom prst="rect">
                      <a:avLst/>
                    </a:prstGeom>
                    <a:noFill/>
                    <a:ln w="9525">
                      <a:noFill/>
                      <a:miter lim="800000"/>
                      <a:headEnd/>
                      <a:tailEnd/>
                    </a:ln>
                  </pic:spPr>
                </pic:pic>
              </a:graphicData>
            </a:graphic>
          </wp:inline>
        </w:drawing>
      </w:r>
    </w:p>
    <w:p>
      <w:pPr>
        <w:pStyle w:val="65"/>
      </w:pPr>
      <w:r>
        <w:t>图</w:t>
      </w:r>
      <w:r>
        <w:rPr>
          <w:rFonts w:hint="eastAsia"/>
        </w:rPr>
        <w:t>4.1-5</w:t>
      </w:r>
      <w:r>
        <w:t xml:space="preserve">  </w:t>
      </w:r>
      <w:r>
        <w:rPr>
          <w:rFonts w:hint="eastAsia"/>
        </w:rPr>
        <w:t xml:space="preserve"> </w:t>
      </w:r>
      <w:r>
        <w:t>泾阳县历年降雨变化曲线图</w:t>
      </w:r>
    </w:p>
    <w:p>
      <w:pPr>
        <w:pStyle w:val="63"/>
        <w:ind w:firstLine="480"/>
        <w:rPr>
          <w:color w:val="auto"/>
        </w:rPr>
      </w:pPr>
      <w:r>
        <w:rPr>
          <w:color w:val="auto"/>
        </w:rPr>
        <w:t>3、蒸发量</w:t>
      </w:r>
    </w:p>
    <w:p>
      <w:pPr>
        <w:pStyle w:val="63"/>
        <w:ind w:firstLine="480"/>
        <w:rPr>
          <w:color w:val="auto"/>
        </w:rPr>
      </w:pPr>
      <w:r>
        <w:rPr>
          <w:color w:val="auto"/>
        </w:rPr>
        <w:t>多年平均水面蒸发量1316.0mm。年最大蒸发量1551.3mm（1986年），年最小蒸发量1117.6mm。以5、6、7、8月蒸发量最大，约占全年蒸发二的55%左右。多年平均蒸发量为多平均降水量的2.4倍。</w:t>
      </w:r>
    </w:p>
    <w:p>
      <w:pPr>
        <w:pStyle w:val="62"/>
        <w:rPr>
          <w:color w:val="auto"/>
        </w:rPr>
      </w:pPr>
      <w:r>
        <w:rPr>
          <w:rFonts w:hint="eastAsia"/>
          <w:color w:val="auto"/>
        </w:rPr>
        <w:t>4.1.4河流水系</w:t>
      </w:r>
    </w:p>
    <w:p>
      <w:pPr>
        <w:pStyle w:val="63"/>
        <w:ind w:firstLine="480"/>
        <w:rPr>
          <w:rFonts w:cs="Times New Roman"/>
          <w:color w:val="auto"/>
          <w:szCs w:val="24"/>
        </w:rPr>
      </w:pPr>
      <w:r>
        <w:rPr>
          <w:color w:val="auto"/>
        </w:rPr>
        <w:t>评价区涉及</w:t>
      </w:r>
      <w:r>
        <w:rPr>
          <w:rFonts w:hint="eastAsia"/>
          <w:color w:val="auto"/>
        </w:rPr>
        <w:t>的</w:t>
      </w:r>
      <w:r>
        <w:rPr>
          <w:color w:val="auto"/>
        </w:rPr>
        <w:t>主要河流</w:t>
      </w:r>
      <w:r>
        <w:rPr>
          <w:rFonts w:hint="eastAsia"/>
          <w:color w:val="auto"/>
        </w:rPr>
        <w:t>是</w:t>
      </w:r>
      <w:r>
        <w:rPr>
          <w:color w:val="auto"/>
        </w:rPr>
        <w:t>泾河，属黄河</w:t>
      </w:r>
      <w:r>
        <w:rPr>
          <w:rFonts w:hint="eastAsia"/>
          <w:color w:val="auto"/>
        </w:rPr>
        <w:t>二</w:t>
      </w:r>
      <w:r>
        <w:rPr>
          <w:color w:val="auto"/>
        </w:rPr>
        <w:t>级支流</w:t>
      </w:r>
      <w:r>
        <w:rPr>
          <w:rFonts w:hint="eastAsia"/>
          <w:color w:val="auto"/>
        </w:rPr>
        <w:t>，全长455.1公里，发源于</w:t>
      </w:r>
      <w:r>
        <w:fldChar w:fldCharType="begin"/>
      </w:r>
      <w:r>
        <w:instrText xml:space="preserve"> HYPERLINK "javascript:linkredwin('宁夏六盘山');" \o "宁夏六盘山" </w:instrText>
      </w:r>
      <w:r>
        <w:fldChar w:fldCharType="separate"/>
      </w:r>
      <w:r>
        <w:rPr>
          <w:rFonts w:hint="eastAsia"/>
          <w:color w:val="auto"/>
        </w:rPr>
        <w:t>宁夏六盘山</w:t>
      </w:r>
      <w:r>
        <w:rPr>
          <w:rFonts w:hint="eastAsia"/>
          <w:color w:val="auto"/>
        </w:rPr>
        <w:fldChar w:fldCharType="end"/>
      </w:r>
      <w:r>
        <w:rPr>
          <w:rFonts w:hint="eastAsia"/>
          <w:color w:val="auto"/>
        </w:rPr>
        <w:t>东麓。</w:t>
      </w:r>
      <w:r>
        <w:rPr>
          <w:rFonts w:cs="Times New Roman"/>
          <w:color w:val="auto"/>
          <w:szCs w:val="24"/>
        </w:rPr>
        <w:t>泾河在泾渭堡北侧由西向东流过，其流经</w:t>
      </w:r>
      <w:r>
        <w:rPr>
          <w:rFonts w:hint="eastAsia" w:cs="Times New Roman"/>
          <w:color w:val="auto"/>
          <w:szCs w:val="24"/>
        </w:rPr>
        <w:t>项目区</w:t>
      </w:r>
      <w:r>
        <w:rPr>
          <w:rFonts w:cs="Times New Roman"/>
          <w:color w:val="auto"/>
          <w:szCs w:val="24"/>
        </w:rPr>
        <w:t>地段河床宽25－100m，比降1‰。陈家滩以东，泾河为砂质河床，以西河床底部多为粉质粘土。据桃园水文站实测1971－1985年多年平均流量为43.1m</w:t>
      </w:r>
      <w:r>
        <w:rPr>
          <w:rFonts w:cs="Times New Roman"/>
          <w:color w:val="auto"/>
          <w:szCs w:val="24"/>
          <w:vertAlign w:val="superscript"/>
        </w:rPr>
        <w:t>3</w:t>
      </w:r>
      <w:r>
        <w:rPr>
          <w:rFonts w:cs="Times New Roman"/>
          <w:color w:val="auto"/>
          <w:szCs w:val="24"/>
        </w:rPr>
        <w:t>/s，累月平均最小流量6.9m</w:t>
      </w:r>
      <w:r>
        <w:rPr>
          <w:rFonts w:cs="Times New Roman"/>
          <w:color w:val="auto"/>
          <w:szCs w:val="24"/>
          <w:vertAlign w:val="superscript"/>
        </w:rPr>
        <w:t>3</w:t>
      </w:r>
      <w:r>
        <w:rPr>
          <w:rFonts w:cs="Times New Roman"/>
          <w:color w:val="auto"/>
          <w:szCs w:val="24"/>
        </w:rPr>
        <w:t>/s（1月），累月平均最大流量108m</w:t>
      </w:r>
      <w:r>
        <w:rPr>
          <w:rFonts w:cs="Times New Roman"/>
          <w:color w:val="auto"/>
          <w:szCs w:val="24"/>
          <w:vertAlign w:val="superscript"/>
        </w:rPr>
        <w:t>3</w:t>
      </w:r>
      <w:r>
        <w:rPr>
          <w:rFonts w:cs="Times New Roman"/>
          <w:color w:val="auto"/>
          <w:szCs w:val="24"/>
        </w:rPr>
        <w:t>/s（8月），多年最枯水月平均流量5.02m</w:t>
      </w:r>
      <w:r>
        <w:rPr>
          <w:rFonts w:cs="Times New Roman"/>
          <w:color w:val="auto"/>
          <w:szCs w:val="24"/>
          <w:vertAlign w:val="superscript"/>
        </w:rPr>
        <w:t>3</w:t>
      </w:r>
      <w:r>
        <w:rPr>
          <w:rFonts w:cs="Times New Roman"/>
          <w:color w:val="auto"/>
          <w:szCs w:val="24"/>
        </w:rPr>
        <w:t>/s。洪水位标高362m。多年平均含沙量74.17kg/m</w:t>
      </w:r>
      <w:r>
        <w:rPr>
          <w:rFonts w:cs="Times New Roman"/>
          <w:color w:val="auto"/>
          <w:szCs w:val="24"/>
          <w:vertAlign w:val="superscript"/>
        </w:rPr>
        <w:t>3</w:t>
      </w:r>
      <w:r>
        <w:rPr>
          <w:rFonts w:cs="Times New Roman"/>
          <w:color w:val="auto"/>
          <w:szCs w:val="24"/>
        </w:rPr>
        <w:t>。夏季月平均含沙量139.13－301.87kg/m</w:t>
      </w:r>
      <w:r>
        <w:rPr>
          <w:rFonts w:cs="Times New Roman"/>
          <w:color w:val="auto"/>
          <w:szCs w:val="24"/>
          <w:vertAlign w:val="superscript"/>
        </w:rPr>
        <w:t>3</w:t>
      </w:r>
      <w:r>
        <w:rPr>
          <w:rFonts w:cs="Times New Roman"/>
          <w:color w:val="auto"/>
          <w:szCs w:val="24"/>
        </w:rPr>
        <w:t>，此时河水很浑浊。冬季月平均含沙量为0.04－0.329kg/m</w:t>
      </w:r>
      <w:r>
        <w:rPr>
          <w:rFonts w:cs="Times New Roman"/>
          <w:color w:val="auto"/>
          <w:szCs w:val="24"/>
          <w:vertAlign w:val="superscript"/>
        </w:rPr>
        <w:t>3</w:t>
      </w:r>
      <w:r>
        <w:rPr>
          <w:rFonts w:hint="eastAsia" w:cs="Times New Roman"/>
          <w:color w:val="auto"/>
          <w:szCs w:val="24"/>
        </w:rPr>
        <w:t>。</w:t>
      </w:r>
    </w:p>
    <w:p>
      <w:pPr>
        <w:pStyle w:val="63"/>
        <w:ind w:firstLine="0" w:firstLineChars="0"/>
        <w:jc w:val="center"/>
        <w:rPr>
          <w:rFonts w:cs="Times New Roman"/>
          <w:color w:val="auto"/>
          <w:szCs w:val="24"/>
        </w:rPr>
      </w:pPr>
      <w:r>
        <w:rPr>
          <w:rFonts w:cs="Times New Roman"/>
          <w:color w:val="auto"/>
          <w:szCs w:val="24"/>
        </w:rPr>
        <w:drawing>
          <wp:inline distT="0" distB="0" distL="0" distR="0">
            <wp:extent cx="5276850" cy="2152650"/>
            <wp:effectExtent l="19050" t="0" r="0" b="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noChangeArrowheads="1"/>
                    </pic:cNvPicPr>
                  </pic:nvPicPr>
                  <pic:blipFill>
                    <a:blip r:embed="rId24"/>
                    <a:srcRect/>
                    <a:stretch>
                      <a:fillRect/>
                    </a:stretch>
                  </pic:blipFill>
                  <pic:spPr>
                    <a:xfrm>
                      <a:off x="0" y="0"/>
                      <a:ext cx="5276850" cy="2152650"/>
                    </a:xfrm>
                    <a:prstGeom prst="rect">
                      <a:avLst/>
                    </a:prstGeom>
                    <a:noFill/>
                    <a:ln w="9525">
                      <a:noFill/>
                      <a:miter lim="800000"/>
                      <a:headEnd/>
                      <a:tailEnd/>
                    </a:ln>
                  </pic:spPr>
                </pic:pic>
              </a:graphicData>
            </a:graphic>
          </wp:inline>
        </w:drawing>
      </w:r>
    </w:p>
    <w:p>
      <w:pPr>
        <w:pStyle w:val="65"/>
      </w:pPr>
      <w:r>
        <w:t>图</w:t>
      </w:r>
      <w:r>
        <w:rPr>
          <w:rFonts w:hint="eastAsia"/>
        </w:rPr>
        <w:t>4.1-5</w:t>
      </w:r>
      <w:r>
        <w:t xml:space="preserve">  泾河多年月平均流量、含沙量变化曲线</w:t>
      </w:r>
    </w:p>
    <w:p>
      <w:pPr>
        <w:pStyle w:val="63"/>
        <w:ind w:firstLine="480"/>
        <w:rPr>
          <w:color w:val="auto"/>
        </w:rPr>
      </w:pPr>
    </w:p>
    <w:p>
      <w:pPr>
        <w:pStyle w:val="63"/>
        <w:ind w:firstLine="480"/>
        <w:rPr>
          <w:color w:val="auto"/>
        </w:rPr>
        <w:sectPr>
          <w:pgSz w:w="11906" w:h="16838"/>
          <w:pgMar w:top="1440" w:right="1440" w:bottom="1440" w:left="1440" w:header="851" w:footer="992" w:gutter="0"/>
          <w:cols w:space="720" w:num="1"/>
          <w:titlePg/>
          <w:docGrid w:type="lines" w:linePitch="312" w:charSpace="0"/>
        </w:sectPr>
      </w:pPr>
    </w:p>
    <w:p>
      <w:pPr>
        <w:pStyle w:val="61"/>
        <w:rPr>
          <w:color w:val="auto"/>
        </w:rPr>
      </w:pPr>
      <w:bookmarkStart w:id="38" w:name="_Toc436902156"/>
      <w:r>
        <w:rPr>
          <w:rFonts w:hint="eastAsia"/>
          <w:color w:val="auto"/>
        </w:rPr>
        <w:t>4.2社会环境概况</w:t>
      </w:r>
      <w:bookmarkEnd w:id="38"/>
    </w:p>
    <w:p>
      <w:pPr>
        <w:pStyle w:val="62"/>
        <w:rPr>
          <w:color w:val="auto"/>
          <w:szCs w:val="24"/>
        </w:rPr>
      </w:pPr>
      <w:r>
        <w:rPr>
          <w:rFonts w:hint="eastAsia"/>
          <w:color w:val="auto"/>
        </w:rPr>
        <w:t>4.2.1</w:t>
      </w:r>
      <w:r>
        <w:rPr>
          <w:color w:val="auto"/>
          <w:szCs w:val="24"/>
        </w:rPr>
        <w:t>泾河新城社会经济概况</w:t>
      </w:r>
    </w:p>
    <w:p>
      <w:pPr>
        <w:pStyle w:val="63"/>
        <w:ind w:firstLine="480"/>
        <w:rPr>
          <w:rFonts w:cs="Times New Roman"/>
          <w:color w:val="auto"/>
          <w:szCs w:val="24"/>
        </w:rPr>
      </w:pPr>
      <w:r>
        <w:rPr>
          <w:rFonts w:cs="Times New Roman"/>
          <w:color w:val="auto"/>
          <w:szCs w:val="24"/>
        </w:rPr>
        <w:t>泾河新城规划区位于泾阳县东南部，包括泾干镇、永乐镇、崇文乡和高庄镇的部分地区，东与高陵县毗邻，南过泾河至高庄镇费家崖—马鼻梁，西与中张镇接壤，北与燕王镇、三渠镇相连，总面积146km</w:t>
      </w:r>
      <w:r>
        <w:rPr>
          <w:rFonts w:cs="Times New Roman"/>
          <w:color w:val="auto"/>
          <w:szCs w:val="24"/>
          <w:vertAlign w:val="superscript"/>
        </w:rPr>
        <w:t>2</w:t>
      </w:r>
      <w:r>
        <w:rPr>
          <w:rFonts w:cs="Times New Roman"/>
          <w:color w:val="auto"/>
          <w:szCs w:val="24"/>
        </w:rPr>
        <w:t>。截止2010年底，</w:t>
      </w:r>
      <w:r>
        <w:rPr>
          <w:color w:val="auto"/>
        </w:rPr>
        <w:t>规划范围内的行政村共计63个，人口14万人</w:t>
      </w:r>
      <w:r>
        <w:rPr>
          <w:rFonts w:cs="Times New Roman"/>
          <w:color w:val="auto"/>
          <w:szCs w:val="24"/>
        </w:rPr>
        <w:t>，近期规划人口30万人，远期规划人口47万人。</w:t>
      </w:r>
    </w:p>
    <w:p>
      <w:pPr>
        <w:pStyle w:val="63"/>
        <w:ind w:firstLine="480"/>
        <w:rPr>
          <w:rFonts w:cs="Times New Roman"/>
          <w:color w:val="auto"/>
          <w:szCs w:val="24"/>
        </w:rPr>
      </w:pPr>
      <w:r>
        <w:rPr>
          <w:rFonts w:hint="eastAsia"/>
          <w:color w:val="auto"/>
        </w:rPr>
        <w:t>规划范围内大部分为耕地，一产比例较大，二产迅速崛起，三产发展比较滞后。农业方面，粮菜果畜四大主导产业发展良好，葡萄种植迅速发展，梨枣、银杏、沙红桃等杂果种植日趋受欢迎；工业方面，农产品加工业蓬勃兴起、泾阳工业密集区迅速崛起、电磁线缆基地全面振兴，乡镇企业发展较快；第三产业方面，区内主要分散于县城、城镇和若干集镇，旅游、物流、地产、资讯等现代服务业发展相对滞后。</w:t>
      </w:r>
      <w:r>
        <w:rPr>
          <w:rFonts w:ascii="ËÎÌå" w:hAnsi="ËÎÌå" w:cs="ËÎÌå"/>
          <w:color w:val="auto"/>
        </w:rPr>
        <w:t>2010</w:t>
      </w:r>
      <w:r>
        <w:rPr>
          <w:rFonts w:hint="eastAsia"/>
          <w:color w:val="auto"/>
        </w:rPr>
        <w:t>年，新城地区生产总值</w:t>
      </w:r>
      <w:r>
        <w:rPr>
          <w:rFonts w:ascii="ËÎÌå" w:hAnsi="ËÎÌå" w:cs="ËÎÌå"/>
          <w:color w:val="auto"/>
        </w:rPr>
        <w:t>38.50</w:t>
      </w:r>
      <w:r>
        <w:rPr>
          <w:rFonts w:hint="eastAsia"/>
          <w:color w:val="auto"/>
        </w:rPr>
        <w:t>亿元，地方财政收入</w:t>
      </w:r>
      <w:r>
        <w:rPr>
          <w:rFonts w:ascii="ËÎÌå" w:hAnsi="ËÎÌå" w:cs="ËÎÌå"/>
          <w:color w:val="auto"/>
        </w:rPr>
        <w:t>1.96</w:t>
      </w:r>
      <w:r>
        <w:rPr>
          <w:rFonts w:hint="eastAsia"/>
          <w:color w:val="auto"/>
        </w:rPr>
        <w:t>亿元，规模以上工业企业总产值</w:t>
      </w:r>
      <w:r>
        <w:rPr>
          <w:rFonts w:ascii="ËÎÌå" w:hAnsi="ËÎÌå" w:cs="ËÎÌå"/>
          <w:color w:val="auto"/>
        </w:rPr>
        <w:t>48.32</w:t>
      </w:r>
      <w:r>
        <w:rPr>
          <w:rFonts w:hint="eastAsia"/>
          <w:color w:val="auto"/>
        </w:rPr>
        <w:t>亿元。</w:t>
      </w:r>
    </w:p>
    <w:p>
      <w:pPr>
        <w:pStyle w:val="62"/>
        <w:rPr>
          <w:rFonts w:ascii="仿宋_GB2312" w:hAnsi="仿宋" w:eastAsia="仿宋_GB2312"/>
          <w:color w:val="auto"/>
        </w:rPr>
      </w:pPr>
      <w:r>
        <w:rPr>
          <w:rFonts w:hint="eastAsia"/>
          <w:color w:val="auto"/>
        </w:rPr>
        <w:t>4.2.2</w:t>
      </w:r>
      <w:r>
        <w:rPr>
          <w:rFonts w:hint="eastAsia" w:ascii="仿宋_GB2312" w:hAnsi="仿宋" w:eastAsia="仿宋_GB2312"/>
          <w:color w:val="auto"/>
        </w:rPr>
        <w:t>土地利用情况</w:t>
      </w:r>
    </w:p>
    <w:p>
      <w:pPr>
        <w:pStyle w:val="63"/>
        <w:ind w:firstLine="480"/>
        <w:rPr>
          <w:color w:val="auto"/>
        </w:rPr>
      </w:pPr>
      <w:r>
        <w:rPr>
          <w:color w:val="auto"/>
        </w:rPr>
        <w:t>泾河新城现状土地利用中建设用地主要集中在泾阳县城、永乐镇、崇文镇、高庄镇及所属村庄，高泾路东段分布部分工业用地，建设用地总量较少；现状以耕地和泾河水域为主。现状建设用地规模18.04 km</w:t>
      </w:r>
      <w:r>
        <w:rPr>
          <w:color w:val="auto"/>
          <w:vertAlign w:val="superscript"/>
        </w:rPr>
        <w:t>2</w:t>
      </w:r>
      <w:r>
        <w:rPr>
          <w:color w:val="auto"/>
        </w:rPr>
        <w:t>，人均建设用地为132.26 m</w:t>
      </w:r>
      <w:r>
        <w:rPr>
          <w:color w:val="auto"/>
          <w:vertAlign w:val="superscript"/>
        </w:rPr>
        <w:t>2</w:t>
      </w:r>
      <w:r>
        <w:rPr>
          <w:color w:val="auto"/>
        </w:rPr>
        <w:t>。规划范围</w:t>
      </w:r>
      <w:r>
        <w:rPr>
          <w:rFonts w:hint="eastAsia"/>
          <w:color w:val="auto"/>
        </w:rPr>
        <w:t>及</w:t>
      </w:r>
      <w:r>
        <w:rPr>
          <w:color w:val="auto"/>
        </w:rPr>
        <w:t>土地利用现状如图</w:t>
      </w:r>
      <w:r>
        <w:rPr>
          <w:rFonts w:hint="eastAsia"/>
          <w:color w:val="auto"/>
        </w:rPr>
        <w:t>4.1-12</w:t>
      </w:r>
      <w:r>
        <w:rPr>
          <w:color w:val="auto"/>
        </w:rPr>
        <w:t>所示。</w:t>
      </w:r>
    </w:p>
    <w:p>
      <w:pPr>
        <w:spacing w:line="360" w:lineRule="auto"/>
        <w:ind w:firstLine="480" w:firstLineChars="200"/>
        <w:rPr>
          <w:sz w:val="24"/>
        </w:rPr>
      </w:pPr>
      <w:r>
        <w:rPr>
          <w:rFonts w:hAnsi="宋体"/>
          <w:sz w:val="24"/>
        </w:rPr>
        <w:t>泾河新城规划面积</w:t>
      </w:r>
      <w:r>
        <w:rPr>
          <w:sz w:val="24"/>
        </w:rPr>
        <w:t>146km</w:t>
      </w:r>
      <w:r>
        <w:rPr>
          <w:sz w:val="24"/>
          <w:vertAlign w:val="superscript"/>
        </w:rPr>
        <w:t>2</w:t>
      </w:r>
      <w:r>
        <w:rPr>
          <w:rFonts w:hAnsi="宋体"/>
          <w:sz w:val="24"/>
        </w:rPr>
        <w:t>，其中泾干镇</w:t>
      </w:r>
      <w:r>
        <w:rPr>
          <w:sz w:val="24"/>
        </w:rPr>
        <w:t>53.9km</w:t>
      </w:r>
      <w:r>
        <w:rPr>
          <w:sz w:val="24"/>
          <w:vertAlign w:val="superscript"/>
        </w:rPr>
        <w:t>2</w:t>
      </w:r>
      <w:r>
        <w:rPr>
          <w:rFonts w:hAnsi="宋体"/>
          <w:sz w:val="24"/>
        </w:rPr>
        <w:t>、永乐镇</w:t>
      </w:r>
      <w:r>
        <w:rPr>
          <w:sz w:val="24"/>
        </w:rPr>
        <w:t>25.5km</w:t>
      </w:r>
      <w:r>
        <w:rPr>
          <w:sz w:val="24"/>
          <w:vertAlign w:val="superscript"/>
        </w:rPr>
        <w:t>2</w:t>
      </w:r>
      <w:r>
        <w:rPr>
          <w:rFonts w:hAnsi="宋体"/>
          <w:sz w:val="24"/>
        </w:rPr>
        <w:t>、崇文镇</w:t>
      </w:r>
      <w:r>
        <w:rPr>
          <w:sz w:val="24"/>
        </w:rPr>
        <w:t>27.8km</w:t>
      </w:r>
      <w:r>
        <w:rPr>
          <w:sz w:val="24"/>
          <w:vertAlign w:val="superscript"/>
        </w:rPr>
        <w:t>2</w:t>
      </w:r>
      <w:r>
        <w:rPr>
          <w:rFonts w:hAnsi="宋体"/>
          <w:sz w:val="24"/>
        </w:rPr>
        <w:t>、高庄镇</w:t>
      </w:r>
      <w:r>
        <w:rPr>
          <w:sz w:val="24"/>
        </w:rPr>
        <w:t>38.8km</w:t>
      </w:r>
      <w:r>
        <w:rPr>
          <w:sz w:val="24"/>
          <w:vertAlign w:val="superscript"/>
        </w:rPr>
        <w:t>2</w:t>
      </w:r>
      <w:r>
        <w:rPr>
          <w:rFonts w:hAnsi="宋体"/>
          <w:sz w:val="24"/>
        </w:rPr>
        <w:t>（总面积</w:t>
      </w:r>
      <w:r>
        <w:rPr>
          <w:sz w:val="24"/>
        </w:rPr>
        <w:t>46.7km</w:t>
      </w:r>
      <w:r>
        <w:rPr>
          <w:sz w:val="24"/>
          <w:vertAlign w:val="superscript"/>
        </w:rPr>
        <w:t>2</w:t>
      </w:r>
      <w:r>
        <w:rPr>
          <w:rFonts w:hAnsi="宋体"/>
          <w:sz w:val="24"/>
        </w:rPr>
        <w:t>的一部分，高庄镇的另外一部分属秦汉新城）。</w:t>
      </w:r>
    </w:p>
    <w:p>
      <w:pPr>
        <w:pStyle w:val="63"/>
        <w:ind w:firstLine="480"/>
        <w:jc w:val="both"/>
        <w:rPr>
          <w:rFonts w:hAnsi="宋体" w:cs="Times New Roman"/>
          <w:color w:val="auto"/>
          <w:szCs w:val="24"/>
        </w:rPr>
      </w:pPr>
      <w:r>
        <w:rPr>
          <w:rFonts w:hAnsi="宋体" w:cs="Times New Roman"/>
          <w:color w:val="auto"/>
          <w:szCs w:val="24"/>
        </w:rPr>
        <w:t>泾河新城规划区面积中耕地</w:t>
      </w:r>
      <w:r>
        <w:rPr>
          <w:rFonts w:cs="Times New Roman"/>
          <w:color w:val="auto"/>
          <w:szCs w:val="24"/>
        </w:rPr>
        <w:t>85.36km</w:t>
      </w:r>
      <w:r>
        <w:rPr>
          <w:rFonts w:cs="Times New Roman"/>
          <w:color w:val="auto"/>
          <w:szCs w:val="24"/>
          <w:vertAlign w:val="superscript"/>
        </w:rPr>
        <w:t>2</w:t>
      </w:r>
      <w:r>
        <w:rPr>
          <w:rFonts w:hAnsi="宋体" w:cs="Times New Roman"/>
          <w:color w:val="auto"/>
          <w:szCs w:val="24"/>
        </w:rPr>
        <w:t>、园地</w:t>
      </w:r>
      <w:r>
        <w:rPr>
          <w:rFonts w:cs="Times New Roman"/>
          <w:color w:val="auto"/>
          <w:szCs w:val="24"/>
        </w:rPr>
        <w:t>3.13 km</w:t>
      </w:r>
      <w:r>
        <w:rPr>
          <w:rFonts w:cs="Times New Roman"/>
          <w:color w:val="auto"/>
          <w:szCs w:val="24"/>
          <w:vertAlign w:val="superscript"/>
        </w:rPr>
        <w:t>2</w:t>
      </w:r>
      <w:r>
        <w:rPr>
          <w:rFonts w:hAnsi="宋体" w:cs="Times New Roman"/>
          <w:color w:val="auto"/>
          <w:szCs w:val="24"/>
        </w:rPr>
        <w:t>、林地</w:t>
      </w:r>
      <w:r>
        <w:rPr>
          <w:rFonts w:cs="Times New Roman"/>
          <w:color w:val="auto"/>
          <w:szCs w:val="24"/>
        </w:rPr>
        <w:t>1.23km</w:t>
      </w:r>
      <w:r>
        <w:rPr>
          <w:rFonts w:cs="Times New Roman"/>
          <w:color w:val="auto"/>
          <w:szCs w:val="24"/>
          <w:vertAlign w:val="superscript"/>
        </w:rPr>
        <w:t>2</w:t>
      </w:r>
      <w:r>
        <w:rPr>
          <w:rFonts w:hAnsi="宋体" w:cs="Times New Roman"/>
          <w:color w:val="auto"/>
          <w:szCs w:val="24"/>
        </w:rPr>
        <w:t>、居民点及工矿用地</w:t>
      </w:r>
      <w:r>
        <w:rPr>
          <w:rFonts w:cs="Times New Roman"/>
          <w:color w:val="auto"/>
          <w:szCs w:val="24"/>
        </w:rPr>
        <w:t>26.09 km</w:t>
      </w:r>
      <w:r>
        <w:rPr>
          <w:rFonts w:cs="Times New Roman"/>
          <w:color w:val="auto"/>
          <w:szCs w:val="24"/>
          <w:vertAlign w:val="superscript"/>
        </w:rPr>
        <w:t>2</w:t>
      </w:r>
      <w:r>
        <w:rPr>
          <w:rFonts w:hAnsi="宋体" w:cs="Times New Roman"/>
          <w:color w:val="auto"/>
          <w:szCs w:val="24"/>
        </w:rPr>
        <w:t>、交通运输设施占地</w:t>
      </w:r>
      <w:r>
        <w:rPr>
          <w:rFonts w:cs="Times New Roman"/>
          <w:color w:val="auto"/>
          <w:szCs w:val="24"/>
        </w:rPr>
        <w:t>3.86km</w:t>
      </w:r>
      <w:r>
        <w:rPr>
          <w:rFonts w:cs="Times New Roman"/>
          <w:color w:val="auto"/>
          <w:szCs w:val="24"/>
          <w:vertAlign w:val="superscript"/>
        </w:rPr>
        <w:t>2</w:t>
      </w:r>
      <w:r>
        <w:rPr>
          <w:rFonts w:hAnsi="宋体" w:cs="Times New Roman"/>
          <w:color w:val="auto"/>
          <w:szCs w:val="24"/>
        </w:rPr>
        <w:t>、其他合计</w:t>
      </w:r>
      <w:r>
        <w:rPr>
          <w:rFonts w:cs="Times New Roman"/>
          <w:color w:val="auto"/>
          <w:szCs w:val="24"/>
        </w:rPr>
        <w:t>26.33 km</w:t>
      </w:r>
      <w:r>
        <w:rPr>
          <w:rFonts w:cs="Times New Roman"/>
          <w:color w:val="auto"/>
          <w:szCs w:val="24"/>
          <w:vertAlign w:val="superscript"/>
        </w:rPr>
        <w:t>2</w:t>
      </w:r>
      <w:r>
        <w:rPr>
          <w:rFonts w:hAnsi="宋体" w:cs="Times New Roman"/>
          <w:color w:val="auto"/>
          <w:szCs w:val="24"/>
        </w:rPr>
        <w:t>。数据表明规划区内耕地面积较大，比重达</w:t>
      </w:r>
      <w:r>
        <w:rPr>
          <w:rFonts w:cs="Times New Roman"/>
          <w:color w:val="auto"/>
          <w:szCs w:val="24"/>
        </w:rPr>
        <w:t>58.4%</w:t>
      </w:r>
      <w:r>
        <w:rPr>
          <w:rFonts w:hAnsi="宋体" w:cs="Times New Roman"/>
          <w:color w:val="auto"/>
          <w:szCs w:val="24"/>
        </w:rPr>
        <w:t>，现状人均耕地</w:t>
      </w:r>
      <w:r>
        <w:rPr>
          <w:rFonts w:cs="Times New Roman"/>
          <w:color w:val="auto"/>
          <w:szCs w:val="24"/>
        </w:rPr>
        <w:t>0.94</w:t>
      </w:r>
      <w:r>
        <w:rPr>
          <w:rFonts w:hAnsi="宋体" w:cs="Times New Roman"/>
          <w:color w:val="auto"/>
          <w:szCs w:val="24"/>
        </w:rPr>
        <w:t>亩。地貌主要为冲洪积平原，坡、沟地较少，地质条件较好，开发利用相对容易。</w:t>
      </w:r>
    </w:p>
    <w:p>
      <w:pPr>
        <w:pStyle w:val="65"/>
      </w:pPr>
      <w:r>
        <w:drawing>
          <wp:inline distT="0" distB="0" distL="0" distR="0">
            <wp:extent cx="5276850" cy="4162425"/>
            <wp:effectExtent l="19050" t="19050" r="19050" b="28575"/>
            <wp:docPr id="12" name="Picture 3" descr="03综合现状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 descr="03综合现状图"/>
                    <pic:cNvPicPr>
                      <a:picLocks noChangeAspect="1" noChangeArrowheads="1"/>
                    </pic:cNvPicPr>
                  </pic:nvPicPr>
                  <pic:blipFill>
                    <a:blip r:embed="rId25"/>
                    <a:srcRect t="259"/>
                    <a:stretch>
                      <a:fillRect/>
                    </a:stretch>
                  </pic:blipFill>
                  <pic:spPr>
                    <a:xfrm>
                      <a:off x="0" y="0"/>
                      <a:ext cx="5276850" cy="4162425"/>
                    </a:xfrm>
                    <a:prstGeom prst="rect">
                      <a:avLst/>
                    </a:prstGeom>
                    <a:noFill/>
                    <a:ln w="9525" cmpd="sng">
                      <a:solidFill>
                        <a:srgbClr val="000000"/>
                      </a:solidFill>
                      <a:miter lim="800000"/>
                      <a:headEnd/>
                      <a:tailEnd/>
                    </a:ln>
                    <a:effectLst/>
                  </pic:spPr>
                </pic:pic>
              </a:graphicData>
            </a:graphic>
          </wp:inline>
        </w:drawing>
      </w:r>
    </w:p>
    <w:p>
      <w:pPr>
        <w:pStyle w:val="65"/>
      </w:pPr>
      <w:r>
        <w:rPr>
          <w:rFonts w:hint="eastAsia"/>
        </w:rPr>
        <w:t xml:space="preserve">图4.2-1   </w:t>
      </w:r>
      <w:r>
        <w:t>泾河新城</w:t>
      </w:r>
      <w:r>
        <w:rPr>
          <w:rFonts w:hint="eastAsia"/>
        </w:rPr>
        <w:t>规划范围及</w:t>
      </w:r>
      <w:r>
        <w:t>土地利用现状图</w:t>
      </w:r>
    </w:p>
    <w:p>
      <w:pPr>
        <w:pStyle w:val="62"/>
        <w:rPr>
          <w:color w:val="auto"/>
        </w:rPr>
      </w:pPr>
      <w:r>
        <w:rPr>
          <w:rFonts w:hint="eastAsia"/>
          <w:color w:val="auto"/>
        </w:rPr>
        <w:t>4.2.3交通概况</w:t>
      </w:r>
    </w:p>
    <w:p>
      <w:pPr>
        <w:pStyle w:val="63"/>
        <w:ind w:firstLine="480"/>
        <w:jc w:val="both"/>
        <w:rPr>
          <w:color w:val="auto"/>
        </w:rPr>
      </w:pPr>
      <w:r>
        <w:rPr>
          <w:rFonts w:cs="Times New Roman"/>
          <w:color w:val="auto"/>
          <w:szCs w:val="24"/>
        </w:rPr>
        <w:t>泾河新城南距西安市28公里，北距泾阳县城5公里，</w:t>
      </w:r>
      <w:r>
        <w:rPr>
          <w:color w:val="auto"/>
        </w:rPr>
        <w:t>泾河新城区内主要交通干道有包茂高速、包茂高速复线、咸铜铁路。</w:t>
      </w:r>
      <w:r>
        <w:rPr>
          <w:rFonts w:cs="Times New Roman"/>
          <w:color w:val="auto"/>
          <w:szCs w:val="24"/>
        </w:rPr>
        <w:t>城乡公路成网，村庄田间大道相连，交通颇为方便</w:t>
      </w:r>
      <w:r>
        <w:rPr>
          <w:rFonts w:hint="eastAsia" w:cs="Times New Roman"/>
          <w:color w:val="auto"/>
          <w:szCs w:val="24"/>
        </w:rPr>
        <w:t>，</w:t>
      </w:r>
    </w:p>
    <w:p>
      <w:pPr>
        <w:pStyle w:val="63"/>
        <w:spacing w:line="240" w:lineRule="auto"/>
        <w:ind w:firstLine="0" w:firstLineChars="0"/>
        <w:jc w:val="center"/>
        <w:rPr>
          <w:color w:val="auto"/>
        </w:rPr>
      </w:pPr>
      <w:r>
        <w:rPr>
          <w:color w:val="auto"/>
        </w:rPr>
        <mc:AlternateContent>
          <mc:Choice Requires="wpg">
            <w:drawing>
              <wp:anchor distT="0" distB="0" distL="114300" distR="114300" simplePos="0" relativeHeight="251659264" behindDoc="0" locked="0" layoutInCell="1" allowOverlap="1">
                <wp:simplePos x="0" y="0"/>
                <wp:positionH relativeFrom="column">
                  <wp:posOffset>2150110</wp:posOffset>
                </wp:positionH>
                <wp:positionV relativeFrom="paragraph">
                  <wp:posOffset>2599055</wp:posOffset>
                </wp:positionV>
                <wp:extent cx="1218565" cy="626745"/>
                <wp:effectExtent l="0" t="0" r="57785" b="59055"/>
                <wp:wrapNone/>
                <wp:docPr id="3" name="组合 13"/>
                <wp:cNvGraphicFramePr/>
                <a:graphic xmlns:a="http://schemas.openxmlformats.org/drawingml/2006/main">
                  <a:graphicData uri="http://schemas.microsoft.com/office/word/2010/wordprocessingGroup">
                    <wpg:wgp>
                      <wpg:cNvGrpSpPr/>
                      <wpg:grpSpPr>
                        <a:xfrm>
                          <a:off x="0" y="0"/>
                          <a:ext cx="1218565" cy="626745"/>
                          <a:chOff x="4826" y="5533"/>
                          <a:chExt cx="1919" cy="987"/>
                        </a:xfrm>
                      </wpg:grpSpPr>
                      <wps:wsp>
                        <wps:cNvPr id="1" name="自选图形 11"/>
                        <wps:cNvSpPr/>
                        <wps:spPr>
                          <a:xfrm>
                            <a:off x="6674" y="6427"/>
                            <a:ext cx="71" cy="93"/>
                          </a:xfrm>
                          <a:prstGeom prst="triangle">
                            <a:avLst>
                              <a:gd name="adj" fmla="val 45454"/>
                            </a:avLst>
                          </a:prstGeom>
                          <a:solidFill>
                            <a:srgbClr val="FF0000"/>
                          </a:solidFill>
                          <a:ln w="38100" cap="flat" cmpd="sng">
                            <a:solidFill>
                              <a:srgbClr val="FF0000"/>
                            </a:solidFill>
                            <a:prstDash val="solid"/>
                            <a:miter/>
                            <a:headEnd type="none" w="med" len="med"/>
                            <a:tailEnd type="none" w="med" len="med"/>
                          </a:ln>
                          <a:effectLst>
                            <a:outerShdw dist="28398" dir="3806096" algn="ctr" rotWithShape="0">
                              <a:srgbClr val="974706">
                                <a:alpha val="50000"/>
                              </a:srgbClr>
                            </a:outerShdw>
                          </a:effectLst>
                        </wps:spPr>
                        <wps:bodyPr upright="1"/>
                      </wps:wsp>
                      <wps:wsp>
                        <wps:cNvPr id="2" name="自选图形 12"/>
                        <wps:cNvSpPr/>
                        <wps:spPr>
                          <a:xfrm>
                            <a:off x="4826" y="5533"/>
                            <a:ext cx="1194" cy="319"/>
                          </a:xfrm>
                          <a:prstGeom prst="callout1">
                            <a:avLst>
                              <a:gd name="adj1" fmla="val 56426"/>
                              <a:gd name="adj2" fmla="val 110051"/>
                              <a:gd name="adj3" fmla="val 280250"/>
                              <a:gd name="adj4" fmla="val 154773"/>
                            </a:avLst>
                          </a:prstGeom>
                          <a:gradFill rotWithShape="0">
                            <a:gsLst>
                              <a:gs pos="0">
                                <a:srgbClr val="BBD5F0"/>
                              </a:gs>
                              <a:gs pos="100000">
                                <a:srgbClr val="FFFFFF"/>
                              </a:gs>
                            </a:gsLst>
                            <a:lin ang="5400000"/>
                            <a:tileRect/>
                          </a:gradFill>
                          <a:ln w="15875" cap="flat" cmpd="sng">
                            <a:solidFill>
                              <a:srgbClr val="FF0000"/>
                            </a:solidFill>
                            <a:prstDash val="solid"/>
                            <a:miter/>
                            <a:headEnd type="none" w="med" len="med"/>
                            <a:tailEnd type="none" w="med" len="med"/>
                          </a:ln>
                        </wps:spPr>
                        <wps:txbx>
                          <w:txbxContent>
                            <w:p>
                              <w:pPr>
                                <w:rPr>
                                  <w:b/>
                                </w:rPr>
                              </w:pPr>
                              <w:r>
                                <w:rPr>
                                  <w:rFonts w:hint="eastAsia"/>
                                  <w:b/>
                                </w:rPr>
                                <w:t>项目所在地</w:t>
                              </w:r>
                            </w:p>
                          </w:txbxContent>
                        </wps:txbx>
                        <wps:bodyPr lIns="0" tIns="0" rIns="0" bIns="0" upright="1"/>
                      </wps:wsp>
                    </wpg:wgp>
                  </a:graphicData>
                </a:graphic>
              </wp:anchor>
            </w:drawing>
          </mc:Choice>
          <mc:Fallback>
            <w:pict>
              <v:group id="组合 13" o:spid="_x0000_s1026" o:spt="203" style="position:absolute;left:0pt;margin-left:169.3pt;margin-top:204.65pt;height:49.35pt;width:95.95pt;z-index:251659264;mso-width-relative:page;mso-height-relative:page;" coordorigin="4826,5533" coordsize="1919,987" o:gfxdata="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">
                <o:lock v:ext="edit" aspectratio="f"/>
                <v:shape id="自选图形 11" o:spid="_x0000_s1026" o:spt="5" type="#_x0000_t5" style="position:absolute;left:6674;top:6427;height:93;width:71;" fillcolor="#FF0000" filled="t" stroked="t" coordsize="21600,21600" o:gfxdata="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jPyVY7UAAADaAAAADwAA&#10;AAAAAAABACAAAAAiAAAAZHJzL2Rvd25yZXYueG1sUEsBAhQAFAAAAAgAh07iQDMvBZ47AAAAOQAA&#10;ABAAAAAAAAAAAQAgAAAABAEAAGRycy9zaGFwZXhtbC54bWxQSwUGAAAAAAYABgBbAQAArgMAAAAA&#10;" adj="9818">
                  <v:fill on="t" focussize="0,0"/>
                  <v:stroke weight="3pt" color="#FF0000" joinstyle="miter"/>
                  <v:imagedata o:title=""/>
                  <o:lock v:ext="edit" aspectratio="f"/>
                  <v:shadow on="t" color="#974706" opacity="32768f" offset="1pt,2pt" origin="0f,0f" matrix="65536f,0f,0f,65536f"/>
                </v:shape>
                <v:shape id="自选图形 12" o:spid="_x0000_s1026" o:spt="41" type="#_x0000_t41" style="position:absolute;left:4826;top:5533;height:319;width:1194;" fillcolor="#BBD5F0" filled="t" stroked="t" coordsize="21600,21600" o:gfxdata="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c2ZOm8AAAA&#10;2gAAAA8AAAAAAAAAAQAgAAAAIgAAAGRycy9kb3ducmV2LnhtbFBLAQIUABQAAAAIAIdO4kAzLwWe&#10;OwAAADkAAAAQAAAAAAAAAAEAIAAAAAsBAABkcnMvc2hhcGV4bWwueG1sUEsFBgAAAAAGAAYAWwEA&#10;ALUDAAAAAA==&#10;" adj="33431,60534,23771,12188">
                  <v:fill type="gradient" on="t" color2="#FFFFFF" focus="100%" focussize="0f,0f" focusposition="0f,0f">
                    <o:fill type="gradientUnscaled" v:ext="backwardCompatible"/>
                  </v:fill>
                  <v:stroke weight="1.25pt" color="#FF0000" joinstyle="miter"/>
                  <v:imagedata o:title=""/>
                  <o:lock v:ext="edit" aspectratio="f"/>
                  <v:textbox inset="0mm,0mm,0mm,0mm">
                    <w:txbxContent>
                      <w:p>
                        <w:pPr>
                          <w:rPr>
                            <w:b/>
                          </w:rPr>
                        </w:pPr>
                        <w:r>
                          <w:rPr>
                            <w:rFonts w:hint="eastAsia"/>
                            <w:b/>
                          </w:rPr>
                          <w:t>项目所在地</w:t>
                        </w:r>
                      </w:p>
                    </w:txbxContent>
                  </v:textbox>
                </v:shape>
              </v:group>
            </w:pict>
          </mc:Fallback>
        </mc:AlternateContent>
      </w:r>
      <w:r>
        <w:rPr>
          <w:color w:val="auto"/>
        </w:rPr>
        <w:drawing>
          <wp:inline distT="0" distB="0" distL="0" distR="0">
            <wp:extent cx="5314950" cy="3867150"/>
            <wp:effectExtent l="19050" t="19050" r="19050" b="19050"/>
            <wp:docPr id="13" name="图片 6" descr="交通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descr="交通图.jpg"/>
                    <pic:cNvPicPr>
                      <a:picLocks noChangeAspect="1" noChangeArrowheads="1"/>
                    </pic:cNvPicPr>
                  </pic:nvPicPr>
                  <pic:blipFill>
                    <a:blip r:embed="rId26"/>
                    <a:srcRect/>
                    <a:stretch>
                      <a:fillRect/>
                    </a:stretch>
                  </pic:blipFill>
                  <pic:spPr>
                    <a:xfrm>
                      <a:off x="0" y="0"/>
                      <a:ext cx="5314950" cy="3867150"/>
                    </a:xfrm>
                    <a:prstGeom prst="rect">
                      <a:avLst/>
                    </a:prstGeom>
                    <a:noFill/>
                    <a:ln w="9525" cmpd="sng">
                      <a:solidFill>
                        <a:srgbClr val="000000"/>
                      </a:solidFill>
                      <a:miter lim="800000"/>
                      <a:headEnd/>
                      <a:tailEnd/>
                    </a:ln>
                    <a:effectLst/>
                  </pic:spPr>
                </pic:pic>
              </a:graphicData>
            </a:graphic>
          </wp:inline>
        </w:drawing>
      </w:r>
    </w:p>
    <w:p>
      <w:pPr>
        <w:pStyle w:val="65"/>
      </w:pPr>
      <w:r>
        <w:rPr>
          <w:rFonts w:hint="eastAsia"/>
        </w:rPr>
        <w:t xml:space="preserve">图4.2-2   </w:t>
      </w:r>
      <w:r>
        <w:rPr>
          <w:bCs/>
          <w:sz w:val="24"/>
        </w:rPr>
        <w:t>交通位置图</w:t>
      </w:r>
    </w:p>
    <w:p>
      <w:pPr>
        <w:pStyle w:val="62"/>
        <w:rPr>
          <w:color w:val="auto"/>
        </w:rPr>
      </w:pPr>
      <w:r>
        <w:rPr>
          <w:rFonts w:hint="eastAsia"/>
          <w:color w:val="auto"/>
        </w:rPr>
        <w:t>4.2.4</w:t>
      </w:r>
      <w:r>
        <w:rPr>
          <w:color w:val="auto"/>
        </w:rPr>
        <w:t>环境保护</w:t>
      </w:r>
      <w:r>
        <w:rPr>
          <w:rFonts w:hint="eastAsia"/>
          <w:color w:val="auto"/>
        </w:rPr>
        <w:t>目标概况</w:t>
      </w:r>
    </w:p>
    <w:p>
      <w:pPr>
        <w:pStyle w:val="63"/>
        <w:ind w:firstLine="480"/>
        <w:rPr>
          <w:color w:val="auto"/>
        </w:rPr>
      </w:pPr>
      <w:r>
        <w:rPr>
          <w:color w:val="auto"/>
        </w:rPr>
        <w:t>根据环境现状调查，评价区范围内无自然保护区及风景名胜区。</w:t>
      </w:r>
      <w:r>
        <w:rPr>
          <w:rFonts w:hint="eastAsia"/>
          <w:color w:val="auto"/>
        </w:rPr>
        <w:t>13#号水源井东南侧约1500m为崇文古塔。</w:t>
      </w:r>
    </w:p>
    <w:p>
      <w:pPr>
        <w:pStyle w:val="63"/>
        <w:ind w:firstLine="480"/>
        <w:rPr>
          <w:color w:val="auto"/>
          <w:shd w:val="clear" w:color="auto" w:fill="FFFFFF"/>
        </w:rPr>
      </w:pPr>
      <w:r>
        <w:rPr>
          <w:rFonts w:hint="eastAsia"/>
          <w:color w:val="auto"/>
        </w:rPr>
        <w:t>崇文古塔</w:t>
      </w:r>
      <w:r>
        <w:rPr>
          <w:color w:val="auto"/>
          <w:shd w:val="clear" w:color="auto" w:fill="FFFFFF"/>
        </w:rPr>
        <w:t>建于明代万历二十一年（1591年），由泾阳人尚书</w:t>
      </w:r>
      <w:r>
        <w:fldChar w:fldCharType="begin"/>
      </w:r>
      <w:r>
        <w:instrText xml:space="preserve"> HYPERLINK "http://baike.baidu.com/view/1259520.htm" \t "_blank" </w:instrText>
      </w:r>
      <w:r>
        <w:fldChar w:fldCharType="separate"/>
      </w:r>
      <w:r>
        <w:rPr>
          <w:rStyle w:val="29"/>
          <w:color w:val="auto"/>
          <w:szCs w:val="21"/>
          <w:u w:val="none"/>
          <w:shd w:val="clear" w:color="auto" w:fill="FFFFFF"/>
        </w:rPr>
        <w:t>李世达</w:t>
      </w:r>
      <w:r>
        <w:rPr>
          <w:rStyle w:val="29"/>
          <w:color w:val="auto"/>
          <w:szCs w:val="21"/>
          <w:u w:val="none"/>
          <w:shd w:val="clear" w:color="auto" w:fill="FFFFFF"/>
        </w:rPr>
        <w:fldChar w:fldCharType="end"/>
      </w:r>
      <w:r>
        <w:rPr>
          <w:color w:val="auto"/>
          <w:shd w:val="clear" w:color="auto" w:fill="FFFFFF"/>
        </w:rPr>
        <w:t>倡导主持，南京镇江工匠官施工所建，塔身13层，高87.218米。根据八卦悬顶的古建筑原理设计，塔基至塔顶全用青砖砌成，为八棱形，底边长9米，底层为重檐式，在南向塔门上刻有"崇文宝塔"4字。最高层为城堡式塔垛，以铜葫芦收顶</w:t>
      </w:r>
      <w:r>
        <w:rPr>
          <w:rFonts w:hint="eastAsia"/>
          <w:color w:val="auto"/>
          <w:shd w:val="clear" w:color="auto" w:fill="FFFFFF"/>
        </w:rPr>
        <w:t>，</w:t>
      </w:r>
      <w:r>
        <w:rPr>
          <w:color w:val="auto"/>
          <w:shd w:val="clear" w:color="auto" w:fill="FFFFFF"/>
        </w:rPr>
        <w:t>是中国最高砖塔。现为省级重点文物保护单位。</w:t>
      </w:r>
    </w:p>
    <w:p>
      <w:pPr>
        <w:pStyle w:val="63"/>
        <w:ind w:firstLine="480"/>
        <w:rPr>
          <w:color w:val="auto"/>
        </w:rPr>
        <w:sectPr>
          <w:pgSz w:w="11906" w:h="16838"/>
          <w:pgMar w:top="1440" w:right="1440" w:bottom="1440" w:left="1440" w:header="851" w:footer="992" w:gutter="0"/>
          <w:cols w:space="720" w:num="1"/>
          <w:titlePg/>
          <w:docGrid w:type="linesAndChars" w:linePitch="312" w:charSpace="0"/>
        </w:sectPr>
      </w:pPr>
      <w:r>
        <w:rPr>
          <w:rFonts w:hint="eastAsia"/>
          <w:color w:val="auto"/>
          <w:shd w:val="clear" w:color="auto" w:fill="FFFFFF"/>
        </w:rPr>
        <w:t>水井、及管线施工主要影响范围为周围200m左右，</w:t>
      </w:r>
      <w:r>
        <w:rPr>
          <w:rFonts w:hint="eastAsia"/>
          <w:color w:val="auto"/>
        </w:rPr>
        <w:t>随着施工期的结束，影响也随之消失，</w:t>
      </w:r>
      <w:r>
        <w:rPr>
          <w:rFonts w:hint="eastAsia"/>
          <w:color w:val="auto"/>
          <w:shd w:val="clear" w:color="auto" w:fill="FFFFFF"/>
        </w:rPr>
        <w:t>本项目不会影响</w:t>
      </w:r>
      <w:r>
        <w:rPr>
          <w:rFonts w:hint="eastAsia"/>
          <w:color w:val="auto"/>
        </w:rPr>
        <w:t>崇文古塔及周边环境。</w:t>
      </w:r>
    </w:p>
    <w:p>
      <w:pPr>
        <w:pStyle w:val="60"/>
        <w:spacing w:before="156" w:after="156"/>
      </w:pPr>
      <w:bookmarkStart w:id="39" w:name="_Toc436902157"/>
      <w:r>
        <w:rPr>
          <w:rFonts w:hint="eastAsia"/>
        </w:rPr>
        <w:t>5 环境质量现状调查与评价</w:t>
      </w:r>
      <w:bookmarkEnd w:id="39"/>
    </w:p>
    <w:p>
      <w:pPr>
        <w:pStyle w:val="61"/>
        <w:rPr>
          <w:color w:val="auto"/>
        </w:rPr>
      </w:pPr>
      <w:bookmarkStart w:id="40" w:name="_Toc436902158"/>
      <w:r>
        <w:rPr>
          <w:bCs/>
          <w:color w:val="auto"/>
        </w:rPr>
        <w:t>5.1</w:t>
      </w:r>
      <w:r>
        <w:rPr>
          <w:color w:val="auto"/>
        </w:rPr>
        <w:t>环境空气质量现状监测</w:t>
      </w:r>
      <w:bookmarkEnd w:id="40"/>
    </w:p>
    <w:p>
      <w:pPr>
        <w:pStyle w:val="63"/>
        <w:ind w:firstLine="480"/>
        <w:rPr>
          <w:color w:val="auto"/>
        </w:rPr>
      </w:pPr>
      <w:r>
        <w:rPr>
          <w:rFonts w:hint="eastAsia"/>
          <w:color w:val="auto"/>
        </w:rPr>
        <w:t>（1）监测点布置</w:t>
      </w:r>
    </w:p>
    <w:p>
      <w:pPr>
        <w:pStyle w:val="63"/>
        <w:ind w:firstLine="480"/>
        <w:rPr>
          <w:color w:val="auto"/>
        </w:rPr>
      </w:pPr>
      <w:r>
        <w:rPr>
          <w:color w:val="auto"/>
        </w:rPr>
        <w:t>为了调查了解拟建项目周围环境空气质量现状，本次环境空气监测在项目</w:t>
      </w:r>
      <w:r>
        <w:rPr>
          <w:rFonts w:hint="eastAsia"/>
          <w:color w:val="auto"/>
        </w:rPr>
        <w:t>水源管理站</w:t>
      </w:r>
      <w:r>
        <w:rPr>
          <w:color w:val="auto"/>
        </w:rPr>
        <w:t>所在地布设2个监测点，监测点具体位置见图5.1-1，方位及距离见表5.1-1。</w:t>
      </w:r>
    </w:p>
    <w:p>
      <w:pPr>
        <w:pStyle w:val="65"/>
      </w:pPr>
      <w:r>
        <w:rPr>
          <w:rFonts w:hint="eastAsia"/>
        </w:rPr>
        <w:t>表</w:t>
      </w:r>
      <w:r>
        <w:t xml:space="preserve">5.1-1 </w:t>
      </w:r>
      <w:r>
        <w:rPr>
          <w:rFonts w:hint="eastAsia"/>
        </w:rPr>
        <w:t>空气质量监测点位和监测项目</w:t>
      </w:r>
    </w:p>
    <w:tbl>
      <w:tblPr>
        <w:tblStyle w:val="24"/>
        <w:tblW w:w="0" w:type="auto"/>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3080"/>
        <w:gridCol w:w="3081"/>
        <w:gridCol w:w="3081"/>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080" w:type="dxa"/>
            <w:vAlign w:val="center"/>
          </w:tcPr>
          <w:p>
            <w:pPr>
              <w:pStyle w:val="65"/>
              <w:rPr>
                <w:szCs w:val="21"/>
              </w:rPr>
            </w:pPr>
            <w:r>
              <w:rPr>
                <w:rFonts w:hint="eastAsia"/>
                <w:szCs w:val="21"/>
              </w:rPr>
              <w:t>监测点位</w:t>
            </w:r>
          </w:p>
        </w:tc>
        <w:tc>
          <w:tcPr>
            <w:tcW w:w="3081" w:type="dxa"/>
            <w:vAlign w:val="center"/>
          </w:tcPr>
          <w:p>
            <w:pPr>
              <w:pStyle w:val="65"/>
              <w:rPr>
                <w:szCs w:val="21"/>
              </w:rPr>
            </w:pPr>
            <w:r>
              <w:rPr>
                <w:rFonts w:hint="eastAsia"/>
                <w:szCs w:val="21"/>
              </w:rPr>
              <w:t>相对位置关系</w:t>
            </w:r>
          </w:p>
        </w:tc>
        <w:tc>
          <w:tcPr>
            <w:tcW w:w="3081" w:type="dxa"/>
            <w:vAlign w:val="center"/>
          </w:tcPr>
          <w:p>
            <w:pPr>
              <w:pStyle w:val="65"/>
              <w:rPr>
                <w:szCs w:val="21"/>
              </w:rPr>
            </w:pPr>
            <w:r>
              <w:rPr>
                <w:rFonts w:hint="eastAsia"/>
                <w:szCs w:val="21"/>
              </w:rPr>
              <w:t>监测项目</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080" w:type="dxa"/>
            <w:vAlign w:val="center"/>
          </w:tcPr>
          <w:p>
            <w:pPr>
              <w:pStyle w:val="63"/>
              <w:ind w:firstLine="0" w:firstLineChars="0"/>
              <w:jc w:val="center"/>
              <w:rPr>
                <w:color w:val="auto"/>
                <w:sz w:val="21"/>
                <w:szCs w:val="21"/>
              </w:rPr>
            </w:pPr>
            <w:r>
              <w:rPr>
                <w:rFonts w:hint="eastAsia"/>
                <w:color w:val="auto"/>
                <w:sz w:val="21"/>
                <w:szCs w:val="21"/>
              </w:rPr>
              <w:t>厂址</w:t>
            </w:r>
          </w:p>
        </w:tc>
        <w:tc>
          <w:tcPr>
            <w:tcW w:w="3081" w:type="dxa"/>
            <w:vAlign w:val="center"/>
          </w:tcPr>
          <w:p>
            <w:pPr>
              <w:pStyle w:val="63"/>
              <w:ind w:firstLine="0" w:firstLineChars="0"/>
              <w:jc w:val="center"/>
              <w:rPr>
                <w:rFonts w:cs="Times New Roman"/>
                <w:color w:val="auto"/>
                <w:sz w:val="21"/>
                <w:szCs w:val="21"/>
              </w:rPr>
            </w:pPr>
            <w:r>
              <w:rPr>
                <w:rFonts w:cs="Times New Roman"/>
                <w:color w:val="auto"/>
                <w:sz w:val="21"/>
                <w:szCs w:val="21"/>
              </w:rPr>
              <w:t>水源管理站所在地</w:t>
            </w:r>
          </w:p>
        </w:tc>
        <w:tc>
          <w:tcPr>
            <w:tcW w:w="3081" w:type="dxa"/>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rPr>
              <w:t>SO</w:t>
            </w:r>
            <w:r>
              <w:rPr>
                <w:rFonts w:ascii="Times New Roman" w:hAnsi="Times New Roman" w:cs="Times New Roman"/>
                <w:color w:val="auto"/>
                <w:sz w:val="21"/>
                <w:szCs w:val="21"/>
                <w:vertAlign w:val="subscript"/>
              </w:rPr>
              <w:t>2</w:t>
            </w:r>
            <w:r>
              <w:rPr>
                <w:rFonts w:ascii="Times New Roman" w:hAnsi="宋体" w:cs="Times New Roman"/>
                <w:color w:val="auto"/>
                <w:sz w:val="21"/>
                <w:szCs w:val="21"/>
              </w:rPr>
              <w:t>、</w:t>
            </w:r>
            <w:r>
              <w:rPr>
                <w:rFonts w:ascii="Times New Roman" w:hAnsi="Times New Roman" w:cs="Times New Roman"/>
                <w:color w:val="auto"/>
                <w:sz w:val="21"/>
                <w:szCs w:val="21"/>
              </w:rPr>
              <w:t>NO</w:t>
            </w:r>
            <w:r>
              <w:rPr>
                <w:rFonts w:ascii="Times New Roman" w:hAnsi="Times New Roman" w:cs="Times New Roman"/>
                <w:color w:val="auto"/>
                <w:sz w:val="21"/>
                <w:szCs w:val="21"/>
                <w:vertAlign w:val="subscript"/>
              </w:rPr>
              <w:t>2</w:t>
            </w:r>
            <w:r>
              <w:rPr>
                <w:rFonts w:ascii="Times New Roman" w:hAnsi="宋体" w:cs="Times New Roman"/>
                <w:color w:val="auto"/>
                <w:sz w:val="21"/>
                <w:szCs w:val="21"/>
              </w:rPr>
              <w:t>、</w:t>
            </w:r>
            <w:r>
              <w:rPr>
                <w:rFonts w:ascii="Times New Roman" w:hAnsi="Times New Roman" w:cs="Times New Roman"/>
                <w:color w:val="auto"/>
                <w:sz w:val="21"/>
                <w:szCs w:val="21"/>
              </w:rPr>
              <w:t>PM</w:t>
            </w:r>
            <w:r>
              <w:rPr>
                <w:rFonts w:ascii="Times New Roman" w:hAnsi="Times New Roman" w:cs="Times New Roman"/>
                <w:color w:val="auto"/>
                <w:sz w:val="21"/>
                <w:szCs w:val="21"/>
                <w:vertAlign w:val="subscript"/>
              </w:rPr>
              <w:t>2.5</w:t>
            </w:r>
            <w:r>
              <w:rPr>
                <w:rFonts w:ascii="Times New Roman" w:hAnsi="宋体" w:cs="Times New Roman"/>
                <w:color w:val="auto"/>
                <w:sz w:val="21"/>
                <w:szCs w:val="21"/>
              </w:rPr>
              <w:t>、</w:t>
            </w:r>
            <w:r>
              <w:rPr>
                <w:rFonts w:ascii="Times New Roman" w:hAnsi="Times New Roman" w:cs="Times New Roman"/>
                <w:color w:val="auto"/>
                <w:sz w:val="21"/>
                <w:szCs w:val="21"/>
              </w:rPr>
              <w:t>PM</w:t>
            </w:r>
            <w:r>
              <w:rPr>
                <w:rFonts w:ascii="Times New Roman" w:hAnsi="Times New Roman" w:cs="Times New Roman"/>
                <w:color w:val="auto"/>
                <w:sz w:val="21"/>
                <w:szCs w:val="21"/>
                <w:vertAlign w:val="subscript"/>
              </w:rPr>
              <w:t>10</w:t>
            </w:r>
            <w:r>
              <w:rPr>
                <w:rFonts w:hint="eastAsia" w:ascii="Times New Roman" w:hAnsi="Times New Roman" w:cs="Times New Roman"/>
                <w:color w:val="auto"/>
                <w:sz w:val="21"/>
                <w:szCs w:val="21"/>
                <w:lang w:eastAsia="zh-CN"/>
              </w:rPr>
              <w:t>、Cl</w:t>
            </w:r>
            <w:r>
              <w:rPr>
                <w:rFonts w:hint="eastAsia" w:ascii="Times New Roman" w:hAnsi="Times New Roman" w:cs="Times New Roman"/>
                <w:color w:val="auto"/>
                <w:sz w:val="21"/>
                <w:szCs w:val="21"/>
                <w:vertAlign w:val="subscript"/>
                <w:lang w:eastAsia="zh-CN"/>
              </w:rPr>
              <w:t>2</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3080" w:type="dxa"/>
            <w:vAlign w:val="center"/>
          </w:tcPr>
          <w:p>
            <w:pPr>
              <w:pStyle w:val="63"/>
              <w:ind w:firstLine="0" w:firstLineChars="0"/>
              <w:jc w:val="center"/>
              <w:rPr>
                <w:rFonts w:cs="Times New Roman"/>
                <w:color w:val="auto"/>
                <w:sz w:val="21"/>
                <w:szCs w:val="21"/>
              </w:rPr>
            </w:pPr>
            <w:r>
              <w:rPr>
                <w:rFonts w:cs="Times New Roman"/>
                <w:color w:val="auto"/>
                <w:sz w:val="21"/>
                <w:szCs w:val="21"/>
              </w:rPr>
              <w:t>唐李村</w:t>
            </w:r>
          </w:p>
        </w:tc>
        <w:tc>
          <w:tcPr>
            <w:tcW w:w="3081" w:type="dxa"/>
            <w:vAlign w:val="center"/>
          </w:tcPr>
          <w:p>
            <w:pPr>
              <w:pStyle w:val="63"/>
              <w:ind w:firstLine="0" w:firstLineChars="0"/>
              <w:jc w:val="center"/>
              <w:rPr>
                <w:rFonts w:cs="Times New Roman"/>
                <w:color w:val="auto"/>
                <w:sz w:val="21"/>
                <w:szCs w:val="21"/>
              </w:rPr>
            </w:pPr>
            <w:r>
              <w:rPr>
                <w:rFonts w:cs="Times New Roman"/>
                <w:color w:val="auto"/>
                <w:sz w:val="21"/>
                <w:szCs w:val="21"/>
              </w:rPr>
              <w:t xml:space="preserve">WSW   </w:t>
            </w:r>
            <w:r>
              <w:rPr>
                <w:rFonts w:hint="eastAsia" w:cs="Times New Roman"/>
                <w:color w:val="auto"/>
                <w:sz w:val="21"/>
                <w:szCs w:val="21"/>
              </w:rPr>
              <w:t>65</w:t>
            </w:r>
            <w:r>
              <w:rPr>
                <w:rFonts w:cs="Times New Roman"/>
                <w:color w:val="auto"/>
                <w:sz w:val="21"/>
                <w:szCs w:val="21"/>
              </w:rPr>
              <w:t>0m</w:t>
            </w:r>
          </w:p>
        </w:tc>
        <w:tc>
          <w:tcPr>
            <w:tcW w:w="3081" w:type="dxa"/>
            <w:vAlign w:val="center"/>
          </w:tcPr>
          <w:p>
            <w:pPr>
              <w:pStyle w:val="63"/>
              <w:ind w:firstLine="0" w:firstLineChars="0"/>
              <w:jc w:val="center"/>
              <w:rPr>
                <w:rFonts w:cs="Times New Roman"/>
                <w:color w:val="auto"/>
                <w:sz w:val="21"/>
                <w:szCs w:val="21"/>
                <w:vertAlign w:val="subscript"/>
              </w:rPr>
            </w:pPr>
            <w:r>
              <w:rPr>
                <w:rFonts w:cs="Times New Roman"/>
                <w:color w:val="auto"/>
                <w:sz w:val="21"/>
                <w:szCs w:val="21"/>
              </w:rPr>
              <w:t>SO</w:t>
            </w:r>
            <w:r>
              <w:rPr>
                <w:rFonts w:cs="Times New Roman"/>
                <w:color w:val="auto"/>
                <w:sz w:val="21"/>
                <w:szCs w:val="21"/>
                <w:vertAlign w:val="subscript"/>
              </w:rPr>
              <w:t>2</w:t>
            </w:r>
            <w:r>
              <w:rPr>
                <w:rFonts w:hAnsi="宋体" w:cs="Times New Roman"/>
                <w:color w:val="auto"/>
                <w:sz w:val="21"/>
                <w:szCs w:val="21"/>
              </w:rPr>
              <w:t>、</w:t>
            </w:r>
            <w:r>
              <w:rPr>
                <w:rFonts w:cs="Times New Roman"/>
                <w:color w:val="auto"/>
                <w:sz w:val="21"/>
                <w:szCs w:val="21"/>
              </w:rPr>
              <w:t>NO</w:t>
            </w:r>
            <w:r>
              <w:rPr>
                <w:rFonts w:cs="Times New Roman"/>
                <w:color w:val="auto"/>
                <w:sz w:val="21"/>
                <w:szCs w:val="21"/>
                <w:vertAlign w:val="subscript"/>
              </w:rPr>
              <w:t>2</w:t>
            </w:r>
            <w:r>
              <w:rPr>
                <w:rFonts w:hAnsi="宋体" w:cs="Times New Roman"/>
                <w:color w:val="auto"/>
                <w:sz w:val="21"/>
                <w:szCs w:val="21"/>
              </w:rPr>
              <w:t>、</w:t>
            </w:r>
            <w:r>
              <w:rPr>
                <w:rFonts w:cs="Times New Roman"/>
                <w:color w:val="auto"/>
                <w:sz w:val="21"/>
                <w:szCs w:val="21"/>
              </w:rPr>
              <w:t>PM</w:t>
            </w:r>
            <w:r>
              <w:rPr>
                <w:rFonts w:cs="Times New Roman"/>
                <w:color w:val="auto"/>
                <w:sz w:val="21"/>
                <w:szCs w:val="21"/>
                <w:vertAlign w:val="subscript"/>
              </w:rPr>
              <w:t>2.5</w:t>
            </w:r>
            <w:r>
              <w:rPr>
                <w:rFonts w:hAnsi="宋体" w:cs="Times New Roman"/>
                <w:color w:val="auto"/>
                <w:sz w:val="21"/>
                <w:szCs w:val="21"/>
              </w:rPr>
              <w:t>、</w:t>
            </w:r>
            <w:r>
              <w:rPr>
                <w:rFonts w:cs="Times New Roman"/>
                <w:color w:val="auto"/>
                <w:sz w:val="21"/>
                <w:szCs w:val="21"/>
              </w:rPr>
              <w:t>PM</w:t>
            </w:r>
            <w:r>
              <w:rPr>
                <w:rFonts w:cs="Times New Roman"/>
                <w:color w:val="auto"/>
                <w:sz w:val="21"/>
                <w:szCs w:val="21"/>
                <w:vertAlign w:val="subscript"/>
              </w:rPr>
              <w:t>10</w:t>
            </w:r>
            <w:r>
              <w:rPr>
                <w:rFonts w:hint="eastAsia" w:cs="Times New Roman"/>
                <w:color w:val="auto"/>
                <w:sz w:val="21"/>
                <w:szCs w:val="21"/>
              </w:rPr>
              <w:t>、Cl</w:t>
            </w:r>
            <w:r>
              <w:rPr>
                <w:rFonts w:hint="eastAsia" w:cs="Times New Roman"/>
                <w:color w:val="auto"/>
                <w:sz w:val="21"/>
                <w:szCs w:val="21"/>
                <w:vertAlign w:val="subscript"/>
              </w:rPr>
              <w:t>2</w:t>
            </w:r>
          </w:p>
        </w:tc>
      </w:tr>
    </w:tbl>
    <w:p>
      <w:pPr>
        <w:pStyle w:val="63"/>
        <w:ind w:firstLine="460"/>
        <w:rPr>
          <w:color w:val="auto"/>
        </w:rPr>
      </w:pPr>
      <w:r>
        <w:rPr>
          <w:color w:val="auto"/>
          <w:sz w:val="23"/>
        </w:rPr>
        <w:t>（</w:t>
      </w:r>
      <w:r>
        <w:rPr>
          <w:rFonts w:cs="Times New Roman"/>
          <w:color w:val="auto"/>
          <w:sz w:val="23"/>
        </w:rPr>
        <w:t>2</w:t>
      </w:r>
      <w:r>
        <w:rPr>
          <w:color w:val="auto"/>
          <w:sz w:val="23"/>
        </w:rPr>
        <w:t>）监测项目采样时间及频率</w:t>
      </w:r>
    </w:p>
    <w:p>
      <w:pPr>
        <w:pStyle w:val="63"/>
        <w:ind w:firstLine="480"/>
        <w:rPr>
          <w:color w:val="auto"/>
        </w:rPr>
      </w:pPr>
      <w:r>
        <w:rPr>
          <w:rFonts w:hint="eastAsia"/>
          <w:color w:val="auto"/>
        </w:rPr>
        <w:t>本次评价环境空气现状由西安市环境保护局莲湖分局环境监测站监测，报告见附件4，环境空气监测时间2015年10月09日至2015年10月15日，连续采样7天。</w:t>
      </w:r>
    </w:p>
    <w:p>
      <w:pPr>
        <w:pStyle w:val="63"/>
        <w:ind w:firstLine="480"/>
        <w:rPr>
          <w:color w:val="auto"/>
        </w:rPr>
      </w:pPr>
      <w:r>
        <w:rPr>
          <w:color w:val="auto"/>
        </w:rPr>
        <w:t>SO</w:t>
      </w:r>
      <w:r>
        <w:rPr>
          <w:color w:val="auto"/>
          <w:szCs w:val="16"/>
          <w:vertAlign w:val="subscript"/>
        </w:rPr>
        <w:t>2</w:t>
      </w:r>
      <w:r>
        <w:rPr>
          <w:color w:val="auto"/>
        </w:rPr>
        <w:t>、NO</w:t>
      </w:r>
      <w:r>
        <w:rPr>
          <w:color w:val="auto"/>
          <w:szCs w:val="16"/>
          <w:vertAlign w:val="subscript"/>
        </w:rPr>
        <w:t>2</w:t>
      </w:r>
      <w:r>
        <w:rPr>
          <w:color w:val="auto"/>
        </w:rPr>
        <w:t>监测小时值与日均值，PM</w:t>
      </w:r>
      <w:r>
        <w:rPr>
          <w:color w:val="auto"/>
          <w:szCs w:val="16"/>
          <w:vertAlign w:val="subscript"/>
        </w:rPr>
        <w:t>10</w:t>
      </w:r>
      <w:r>
        <w:rPr>
          <w:color w:val="auto"/>
        </w:rPr>
        <w:t>、PM</w:t>
      </w:r>
      <w:r>
        <w:rPr>
          <w:color w:val="auto"/>
          <w:szCs w:val="16"/>
          <w:vertAlign w:val="subscript"/>
        </w:rPr>
        <w:t>2.5</w:t>
      </w:r>
      <w:r>
        <w:rPr>
          <w:color w:val="auto"/>
        </w:rPr>
        <w:t>监测日均值。小时值每天采样4次，每次采样至少45分钟，采样时间为北京时间02、08、14和20时；各监测指标日均值采样时间为20h。</w:t>
      </w:r>
    </w:p>
    <w:p>
      <w:pPr>
        <w:pStyle w:val="63"/>
        <w:ind w:firstLine="480"/>
        <w:rPr>
          <w:color w:val="auto"/>
        </w:rPr>
      </w:pPr>
      <w:r>
        <w:rPr>
          <w:color w:val="auto"/>
        </w:rPr>
        <w:t>监测期间同步进行风向、风速、气温及气压等气象要素的观测，同时标定采样点经纬度坐标。</w:t>
      </w:r>
    </w:p>
    <w:p>
      <w:pPr>
        <w:pStyle w:val="63"/>
        <w:ind w:firstLine="480"/>
        <w:rPr>
          <w:color w:val="auto"/>
        </w:rPr>
      </w:pPr>
      <w:r>
        <w:rPr>
          <w:color w:val="auto"/>
        </w:rPr>
        <w:t>（3）监测项目分析方法</w:t>
      </w:r>
    </w:p>
    <w:p>
      <w:pPr>
        <w:pStyle w:val="63"/>
        <w:ind w:firstLine="480"/>
        <w:rPr>
          <w:color w:val="auto"/>
        </w:rPr>
      </w:pPr>
      <w:r>
        <w:rPr>
          <w:color w:val="auto"/>
        </w:rPr>
        <w:t>本项目监测项目分析方法和检出限见表5.1-2</w:t>
      </w:r>
    </w:p>
    <w:p>
      <w:pPr>
        <w:pStyle w:val="65"/>
      </w:pPr>
      <w:r>
        <w:rPr>
          <w:rFonts w:hint="eastAsia"/>
        </w:rPr>
        <w:t>表</w:t>
      </w:r>
      <w:r>
        <w:t xml:space="preserve">5.1-2 </w:t>
      </w:r>
      <w:r>
        <w:rPr>
          <w:rFonts w:hint="eastAsia"/>
        </w:rPr>
        <w:t>监测项目分析方法</w:t>
      </w:r>
    </w:p>
    <w:tbl>
      <w:tblPr>
        <w:tblStyle w:val="24"/>
        <w:tblW w:w="0" w:type="auto"/>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378"/>
        <w:gridCol w:w="2311"/>
        <w:gridCol w:w="2311"/>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pPr>
            <w:r>
              <w:t>监测项目</w:t>
            </w:r>
          </w:p>
        </w:tc>
        <w:tc>
          <w:tcPr>
            <w:tcW w:w="3378" w:type="dxa"/>
            <w:vAlign w:val="center"/>
          </w:tcPr>
          <w:p>
            <w:pPr>
              <w:pStyle w:val="65"/>
            </w:pPr>
            <w:r>
              <w:rPr>
                <w:rFonts w:hint="eastAsia"/>
              </w:rPr>
              <w:t>监测方法及依据</w:t>
            </w:r>
          </w:p>
        </w:tc>
        <w:tc>
          <w:tcPr>
            <w:tcW w:w="2311" w:type="dxa"/>
            <w:vAlign w:val="center"/>
          </w:tcPr>
          <w:p>
            <w:pPr>
              <w:pStyle w:val="65"/>
            </w:pPr>
            <w:r>
              <w:t>分析仪器</w:t>
            </w:r>
          </w:p>
        </w:tc>
        <w:tc>
          <w:tcPr>
            <w:tcW w:w="2311" w:type="dxa"/>
            <w:vAlign w:val="center"/>
          </w:tcPr>
          <w:p>
            <w:pPr>
              <w:pStyle w:val="65"/>
            </w:pPr>
            <w:r>
              <w:rPr>
                <w:rFonts w:hint="eastAsia"/>
              </w:rPr>
              <w:t>方法检出限</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3"/>
              <w:ind w:firstLine="0" w:firstLineChars="0"/>
              <w:jc w:val="center"/>
              <w:rPr>
                <w:color w:val="auto"/>
                <w:sz w:val="21"/>
                <w:szCs w:val="21"/>
              </w:rPr>
            </w:pPr>
            <w:r>
              <w:rPr>
                <w:color w:val="auto"/>
                <w:sz w:val="21"/>
                <w:szCs w:val="21"/>
              </w:rPr>
              <w:t>SO</w:t>
            </w:r>
            <w:r>
              <w:rPr>
                <w:color w:val="auto"/>
                <w:sz w:val="21"/>
                <w:szCs w:val="21"/>
                <w:vertAlign w:val="subscript"/>
              </w:rPr>
              <w:t>2</w:t>
            </w:r>
          </w:p>
        </w:tc>
        <w:tc>
          <w:tcPr>
            <w:tcW w:w="3378" w:type="dxa"/>
            <w:vAlign w:val="center"/>
          </w:tcPr>
          <w:p>
            <w:pPr>
              <w:pStyle w:val="63"/>
              <w:spacing w:line="240" w:lineRule="auto"/>
              <w:ind w:firstLine="420"/>
              <w:jc w:val="center"/>
              <w:rPr>
                <w:rFonts w:cs="Times New Roman"/>
                <w:color w:val="auto"/>
                <w:sz w:val="21"/>
                <w:szCs w:val="21"/>
              </w:rPr>
            </w:pPr>
            <w:r>
              <w:rPr>
                <w:rFonts w:hAnsi="宋体" w:cs="Times New Roman"/>
                <w:color w:val="auto"/>
                <w:sz w:val="21"/>
                <w:szCs w:val="21"/>
              </w:rPr>
              <w:t>《环境空气二氧化硫的测定甲醛吸收</w:t>
            </w:r>
            <w:r>
              <w:rPr>
                <w:rFonts w:cs="Times New Roman"/>
                <w:color w:val="auto"/>
                <w:sz w:val="21"/>
                <w:szCs w:val="21"/>
              </w:rPr>
              <w:t>-</w:t>
            </w:r>
            <w:r>
              <w:rPr>
                <w:rFonts w:hAnsi="宋体" w:cs="Times New Roman"/>
                <w:color w:val="auto"/>
                <w:sz w:val="21"/>
                <w:szCs w:val="21"/>
              </w:rPr>
              <w:t>副玫瑰苯胺分光光度法》（</w:t>
            </w:r>
            <w:r>
              <w:rPr>
                <w:rFonts w:cs="Times New Roman"/>
                <w:color w:val="auto"/>
                <w:sz w:val="21"/>
                <w:szCs w:val="21"/>
              </w:rPr>
              <w:t>HJ 482-2009</w:t>
            </w:r>
            <w:r>
              <w:rPr>
                <w:rFonts w:hAnsi="宋体" w:cs="Times New Roman"/>
                <w:color w:val="auto"/>
                <w:sz w:val="21"/>
                <w:szCs w:val="21"/>
              </w:rPr>
              <w:t>）</w:t>
            </w:r>
          </w:p>
        </w:tc>
        <w:tc>
          <w:tcPr>
            <w:tcW w:w="2311" w:type="dxa"/>
            <w:vAlign w:val="center"/>
          </w:tcPr>
          <w:p>
            <w:pPr>
              <w:pStyle w:val="58"/>
              <w:jc w:val="center"/>
              <w:rPr>
                <w:color w:val="auto"/>
              </w:rPr>
            </w:pPr>
            <w:r>
              <w:rPr>
                <w:color w:val="auto"/>
                <w:sz w:val="21"/>
                <w:szCs w:val="21"/>
              </w:rPr>
              <w:t>UV-5500PC</w:t>
            </w:r>
            <w:r>
              <w:rPr>
                <w:rFonts w:ascii="宋体" w:hAnsi="宋体" w:cs="宋体"/>
                <w:color w:val="auto"/>
                <w:sz w:val="21"/>
                <w:szCs w:val="21"/>
              </w:rPr>
              <w:t>紫外可见分光光度计</w:t>
            </w:r>
            <w:r>
              <w:rPr>
                <w:color w:val="auto"/>
                <w:sz w:val="21"/>
                <w:szCs w:val="21"/>
              </w:rPr>
              <w:t>(H03)</w:t>
            </w:r>
          </w:p>
        </w:tc>
        <w:tc>
          <w:tcPr>
            <w:tcW w:w="2311" w:type="dxa"/>
            <w:vAlign w:val="center"/>
          </w:tcPr>
          <w:p>
            <w:pPr>
              <w:pStyle w:val="58"/>
              <w:jc w:val="center"/>
              <w:rPr>
                <w:rFonts w:ascii="Times New Roman" w:hAnsi="Times New Roman" w:cs="Times New Roman"/>
                <w:color w:val="auto"/>
                <w:sz w:val="21"/>
                <w:szCs w:val="21"/>
              </w:rPr>
            </w:pPr>
            <w:r>
              <w:rPr>
                <w:rFonts w:ascii="Times New Roman" w:hAnsi="宋体" w:cs="Times New Roman"/>
                <w:color w:val="auto"/>
                <w:sz w:val="21"/>
                <w:szCs w:val="21"/>
              </w:rPr>
              <w:t>时均</w:t>
            </w:r>
            <w:r>
              <w:rPr>
                <w:rFonts w:ascii="Times New Roman" w:hAnsi="Times New Roman" w:cs="Times New Roman"/>
                <w:color w:val="auto"/>
                <w:sz w:val="21"/>
                <w:szCs w:val="21"/>
              </w:rPr>
              <w:t>0.007mg/m</w:t>
            </w:r>
            <w:r>
              <w:rPr>
                <w:rFonts w:ascii="Times New Roman" w:hAnsi="Times New Roman" w:cs="Times New Roman"/>
                <w:color w:val="auto"/>
                <w:sz w:val="21"/>
                <w:szCs w:val="21"/>
                <w:vertAlign w:val="superscript"/>
              </w:rPr>
              <w:t>3</w:t>
            </w:r>
          </w:p>
          <w:p>
            <w:pPr>
              <w:pStyle w:val="65"/>
              <w:rPr>
                <w:b w:val="0"/>
                <w:szCs w:val="21"/>
              </w:rPr>
            </w:pPr>
            <w:r>
              <w:rPr>
                <w:rFonts w:hAnsi="宋体"/>
                <w:b w:val="0"/>
                <w:szCs w:val="21"/>
              </w:rPr>
              <w:t>日均</w:t>
            </w:r>
            <w:r>
              <w:rPr>
                <w:b w:val="0"/>
                <w:szCs w:val="21"/>
              </w:rPr>
              <w:t>0.004mg/m</w:t>
            </w:r>
            <w:r>
              <w:rPr>
                <w:b w:val="0"/>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spacing w:line="360" w:lineRule="auto"/>
              <w:rPr>
                <w:b w:val="0"/>
                <w:szCs w:val="21"/>
              </w:rPr>
            </w:pPr>
            <w:r>
              <w:rPr>
                <w:b w:val="0"/>
                <w:szCs w:val="21"/>
              </w:rPr>
              <w:t>NO</w:t>
            </w:r>
            <w:r>
              <w:rPr>
                <w:b w:val="0"/>
                <w:szCs w:val="21"/>
                <w:vertAlign w:val="subscript"/>
              </w:rPr>
              <w:t>2</w:t>
            </w:r>
          </w:p>
        </w:tc>
        <w:tc>
          <w:tcPr>
            <w:tcW w:w="3378" w:type="dxa"/>
            <w:vAlign w:val="center"/>
          </w:tcPr>
          <w:p>
            <w:pPr>
              <w:pStyle w:val="63"/>
              <w:spacing w:line="240" w:lineRule="auto"/>
              <w:ind w:firstLine="420"/>
              <w:jc w:val="center"/>
              <w:rPr>
                <w:rFonts w:cs="Times New Roman"/>
                <w:color w:val="auto"/>
                <w:sz w:val="21"/>
                <w:szCs w:val="21"/>
              </w:rPr>
            </w:pPr>
            <w:r>
              <w:rPr>
                <w:rFonts w:hAnsi="宋体" w:cs="Times New Roman"/>
                <w:color w:val="auto"/>
                <w:sz w:val="21"/>
                <w:szCs w:val="21"/>
              </w:rPr>
              <w:t>《环境空气氮氧化物（一氧化氮和二氧化氮）的测定盐酸萘乙二胺分光光度法》</w:t>
            </w:r>
          </w:p>
        </w:tc>
        <w:tc>
          <w:tcPr>
            <w:tcW w:w="2311" w:type="dxa"/>
            <w:vAlign w:val="center"/>
          </w:tcPr>
          <w:p>
            <w:pPr>
              <w:pStyle w:val="58"/>
              <w:jc w:val="center"/>
              <w:rPr>
                <w:color w:val="auto"/>
              </w:rPr>
            </w:pPr>
            <w:r>
              <w:rPr>
                <w:color w:val="auto"/>
                <w:sz w:val="21"/>
                <w:szCs w:val="21"/>
              </w:rPr>
              <w:t>UV-5500PC</w:t>
            </w:r>
            <w:r>
              <w:rPr>
                <w:rFonts w:ascii="宋体" w:hAnsi="宋体" w:cs="宋体"/>
                <w:color w:val="auto"/>
                <w:sz w:val="21"/>
                <w:szCs w:val="21"/>
              </w:rPr>
              <w:t>紫外可见分光光度计</w:t>
            </w:r>
            <w:r>
              <w:rPr>
                <w:color w:val="auto"/>
                <w:sz w:val="21"/>
                <w:szCs w:val="21"/>
              </w:rPr>
              <w:t>(H03)</w:t>
            </w:r>
          </w:p>
        </w:tc>
        <w:tc>
          <w:tcPr>
            <w:tcW w:w="2311" w:type="dxa"/>
            <w:vAlign w:val="center"/>
          </w:tcPr>
          <w:p>
            <w:pPr>
              <w:pStyle w:val="58"/>
              <w:jc w:val="center"/>
              <w:rPr>
                <w:rFonts w:ascii="Times New Roman" w:hAnsi="Times New Roman" w:cs="Times New Roman"/>
                <w:color w:val="auto"/>
                <w:sz w:val="21"/>
                <w:szCs w:val="21"/>
              </w:rPr>
            </w:pPr>
            <w:r>
              <w:rPr>
                <w:rFonts w:ascii="Times New Roman" w:hAnsi="宋体" w:cs="Times New Roman"/>
                <w:color w:val="auto"/>
                <w:sz w:val="21"/>
                <w:szCs w:val="21"/>
              </w:rPr>
              <w:t>时均</w:t>
            </w:r>
            <w:r>
              <w:rPr>
                <w:rFonts w:ascii="Times New Roman" w:hAnsi="Times New Roman" w:cs="Times New Roman"/>
                <w:color w:val="auto"/>
                <w:sz w:val="21"/>
                <w:szCs w:val="21"/>
              </w:rPr>
              <w:t>0.015mg/m</w:t>
            </w:r>
            <w:r>
              <w:rPr>
                <w:rFonts w:ascii="Times New Roman" w:hAnsi="Times New Roman" w:cs="Times New Roman"/>
                <w:color w:val="auto"/>
                <w:sz w:val="21"/>
                <w:szCs w:val="21"/>
                <w:vertAlign w:val="superscript"/>
              </w:rPr>
              <w:t>3</w:t>
            </w:r>
          </w:p>
          <w:p>
            <w:pPr>
              <w:pStyle w:val="65"/>
              <w:rPr>
                <w:b w:val="0"/>
                <w:szCs w:val="21"/>
              </w:rPr>
            </w:pPr>
            <w:r>
              <w:rPr>
                <w:rFonts w:hAnsi="宋体"/>
                <w:b w:val="0"/>
                <w:szCs w:val="21"/>
              </w:rPr>
              <w:t>日均</w:t>
            </w:r>
            <w:r>
              <w:rPr>
                <w:b w:val="0"/>
                <w:szCs w:val="21"/>
              </w:rPr>
              <w:t>0.006mg/m</w:t>
            </w:r>
            <w:r>
              <w:rPr>
                <w:b w:val="0"/>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spacing w:line="360" w:lineRule="auto"/>
              <w:rPr>
                <w:b w:val="0"/>
                <w:szCs w:val="21"/>
              </w:rPr>
            </w:pPr>
            <w:r>
              <w:rPr>
                <w:b w:val="0"/>
                <w:szCs w:val="21"/>
              </w:rPr>
              <w:t>PM</w:t>
            </w:r>
            <w:r>
              <w:rPr>
                <w:b w:val="0"/>
                <w:szCs w:val="21"/>
                <w:vertAlign w:val="subscript"/>
              </w:rPr>
              <w:t>2.5</w:t>
            </w:r>
          </w:p>
        </w:tc>
        <w:tc>
          <w:tcPr>
            <w:tcW w:w="3378" w:type="dxa"/>
            <w:vAlign w:val="center"/>
          </w:tcPr>
          <w:p>
            <w:pPr>
              <w:pStyle w:val="63"/>
              <w:spacing w:line="240" w:lineRule="auto"/>
              <w:ind w:firstLine="420"/>
              <w:jc w:val="center"/>
              <w:rPr>
                <w:rFonts w:cs="Times New Roman"/>
                <w:color w:val="auto"/>
                <w:sz w:val="21"/>
                <w:szCs w:val="21"/>
              </w:rPr>
            </w:pPr>
            <w:r>
              <w:rPr>
                <w:rFonts w:hAnsi="宋体" w:cs="Times New Roman"/>
                <w:color w:val="auto"/>
                <w:sz w:val="21"/>
                <w:szCs w:val="21"/>
              </w:rPr>
              <w:t>《环境空气</w:t>
            </w:r>
            <w:r>
              <w:rPr>
                <w:rFonts w:cs="Times New Roman"/>
                <w:color w:val="auto"/>
                <w:sz w:val="21"/>
                <w:szCs w:val="21"/>
              </w:rPr>
              <w:t>PM</w:t>
            </w:r>
            <w:r>
              <w:rPr>
                <w:rFonts w:cs="Times New Roman"/>
                <w:color w:val="auto"/>
                <w:sz w:val="21"/>
                <w:szCs w:val="21"/>
                <w:vertAlign w:val="subscript"/>
              </w:rPr>
              <w:t>10</w:t>
            </w:r>
            <w:r>
              <w:rPr>
                <w:rFonts w:hAnsi="宋体" w:cs="Times New Roman"/>
                <w:color w:val="auto"/>
                <w:sz w:val="21"/>
                <w:szCs w:val="21"/>
              </w:rPr>
              <w:t>和</w:t>
            </w:r>
            <w:r>
              <w:rPr>
                <w:rFonts w:cs="Times New Roman"/>
                <w:color w:val="auto"/>
                <w:sz w:val="21"/>
                <w:szCs w:val="21"/>
              </w:rPr>
              <w:t>PM</w:t>
            </w:r>
            <w:r>
              <w:rPr>
                <w:rFonts w:cs="Times New Roman"/>
                <w:color w:val="auto"/>
                <w:sz w:val="21"/>
                <w:szCs w:val="21"/>
                <w:vertAlign w:val="subscript"/>
              </w:rPr>
              <w:t>2.5</w:t>
            </w:r>
            <w:r>
              <w:rPr>
                <w:rFonts w:hAnsi="宋体" w:cs="Times New Roman"/>
                <w:color w:val="auto"/>
                <w:sz w:val="21"/>
                <w:szCs w:val="21"/>
              </w:rPr>
              <w:t>的测定重量法》（</w:t>
            </w:r>
            <w:r>
              <w:rPr>
                <w:rFonts w:cs="Times New Roman"/>
                <w:color w:val="auto"/>
                <w:sz w:val="21"/>
                <w:szCs w:val="21"/>
              </w:rPr>
              <w:t>HJ 618-2011</w:t>
            </w:r>
            <w:r>
              <w:rPr>
                <w:rFonts w:hAnsi="宋体" w:cs="Times New Roman"/>
                <w:color w:val="auto"/>
                <w:sz w:val="21"/>
                <w:szCs w:val="21"/>
              </w:rPr>
              <w:t>）</w:t>
            </w:r>
          </w:p>
        </w:tc>
        <w:tc>
          <w:tcPr>
            <w:tcW w:w="2311" w:type="dxa"/>
            <w:vAlign w:val="center"/>
          </w:tcPr>
          <w:p>
            <w:pPr>
              <w:pStyle w:val="65"/>
              <w:rPr>
                <w:b w:val="0"/>
              </w:rPr>
            </w:pPr>
            <w:r>
              <w:rPr>
                <w:rFonts w:hint="eastAsia"/>
                <w:b w:val="0"/>
              </w:rPr>
              <w:t>BSA224S电子天平电子天平电子天平(H07)</w:t>
            </w:r>
          </w:p>
        </w:tc>
        <w:tc>
          <w:tcPr>
            <w:tcW w:w="2311" w:type="dxa"/>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0.010mg/m</w:t>
            </w:r>
            <w:r>
              <w:rPr>
                <w:rFonts w:ascii="Times New Roman" w:hAnsi="Times New Roman" w:cs="Times New Roman"/>
                <w:color w:val="auto"/>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spacing w:line="360" w:lineRule="auto"/>
              <w:rPr>
                <w:b w:val="0"/>
                <w:szCs w:val="21"/>
              </w:rPr>
            </w:pPr>
            <w:r>
              <w:rPr>
                <w:b w:val="0"/>
                <w:szCs w:val="21"/>
              </w:rPr>
              <w:t>PM</w:t>
            </w:r>
            <w:r>
              <w:rPr>
                <w:b w:val="0"/>
                <w:szCs w:val="21"/>
                <w:vertAlign w:val="subscript"/>
              </w:rPr>
              <w:t>10</w:t>
            </w:r>
          </w:p>
        </w:tc>
        <w:tc>
          <w:tcPr>
            <w:tcW w:w="3378" w:type="dxa"/>
            <w:vAlign w:val="center"/>
          </w:tcPr>
          <w:p>
            <w:pPr>
              <w:pStyle w:val="58"/>
              <w:jc w:val="center"/>
              <w:rPr>
                <w:color w:val="auto"/>
                <w:sz w:val="21"/>
                <w:szCs w:val="21"/>
                <w:lang w:eastAsia="zh-CN"/>
              </w:rPr>
            </w:pPr>
            <w:r>
              <w:rPr>
                <w:color w:val="auto"/>
                <w:sz w:val="21"/>
                <w:szCs w:val="21"/>
                <w:lang w:eastAsia="zh-CN"/>
              </w:rPr>
              <w:t>《环境空气</w:t>
            </w:r>
            <w:r>
              <w:rPr>
                <w:rFonts w:ascii="Times New Roman" w:hAnsi="Times New Roman" w:cs="Times New Roman"/>
                <w:color w:val="auto"/>
                <w:sz w:val="21"/>
                <w:szCs w:val="21"/>
                <w:lang w:eastAsia="zh-CN"/>
              </w:rPr>
              <w:t>PM</w:t>
            </w:r>
            <w:r>
              <w:rPr>
                <w:rFonts w:ascii="Times New Roman" w:hAnsi="Times New Roman" w:cs="Times New Roman"/>
                <w:color w:val="auto"/>
                <w:sz w:val="21"/>
                <w:szCs w:val="21"/>
                <w:vertAlign w:val="subscript"/>
                <w:lang w:eastAsia="zh-CN"/>
              </w:rPr>
              <w:t>10</w:t>
            </w:r>
            <w:r>
              <w:rPr>
                <w:color w:val="auto"/>
                <w:sz w:val="21"/>
                <w:szCs w:val="21"/>
                <w:lang w:eastAsia="zh-CN"/>
              </w:rPr>
              <w:t>和</w:t>
            </w:r>
            <w:r>
              <w:rPr>
                <w:rFonts w:ascii="Times New Roman" w:hAnsi="宋体" w:cs="Times New Roman"/>
                <w:color w:val="auto"/>
                <w:sz w:val="21"/>
                <w:szCs w:val="21"/>
                <w:lang w:eastAsia="zh-CN"/>
              </w:rPr>
              <w:t>PM</w:t>
            </w:r>
            <w:r>
              <w:rPr>
                <w:rFonts w:ascii="Times New Roman" w:hAnsi="宋体" w:cs="Times New Roman"/>
                <w:color w:val="auto"/>
                <w:sz w:val="21"/>
                <w:szCs w:val="21"/>
                <w:vertAlign w:val="subscript"/>
                <w:lang w:eastAsia="zh-CN"/>
              </w:rPr>
              <w:t>2.5</w:t>
            </w:r>
            <w:r>
              <w:rPr>
                <w:rFonts w:ascii="Times New Roman" w:hAnsi="宋体" w:cs="Times New Roman"/>
                <w:color w:val="auto"/>
                <w:sz w:val="21"/>
                <w:szCs w:val="21"/>
                <w:lang w:eastAsia="zh-CN"/>
              </w:rPr>
              <w:t>的测定重量法》（HJ 618-2011）</w:t>
            </w:r>
          </w:p>
        </w:tc>
        <w:tc>
          <w:tcPr>
            <w:tcW w:w="2311" w:type="dxa"/>
            <w:vAlign w:val="center"/>
          </w:tcPr>
          <w:p>
            <w:pPr>
              <w:pStyle w:val="65"/>
              <w:rPr>
                <w:b w:val="0"/>
              </w:rPr>
            </w:pPr>
            <w:r>
              <w:rPr>
                <w:rFonts w:hint="eastAsia"/>
                <w:b w:val="0"/>
              </w:rPr>
              <w:t>BSA224S电子天平电子天平电子天平(H07)</w:t>
            </w:r>
          </w:p>
        </w:tc>
        <w:tc>
          <w:tcPr>
            <w:tcW w:w="2311" w:type="dxa"/>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0.010mg/m</w:t>
            </w:r>
            <w:r>
              <w:rPr>
                <w:rFonts w:ascii="Times New Roman" w:hAnsi="Times New Roman" w:cs="Times New Roman"/>
                <w:color w:val="auto"/>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spacing w:line="360" w:lineRule="auto"/>
              <w:rPr>
                <w:b w:val="0"/>
                <w:szCs w:val="21"/>
              </w:rPr>
            </w:pPr>
            <w:r>
              <w:rPr>
                <w:rFonts w:hint="eastAsia"/>
                <w:b w:val="0"/>
                <w:szCs w:val="21"/>
              </w:rPr>
              <w:t>Cl</w:t>
            </w:r>
            <w:r>
              <w:rPr>
                <w:rFonts w:hint="eastAsia"/>
                <w:b w:val="0"/>
                <w:szCs w:val="21"/>
                <w:vertAlign w:val="subscript"/>
              </w:rPr>
              <w:t>2</w:t>
            </w:r>
          </w:p>
        </w:tc>
        <w:tc>
          <w:tcPr>
            <w:tcW w:w="3378" w:type="dxa"/>
            <w:vAlign w:val="center"/>
          </w:tcPr>
          <w:p>
            <w:pPr>
              <w:pStyle w:val="58"/>
              <w:jc w:val="center"/>
              <w:rPr>
                <w:color w:val="auto"/>
                <w:sz w:val="21"/>
                <w:szCs w:val="21"/>
                <w:lang w:eastAsia="zh-CN"/>
              </w:rPr>
            </w:pPr>
          </w:p>
        </w:tc>
        <w:tc>
          <w:tcPr>
            <w:tcW w:w="2311" w:type="dxa"/>
            <w:vAlign w:val="center"/>
          </w:tcPr>
          <w:p>
            <w:pPr>
              <w:pStyle w:val="65"/>
              <w:rPr>
                <w:b w:val="0"/>
              </w:rPr>
            </w:pPr>
          </w:p>
        </w:tc>
        <w:tc>
          <w:tcPr>
            <w:tcW w:w="2311" w:type="dxa"/>
            <w:vAlign w:val="center"/>
          </w:tcPr>
          <w:p>
            <w:pPr>
              <w:pStyle w:val="58"/>
              <w:jc w:val="center"/>
              <w:rPr>
                <w:rFonts w:ascii="Times New Roman" w:hAnsi="Times New Roman" w:cs="Times New Roman"/>
                <w:color w:val="auto"/>
                <w:sz w:val="21"/>
                <w:szCs w:val="21"/>
              </w:rPr>
            </w:pPr>
          </w:p>
        </w:tc>
      </w:tr>
    </w:tbl>
    <w:p>
      <w:pPr>
        <w:pStyle w:val="63"/>
        <w:ind w:firstLine="480"/>
        <w:rPr>
          <w:color w:val="auto"/>
        </w:rPr>
      </w:pPr>
      <w:r>
        <w:rPr>
          <w:color w:val="auto"/>
        </w:rPr>
        <w:t>（</w:t>
      </w:r>
      <w:r>
        <w:rPr>
          <w:rFonts w:cs="Times New Roman"/>
          <w:color w:val="auto"/>
        </w:rPr>
        <w:t>4</w:t>
      </w:r>
      <w:r>
        <w:rPr>
          <w:color w:val="auto"/>
        </w:rPr>
        <w:t>）监测结果</w:t>
      </w:r>
    </w:p>
    <w:p>
      <w:pPr>
        <w:pStyle w:val="63"/>
        <w:ind w:firstLine="480"/>
        <w:rPr>
          <w:color w:val="auto"/>
        </w:rPr>
      </w:pPr>
      <w:r>
        <w:rPr>
          <w:color w:val="auto"/>
        </w:rPr>
        <w:t>环境空气质量现状监测结果统计表见表5.1-3~表5.1-7。</w:t>
      </w:r>
    </w:p>
    <w:p>
      <w:pPr>
        <w:pStyle w:val="65"/>
      </w:pPr>
      <w:r>
        <w:rPr>
          <w:rFonts w:hint="eastAsia"/>
          <w:szCs w:val="23"/>
        </w:rPr>
        <w:t>表</w:t>
      </w:r>
      <w:r>
        <w:rPr>
          <w:szCs w:val="23"/>
        </w:rPr>
        <w:t>5.1-3</w:t>
      </w:r>
      <w:r>
        <w:rPr>
          <w:rFonts w:hint="eastAsia"/>
          <w:szCs w:val="23"/>
        </w:rPr>
        <w:t xml:space="preserve"> </w:t>
      </w:r>
      <w:r>
        <w:rPr>
          <w:szCs w:val="23"/>
        </w:rPr>
        <w:t xml:space="preserve"> SO</w:t>
      </w:r>
      <w:r>
        <w:rPr>
          <w:szCs w:val="16"/>
          <w:vertAlign w:val="subscript"/>
        </w:rPr>
        <w:t>2</w:t>
      </w:r>
      <w:r>
        <w:rPr>
          <w:rFonts w:hint="eastAsia"/>
          <w:szCs w:val="23"/>
        </w:rPr>
        <w:t>监测结果统计表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946"/>
        <w:gridCol w:w="1148"/>
        <w:gridCol w:w="708"/>
        <w:gridCol w:w="1275"/>
        <w:gridCol w:w="993"/>
        <w:gridCol w:w="1275"/>
        <w:gridCol w:w="712"/>
        <w:gridCol w:w="1277"/>
        <w:gridCol w:w="908"/>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2" w:type="pct"/>
            <w:vMerge w:val="restar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监测点</w:t>
            </w:r>
          </w:p>
        </w:tc>
        <w:tc>
          <w:tcPr>
            <w:tcW w:w="2231" w:type="pct"/>
            <w:gridSpan w:val="4"/>
            <w:vAlign w:val="center"/>
          </w:tcPr>
          <w:p>
            <w:pPr>
              <w:pStyle w:val="63"/>
              <w:spacing w:line="240" w:lineRule="auto"/>
              <w:ind w:firstLine="0" w:firstLineChars="0"/>
              <w:jc w:val="center"/>
              <w:rPr>
                <w:rFonts w:cs="Times New Roman"/>
                <w:color w:val="auto"/>
                <w:sz w:val="21"/>
                <w:szCs w:val="21"/>
              </w:rPr>
            </w:pPr>
            <w:r>
              <w:rPr>
                <w:rFonts w:cs="Times New Roman"/>
                <w:color w:val="auto"/>
                <w:sz w:val="21"/>
                <w:szCs w:val="21"/>
              </w:rPr>
              <w:t>1</w:t>
            </w:r>
            <w:r>
              <w:rPr>
                <w:rFonts w:hAnsi="宋体" w:cs="Times New Roman"/>
                <w:color w:val="auto"/>
                <w:sz w:val="21"/>
                <w:szCs w:val="21"/>
              </w:rPr>
              <w:t>小时平均浓度</w:t>
            </w:r>
          </w:p>
        </w:tc>
        <w:tc>
          <w:tcPr>
            <w:tcW w:w="2257" w:type="pct"/>
            <w:gridSpan w:val="4"/>
            <w:vAlign w:val="center"/>
          </w:tcPr>
          <w:p>
            <w:pPr>
              <w:pStyle w:val="63"/>
              <w:spacing w:line="240" w:lineRule="auto"/>
              <w:ind w:firstLine="0" w:firstLineChars="0"/>
              <w:jc w:val="center"/>
              <w:rPr>
                <w:rFonts w:cs="Times New Roman"/>
                <w:color w:val="auto"/>
                <w:sz w:val="21"/>
                <w:szCs w:val="21"/>
              </w:rPr>
            </w:pPr>
            <w:r>
              <w:rPr>
                <w:rFonts w:cs="Times New Roman"/>
                <w:color w:val="auto"/>
                <w:sz w:val="21"/>
                <w:szCs w:val="21"/>
              </w:rPr>
              <w:t>24</w:t>
            </w:r>
            <w:r>
              <w:rPr>
                <w:rFonts w:hAnsi="宋体" w:cs="Times New Roman"/>
                <w:color w:val="auto"/>
                <w:sz w:val="21"/>
                <w:szCs w:val="21"/>
              </w:rPr>
              <w:t>小时平均浓度</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2" w:type="pct"/>
            <w:vMerge w:val="continue"/>
            <w:vAlign w:val="center"/>
          </w:tcPr>
          <w:p>
            <w:pPr>
              <w:pStyle w:val="63"/>
              <w:spacing w:line="240" w:lineRule="auto"/>
              <w:ind w:firstLine="0" w:firstLineChars="0"/>
              <w:jc w:val="center"/>
              <w:rPr>
                <w:rFonts w:cs="Times New Roman"/>
                <w:color w:val="auto"/>
                <w:sz w:val="21"/>
                <w:szCs w:val="21"/>
              </w:rPr>
            </w:pPr>
          </w:p>
        </w:tc>
        <w:tc>
          <w:tcPr>
            <w:tcW w:w="621"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浓度范围（</w:t>
            </w:r>
            <w:r>
              <w:rPr>
                <w:rFonts w:cs="Times New Roman"/>
                <w:color w:val="auto"/>
                <w:sz w:val="21"/>
                <w:szCs w:val="21"/>
              </w:rPr>
              <w:t>μg/m</w:t>
            </w:r>
            <w:r>
              <w:rPr>
                <w:rFonts w:cs="Times New Roman"/>
                <w:color w:val="auto"/>
                <w:sz w:val="21"/>
                <w:szCs w:val="21"/>
                <w:vertAlign w:val="superscript"/>
              </w:rPr>
              <w:t>3</w:t>
            </w:r>
            <w:r>
              <w:rPr>
                <w:rFonts w:hAnsi="宋体" w:cs="Times New Roman"/>
                <w:color w:val="auto"/>
                <w:sz w:val="21"/>
                <w:szCs w:val="21"/>
              </w:rPr>
              <w:t>）</w:t>
            </w:r>
          </w:p>
        </w:tc>
        <w:tc>
          <w:tcPr>
            <w:tcW w:w="383"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平均值</w:t>
            </w:r>
          </w:p>
        </w:tc>
        <w:tc>
          <w:tcPr>
            <w:tcW w:w="690" w:type="pct"/>
            <w:vAlign w:val="center"/>
          </w:tcPr>
          <w:p>
            <w:pPr>
              <w:pStyle w:val="63"/>
              <w:spacing w:line="240" w:lineRule="auto"/>
              <w:ind w:firstLine="0" w:firstLineChars="0"/>
              <w:jc w:val="center"/>
              <w:rPr>
                <w:rFonts w:cs="Times New Roman"/>
                <w:color w:val="auto"/>
                <w:sz w:val="21"/>
                <w:szCs w:val="21"/>
              </w:rPr>
            </w:pPr>
            <w:r>
              <w:rPr>
                <w:rFonts w:hint="eastAsia" w:hAnsi="宋体" w:cs="Times New Roman"/>
                <w:color w:val="auto"/>
                <w:sz w:val="21"/>
                <w:szCs w:val="21"/>
              </w:rPr>
              <w:t>超</w:t>
            </w:r>
            <w:r>
              <w:rPr>
                <w:rFonts w:hAnsi="宋体" w:cs="Times New Roman"/>
                <w:color w:val="auto"/>
                <w:sz w:val="21"/>
                <w:szCs w:val="21"/>
              </w:rPr>
              <w:t>标率（</w:t>
            </w:r>
            <w:r>
              <w:rPr>
                <w:rFonts w:cs="Times New Roman"/>
                <w:color w:val="auto"/>
                <w:sz w:val="21"/>
                <w:szCs w:val="21"/>
              </w:rPr>
              <w:t>%</w:t>
            </w:r>
            <w:r>
              <w:rPr>
                <w:rFonts w:hAnsi="宋体" w:cs="Times New Roman"/>
                <w:color w:val="auto"/>
                <w:sz w:val="21"/>
                <w:szCs w:val="21"/>
              </w:rPr>
              <w:t>）</w:t>
            </w:r>
          </w:p>
        </w:tc>
        <w:tc>
          <w:tcPr>
            <w:tcW w:w="537"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最大超标倍数</w:t>
            </w:r>
          </w:p>
        </w:tc>
        <w:tc>
          <w:tcPr>
            <w:tcW w:w="690"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浓度范围（</w:t>
            </w:r>
            <w:r>
              <w:rPr>
                <w:rFonts w:cs="Times New Roman"/>
                <w:color w:val="auto"/>
                <w:sz w:val="21"/>
                <w:szCs w:val="21"/>
              </w:rPr>
              <w:t>μg/m</w:t>
            </w:r>
            <w:r>
              <w:rPr>
                <w:rFonts w:cs="Times New Roman"/>
                <w:color w:val="auto"/>
                <w:sz w:val="21"/>
                <w:szCs w:val="21"/>
                <w:vertAlign w:val="superscript"/>
              </w:rPr>
              <w:t>3</w:t>
            </w:r>
            <w:r>
              <w:rPr>
                <w:rFonts w:hAnsi="宋体" w:cs="Times New Roman"/>
                <w:color w:val="auto"/>
                <w:sz w:val="21"/>
                <w:szCs w:val="21"/>
              </w:rPr>
              <w:t>）</w:t>
            </w:r>
          </w:p>
        </w:tc>
        <w:tc>
          <w:tcPr>
            <w:tcW w:w="38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平均值</w:t>
            </w:r>
          </w:p>
        </w:tc>
        <w:tc>
          <w:tcPr>
            <w:tcW w:w="691" w:type="pct"/>
            <w:vAlign w:val="center"/>
          </w:tcPr>
          <w:p>
            <w:pPr>
              <w:pStyle w:val="63"/>
              <w:spacing w:line="240" w:lineRule="auto"/>
              <w:ind w:firstLine="0" w:firstLineChars="0"/>
              <w:jc w:val="center"/>
              <w:rPr>
                <w:rFonts w:cs="Times New Roman"/>
                <w:color w:val="auto"/>
                <w:sz w:val="21"/>
                <w:szCs w:val="21"/>
              </w:rPr>
            </w:pPr>
            <w:r>
              <w:rPr>
                <w:rFonts w:hint="eastAsia" w:hAnsi="宋体" w:cs="Times New Roman"/>
                <w:color w:val="auto"/>
                <w:sz w:val="21"/>
                <w:szCs w:val="21"/>
              </w:rPr>
              <w:t>超</w:t>
            </w:r>
            <w:r>
              <w:rPr>
                <w:rFonts w:hAnsi="宋体" w:cs="Times New Roman"/>
                <w:color w:val="auto"/>
                <w:sz w:val="21"/>
                <w:szCs w:val="21"/>
              </w:rPr>
              <w:t>标率（</w:t>
            </w:r>
            <w:r>
              <w:rPr>
                <w:rFonts w:cs="Times New Roman"/>
                <w:color w:val="auto"/>
                <w:sz w:val="21"/>
                <w:szCs w:val="21"/>
              </w:rPr>
              <w:t>%</w:t>
            </w:r>
            <w:r>
              <w:rPr>
                <w:rFonts w:hAnsi="宋体" w:cs="Times New Roman"/>
                <w:color w:val="auto"/>
                <w:sz w:val="21"/>
                <w:szCs w:val="21"/>
              </w:rPr>
              <w:t>）</w:t>
            </w:r>
          </w:p>
        </w:tc>
        <w:tc>
          <w:tcPr>
            <w:tcW w:w="491"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最大超标倍数</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2"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厂址</w:t>
            </w:r>
          </w:p>
        </w:tc>
        <w:tc>
          <w:tcPr>
            <w:tcW w:w="621"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19~69</w:t>
            </w:r>
          </w:p>
        </w:tc>
        <w:tc>
          <w:tcPr>
            <w:tcW w:w="383"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41</w:t>
            </w:r>
          </w:p>
        </w:tc>
        <w:tc>
          <w:tcPr>
            <w:tcW w:w="690"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c>
          <w:tcPr>
            <w:tcW w:w="537"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c>
          <w:tcPr>
            <w:tcW w:w="690"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20~65</w:t>
            </w:r>
          </w:p>
        </w:tc>
        <w:tc>
          <w:tcPr>
            <w:tcW w:w="385"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39</w:t>
            </w:r>
          </w:p>
        </w:tc>
        <w:tc>
          <w:tcPr>
            <w:tcW w:w="691"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c>
          <w:tcPr>
            <w:tcW w:w="491"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2"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唐李村</w:t>
            </w:r>
          </w:p>
        </w:tc>
        <w:tc>
          <w:tcPr>
            <w:tcW w:w="621"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21~71</w:t>
            </w:r>
          </w:p>
        </w:tc>
        <w:tc>
          <w:tcPr>
            <w:tcW w:w="383"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43</w:t>
            </w:r>
          </w:p>
        </w:tc>
        <w:tc>
          <w:tcPr>
            <w:tcW w:w="690"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c>
          <w:tcPr>
            <w:tcW w:w="537"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c>
          <w:tcPr>
            <w:tcW w:w="690"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22~68</w:t>
            </w:r>
          </w:p>
        </w:tc>
        <w:tc>
          <w:tcPr>
            <w:tcW w:w="385"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42</w:t>
            </w:r>
          </w:p>
        </w:tc>
        <w:tc>
          <w:tcPr>
            <w:tcW w:w="691"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c>
          <w:tcPr>
            <w:tcW w:w="491"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2"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标准</w:t>
            </w:r>
          </w:p>
        </w:tc>
        <w:tc>
          <w:tcPr>
            <w:tcW w:w="2231" w:type="pct"/>
            <w:gridSpan w:val="4"/>
            <w:vAlign w:val="center"/>
          </w:tcPr>
          <w:p>
            <w:pPr>
              <w:pStyle w:val="63"/>
              <w:spacing w:line="240" w:lineRule="auto"/>
              <w:ind w:firstLine="0" w:firstLineChars="0"/>
              <w:jc w:val="center"/>
              <w:rPr>
                <w:rFonts w:cs="Times New Roman"/>
                <w:color w:val="auto"/>
                <w:sz w:val="21"/>
                <w:szCs w:val="21"/>
              </w:rPr>
            </w:pPr>
            <w:r>
              <w:rPr>
                <w:rFonts w:cs="Times New Roman"/>
                <w:color w:val="auto"/>
                <w:sz w:val="21"/>
                <w:szCs w:val="21"/>
              </w:rPr>
              <w:t>500</w:t>
            </w:r>
          </w:p>
        </w:tc>
        <w:tc>
          <w:tcPr>
            <w:tcW w:w="2257" w:type="pct"/>
            <w:gridSpan w:val="4"/>
            <w:vAlign w:val="center"/>
          </w:tcPr>
          <w:p>
            <w:pPr>
              <w:pStyle w:val="63"/>
              <w:spacing w:line="240" w:lineRule="auto"/>
              <w:ind w:firstLine="0" w:firstLineChars="0"/>
              <w:jc w:val="center"/>
              <w:rPr>
                <w:rFonts w:cs="Times New Roman"/>
                <w:color w:val="auto"/>
                <w:sz w:val="21"/>
                <w:szCs w:val="21"/>
              </w:rPr>
            </w:pPr>
            <w:r>
              <w:rPr>
                <w:rFonts w:cs="Times New Roman"/>
                <w:color w:val="auto"/>
                <w:sz w:val="21"/>
                <w:szCs w:val="21"/>
              </w:rPr>
              <w:t>150</w:t>
            </w:r>
          </w:p>
        </w:tc>
      </w:tr>
    </w:tbl>
    <w:p>
      <w:pPr>
        <w:pStyle w:val="65"/>
      </w:pPr>
      <w:r>
        <w:rPr>
          <w:rFonts w:hint="eastAsia"/>
          <w:szCs w:val="23"/>
        </w:rPr>
        <w:t>表</w:t>
      </w:r>
      <w:r>
        <w:rPr>
          <w:szCs w:val="23"/>
        </w:rPr>
        <w:t>5.1-</w:t>
      </w:r>
      <w:r>
        <w:rPr>
          <w:rFonts w:hint="eastAsia"/>
          <w:szCs w:val="23"/>
        </w:rPr>
        <w:t xml:space="preserve">4 </w:t>
      </w:r>
      <w:r>
        <w:rPr>
          <w:szCs w:val="23"/>
        </w:rPr>
        <w:t xml:space="preserve"> </w:t>
      </w:r>
      <w:r>
        <w:rPr>
          <w:rFonts w:hint="eastAsia"/>
          <w:szCs w:val="23"/>
        </w:rPr>
        <w:t>N</w:t>
      </w:r>
      <w:r>
        <w:rPr>
          <w:szCs w:val="23"/>
        </w:rPr>
        <w:t>O</w:t>
      </w:r>
      <w:r>
        <w:rPr>
          <w:szCs w:val="16"/>
          <w:vertAlign w:val="subscript"/>
        </w:rPr>
        <w:t>2</w:t>
      </w:r>
      <w:r>
        <w:rPr>
          <w:rFonts w:hint="eastAsia"/>
          <w:szCs w:val="23"/>
        </w:rPr>
        <w:t>监测结果统计表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946"/>
        <w:gridCol w:w="1148"/>
        <w:gridCol w:w="708"/>
        <w:gridCol w:w="1275"/>
        <w:gridCol w:w="993"/>
        <w:gridCol w:w="1275"/>
        <w:gridCol w:w="712"/>
        <w:gridCol w:w="1277"/>
        <w:gridCol w:w="908"/>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2" w:type="pct"/>
            <w:vMerge w:val="restar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监测点</w:t>
            </w:r>
          </w:p>
        </w:tc>
        <w:tc>
          <w:tcPr>
            <w:tcW w:w="2231" w:type="pct"/>
            <w:gridSpan w:val="4"/>
            <w:vAlign w:val="center"/>
          </w:tcPr>
          <w:p>
            <w:pPr>
              <w:pStyle w:val="63"/>
              <w:spacing w:line="240" w:lineRule="auto"/>
              <w:ind w:firstLine="0" w:firstLineChars="0"/>
              <w:jc w:val="center"/>
              <w:rPr>
                <w:rFonts w:cs="Times New Roman"/>
                <w:color w:val="auto"/>
                <w:sz w:val="21"/>
                <w:szCs w:val="21"/>
              </w:rPr>
            </w:pPr>
            <w:r>
              <w:rPr>
                <w:rFonts w:cs="Times New Roman"/>
                <w:color w:val="auto"/>
                <w:sz w:val="21"/>
                <w:szCs w:val="21"/>
              </w:rPr>
              <w:t>1</w:t>
            </w:r>
            <w:r>
              <w:rPr>
                <w:rFonts w:hAnsi="宋体" w:cs="Times New Roman"/>
                <w:color w:val="auto"/>
                <w:sz w:val="21"/>
                <w:szCs w:val="21"/>
              </w:rPr>
              <w:t>小时平均浓度</w:t>
            </w:r>
          </w:p>
        </w:tc>
        <w:tc>
          <w:tcPr>
            <w:tcW w:w="2257" w:type="pct"/>
            <w:gridSpan w:val="4"/>
            <w:vAlign w:val="center"/>
          </w:tcPr>
          <w:p>
            <w:pPr>
              <w:pStyle w:val="63"/>
              <w:spacing w:line="240" w:lineRule="auto"/>
              <w:ind w:firstLine="0" w:firstLineChars="0"/>
              <w:jc w:val="center"/>
              <w:rPr>
                <w:rFonts w:cs="Times New Roman"/>
                <w:color w:val="auto"/>
                <w:sz w:val="21"/>
                <w:szCs w:val="21"/>
              </w:rPr>
            </w:pPr>
            <w:r>
              <w:rPr>
                <w:rFonts w:cs="Times New Roman"/>
                <w:color w:val="auto"/>
                <w:sz w:val="21"/>
                <w:szCs w:val="21"/>
              </w:rPr>
              <w:t>24</w:t>
            </w:r>
            <w:r>
              <w:rPr>
                <w:rFonts w:hAnsi="宋体" w:cs="Times New Roman"/>
                <w:color w:val="auto"/>
                <w:sz w:val="21"/>
                <w:szCs w:val="21"/>
              </w:rPr>
              <w:t>小时平均浓度</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2" w:type="pct"/>
            <w:vMerge w:val="continue"/>
            <w:vAlign w:val="center"/>
          </w:tcPr>
          <w:p>
            <w:pPr>
              <w:pStyle w:val="63"/>
              <w:spacing w:line="240" w:lineRule="auto"/>
              <w:ind w:firstLine="0" w:firstLineChars="0"/>
              <w:jc w:val="center"/>
              <w:rPr>
                <w:rFonts w:cs="Times New Roman"/>
                <w:color w:val="auto"/>
                <w:sz w:val="21"/>
                <w:szCs w:val="21"/>
              </w:rPr>
            </w:pPr>
          </w:p>
        </w:tc>
        <w:tc>
          <w:tcPr>
            <w:tcW w:w="621"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浓度范围（</w:t>
            </w:r>
            <w:r>
              <w:rPr>
                <w:rFonts w:cs="Times New Roman"/>
                <w:color w:val="auto"/>
                <w:sz w:val="21"/>
                <w:szCs w:val="21"/>
              </w:rPr>
              <w:t>μg/m</w:t>
            </w:r>
            <w:r>
              <w:rPr>
                <w:rFonts w:cs="Times New Roman"/>
                <w:color w:val="auto"/>
                <w:sz w:val="21"/>
                <w:szCs w:val="21"/>
                <w:vertAlign w:val="superscript"/>
              </w:rPr>
              <w:t>3</w:t>
            </w:r>
            <w:r>
              <w:rPr>
                <w:rFonts w:hAnsi="宋体" w:cs="Times New Roman"/>
                <w:color w:val="auto"/>
                <w:sz w:val="21"/>
                <w:szCs w:val="21"/>
              </w:rPr>
              <w:t>）</w:t>
            </w:r>
          </w:p>
        </w:tc>
        <w:tc>
          <w:tcPr>
            <w:tcW w:w="383"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平均值</w:t>
            </w:r>
          </w:p>
        </w:tc>
        <w:tc>
          <w:tcPr>
            <w:tcW w:w="690" w:type="pct"/>
            <w:vAlign w:val="center"/>
          </w:tcPr>
          <w:p>
            <w:pPr>
              <w:pStyle w:val="63"/>
              <w:spacing w:line="240" w:lineRule="auto"/>
              <w:ind w:firstLine="0" w:firstLineChars="0"/>
              <w:jc w:val="center"/>
              <w:rPr>
                <w:rFonts w:cs="Times New Roman"/>
                <w:color w:val="auto"/>
                <w:sz w:val="21"/>
                <w:szCs w:val="21"/>
              </w:rPr>
            </w:pPr>
            <w:r>
              <w:rPr>
                <w:rFonts w:hint="eastAsia" w:hAnsi="宋体" w:cs="Times New Roman"/>
                <w:color w:val="auto"/>
                <w:sz w:val="21"/>
                <w:szCs w:val="21"/>
              </w:rPr>
              <w:t>超</w:t>
            </w:r>
            <w:r>
              <w:rPr>
                <w:rFonts w:hAnsi="宋体" w:cs="Times New Roman"/>
                <w:color w:val="auto"/>
                <w:sz w:val="21"/>
                <w:szCs w:val="21"/>
              </w:rPr>
              <w:t>标率（</w:t>
            </w:r>
            <w:r>
              <w:rPr>
                <w:rFonts w:cs="Times New Roman"/>
                <w:color w:val="auto"/>
                <w:sz w:val="21"/>
                <w:szCs w:val="21"/>
              </w:rPr>
              <w:t>%</w:t>
            </w:r>
            <w:r>
              <w:rPr>
                <w:rFonts w:hAnsi="宋体" w:cs="Times New Roman"/>
                <w:color w:val="auto"/>
                <w:sz w:val="21"/>
                <w:szCs w:val="21"/>
              </w:rPr>
              <w:t>）</w:t>
            </w:r>
          </w:p>
        </w:tc>
        <w:tc>
          <w:tcPr>
            <w:tcW w:w="537"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最大超标倍数</w:t>
            </w:r>
          </w:p>
        </w:tc>
        <w:tc>
          <w:tcPr>
            <w:tcW w:w="690"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浓度范围（</w:t>
            </w:r>
            <w:r>
              <w:rPr>
                <w:rFonts w:cs="Times New Roman"/>
                <w:color w:val="auto"/>
                <w:sz w:val="21"/>
                <w:szCs w:val="21"/>
              </w:rPr>
              <w:t>μg/m</w:t>
            </w:r>
            <w:r>
              <w:rPr>
                <w:rFonts w:cs="Times New Roman"/>
                <w:color w:val="auto"/>
                <w:sz w:val="21"/>
                <w:szCs w:val="21"/>
                <w:vertAlign w:val="superscript"/>
              </w:rPr>
              <w:t>3</w:t>
            </w:r>
            <w:r>
              <w:rPr>
                <w:rFonts w:hAnsi="宋体" w:cs="Times New Roman"/>
                <w:color w:val="auto"/>
                <w:sz w:val="21"/>
                <w:szCs w:val="21"/>
              </w:rPr>
              <w:t>）</w:t>
            </w:r>
          </w:p>
        </w:tc>
        <w:tc>
          <w:tcPr>
            <w:tcW w:w="38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平均值</w:t>
            </w:r>
          </w:p>
        </w:tc>
        <w:tc>
          <w:tcPr>
            <w:tcW w:w="691" w:type="pct"/>
            <w:vAlign w:val="center"/>
          </w:tcPr>
          <w:p>
            <w:pPr>
              <w:pStyle w:val="63"/>
              <w:spacing w:line="240" w:lineRule="auto"/>
              <w:ind w:firstLine="0" w:firstLineChars="0"/>
              <w:jc w:val="center"/>
              <w:rPr>
                <w:rFonts w:cs="Times New Roman"/>
                <w:color w:val="auto"/>
                <w:sz w:val="21"/>
                <w:szCs w:val="21"/>
              </w:rPr>
            </w:pPr>
            <w:r>
              <w:rPr>
                <w:rFonts w:hint="eastAsia" w:hAnsi="宋体" w:cs="Times New Roman"/>
                <w:color w:val="auto"/>
                <w:sz w:val="21"/>
                <w:szCs w:val="21"/>
              </w:rPr>
              <w:t>超</w:t>
            </w:r>
            <w:r>
              <w:rPr>
                <w:rFonts w:hAnsi="宋体" w:cs="Times New Roman"/>
                <w:color w:val="auto"/>
                <w:sz w:val="21"/>
                <w:szCs w:val="21"/>
              </w:rPr>
              <w:t>标率（</w:t>
            </w:r>
            <w:r>
              <w:rPr>
                <w:rFonts w:cs="Times New Roman"/>
                <w:color w:val="auto"/>
                <w:sz w:val="21"/>
                <w:szCs w:val="21"/>
              </w:rPr>
              <w:t>%</w:t>
            </w:r>
            <w:r>
              <w:rPr>
                <w:rFonts w:hAnsi="宋体" w:cs="Times New Roman"/>
                <w:color w:val="auto"/>
                <w:sz w:val="21"/>
                <w:szCs w:val="21"/>
              </w:rPr>
              <w:t>）</w:t>
            </w:r>
          </w:p>
        </w:tc>
        <w:tc>
          <w:tcPr>
            <w:tcW w:w="491"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最大超标倍数</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2"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厂址</w:t>
            </w:r>
          </w:p>
        </w:tc>
        <w:tc>
          <w:tcPr>
            <w:tcW w:w="621" w:type="pct"/>
            <w:vAlign w:val="center"/>
          </w:tcPr>
          <w:p>
            <w:pPr>
              <w:pStyle w:val="63"/>
              <w:spacing w:line="240" w:lineRule="auto"/>
              <w:ind w:firstLine="0" w:firstLineChars="0"/>
              <w:jc w:val="center"/>
              <w:rPr>
                <w:rFonts w:cs="Times New Roman"/>
                <w:color w:val="auto"/>
                <w:sz w:val="21"/>
                <w:szCs w:val="21"/>
              </w:rPr>
            </w:pPr>
          </w:p>
        </w:tc>
        <w:tc>
          <w:tcPr>
            <w:tcW w:w="383" w:type="pct"/>
            <w:vAlign w:val="center"/>
          </w:tcPr>
          <w:p>
            <w:pPr>
              <w:pStyle w:val="63"/>
              <w:spacing w:line="240" w:lineRule="auto"/>
              <w:ind w:firstLine="0" w:firstLineChars="0"/>
              <w:jc w:val="center"/>
              <w:rPr>
                <w:rFonts w:cs="Times New Roman"/>
                <w:color w:val="auto"/>
                <w:sz w:val="21"/>
                <w:szCs w:val="21"/>
              </w:rPr>
            </w:pPr>
          </w:p>
        </w:tc>
        <w:tc>
          <w:tcPr>
            <w:tcW w:w="690" w:type="pct"/>
            <w:vAlign w:val="center"/>
          </w:tcPr>
          <w:p>
            <w:pPr>
              <w:pStyle w:val="63"/>
              <w:spacing w:line="240" w:lineRule="auto"/>
              <w:ind w:firstLine="0" w:firstLineChars="0"/>
              <w:jc w:val="center"/>
              <w:rPr>
                <w:rFonts w:cs="Times New Roman"/>
                <w:color w:val="auto"/>
                <w:sz w:val="21"/>
                <w:szCs w:val="21"/>
              </w:rPr>
            </w:pPr>
          </w:p>
        </w:tc>
        <w:tc>
          <w:tcPr>
            <w:tcW w:w="537" w:type="pct"/>
            <w:vAlign w:val="center"/>
          </w:tcPr>
          <w:p>
            <w:pPr>
              <w:pStyle w:val="63"/>
              <w:spacing w:line="240" w:lineRule="auto"/>
              <w:ind w:firstLine="0" w:firstLineChars="0"/>
              <w:jc w:val="center"/>
              <w:rPr>
                <w:rFonts w:cs="Times New Roman"/>
                <w:color w:val="auto"/>
                <w:sz w:val="21"/>
                <w:szCs w:val="21"/>
              </w:rPr>
            </w:pPr>
          </w:p>
        </w:tc>
        <w:tc>
          <w:tcPr>
            <w:tcW w:w="690" w:type="pct"/>
            <w:vAlign w:val="center"/>
          </w:tcPr>
          <w:p>
            <w:pPr>
              <w:pStyle w:val="63"/>
              <w:spacing w:line="240" w:lineRule="auto"/>
              <w:ind w:firstLine="0" w:firstLineChars="0"/>
              <w:jc w:val="center"/>
              <w:rPr>
                <w:rFonts w:cs="Times New Roman"/>
                <w:color w:val="auto"/>
                <w:sz w:val="21"/>
                <w:szCs w:val="21"/>
              </w:rPr>
            </w:pPr>
          </w:p>
        </w:tc>
        <w:tc>
          <w:tcPr>
            <w:tcW w:w="385" w:type="pct"/>
            <w:vAlign w:val="center"/>
          </w:tcPr>
          <w:p>
            <w:pPr>
              <w:pStyle w:val="63"/>
              <w:spacing w:line="240" w:lineRule="auto"/>
              <w:ind w:firstLine="0" w:firstLineChars="0"/>
              <w:jc w:val="center"/>
              <w:rPr>
                <w:rFonts w:cs="Times New Roman"/>
                <w:color w:val="auto"/>
                <w:sz w:val="21"/>
                <w:szCs w:val="21"/>
              </w:rPr>
            </w:pPr>
          </w:p>
        </w:tc>
        <w:tc>
          <w:tcPr>
            <w:tcW w:w="691" w:type="pct"/>
            <w:vAlign w:val="center"/>
          </w:tcPr>
          <w:p>
            <w:pPr>
              <w:pStyle w:val="63"/>
              <w:spacing w:line="240" w:lineRule="auto"/>
              <w:ind w:firstLine="0" w:firstLineChars="0"/>
              <w:jc w:val="center"/>
              <w:rPr>
                <w:rFonts w:cs="Times New Roman"/>
                <w:color w:val="auto"/>
                <w:sz w:val="21"/>
                <w:szCs w:val="21"/>
              </w:rPr>
            </w:pPr>
          </w:p>
        </w:tc>
        <w:tc>
          <w:tcPr>
            <w:tcW w:w="491" w:type="pct"/>
            <w:vAlign w:val="center"/>
          </w:tcPr>
          <w:p>
            <w:pPr>
              <w:pStyle w:val="63"/>
              <w:spacing w:line="240" w:lineRule="auto"/>
              <w:ind w:firstLine="0" w:firstLineChars="0"/>
              <w:jc w:val="center"/>
              <w:rPr>
                <w:rFonts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2"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唐李村</w:t>
            </w:r>
          </w:p>
        </w:tc>
        <w:tc>
          <w:tcPr>
            <w:tcW w:w="621" w:type="pct"/>
            <w:vAlign w:val="center"/>
          </w:tcPr>
          <w:p>
            <w:pPr>
              <w:pStyle w:val="63"/>
              <w:spacing w:line="240" w:lineRule="auto"/>
              <w:ind w:firstLine="0" w:firstLineChars="0"/>
              <w:jc w:val="center"/>
              <w:rPr>
                <w:rFonts w:cs="Times New Roman"/>
                <w:color w:val="auto"/>
                <w:sz w:val="21"/>
                <w:szCs w:val="21"/>
              </w:rPr>
            </w:pPr>
          </w:p>
        </w:tc>
        <w:tc>
          <w:tcPr>
            <w:tcW w:w="383" w:type="pct"/>
            <w:vAlign w:val="center"/>
          </w:tcPr>
          <w:p>
            <w:pPr>
              <w:pStyle w:val="63"/>
              <w:spacing w:line="240" w:lineRule="auto"/>
              <w:ind w:firstLine="0" w:firstLineChars="0"/>
              <w:jc w:val="center"/>
              <w:rPr>
                <w:rFonts w:cs="Times New Roman"/>
                <w:color w:val="auto"/>
                <w:sz w:val="21"/>
                <w:szCs w:val="21"/>
              </w:rPr>
            </w:pPr>
          </w:p>
        </w:tc>
        <w:tc>
          <w:tcPr>
            <w:tcW w:w="690" w:type="pct"/>
            <w:vAlign w:val="center"/>
          </w:tcPr>
          <w:p>
            <w:pPr>
              <w:pStyle w:val="63"/>
              <w:spacing w:line="240" w:lineRule="auto"/>
              <w:ind w:firstLine="0" w:firstLineChars="0"/>
              <w:jc w:val="center"/>
              <w:rPr>
                <w:rFonts w:cs="Times New Roman"/>
                <w:color w:val="auto"/>
                <w:sz w:val="21"/>
                <w:szCs w:val="21"/>
              </w:rPr>
            </w:pPr>
          </w:p>
        </w:tc>
        <w:tc>
          <w:tcPr>
            <w:tcW w:w="537" w:type="pct"/>
            <w:vAlign w:val="center"/>
          </w:tcPr>
          <w:p>
            <w:pPr>
              <w:pStyle w:val="63"/>
              <w:spacing w:line="240" w:lineRule="auto"/>
              <w:ind w:firstLine="0" w:firstLineChars="0"/>
              <w:jc w:val="center"/>
              <w:rPr>
                <w:rFonts w:cs="Times New Roman"/>
                <w:color w:val="auto"/>
                <w:sz w:val="21"/>
                <w:szCs w:val="21"/>
              </w:rPr>
            </w:pPr>
          </w:p>
        </w:tc>
        <w:tc>
          <w:tcPr>
            <w:tcW w:w="690" w:type="pct"/>
            <w:vAlign w:val="center"/>
          </w:tcPr>
          <w:p>
            <w:pPr>
              <w:pStyle w:val="63"/>
              <w:spacing w:line="240" w:lineRule="auto"/>
              <w:ind w:firstLine="0" w:firstLineChars="0"/>
              <w:jc w:val="center"/>
              <w:rPr>
                <w:rFonts w:cs="Times New Roman"/>
                <w:color w:val="auto"/>
                <w:sz w:val="21"/>
                <w:szCs w:val="21"/>
              </w:rPr>
            </w:pPr>
          </w:p>
        </w:tc>
        <w:tc>
          <w:tcPr>
            <w:tcW w:w="385" w:type="pct"/>
            <w:vAlign w:val="center"/>
          </w:tcPr>
          <w:p>
            <w:pPr>
              <w:pStyle w:val="63"/>
              <w:spacing w:line="240" w:lineRule="auto"/>
              <w:ind w:firstLine="0" w:firstLineChars="0"/>
              <w:jc w:val="center"/>
              <w:rPr>
                <w:rFonts w:cs="Times New Roman"/>
                <w:color w:val="auto"/>
                <w:sz w:val="21"/>
                <w:szCs w:val="21"/>
              </w:rPr>
            </w:pPr>
          </w:p>
        </w:tc>
        <w:tc>
          <w:tcPr>
            <w:tcW w:w="691" w:type="pct"/>
            <w:vAlign w:val="center"/>
          </w:tcPr>
          <w:p>
            <w:pPr>
              <w:pStyle w:val="63"/>
              <w:spacing w:line="240" w:lineRule="auto"/>
              <w:ind w:firstLine="0" w:firstLineChars="0"/>
              <w:jc w:val="center"/>
              <w:rPr>
                <w:rFonts w:cs="Times New Roman"/>
                <w:color w:val="auto"/>
                <w:sz w:val="21"/>
                <w:szCs w:val="21"/>
              </w:rPr>
            </w:pPr>
          </w:p>
        </w:tc>
        <w:tc>
          <w:tcPr>
            <w:tcW w:w="491" w:type="pct"/>
            <w:vAlign w:val="center"/>
          </w:tcPr>
          <w:p>
            <w:pPr>
              <w:pStyle w:val="63"/>
              <w:spacing w:line="240" w:lineRule="auto"/>
              <w:ind w:firstLine="0" w:firstLineChars="0"/>
              <w:jc w:val="center"/>
              <w:rPr>
                <w:rFonts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512"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标准</w:t>
            </w:r>
          </w:p>
        </w:tc>
        <w:tc>
          <w:tcPr>
            <w:tcW w:w="2231" w:type="pct"/>
            <w:gridSpan w:val="4"/>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200</w:t>
            </w:r>
          </w:p>
        </w:tc>
        <w:tc>
          <w:tcPr>
            <w:tcW w:w="2257" w:type="pct"/>
            <w:gridSpan w:val="4"/>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80</w:t>
            </w:r>
          </w:p>
        </w:tc>
      </w:tr>
    </w:tbl>
    <w:p>
      <w:pPr>
        <w:pStyle w:val="65"/>
      </w:pPr>
      <w:r>
        <w:rPr>
          <w:rFonts w:hint="eastAsia"/>
          <w:szCs w:val="23"/>
        </w:rPr>
        <w:t>表</w:t>
      </w:r>
      <w:r>
        <w:rPr>
          <w:szCs w:val="23"/>
        </w:rPr>
        <w:t>5.1-</w:t>
      </w:r>
      <w:r>
        <w:rPr>
          <w:rFonts w:hint="eastAsia"/>
          <w:szCs w:val="23"/>
        </w:rPr>
        <w:t xml:space="preserve">5 </w:t>
      </w:r>
      <w:r>
        <w:rPr>
          <w:szCs w:val="23"/>
        </w:rPr>
        <w:t xml:space="preserve"> </w:t>
      </w:r>
      <w:r>
        <w:rPr>
          <w:szCs w:val="21"/>
        </w:rPr>
        <w:t>PM</w:t>
      </w:r>
      <w:r>
        <w:rPr>
          <w:szCs w:val="21"/>
          <w:vertAlign w:val="subscript"/>
        </w:rPr>
        <w:t>10</w:t>
      </w:r>
      <w:r>
        <w:rPr>
          <w:rFonts w:hint="eastAsia"/>
          <w:szCs w:val="23"/>
        </w:rPr>
        <w:t>监测结果统计表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710"/>
        <w:gridCol w:w="2303"/>
        <w:gridCol w:w="1286"/>
        <w:gridCol w:w="2307"/>
        <w:gridCol w:w="1636"/>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Merge w:val="restar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监测点</w:t>
            </w:r>
          </w:p>
        </w:tc>
        <w:tc>
          <w:tcPr>
            <w:tcW w:w="4075" w:type="pct"/>
            <w:gridSpan w:val="4"/>
            <w:vAlign w:val="center"/>
          </w:tcPr>
          <w:p>
            <w:pPr>
              <w:pStyle w:val="63"/>
              <w:spacing w:line="240" w:lineRule="auto"/>
              <w:ind w:firstLine="0" w:firstLineChars="0"/>
              <w:jc w:val="center"/>
              <w:rPr>
                <w:rFonts w:cs="Times New Roman"/>
                <w:color w:val="auto"/>
                <w:sz w:val="21"/>
                <w:szCs w:val="21"/>
              </w:rPr>
            </w:pPr>
            <w:r>
              <w:rPr>
                <w:rFonts w:cs="Times New Roman"/>
                <w:color w:val="auto"/>
                <w:sz w:val="21"/>
                <w:szCs w:val="21"/>
              </w:rPr>
              <w:t>24</w:t>
            </w:r>
            <w:r>
              <w:rPr>
                <w:rFonts w:hAnsi="宋体" w:cs="Times New Roman"/>
                <w:color w:val="auto"/>
                <w:sz w:val="21"/>
                <w:szCs w:val="21"/>
              </w:rPr>
              <w:t>小时平均浓度</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Merge w:val="continue"/>
            <w:vAlign w:val="center"/>
          </w:tcPr>
          <w:p>
            <w:pPr>
              <w:pStyle w:val="63"/>
              <w:spacing w:line="240" w:lineRule="auto"/>
              <w:ind w:firstLine="0" w:firstLineChars="0"/>
              <w:jc w:val="center"/>
              <w:rPr>
                <w:rFonts w:cs="Times New Roman"/>
                <w:color w:val="auto"/>
                <w:sz w:val="21"/>
                <w:szCs w:val="21"/>
              </w:rPr>
            </w:pPr>
          </w:p>
        </w:tc>
        <w:tc>
          <w:tcPr>
            <w:tcW w:w="1246"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浓度范围（</w:t>
            </w:r>
            <w:r>
              <w:rPr>
                <w:rFonts w:cs="Times New Roman"/>
                <w:color w:val="auto"/>
                <w:sz w:val="21"/>
                <w:szCs w:val="21"/>
              </w:rPr>
              <w:t>μg/m</w:t>
            </w:r>
            <w:r>
              <w:rPr>
                <w:rFonts w:cs="Times New Roman"/>
                <w:color w:val="auto"/>
                <w:sz w:val="21"/>
                <w:szCs w:val="21"/>
                <w:vertAlign w:val="superscript"/>
              </w:rPr>
              <w:t>3</w:t>
            </w:r>
            <w:r>
              <w:rPr>
                <w:rFonts w:hAnsi="宋体" w:cs="Times New Roman"/>
                <w:color w:val="auto"/>
                <w:sz w:val="21"/>
                <w:szCs w:val="21"/>
              </w:rPr>
              <w:t>）</w:t>
            </w:r>
          </w:p>
        </w:tc>
        <w:tc>
          <w:tcPr>
            <w:tcW w:w="696"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平均值</w:t>
            </w:r>
          </w:p>
        </w:tc>
        <w:tc>
          <w:tcPr>
            <w:tcW w:w="1248" w:type="pct"/>
            <w:vAlign w:val="center"/>
          </w:tcPr>
          <w:p>
            <w:pPr>
              <w:pStyle w:val="63"/>
              <w:spacing w:line="240" w:lineRule="auto"/>
              <w:ind w:firstLine="0" w:firstLineChars="0"/>
              <w:jc w:val="center"/>
              <w:rPr>
                <w:rFonts w:cs="Times New Roman"/>
                <w:color w:val="auto"/>
                <w:sz w:val="21"/>
                <w:szCs w:val="21"/>
              </w:rPr>
            </w:pPr>
            <w:r>
              <w:rPr>
                <w:rFonts w:hint="eastAsia" w:hAnsi="宋体" w:cs="Times New Roman"/>
                <w:color w:val="auto"/>
                <w:sz w:val="21"/>
                <w:szCs w:val="21"/>
              </w:rPr>
              <w:t>超</w:t>
            </w:r>
            <w:r>
              <w:rPr>
                <w:rFonts w:hAnsi="宋体" w:cs="Times New Roman"/>
                <w:color w:val="auto"/>
                <w:sz w:val="21"/>
                <w:szCs w:val="21"/>
              </w:rPr>
              <w:t>标率（</w:t>
            </w:r>
            <w:r>
              <w:rPr>
                <w:rFonts w:cs="Times New Roman"/>
                <w:color w:val="auto"/>
                <w:sz w:val="21"/>
                <w:szCs w:val="21"/>
              </w:rPr>
              <w:t>%</w:t>
            </w:r>
            <w:r>
              <w:rPr>
                <w:rFonts w:hAnsi="宋体" w:cs="Times New Roman"/>
                <w:color w:val="auto"/>
                <w:sz w:val="21"/>
                <w:szCs w:val="21"/>
              </w:rPr>
              <w:t>）</w:t>
            </w:r>
          </w:p>
        </w:tc>
        <w:tc>
          <w:tcPr>
            <w:tcW w:w="88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最大超标倍数</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厂址</w:t>
            </w:r>
          </w:p>
        </w:tc>
        <w:tc>
          <w:tcPr>
            <w:tcW w:w="124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102~232</w:t>
            </w:r>
          </w:p>
        </w:tc>
        <w:tc>
          <w:tcPr>
            <w:tcW w:w="69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166</w:t>
            </w:r>
          </w:p>
        </w:tc>
        <w:tc>
          <w:tcPr>
            <w:tcW w:w="1248"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57.14%</w:t>
            </w:r>
          </w:p>
        </w:tc>
        <w:tc>
          <w:tcPr>
            <w:tcW w:w="885"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1.55</w:t>
            </w:r>
          </w:p>
        </w:tc>
      </w:tr>
      <w:tr>
        <w:tblPrEx>
          <w:tblCellMar>
            <w:top w:w="0" w:type="dxa"/>
            <w:left w:w="108" w:type="dxa"/>
            <w:bottom w:w="0" w:type="dxa"/>
            <w:right w:w="108" w:type="dxa"/>
          </w:tblCellMar>
        </w:tblPrEx>
        <w:tc>
          <w:tcPr>
            <w:tcW w:w="92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唐李村</w:t>
            </w:r>
          </w:p>
        </w:tc>
        <w:tc>
          <w:tcPr>
            <w:tcW w:w="124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105~235</w:t>
            </w:r>
          </w:p>
        </w:tc>
        <w:tc>
          <w:tcPr>
            <w:tcW w:w="69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169</w:t>
            </w:r>
          </w:p>
        </w:tc>
        <w:tc>
          <w:tcPr>
            <w:tcW w:w="1248"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57.14%</w:t>
            </w:r>
          </w:p>
        </w:tc>
        <w:tc>
          <w:tcPr>
            <w:tcW w:w="885"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1.57</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标准</w:t>
            </w:r>
          </w:p>
        </w:tc>
        <w:tc>
          <w:tcPr>
            <w:tcW w:w="4075" w:type="pct"/>
            <w:gridSpan w:val="4"/>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150</w:t>
            </w:r>
          </w:p>
        </w:tc>
      </w:tr>
    </w:tbl>
    <w:p>
      <w:pPr>
        <w:pStyle w:val="63"/>
        <w:ind w:firstLine="422"/>
        <w:jc w:val="center"/>
        <w:rPr>
          <w:rFonts w:cs="Times New Roman"/>
          <w:b/>
          <w:color w:val="auto"/>
          <w:sz w:val="21"/>
          <w:szCs w:val="21"/>
        </w:rPr>
      </w:pPr>
      <w:r>
        <w:rPr>
          <w:rFonts w:hAnsi="宋体" w:cs="Times New Roman"/>
          <w:b/>
          <w:color w:val="auto"/>
          <w:sz w:val="21"/>
          <w:szCs w:val="21"/>
        </w:rPr>
        <w:t>表</w:t>
      </w:r>
      <w:r>
        <w:rPr>
          <w:rFonts w:cs="Times New Roman"/>
          <w:b/>
          <w:color w:val="auto"/>
          <w:sz w:val="21"/>
          <w:szCs w:val="21"/>
        </w:rPr>
        <w:t>5.1-</w:t>
      </w:r>
      <w:r>
        <w:rPr>
          <w:rFonts w:hint="eastAsia" w:cs="Times New Roman"/>
          <w:b/>
          <w:color w:val="auto"/>
          <w:sz w:val="21"/>
          <w:szCs w:val="21"/>
        </w:rPr>
        <w:t>6</w:t>
      </w:r>
      <w:r>
        <w:rPr>
          <w:rFonts w:cs="Times New Roman"/>
          <w:b/>
          <w:color w:val="auto"/>
          <w:sz w:val="21"/>
          <w:szCs w:val="21"/>
        </w:rPr>
        <w:t xml:space="preserve">  PM</w:t>
      </w:r>
      <w:r>
        <w:rPr>
          <w:rFonts w:cs="Times New Roman"/>
          <w:b/>
          <w:color w:val="auto"/>
          <w:sz w:val="21"/>
          <w:szCs w:val="21"/>
          <w:vertAlign w:val="subscript"/>
        </w:rPr>
        <w:t>2.5</w:t>
      </w:r>
      <w:r>
        <w:rPr>
          <w:rFonts w:hAnsi="宋体" w:cs="Times New Roman"/>
          <w:b/>
          <w:color w:val="auto"/>
          <w:sz w:val="21"/>
          <w:szCs w:val="21"/>
        </w:rPr>
        <w:t>监测结果统计表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710"/>
        <w:gridCol w:w="2303"/>
        <w:gridCol w:w="1286"/>
        <w:gridCol w:w="2307"/>
        <w:gridCol w:w="1636"/>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Merge w:val="restar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监测点</w:t>
            </w:r>
          </w:p>
        </w:tc>
        <w:tc>
          <w:tcPr>
            <w:tcW w:w="4075" w:type="pct"/>
            <w:gridSpan w:val="4"/>
            <w:vAlign w:val="center"/>
          </w:tcPr>
          <w:p>
            <w:pPr>
              <w:pStyle w:val="63"/>
              <w:spacing w:line="240" w:lineRule="auto"/>
              <w:ind w:firstLine="0" w:firstLineChars="0"/>
              <w:jc w:val="center"/>
              <w:rPr>
                <w:rFonts w:cs="Times New Roman"/>
                <w:color w:val="auto"/>
                <w:sz w:val="21"/>
                <w:szCs w:val="21"/>
              </w:rPr>
            </w:pPr>
            <w:r>
              <w:rPr>
                <w:rFonts w:cs="Times New Roman"/>
                <w:color w:val="auto"/>
                <w:sz w:val="21"/>
                <w:szCs w:val="21"/>
              </w:rPr>
              <w:t>24</w:t>
            </w:r>
            <w:r>
              <w:rPr>
                <w:rFonts w:hAnsi="宋体" w:cs="Times New Roman"/>
                <w:color w:val="auto"/>
                <w:sz w:val="21"/>
                <w:szCs w:val="21"/>
              </w:rPr>
              <w:t>小时平均浓度</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Merge w:val="continue"/>
            <w:vAlign w:val="center"/>
          </w:tcPr>
          <w:p>
            <w:pPr>
              <w:pStyle w:val="63"/>
              <w:spacing w:line="240" w:lineRule="auto"/>
              <w:ind w:firstLine="0" w:firstLineChars="0"/>
              <w:jc w:val="center"/>
              <w:rPr>
                <w:rFonts w:cs="Times New Roman"/>
                <w:color w:val="auto"/>
                <w:sz w:val="21"/>
                <w:szCs w:val="21"/>
              </w:rPr>
            </w:pPr>
          </w:p>
        </w:tc>
        <w:tc>
          <w:tcPr>
            <w:tcW w:w="1246"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浓度范围（</w:t>
            </w:r>
            <w:r>
              <w:rPr>
                <w:rFonts w:cs="Times New Roman"/>
                <w:color w:val="auto"/>
                <w:sz w:val="21"/>
                <w:szCs w:val="21"/>
              </w:rPr>
              <w:t>μg/m</w:t>
            </w:r>
            <w:r>
              <w:rPr>
                <w:rFonts w:cs="Times New Roman"/>
                <w:color w:val="auto"/>
                <w:sz w:val="21"/>
                <w:szCs w:val="21"/>
                <w:vertAlign w:val="superscript"/>
              </w:rPr>
              <w:t>3</w:t>
            </w:r>
            <w:r>
              <w:rPr>
                <w:rFonts w:hAnsi="宋体" w:cs="Times New Roman"/>
                <w:color w:val="auto"/>
                <w:sz w:val="21"/>
                <w:szCs w:val="21"/>
              </w:rPr>
              <w:t>）</w:t>
            </w:r>
          </w:p>
        </w:tc>
        <w:tc>
          <w:tcPr>
            <w:tcW w:w="696"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平均值</w:t>
            </w:r>
          </w:p>
        </w:tc>
        <w:tc>
          <w:tcPr>
            <w:tcW w:w="1248" w:type="pct"/>
            <w:vAlign w:val="center"/>
          </w:tcPr>
          <w:p>
            <w:pPr>
              <w:pStyle w:val="63"/>
              <w:spacing w:line="240" w:lineRule="auto"/>
              <w:ind w:firstLine="0" w:firstLineChars="0"/>
              <w:jc w:val="center"/>
              <w:rPr>
                <w:rFonts w:cs="Times New Roman"/>
                <w:color w:val="auto"/>
                <w:sz w:val="21"/>
                <w:szCs w:val="21"/>
              </w:rPr>
            </w:pPr>
            <w:r>
              <w:rPr>
                <w:rFonts w:hint="eastAsia" w:hAnsi="宋体" w:cs="Times New Roman"/>
                <w:color w:val="auto"/>
                <w:sz w:val="21"/>
                <w:szCs w:val="21"/>
              </w:rPr>
              <w:t>超</w:t>
            </w:r>
            <w:r>
              <w:rPr>
                <w:rFonts w:hAnsi="宋体" w:cs="Times New Roman"/>
                <w:color w:val="auto"/>
                <w:sz w:val="21"/>
                <w:szCs w:val="21"/>
              </w:rPr>
              <w:t>标率（</w:t>
            </w:r>
            <w:r>
              <w:rPr>
                <w:rFonts w:cs="Times New Roman"/>
                <w:color w:val="auto"/>
                <w:sz w:val="21"/>
                <w:szCs w:val="21"/>
              </w:rPr>
              <w:t>%</w:t>
            </w:r>
            <w:r>
              <w:rPr>
                <w:rFonts w:hAnsi="宋体" w:cs="Times New Roman"/>
                <w:color w:val="auto"/>
                <w:sz w:val="21"/>
                <w:szCs w:val="21"/>
              </w:rPr>
              <w:t>）</w:t>
            </w:r>
          </w:p>
        </w:tc>
        <w:tc>
          <w:tcPr>
            <w:tcW w:w="88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最大超标倍数</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厂址</w:t>
            </w:r>
          </w:p>
        </w:tc>
        <w:tc>
          <w:tcPr>
            <w:tcW w:w="124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35~89</w:t>
            </w:r>
          </w:p>
        </w:tc>
        <w:tc>
          <w:tcPr>
            <w:tcW w:w="69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56</w:t>
            </w:r>
          </w:p>
        </w:tc>
        <w:tc>
          <w:tcPr>
            <w:tcW w:w="1248"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14.29%</w:t>
            </w:r>
          </w:p>
        </w:tc>
        <w:tc>
          <w:tcPr>
            <w:tcW w:w="885"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1.19</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唐李村</w:t>
            </w:r>
          </w:p>
        </w:tc>
        <w:tc>
          <w:tcPr>
            <w:tcW w:w="124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37~92</w:t>
            </w:r>
          </w:p>
        </w:tc>
        <w:tc>
          <w:tcPr>
            <w:tcW w:w="69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59</w:t>
            </w:r>
          </w:p>
        </w:tc>
        <w:tc>
          <w:tcPr>
            <w:tcW w:w="1248"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14.29%</w:t>
            </w:r>
          </w:p>
        </w:tc>
        <w:tc>
          <w:tcPr>
            <w:tcW w:w="885"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1.19</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标准</w:t>
            </w:r>
          </w:p>
        </w:tc>
        <w:tc>
          <w:tcPr>
            <w:tcW w:w="4075" w:type="pct"/>
            <w:gridSpan w:val="4"/>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75</w:t>
            </w:r>
          </w:p>
        </w:tc>
      </w:tr>
    </w:tbl>
    <w:p>
      <w:pPr>
        <w:pStyle w:val="63"/>
        <w:ind w:firstLine="422"/>
        <w:jc w:val="center"/>
        <w:rPr>
          <w:rFonts w:cs="Times New Roman"/>
          <w:b/>
          <w:color w:val="auto"/>
          <w:sz w:val="21"/>
          <w:szCs w:val="21"/>
        </w:rPr>
      </w:pPr>
      <w:r>
        <w:rPr>
          <w:rFonts w:hAnsi="宋体" w:cs="Times New Roman"/>
          <w:b/>
          <w:color w:val="auto"/>
          <w:sz w:val="21"/>
          <w:szCs w:val="21"/>
        </w:rPr>
        <w:t>表</w:t>
      </w:r>
      <w:r>
        <w:rPr>
          <w:rFonts w:cs="Times New Roman"/>
          <w:b/>
          <w:color w:val="auto"/>
          <w:sz w:val="21"/>
          <w:szCs w:val="21"/>
        </w:rPr>
        <w:t>5.1-</w:t>
      </w:r>
      <w:r>
        <w:rPr>
          <w:rFonts w:hint="eastAsia" w:cs="Times New Roman"/>
          <w:b/>
          <w:color w:val="auto"/>
          <w:sz w:val="21"/>
          <w:szCs w:val="21"/>
        </w:rPr>
        <w:t>7</w:t>
      </w:r>
      <w:r>
        <w:rPr>
          <w:rFonts w:cs="Times New Roman"/>
          <w:b/>
          <w:color w:val="auto"/>
          <w:sz w:val="21"/>
          <w:szCs w:val="21"/>
        </w:rPr>
        <w:t xml:space="preserve">  </w:t>
      </w:r>
      <w:r>
        <w:rPr>
          <w:rFonts w:hint="eastAsia" w:cs="Times New Roman"/>
          <w:b/>
          <w:color w:val="auto"/>
          <w:sz w:val="21"/>
          <w:szCs w:val="21"/>
        </w:rPr>
        <w:t>Cl</w:t>
      </w:r>
      <w:r>
        <w:rPr>
          <w:rFonts w:hint="eastAsia" w:cs="Times New Roman"/>
          <w:b/>
          <w:color w:val="auto"/>
          <w:sz w:val="21"/>
          <w:szCs w:val="21"/>
          <w:vertAlign w:val="subscript"/>
        </w:rPr>
        <w:t>2</w:t>
      </w:r>
      <w:r>
        <w:rPr>
          <w:rFonts w:hAnsi="宋体" w:cs="Times New Roman"/>
          <w:b/>
          <w:color w:val="auto"/>
          <w:sz w:val="21"/>
          <w:szCs w:val="21"/>
        </w:rPr>
        <w:t>监测结果统计表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710"/>
        <w:gridCol w:w="2303"/>
        <w:gridCol w:w="1286"/>
        <w:gridCol w:w="2307"/>
        <w:gridCol w:w="1636"/>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Merge w:val="restar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监测点</w:t>
            </w:r>
          </w:p>
        </w:tc>
        <w:tc>
          <w:tcPr>
            <w:tcW w:w="4075" w:type="pct"/>
            <w:gridSpan w:val="4"/>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1</w:t>
            </w:r>
            <w:r>
              <w:rPr>
                <w:rFonts w:hAnsi="宋体" w:cs="Times New Roman"/>
                <w:color w:val="auto"/>
                <w:sz w:val="21"/>
                <w:szCs w:val="21"/>
              </w:rPr>
              <w:t>小时平均浓度</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Merge w:val="continue"/>
            <w:vAlign w:val="center"/>
          </w:tcPr>
          <w:p>
            <w:pPr>
              <w:pStyle w:val="63"/>
              <w:spacing w:line="240" w:lineRule="auto"/>
              <w:ind w:firstLine="0" w:firstLineChars="0"/>
              <w:jc w:val="center"/>
              <w:rPr>
                <w:rFonts w:cs="Times New Roman"/>
                <w:color w:val="auto"/>
                <w:sz w:val="21"/>
                <w:szCs w:val="21"/>
              </w:rPr>
            </w:pPr>
          </w:p>
        </w:tc>
        <w:tc>
          <w:tcPr>
            <w:tcW w:w="1246"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浓度范围（</w:t>
            </w:r>
            <w:r>
              <w:rPr>
                <w:rFonts w:hint="eastAsia" w:cs="Times New Roman"/>
                <w:color w:val="auto"/>
                <w:sz w:val="21"/>
                <w:szCs w:val="21"/>
              </w:rPr>
              <w:t>m</w:t>
            </w:r>
            <w:r>
              <w:rPr>
                <w:rFonts w:cs="Times New Roman"/>
                <w:color w:val="auto"/>
                <w:sz w:val="21"/>
                <w:szCs w:val="21"/>
              </w:rPr>
              <w:t>g/m</w:t>
            </w:r>
            <w:r>
              <w:rPr>
                <w:rFonts w:cs="Times New Roman"/>
                <w:color w:val="auto"/>
                <w:sz w:val="21"/>
                <w:szCs w:val="21"/>
                <w:vertAlign w:val="superscript"/>
              </w:rPr>
              <w:t>3</w:t>
            </w:r>
            <w:r>
              <w:rPr>
                <w:rFonts w:hAnsi="宋体" w:cs="Times New Roman"/>
                <w:color w:val="auto"/>
                <w:sz w:val="21"/>
                <w:szCs w:val="21"/>
              </w:rPr>
              <w:t>）</w:t>
            </w:r>
          </w:p>
        </w:tc>
        <w:tc>
          <w:tcPr>
            <w:tcW w:w="696"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平均值</w:t>
            </w:r>
          </w:p>
        </w:tc>
        <w:tc>
          <w:tcPr>
            <w:tcW w:w="1248" w:type="pct"/>
            <w:vAlign w:val="center"/>
          </w:tcPr>
          <w:p>
            <w:pPr>
              <w:pStyle w:val="63"/>
              <w:spacing w:line="240" w:lineRule="auto"/>
              <w:ind w:firstLine="0" w:firstLineChars="0"/>
              <w:jc w:val="center"/>
              <w:rPr>
                <w:rFonts w:cs="Times New Roman"/>
                <w:color w:val="auto"/>
                <w:sz w:val="21"/>
                <w:szCs w:val="21"/>
              </w:rPr>
            </w:pPr>
            <w:r>
              <w:rPr>
                <w:rFonts w:hint="eastAsia" w:hAnsi="宋体" w:cs="Times New Roman"/>
                <w:color w:val="auto"/>
                <w:sz w:val="21"/>
                <w:szCs w:val="21"/>
              </w:rPr>
              <w:t>超</w:t>
            </w:r>
            <w:r>
              <w:rPr>
                <w:rFonts w:hAnsi="宋体" w:cs="Times New Roman"/>
                <w:color w:val="auto"/>
                <w:sz w:val="21"/>
                <w:szCs w:val="21"/>
              </w:rPr>
              <w:t>标率（</w:t>
            </w:r>
            <w:r>
              <w:rPr>
                <w:rFonts w:cs="Times New Roman"/>
                <w:color w:val="auto"/>
                <w:sz w:val="21"/>
                <w:szCs w:val="21"/>
              </w:rPr>
              <w:t>%</w:t>
            </w:r>
            <w:r>
              <w:rPr>
                <w:rFonts w:hAnsi="宋体" w:cs="Times New Roman"/>
                <w:color w:val="auto"/>
                <w:sz w:val="21"/>
                <w:szCs w:val="21"/>
              </w:rPr>
              <w:t>）</w:t>
            </w:r>
          </w:p>
        </w:tc>
        <w:tc>
          <w:tcPr>
            <w:tcW w:w="88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最大超标倍数</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厂址</w:t>
            </w:r>
          </w:p>
        </w:tc>
        <w:tc>
          <w:tcPr>
            <w:tcW w:w="124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0.03ND</w:t>
            </w:r>
          </w:p>
        </w:tc>
        <w:tc>
          <w:tcPr>
            <w:tcW w:w="69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0.03ND</w:t>
            </w:r>
          </w:p>
        </w:tc>
        <w:tc>
          <w:tcPr>
            <w:tcW w:w="1248"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c>
          <w:tcPr>
            <w:tcW w:w="885"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唐李村</w:t>
            </w:r>
          </w:p>
        </w:tc>
        <w:tc>
          <w:tcPr>
            <w:tcW w:w="124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0.03ND</w:t>
            </w:r>
          </w:p>
        </w:tc>
        <w:tc>
          <w:tcPr>
            <w:tcW w:w="696"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0.03ND</w:t>
            </w:r>
          </w:p>
        </w:tc>
        <w:tc>
          <w:tcPr>
            <w:tcW w:w="1248"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c>
          <w:tcPr>
            <w:tcW w:w="885"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925"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标准</w:t>
            </w:r>
          </w:p>
        </w:tc>
        <w:tc>
          <w:tcPr>
            <w:tcW w:w="4075" w:type="pct"/>
            <w:gridSpan w:val="4"/>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0.10</w:t>
            </w:r>
          </w:p>
        </w:tc>
      </w:tr>
    </w:tbl>
    <w:p>
      <w:pPr>
        <w:pStyle w:val="63"/>
        <w:ind w:firstLine="480"/>
        <w:rPr>
          <w:rFonts w:cs="Times New Roman"/>
          <w:color w:val="auto"/>
          <w:szCs w:val="24"/>
        </w:rPr>
      </w:pPr>
      <w:r>
        <w:rPr>
          <w:rFonts w:hAnsi="宋体" w:cs="Times New Roman"/>
          <w:color w:val="auto"/>
          <w:szCs w:val="24"/>
        </w:rPr>
        <w:t>（</w:t>
      </w:r>
      <w:r>
        <w:rPr>
          <w:rFonts w:cs="Times New Roman"/>
          <w:color w:val="auto"/>
          <w:szCs w:val="24"/>
        </w:rPr>
        <w:t>5</w:t>
      </w:r>
      <w:r>
        <w:rPr>
          <w:rFonts w:hAnsi="宋体" w:cs="Times New Roman"/>
          <w:color w:val="auto"/>
          <w:szCs w:val="24"/>
        </w:rPr>
        <w:t>）评价结果</w:t>
      </w:r>
    </w:p>
    <w:p>
      <w:pPr>
        <w:pStyle w:val="63"/>
        <w:ind w:firstLine="480"/>
        <w:rPr>
          <w:rFonts w:hAnsi="宋体" w:cs="Times New Roman"/>
          <w:color w:val="auto"/>
          <w:szCs w:val="24"/>
        </w:rPr>
      </w:pPr>
      <w:r>
        <w:rPr>
          <w:rFonts w:hAnsi="宋体" w:cs="Times New Roman"/>
          <w:color w:val="auto"/>
          <w:szCs w:val="24"/>
        </w:rPr>
        <w:t>由以上监测数据可知，本项目监测因子中</w:t>
      </w:r>
      <w:r>
        <w:rPr>
          <w:rFonts w:cs="Times New Roman"/>
          <w:color w:val="auto"/>
          <w:szCs w:val="24"/>
        </w:rPr>
        <w:t>SO</w:t>
      </w:r>
      <w:r>
        <w:rPr>
          <w:rFonts w:cs="Times New Roman"/>
          <w:color w:val="auto"/>
          <w:szCs w:val="24"/>
          <w:vertAlign w:val="subscript"/>
        </w:rPr>
        <w:t>2</w:t>
      </w:r>
      <w:r>
        <w:rPr>
          <w:rFonts w:hint="eastAsia" w:cs="Times New Roman"/>
          <w:color w:val="auto"/>
          <w:szCs w:val="24"/>
        </w:rPr>
        <w:t>1小时平均值</w:t>
      </w:r>
      <w:r>
        <w:rPr>
          <w:rFonts w:hAnsi="宋体" w:cs="Times New Roman"/>
          <w:color w:val="auto"/>
          <w:szCs w:val="24"/>
        </w:rPr>
        <w:t>、</w:t>
      </w:r>
      <w:r>
        <w:rPr>
          <w:rFonts w:cs="Times New Roman"/>
          <w:color w:val="auto"/>
          <w:szCs w:val="24"/>
        </w:rPr>
        <w:t>NO</w:t>
      </w:r>
      <w:r>
        <w:rPr>
          <w:rFonts w:cs="Times New Roman"/>
          <w:color w:val="auto"/>
          <w:szCs w:val="24"/>
          <w:vertAlign w:val="subscript"/>
        </w:rPr>
        <w:t>2</w:t>
      </w:r>
      <w:r>
        <w:rPr>
          <w:rFonts w:hint="eastAsia" w:cs="Times New Roman"/>
          <w:color w:val="auto"/>
          <w:szCs w:val="24"/>
        </w:rPr>
        <w:t>1小时平均值</w:t>
      </w:r>
      <w:r>
        <w:rPr>
          <w:rFonts w:hint="eastAsia" w:hAnsi="宋体" w:cs="Times New Roman"/>
          <w:color w:val="auto"/>
          <w:szCs w:val="24"/>
        </w:rPr>
        <w:t>及</w:t>
      </w:r>
      <w:r>
        <w:rPr>
          <w:rFonts w:cs="Times New Roman"/>
          <w:color w:val="auto"/>
          <w:szCs w:val="24"/>
        </w:rPr>
        <w:t>SO</w:t>
      </w:r>
      <w:r>
        <w:rPr>
          <w:rFonts w:cs="Times New Roman"/>
          <w:color w:val="auto"/>
          <w:szCs w:val="24"/>
          <w:vertAlign w:val="subscript"/>
        </w:rPr>
        <w:t>2</w:t>
      </w:r>
      <w:r>
        <w:rPr>
          <w:rFonts w:hAnsi="宋体" w:cs="Times New Roman"/>
          <w:color w:val="auto"/>
          <w:szCs w:val="24"/>
        </w:rPr>
        <w:t>、</w:t>
      </w:r>
      <w:r>
        <w:rPr>
          <w:rFonts w:cs="Times New Roman"/>
          <w:color w:val="auto"/>
          <w:szCs w:val="24"/>
        </w:rPr>
        <w:t>NO</w:t>
      </w:r>
      <w:r>
        <w:rPr>
          <w:rFonts w:cs="Times New Roman"/>
          <w:color w:val="auto"/>
          <w:szCs w:val="24"/>
          <w:vertAlign w:val="subscript"/>
        </w:rPr>
        <w:t>2</w:t>
      </w:r>
      <w:r>
        <w:rPr>
          <w:rFonts w:hint="eastAsia" w:cs="Times New Roman"/>
          <w:color w:val="auto"/>
          <w:szCs w:val="24"/>
        </w:rPr>
        <w:t>24小时平均值</w:t>
      </w:r>
      <w:r>
        <w:rPr>
          <w:rFonts w:hAnsi="宋体" w:cs="Times New Roman"/>
          <w:color w:val="auto"/>
          <w:szCs w:val="24"/>
        </w:rPr>
        <w:t>均满足《环境空气质量标准》（</w:t>
      </w:r>
      <w:r>
        <w:rPr>
          <w:rFonts w:cs="Times New Roman"/>
          <w:color w:val="auto"/>
          <w:szCs w:val="24"/>
        </w:rPr>
        <w:t>GB3095-2012</w:t>
      </w:r>
      <w:r>
        <w:rPr>
          <w:rFonts w:hAnsi="宋体" w:cs="Times New Roman"/>
          <w:color w:val="auto"/>
          <w:szCs w:val="24"/>
        </w:rPr>
        <w:t>）的二级标准</w:t>
      </w:r>
      <w:r>
        <w:rPr>
          <w:rFonts w:hint="eastAsia" w:hAnsi="宋体" w:cs="Times New Roman"/>
          <w:color w:val="auto"/>
          <w:szCs w:val="24"/>
        </w:rPr>
        <w:t>，</w:t>
      </w:r>
      <w:r>
        <w:rPr>
          <w:rFonts w:hint="eastAsia" w:cs="Times New Roman"/>
          <w:color w:val="auto"/>
          <w:szCs w:val="24"/>
        </w:rPr>
        <w:t>Cl</w:t>
      </w:r>
      <w:r>
        <w:rPr>
          <w:rFonts w:hint="eastAsia" w:cs="Times New Roman"/>
          <w:color w:val="auto"/>
          <w:szCs w:val="24"/>
          <w:vertAlign w:val="subscript"/>
        </w:rPr>
        <w:t>2</w:t>
      </w:r>
      <w:r>
        <w:rPr>
          <w:rFonts w:hint="eastAsia" w:cs="Times New Roman"/>
          <w:color w:val="auto"/>
          <w:szCs w:val="24"/>
        </w:rPr>
        <w:t>1小时平均值</w:t>
      </w:r>
      <w:r>
        <w:rPr>
          <w:rFonts w:hAnsi="宋体" w:cs="Times New Roman"/>
          <w:color w:val="auto"/>
          <w:szCs w:val="24"/>
        </w:rPr>
        <w:t>满足</w:t>
      </w:r>
      <w:r>
        <w:rPr>
          <w:rFonts w:hint="eastAsia" w:hAnsi="宋体" w:cs="Times New Roman"/>
          <w:color w:val="auto"/>
          <w:szCs w:val="24"/>
        </w:rPr>
        <w:t>《工企业设计卫生标准》（TJ36-79）中表1</w:t>
      </w:r>
      <w:r>
        <w:rPr>
          <w:rFonts w:hint="eastAsia" w:ascii="宋体" w:hAnsi="宋体"/>
          <w:color w:val="auto"/>
          <w:szCs w:val="21"/>
        </w:rPr>
        <w:t>居住区大气中有害物质的最高容许浓度限值。</w:t>
      </w:r>
      <w:r>
        <w:rPr>
          <w:rFonts w:hint="eastAsia" w:hAnsi="宋体" w:cs="Times New Roman"/>
          <w:color w:val="auto"/>
          <w:szCs w:val="24"/>
        </w:rPr>
        <w:t>PM</w:t>
      </w:r>
      <w:r>
        <w:rPr>
          <w:rFonts w:hint="eastAsia" w:hAnsi="宋体" w:cs="Times New Roman"/>
          <w:color w:val="auto"/>
          <w:szCs w:val="24"/>
          <w:vertAlign w:val="subscript"/>
        </w:rPr>
        <w:t>10</w:t>
      </w:r>
      <w:r>
        <w:rPr>
          <w:rFonts w:hint="eastAsia" w:hAnsi="宋体" w:cs="Times New Roman"/>
          <w:color w:val="auto"/>
          <w:szCs w:val="24"/>
        </w:rPr>
        <w:t>和PM</w:t>
      </w:r>
      <w:r>
        <w:rPr>
          <w:rFonts w:hint="eastAsia" w:hAnsi="宋体" w:cs="Times New Roman"/>
          <w:color w:val="auto"/>
          <w:szCs w:val="24"/>
          <w:vertAlign w:val="subscript"/>
        </w:rPr>
        <w:t>2.5</w:t>
      </w:r>
      <w:r>
        <w:rPr>
          <w:rFonts w:hint="eastAsia" w:hAnsi="宋体" w:cs="Times New Roman"/>
          <w:color w:val="auto"/>
          <w:szCs w:val="24"/>
        </w:rPr>
        <w:t>24小时平均值均有不同程度超标，具体为12日、13日、14日、15日两个监测点的PM</w:t>
      </w:r>
      <w:r>
        <w:rPr>
          <w:rFonts w:hint="eastAsia" w:hAnsi="宋体" w:cs="Times New Roman"/>
          <w:color w:val="auto"/>
          <w:szCs w:val="24"/>
          <w:vertAlign w:val="subscript"/>
        </w:rPr>
        <w:t>10</w:t>
      </w:r>
      <w:r>
        <w:rPr>
          <w:rFonts w:hint="eastAsia" w:hAnsi="宋体" w:cs="Times New Roman"/>
          <w:color w:val="auto"/>
          <w:szCs w:val="24"/>
        </w:rPr>
        <w:t>24小时平均值均超标，14日两个监测点的PM</w:t>
      </w:r>
      <w:r>
        <w:rPr>
          <w:rFonts w:hint="eastAsia" w:hAnsi="宋体" w:cs="Times New Roman"/>
          <w:color w:val="auto"/>
          <w:szCs w:val="24"/>
          <w:vertAlign w:val="subscript"/>
        </w:rPr>
        <w:t>2.5</w:t>
      </w:r>
      <w:r>
        <w:rPr>
          <w:rFonts w:hint="eastAsia" w:hAnsi="宋体" w:cs="Times New Roman"/>
          <w:color w:val="auto"/>
          <w:szCs w:val="24"/>
        </w:rPr>
        <w:t>24小时平均值超标，其余时间均PM</w:t>
      </w:r>
      <w:r>
        <w:rPr>
          <w:rFonts w:hint="eastAsia" w:hAnsi="宋体" w:cs="Times New Roman"/>
          <w:color w:val="auto"/>
          <w:szCs w:val="24"/>
          <w:vertAlign w:val="subscript"/>
        </w:rPr>
        <w:t>10</w:t>
      </w:r>
      <w:r>
        <w:rPr>
          <w:rFonts w:hint="eastAsia" w:hAnsi="宋体" w:cs="Times New Roman"/>
          <w:color w:val="auto"/>
          <w:szCs w:val="24"/>
        </w:rPr>
        <w:t>和PM</w:t>
      </w:r>
      <w:r>
        <w:rPr>
          <w:rFonts w:hint="eastAsia" w:hAnsi="宋体" w:cs="Times New Roman"/>
          <w:color w:val="auto"/>
          <w:szCs w:val="24"/>
          <w:vertAlign w:val="subscript"/>
        </w:rPr>
        <w:t>2.5</w:t>
      </w:r>
      <w:r>
        <w:rPr>
          <w:rFonts w:hint="eastAsia" w:hAnsi="宋体" w:cs="Times New Roman"/>
          <w:color w:val="auto"/>
          <w:szCs w:val="24"/>
        </w:rPr>
        <w:t>均满足</w:t>
      </w:r>
      <w:r>
        <w:rPr>
          <w:rFonts w:hAnsi="宋体" w:cs="Times New Roman"/>
          <w:color w:val="auto"/>
          <w:szCs w:val="24"/>
        </w:rPr>
        <w:t>《环境空气质量标准》（</w:t>
      </w:r>
      <w:r>
        <w:rPr>
          <w:rFonts w:cs="Times New Roman"/>
          <w:color w:val="auto"/>
          <w:szCs w:val="24"/>
        </w:rPr>
        <w:t>GB3095-2012</w:t>
      </w:r>
      <w:r>
        <w:rPr>
          <w:rFonts w:hAnsi="宋体" w:cs="Times New Roman"/>
          <w:color w:val="auto"/>
          <w:szCs w:val="24"/>
        </w:rPr>
        <w:t>）的二级标准</w:t>
      </w:r>
      <w:r>
        <w:rPr>
          <w:rFonts w:hint="eastAsia" w:hAnsi="宋体" w:cs="Times New Roman"/>
          <w:color w:val="auto"/>
          <w:szCs w:val="24"/>
        </w:rPr>
        <w:t>。超标原因主要与</w:t>
      </w:r>
      <w:r>
        <w:rPr>
          <w:rFonts w:cs="Times New Roman"/>
          <w:color w:val="auto"/>
        </w:rPr>
        <w:t>监测点地处西北、监测期干燥少雨的气候特征有关</w:t>
      </w:r>
      <w:r>
        <w:rPr>
          <w:rFonts w:hint="eastAsia" w:cs="Times New Roman"/>
          <w:color w:val="auto"/>
        </w:rPr>
        <w:t>。</w:t>
      </w:r>
    </w:p>
    <w:p>
      <w:pPr>
        <w:pStyle w:val="61"/>
        <w:rPr>
          <w:color w:val="auto"/>
          <w:szCs w:val="24"/>
        </w:rPr>
      </w:pPr>
      <w:bookmarkStart w:id="41" w:name="_Toc436902159"/>
      <w:r>
        <w:rPr>
          <w:color w:val="auto"/>
        </w:rPr>
        <w:t>5.2地表水现状调查与评价</w:t>
      </w:r>
      <w:bookmarkEnd w:id="41"/>
    </w:p>
    <w:p>
      <w:pPr>
        <w:pStyle w:val="63"/>
        <w:ind w:firstLine="480"/>
        <w:rPr>
          <w:color w:val="auto"/>
          <w:szCs w:val="24"/>
        </w:rPr>
      </w:pPr>
      <w:r>
        <w:rPr>
          <w:color w:val="auto"/>
        </w:rPr>
        <w:t>（1）监测布点</w:t>
      </w:r>
    </w:p>
    <w:p>
      <w:pPr>
        <w:pStyle w:val="63"/>
        <w:ind w:firstLine="460"/>
        <w:rPr>
          <w:rFonts w:hAnsi="宋体" w:cs="Times New Roman"/>
          <w:color w:val="auto"/>
          <w:szCs w:val="24"/>
        </w:rPr>
      </w:pPr>
      <w:r>
        <w:rPr>
          <w:color w:val="auto"/>
          <w:sz w:val="23"/>
        </w:rPr>
        <w:t>本次地表水监测在</w:t>
      </w:r>
      <w:r>
        <w:rPr>
          <w:rFonts w:hint="eastAsia"/>
          <w:color w:val="auto"/>
          <w:sz w:val="23"/>
        </w:rPr>
        <w:t>泾河</w:t>
      </w:r>
      <w:r>
        <w:rPr>
          <w:color w:val="auto"/>
          <w:sz w:val="23"/>
        </w:rPr>
        <w:t>共布</w:t>
      </w:r>
      <w:r>
        <w:rPr>
          <w:rFonts w:hint="eastAsia" w:cs="Times New Roman"/>
          <w:color w:val="auto"/>
          <w:sz w:val="23"/>
        </w:rPr>
        <w:t>2</w:t>
      </w:r>
      <w:r>
        <w:rPr>
          <w:color w:val="auto"/>
          <w:sz w:val="23"/>
        </w:rPr>
        <w:t>个监测断面，具体监测断面见表</w:t>
      </w:r>
      <w:r>
        <w:rPr>
          <w:rFonts w:cs="Times New Roman"/>
          <w:color w:val="auto"/>
          <w:sz w:val="23"/>
        </w:rPr>
        <w:t>5.2-1</w:t>
      </w:r>
      <w:r>
        <w:rPr>
          <w:color w:val="auto"/>
          <w:sz w:val="23"/>
        </w:rPr>
        <w:t>。</w:t>
      </w:r>
    </w:p>
    <w:p>
      <w:pPr>
        <w:pStyle w:val="65"/>
      </w:pPr>
      <w:r>
        <w:t>表5.2-1地表水监测断面布点</w:t>
      </w:r>
    </w:p>
    <w:tbl>
      <w:tblPr>
        <w:tblStyle w:val="2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080"/>
        <w:gridCol w:w="3081"/>
        <w:gridCol w:w="30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80" w:type="dxa"/>
          </w:tcPr>
          <w:p>
            <w:pPr>
              <w:pStyle w:val="65"/>
            </w:pPr>
            <w:r>
              <w:rPr>
                <w:rFonts w:hint="eastAsia"/>
              </w:rPr>
              <w:t>序号</w:t>
            </w:r>
          </w:p>
        </w:tc>
        <w:tc>
          <w:tcPr>
            <w:tcW w:w="3081" w:type="dxa"/>
          </w:tcPr>
          <w:p>
            <w:pPr>
              <w:pStyle w:val="65"/>
            </w:pPr>
            <w:r>
              <w:rPr>
                <w:rFonts w:hint="eastAsia"/>
              </w:rPr>
              <w:t>断面名称</w:t>
            </w:r>
          </w:p>
        </w:tc>
        <w:tc>
          <w:tcPr>
            <w:tcW w:w="3081" w:type="dxa"/>
          </w:tcPr>
          <w:p>
            <w:pPr>
              <w:pStyle w:val="65"/>
            </w:pPr>
            <w:r>
              <w:rPr>
                <w:szCs w:val="21"/>
              </w:rPr>
              <w:t>监测断面及位置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80" w:type="dxa"/>
          </w:tcPr>
          <w:p>
            <w:pPr>
              <w:pStyle w:val="65"/>
              <w:rPr>
                <w:rFonts w:hAnsi="宋体"/>
                <w:b w:val="0"/>
              </w:rPr>
            </w:pPr>
            <w:r>
              <w:rPr>
                <w:rFonts w:hint="eastAsia" w:hAnsi="宋体"/>
                <w:b w:val="0"/>
              </w:rPr>
              <w:t>1</w:t>
            </w:r>
          </w:p>
        </w:tc>
        <w:tc>
          <w:tcPr>
            <w:tcW w:w="3081" w:type="dxa"/>
          </w:tcPr>
          <w:p>
            <w:pPr>
              <w:pStyle w:val="58"/>
              <w:jc w:val="center"/>
              <w:rPr>
                <w:rFonts w:hAnsi="宋体"/>
                <w:color w:val="auto"/>
              </w:rPr>
            </w:pPr>
            <w:r>
              <w:rPr>
                <w:rFonts w:hint="eastAsia"/>
                <w:color w:val="auto"/>
                <w:sz w:val="21"/>
                <w:szCs w:val="21"/>
                <w:lang w:eastAsia="zh-CN"/>
              </w:rPr>
              <w:t>泾河</w:t>
            </w:r>
            <w:r>
              <w:rPr>
                <w:color w:val="auto"/>
                <w:sz w:val="21"/>
                <w:szCs w:val="21"/>
              </w:rPr>
              <w:t>上游断面</w:t>
            </w:r>
          </w:p>
        </w:tc>
        <w:tc>
          <w:tcPr>
            <w:tcW w:w="3081" w:type="dxa"/>
          </w:tcPr>
          <w:p>
            <w:pPr>
              <w:pStyle w:val="65"/>
              <w:rPr>
                <w:rFonts w:hAnsi="宋体"/>
                <w:b w:val="0"/>
              </w:rPr>
            </w:pPr>
            <w:r>
              <w:rPr>
                <w:rFonts w:hint="eastAsia" w:hAnsi="宋体"/>
                <w:b w:val="0"/>
              </w:rPr>
              <w:t>项目所在地上游500m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80" w:type="dxa"/>
          </w:tcPr>
          <w:p>
            <w:pPr>
              <w:pStyle w:val="65"/>
              <w:rPr>
                <w:rFonts w:hAnsi="宋体"/>
                <w:b w:val="0"/>
              </w:rPr>
            </w:pPr>
            <w:r>
              <w:rPr>
                <w:rFonts w:hint="eastAsia" w:hAnsi="宋体"/>
                <w:b w:val="0"/>
              </w:rPr>
              <w:t>2</w:t>
            </w:r>
          </w:p>
        </w:tc>
        <w:tc>
          <w:tcPr>
            <w:tcW w:w="3081" w:type="dxa"/>
          </w:tcPr>
          <w:p>
            <w:pPr>
              <w:pStyle w:val="65"/>
              <w:rPr>
                <w:rFonts w:hAnsi="宋体"/>
                <w:b w:val="0"/>
              </w:rPr>
            </w:pPr>
            <w:r>
              <w:rPr>
                <w:rFonts w:hint="eastAsia"/>
                <w:b w:val="0"/>
                <w:szCs w:val="21"/>
              </w:rPr>
              <w:t>泾河</w:t>
            </w:r>
            <w:r>
              <w:rPr>
                <w:b w:val="0"/>
                <w:szCs w:val="21"/>
              </w:rPr>
              <w:t>上游断面</w:t>
            </w:r>
          </w:p>
        </w:tc>
        <w:tc>
          <w:tcPr>
            <w:tcW w:w="3081" w:type="dxa"/>
          </w:tcPr>
          <w:p>
            <w:pPr>
              <w:pStyle w:val="65"/>
              <w:rPr>
                <w:rFonts w:hAnsi="宋体"/>
                <w:b w:val="0"/>
              </w:rPr>
            </w:pPr>
            <w:r>
              <w:rPr>
                <w:rFonts w:hint="eastAsia" w:hAnsi="宋体"/>
                <w:b w:val="0"/>
              </w:rPr>
              <w:t>项目所在地下游1000m</w:t>
            </w:r>
          </w:p>
        </w:tc>
      </w:tr>
    </w:tbl>
    <w:p>
      <w:pPr>
        <w:pStyle w:val="63"/>
        <w:ind w:firstLine="480"/>
        <w:rPr>
          <w:rFonts w:hAnsi="宋体"/>
          <w:color w:val="auto"/>
          <w:szCs w:val="24"/>
        </w:rPr>
      </w:pPr>
      <w:r>
        <w:rPr>
          <w:color w:val="auto"/>
        </w:rPr>
        <w:t>（</w:t>
      </w:r>
      <w:r>
        <w:rPr>
          <w:rFonts w:cs="Times New Roman"/>
          <w:color w:val="auto"/>
        </w:rPr>
        <w:t>2</w:t>
      </w:r>
      <w:r>
        <w:rPr>
          <w:color w:val="auto"/>
        </w:rPr>
        <w:t>）监测项目采样时间及频率</w:t>
      </w:r>
    </w:p>
    <w:p>
      <w:pPr>
        <w:pStyle w:val="63"/>
        <w:ind w:firstLine="480"/>
        <w:rPr>
          <w:color w:val="auto"/>
        </w:rPr>
      </w:pPr>
      <w:r>
        <w:rPr>
          <w:color w:val="auto"/>
        </w:rPr>
        <w:t>本次评价地表水现状由西安圆方环境卫生检测技术有限公司</w:t>
      </w:r>
      <w:r>
        <w:rPr>
          <w:rFonts w:hint="eastAsia"/>
          <w:color w:val="auto"/>
        </w:rPr>
        <w:t>采样并完成样品分析</w:t>
      </w:r>
      <w:r>
        <w:rPr>
          <w:color w:val="auto"/>
        </w:rPr>
        <w:t>，监测报告见附件4，地表水监测时间2015年</w:t>
      </w:r>
      <w:r>
        <w:rPr>
          <w:rFonts w:hint="eastAsia"/>
          <w:color w:val="auto"/>
        </w:rPr>
        <w:t>10</w:t>
      </w:r>
      <w:r>
        <w:rPr>
          <w:color w:val="auto"/>
        </w:rPr>
        <w:t>月</w:t>
      </w:r>
      <w:r>
        <w:rPr>
          <w:rFonts w:hint="eastAsia"/>
          <w:color w:val="auto"/>
        </w:rPr>
        <w:t>9</w:t>
      </w:r>
      <w:r>
        <w:rPr>
          <w:color w:val="auto"/>
        </w:rPr>
        <w:t>日至2015年</w:t>
      </w:r>
      <w:r>
        <w:rPr>
          <w:rFonts w:hint="eastAsia"/>
          <w:color w:val="auto"/>
        </w:rPr>
        <w:t>10</w:t>
      </w:r>
      <w:r>
        <w:rPr>
          <w:color w:val="auto"/>
        </w:rPr>
        <w:t>月</w:t>
      </w:r>
      <w:r>
        <w:rPr>
          <w:rFonts w:hint="eastAsia"/>
          <w:color w:val="auto"/>
        </w:rPr>
        <w:t>10</w:t>
      </w:r>
      <w:r>
        <w:rPr>
          <w:color w:val="auto"/>
        </w:rPr>
        <w:t>日，连续监测两天。</w:t>
      </w:r>
    </w:p>
    <w:p>
      <w:pPr>
        <w:pStyle w:val="63"/>
        <w:ind w:firstLine="480"/>
        <w:rPr>
          <w:color w:val="auto"/>
        </w:rPr>
      </w:pPr>
      <w:r>
        <w:rPr>
          <w:color w:val="auto"/>
        </w:rPr>
        <w:t>地表水监测项目为pH、COD、BOD</w:t>
      </w:r>
      <w:r>
        <w:rPr>
          <w:color w:val="auto"/>
          <w:vertAlign w:val="subscript"/>
        </w:rPr>
        <w:t>5</w:t>
      </w:r>
      <w:r>
        <w:rPr>
          <w:color w:val="auto"/>
        </w:rPr>
        <w:t>、氨氮、石油类、阴离子表面活性剂、氯离子共7项；同步监测</w:t>
      </w:r>
      <w:r>
        <w:rPr>
          <w:rFonts w:hint="eastAsia"/>
          <w:color w:val="auto"/>
        </w:rPr>
        <w:t>泾河</w:t>
      </w:r>
      <w:r>
        <w:rPr>
          <w:color w:val="auto"/>
        </w:rPr>
        <w:t>流量、流速、水位深度，同时标定采样点经纬度坐标。</w:t>
      </w:r>
    </w:p>
    <w:p>
      <w:pPr>
        <w:pStyle w:val="63"/>
        <w:ind w:firstLine="480"/>
        <w:rPr>
          <w:color w:val="auto"/>
        </w:rPr>
      </w:pPr>
      <w:r>
        <w:rPr>
          <w:color w:val="auto"/>
        </w:rPr>
        <w:t>（3）监测项目分析方法</w:t>
      </w:r>
    </w:p>
    <w:p>
      <w:pPr>
        <w:pStyle w:val="63"/>
        <w:ind w:firstLine="480"/>
        <w:rPr>
          <w:color w:val="auto"/>
        </w:rPr>
      </w:pPr>
      <w:r>
        <w:rPr>
          <w:color w:val="auto"/>
        </w:rPr>
        <w:t>本项目监测项目分析方法和检出限见表表5.2-2</w:t>
      </w:r>
    </w:p>
    <w:p>
      <w:pPr>
        <w:pStyle w:val="65"/>
      </w:pPr>
      <w:r>
        <w:rPr>
          <w:rFonts w:hint="eastAsia"/>
        </w:rPr>
        <w:t>表</w:t>
      </w:r>
      <w:r>
        <w:t xml:space="preserve">5.2-2 </w:t>
      </w:r>
      <w:r>
        <w:rPr>
          <w:rFonts w:hint="eastAsia"/>
        </w:rPr>
        <w:t>监测项目分析方法</w:t>
      </w:r>
    </w:p>
    <w:tbl>
      <w:tblPr>
        <w:tblStyle w:val="24"/>
        <w:tblW w:w="0" w:type="auto"/>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378"/>
        <w:gridCol w:w="2311"/>
        <w:gridCol w:w="2311"/>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rPr>
                <w:szCs w:val="21"/>
              </w:rPr>
            </w:pPr>
            <w:r>
              <w:rPr>
                <w:rFonts w:hAnsi="宋体"/>
                <w:szCs w:val="21"/>
              </w:rPr>
              <w:t>监测项目</w:t>
            </w:r>
          </w:p>
        </w:tc>
        <w:tc>
          <w:tcPr>
            <w:tcW w:w="3378" w:type="dxa"/>
            <w:vAlign w:val="center"/>
          </w:tcPr>
          <w:p>
            <w:pPr>
              <w:pStyle w:val="65"/>
              <w:rPr>
                <w:szCs w:val="21"/>
              </w:rPr>
            </w:pPr>
            <w:r>
              <w:rPr>
                <w:rFonts w:hAnsi="宋体"/>
                <w:szCs w:val="21"/>
              </w:rPr>
              <w:t>监测方法及依据</w:t>
            </w:r>
          </w:p>
        </w:tc>
        <w:tc>
          <w:tcPr>
            <w:tcW w:w="2311" w:type="dxa"/>
            <w:vAlign w:val="center"/>
          </w:tcPr>
          <w:p>
            <w:pPr>
              <w:pStyle w:val="65"/>
              <w:rPr>
                <w:szCs w:val="21"/>
              </w:rPr>
            </w:pPr>
            <w:r>
              <w:rPr>
                <w:rFonts w:hAnsi="宋体"/>
                <w:szCs w:val="21"/>
              </w:rPr>
              <w:t>分析仪器</w:t>
            </w:r>
          </w:p>
        </w:tc>
        <w:tc>
          <w:tcPr>
            <w:tcW w:w="2311" w:type="dxa"/>
            <w:vAlign w:val="center"/>
          </w:tcPr>
          <w:p>
            <w:pPr>
              <w:pStyle w:val="65"/>
              <w:rPr>
                <w:szCs w:val="21"/>
              </w:rPr>
            </w:pPr>
            <w:r>
              <w:rPr>
                <w:rFonts w:hAnsi="宋体"/>
                <w:szCs w:val="21"/>
              </w:rPr>
              <w:t>方法检出限</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3"/>
              <w:ind w:firstLine="0" w:firstLineChars="0"/>
              <w:jc w:val="center"/>
              <w:rPr>
                <w:rFonts w:cs="Times New Roman"/>
                <w:color w:val="auto"/>
                <w:sz w:val="21"/>
                <w:szCs w:val="21"/>
              </w:rPr>
            </w:pPr>
            <w:r>
              <w:rPr>
                <w:rFonts w:cs="Times New Roman"/>
                <w:color w:val="auto"/>
                <w:sz w:val="21"/>
                <w:szCs w:val="21"/>
              </w:rPr>
              <w:t>pH</w:t>
            </w:r>
          </w:p>
        </w:tc>
        <w:tc>
          <w:tcPr>
            <w:tcW w:w="3378" w:type="dxa"/>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《水质</w:t>
            </w:r>
            <w:r>
              <w:rPr>
                <w:rFonts w:ascii="Times New Roman" w:hAnsi="Times New Roman" w:cs="Times New Roman"/>
                <w:color w:val="auto"/>
                <w:sz w:val="21"/>
                <w:szCs w:val="21"/>
                <w:lang w:eastAsia="zh-CN"/>
              </w:rPr>
              <w:t>pH</w:t>
            </w:r>
            <w:r>
              <w:rPr>
                <w:rFonts w:ascii="Times New Roman" w:hAnsi="宋体" w:cs="Times New Roman"/>
                <w:color w:val="auto"/>
                <w:sz w:val="21"/>
                <w:szCs w:val="21"/>
                <w:lang w:eastAsia="zh-CN"/>
              </w:rPr>
              <w:t>值的测定玻璃电极法》</w:t>
            </w:r>
            <w:r>
              <w:rPr>
                <w:rFonts w:ascii="Times New Roman" w:hAnsi="Times New Roman" w:cs="Times New Roman"/>
                <w:color w:val="auto"/>
                <w:sz w:val="21"/>
                <w:szCs w:val="21"/>
                <w:lang w:eastAsia="zh-CN"/>
              </w:rPr>
              <w:t>GB 6920-1986</w:t>
            </w:r>
          </w:p>
        </w:tc>
        <w:tc>
          <w:tcPr>
            <w:tcW w:w="2311" w:type="dxa"/>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PHS-3C PH</w:t>
            </w:r>
            <w:r>
              <w:rPr>
                <w:rFonts w:ascii="Times New Roman" w:hAnsi="宋体" w:cs="Times New Roman"/>
                <w:color w:val="auto"/>
                <w:sz w:val="21"/>
                <w:szCs w:val="21"/>
              </w:rPr>
              <w:t>计（</w:t>
            </w:r>
            <w:r>
              <w:rPr>
                <w:rFonts w:ascii="Times New Roman" w:hAnsi="Times New Roman" w:cs="Times New Roman"/>
                <w:color w:val="auto"/>
                <w:sz w:val="21"/>
                <w:szCs w:val="21"/>
              </w:rPr>
              <w:t>H05</w:t>
            </w:r>
            <w:r>
              <w:rPr>
                <w:rFonts w:ascii="Times New Roman" w:hAnsi="宋体" w:cs="Times New Roman"/>
                <w:color w:val="auto"/>
                <w:sz w:val="21"/>
                <w:szCs w:val="21"/>
              </w:rPr>
              <w:t>）</w:t>
            </w:r>
          </w:p>
        </w:tc>
        <w:tc>
          <w:tcPr>
            <w:tcW w:w="2311" w:type="dxa"/>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0.01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spacing w:line="360" w:lineRule="auto"/>
              <w:rPr>
                <w:b w:val="0"/>
                <w:szCs w:val="21"/>
              </w:rPr>
            </w:pPr>
            <w:r>
              <w:rPr>
                <w:b w:val="0"/>
                <w:szCs w:val="21"/>
              </w:rPr>
              <w:t>COD</w:t>
            </w:r>
          </w:p>
        </w:tc>
        <w:tc>
          <w:tcPr>
            <w:tcW w:w="3378" w:type="dxa"/>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《水质化学需氧量的测定重铬酸盐法》</w:t>
            </w:r>
            <w:r>
              <w:rPr>
                <w:rFonts w:ascii="Times New Roman" w:hAnsi="Times New Roman" w:cs="Times New Roman"/>
                <w:color w:val="auto"/>
                <w:sz w:val="21"/>
                <w:szCs w:val="21"/>
                <w:lang w:eastAsia="zh-CN"/>
              </w:rPr>
              <w:t>GB11914-1989</w:t>
            </w:r>
          </w:p>
        </w:tc>
        <w:tc>
          <w:tcPr>
            <w:tcW w:w="2311" w:type="dxa"/>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rPr>
              <w:t>酸式滴定管</w:t>
            </w:r>
          </w:p>
        </w:tc>
        <w:tc>
          <w:tcPr>
            <w:tcW w:w="2311" w:type="dxa"/>
            <w:vAlign w:val="center"/>
          </w:tcPr>
          <w:p>
            <w:pPr>
              <w:pStyle w:val="58"/>
              <w:jc w:val="center"/>
              <w:rPr>
                <w:rFonts w:ascii="Times New Roman" w:hAnsi="Times New Roman" w:cs="Times New Roman"/>
                <w:color w:val="auto"/>
                <w:sz w:val="21"/>
                <w:szCs w:val="21"/>
              </w:rPr>
            </w:pPr>
            <w:r>
              <w:rPr>
                <w:rFonts w:hint="eastAsia" w:ascii="Times New Roman" w:hAnsi="Times New Roman" w:cs="Times New Roman"/>
                <w:color w:val="auto"/>
                <w:sz w:val="21"/>
                <w:szCs w:val="21"/>
                <w:lang w:eastAsia="zh-CN"/>
              </w:rPr>
              <w:t>5</w:t>
            </w:r>
            <w:r>
              <w:rPr>
                <w:rFonts w:ascii="Times New Roman" w:hAnsi="Times New Roman" w:cs="Times New Roman"/>
                <w:color w:val="auto"/>
                <w:sz w:val="21"/>
                <w:szCs w:val="21"/>
              </w:rPr>
              <w:t>mg/L</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spacing w:line="360" w:lineRule="auto"/>
              <w:rPr>
                <w:b w:val="0"/>
                <w:szCs w:val="21"/>
              </w:rPr>
            </w:pPr>
            <w:r>
              <w:rPr>
                <w:b w:val="0"/>
                <w:szCs w:val="21"/>
              </w:rPr>
              <w:t>BOD</w:t>
            </w:r>
            <w:r>
              <w:rPr>
                <w:b w:val="0"/>
                <w:szCs w:val="21"/>
                <w:vertAlign w:val="subscript"/>
              </w:rPr>
              <w:t>5</w:t>
            </w:r>
          </w:p>
        </w:tc>
        <w:tc>
          <w:tcPr>
            <w:tcW w:w="3378" w:type="dxa"/>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《水质五日生化需氧量（</w:t>
            </w:r>
            <w:r>
              <w:rPr>
                <w:rFonts w:ascii="Times New Roman" w:hAnsi="Times New Roman" w:cs="Times New Roman"/>
                <w:color w:val="auto"/>
                <w:sz w:val="21"/>
                <w:szCs w:val="21"/>
                <w:lang w:eastAsia="zh-CN"/>
              </w:rPr>
              <w:t>BOD5</w:t>
            </w:r>
            <w:r>
              <w:rPr>
                <w:rFonts w:ascii="Times New Roman" w:hAnsi="宋体" w:cs="Times New Roman"/>
                <w:color w:val="auto"/>
                <w:sz w:val="21"/>
                <w:szCs w:val="21"/>
                <w:lang w:eastAsia="zh-CN"/>
              </w:rPr>
              <w:t>）的测定稀释与接种法》</w:t>
            </w:r>
            <w:r>
              <w:rPr>
                <w:rFonts w:ascii="Times New Roman" w:hAnsi="Times New Roman" w:cs="Times New Roman"/>
                <w:color w:val="auto"/>
                <w:sz w:val="21"/>
                <w:szCs w:val="21"/>
                <w:lang w:eastAsia="zh-CN"/>
              </w:rPr>
              <w:t>HJ505-2009</w:t>
            </w:r>
          </w:p>
        </w:tc>
        <w:tc>
          <w:tcPr>
            <w:tcW w:w="2311" w:type="dxa"/>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SPX-150B</w:t>
            </w:r>
            <w:r>
              <w:rPr>
                <w:rFonts w:ascii="Times New Roman" w:hAnsi="宋体" w:cs="Times New Roman"/>
                <w:color w:val="auto"/>
                <w:sz w:val="21"/>
                <w:szCs w:val="21"/>
              </w:rPr>
              <w:t>生化培养箱</w:t>
            </w:r>
            <w:r>
              <w:rPr>
                <w:rFonts w:ascii="Times New Roman" w:hAnsi="Times New Roman" w:cs="Times New Roman"/>
                <w:color w:val="auto"/>
                <w:sz w:val="21"/>
                <w:szCs w:val="21"/>
              </w:rPr>
              <w:t>(H25)</w:t>
            </w:r>
          </w:p>
        </w:tc>
        <w:tc>
          <w:tcPr>
            <w:tcW w:w="2311" w:type="dxa"/>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2</w:t>
            </w:r>
            <w:r>
              <w:rPr>
                <w:rFonts w:ascii="Times New Roman" w:hAnsi="Times New Roman" w:cs="Times New Roman"/>
                <w:color w:val="auto"/>
                <w:sz w:val="21"/>
                <w:szCs w:val="21"/>
                <w:lang w:eastAsia="zh-CN"/>
              </w:rPr>
              <w:t>mg/L</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spacing w:line="360" w:lineRule="auto"/>
              <w:rPr>
                <w:b w:val="0"/>
                <w:szCs w:val="21"/>
              </w:rPr>
            </w:pPr>
            <w:r>
              <w:rPr>
                <w:rFonts w:hAnsi="宋体"/>
                <w:b w:val="0"/>
                <w:szCs w:val="21"/>
              </w:rPr>
              <w:t>氨氮</w:t>
            </w:r>
          </w:p>
        </w:tc>
        <w:tc>
          <w:tcPr>
            <w:tcW w:w="3378" w:type="dxa"/>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《水质氨氮的测定纳氏试剂分光光度法》</w:t>
            </w:r>
            <w:r>
              <w:rPr>
                <w:rFonts w:ascii="Times New Roman" w:hAnsi="Times New Roman" w:cs="Times New Roman"/>
                <w:color w:val="auto"/>
                <w:sz w:val="21"/>
                <w:szCs w:val="21"/>
                <w:lang w:eastAsia="zh-CN"/>
              </w:rPr>
              <w:t>HJ 535-2009</w:t>
            </w:r>
          </w:p>
        </w:tc>
        <w:tc>
          <w:tcPr>
            <w:tcW w:w="2311" w:type="dxa"/>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UV-5500PC</w:t>
            </w:r>
            <w:r>
              <w:rPr>
                <w:rFonts w:ascii="Times New Roman" w:hAnsi="宋体" w:cs="Times New Roman"/>
                <w:color w:val="auto"/>
                <w:sz w:val="21"/>
                <w:szCs w:val="21"/>
              </w:rPr>
              <w:t>紫外可见分光光度计</w:t>
            </w:r>
            <w:r>
              <w:rPr>
                <w:rFonts w:ascii="Times New Roman" w:hAnsi="Times New Roman" w:cs="Times New Roman"/>
                <w:color w:val="auto"/>
                <w:sz w:val="21"/>
                <w:szCs w:val="21"/>
              </w:rPr>
              <w:t>(H03)</w:t>
            </w:r>
          </w:p>
        </w:tc>
        <w:tc>
          <w:tcPr>
            <w:tcW w:w="2311" w:type="dxa"/>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0.025mg/L</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spacing w:line="360" w:lineRule="auto"/>
              <w:rPr>
                <w:b w:val="0"/>
                <w:szCs w:val="21"/>
              </w:rPr>
            </w:pPr>
            <w:r>
              <w:rPr>
                <w:rFonts w:hAnsi="宋体"/>
                <w:b w:val="0"/>
                <w:kern w:val="0"/>
                <w:szCs w:val="21"/>
              </w:rPr>
              <w:t>石油类</w:t>
            </w:r>
          </w:p>
        </w:tc>
        <w:tc>
          <w:tcPr>
            <w:tcW w:w="3378" w:type="dxa"/>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《水质石油类和动植物油类的测定</w:t>
            </w:r>
          </w:p>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红外分光光度法》</w:t>
            </w:r>
            <w:r>
              <w:rPr>
                <w:rFonts w:ascii="Times New Roman" w:hAnsi="Times New Roman" w:cs="Times New Roman"/>
                <w:color w:val="auto"/>
                <w:sz w:val="21"/>
                <w:szCs w:val="21"/>
                <w:lang w:eastAsia="zh-CN"/>
              </w:rPr>
              <w:t>HJ 637-2012</w:t>
            </w:r>
          </w:p>
        </w:tc>
        <w:tc>
          <w:tcPr>
            <w:tcW w:w="2311" w:type="dxa"/>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MAI-50G</w:t>
            </w:r>
            <w:r>
              <w:rPr>
                <w:rFonts w:ascii="Times New Roman" w:hAnsi="宋体" w:cs="Times New Roman"/>
                <w:color w:val="auto"/>
                <w:sz w:val="21"/>
                <w:szCs w:val="21"/>
                <w:lang w:eastAsia="zh-CN"/>
              </w:rPr>
              <w:t>红外测油仪（</w:t>
            </w:r>
            <w:r>
              <w:rPr>
                <w:rFonts w:ascii="Times New Roman" w:hAnsi="Times New Roman" w:cs="Times New Roman"/>
                <w:color w:val="auto"/>
                <w:sz w:val="21"/>
                <w:szCs w:val="21"/>
                <w:lang w:eastAsia="zh-CN"/>
              </w:rPr>
              <w:t>H04</w:t>
            </w:r>
            <w:r>
              <w:rPr>
                <w:rFonts w:ascii="Times New Roman" w:hAnsi="宋体" w:cs="Times New Roman"/>
                <w:color w:val="auto"/>
                <w:sz w:val="21"/>
                <w:szCs w:val="21"/>
                <w:lang w:eastAsia="zh-CN"/>
              </w:rPr>
              <w:t>）</w:t>
            </w:r>
          </w:p>
        </w:tc>
        <w:tc>
          <w:tcPr>
            <w:tcW w:w="2311" w:type="dxa"/>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rPr>
              <w:t>0.0</w:t>
            </w:r>
            <w:r>
              <w:rPr>
                <w:rFonts w:hint="eastAsia" w:ascii="Times New Roman" w:hAnsi="Times New Roman" w:cs="Times New Roman"/>
                <w:color w:val="auto"/>
                <w:sz w:val="21"/>
                <w:szCs w:val="21"/>
                <w:lang w:eastAsia="zh-CN"/>
              </w:rPr>
              <w:t>4</w:t>
            </w:r>
            <w:r>
              <w:rPr>
                <w:rFonts w:ascii="Times New Roman" w:hAnsi="Times New Roman" w:cs="Times New Roman"/>
                <w:color w:val="auto"/>
                <w:sz w:val="21"/>
                <w:szCs w:val="21"/>
              </w:rPr>
              <w:t>mg/L</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spacing w:line="360" w:lineRule="auto"/>
              <w:rPr>
                <w:b w:val="0"/>
                <w:szCs w:val="21"/>
              </w:rPr>
            </w:pPr>
            <w:r>
              <w:rPr>
                <w:rFonts w:hAnsi="宋体"/>
                <w:b w:val="0"/>
                <w:kern w:val="0"/>
                <w:szCs w:val="21"/>
              </w:rPr>
              <w:t>阴离子表面活性剂</w:t>
            </w:r>
          </w:p>
        </w:tc>
        <w:tc>
          <w:tcPr>
            <w:tcW w:w="3378" w:type="dxa"/>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《水质阴离子表面活性剂的测定</w:t>
            </w:r>
          </w:p>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亚甲蓝分光光度法》</w:t>
            </w:r>
            <w:r>
              <w:rPr>
                <w:rFonts w:ascii="Times New Roman" w:hAnsi="Times New Roman" w:cs="Times New Roman"/>
                <w:color w:val="auto"/>
                <w:sz w:val="21"/>
                <w:szCs w:val="21"/>
                <w:lang w:eastAsia="zh-CN"/>
              </w:rPr>
              <w:t>GB 7494-1987</w:t>
            </w:r>
          </w:p>
        </w:tc>
        <w:tc>
          <w:tcPr>
            <w:tcW w:w="2311" w:type="dxa"/>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-5500PC</w:t>
            </w:r>
            <w:r>
              <w:rPr>
                <w:rFonts w:ascii="Times New Roman" w:hAnsi="宋体" w:cs="Times New Roman"/>
                <w:color w:val="auto"/>
                <w:sz w:val="21"/>
                <w:szCs w:val="21"/>
                <w:lang w:eastAsia="zh-CN"/>
              </w:rPr>
              <w:t>紫外可见分光光度计</w:t>
            </w:r>
            <w:r>
              <w:rPr>
                <w:rFonts w:ascii="Times New Roman" w:hAnsi="Times New Roman" w:cs="Times New Roman"/>
                <w:color w:val="auto"/>
                <w:sz w:val="21"/>
                <w:szCs w:val="21"/>
                <w:lang w:eastAsia="zh-CN"/>
              </w:rPr>
              <w:t>(H03)</w:t>
            </w:r>
          </w:p>
        </w:tc>
        <w:tc>
          <w:tcPr>
            <w:tcW w:w="2311" w:type="dxa"/>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rPr>
              <w:t>0.05mg/L</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pStyle w:val="65"/>
              <w:spacing w:line="360" w:lineRule="auto"/>
              <w:rPr>
                <w:b w:val="0"/>
                <w:szCs w:val="21"/>
              </w:rPr>
            </w:pPr>
            <w:r>
              <w:rPr>
                <w:rFonts w:hAnsi="宋体"/>
                <w:b w:val="0"/>
                <w:kern w:val="0"/>
                <w:szCs w:val="21"/>
              </w:rPr>
              <w:t>氯离子</w:t>
            </w:r>
          </w:p>
        </w:tc>
        <w:tc>
          <w:tcPr>
            <w:tcW w:w="3378" w:type="dxa"/>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《水质氯化物的测定硝酸银滴定法》</w:t>
            </w:r>
            <w:r>
              <w:rPr>
                <w:rFonts w:ascii="Times New Roman" w:hAnsi="Times New Roman" w:cs="Times New Roman"/>
                <w:color w:val="auto"/>
                <w:sz w:val="21"/>
                <w:szCs w:val="21"/>
                <w:lang w:eastAsia="zh-CN"/>
              </w:rPr>
              <w:t>GB 11896-1989</w:t>
            </w:r>
          </w:p>
        </w:tc>
        <w:tc>
          <w:tcPr>
            <w:tcW w:w="2311" w:type="dxa"/>
            <w:vAlign w:val="center"/>
          </w:tcPr>
          <w:p>
            <w:pPr>
              <w:pStyle w:val="58"/>
              <w:jc w:val="center"/>
              <w:rPr>
                <w:rFonts w:ascii="Times New Roman" w:hAnsi="Times New Roman" w:cs="Times New Roman"/>
                <w:color w:val="auto"/>
                <w:sz w:val="21"/>
                <w:szCs w:val="21"/>
              </w:rPr>
            </w:pPr>
            <w:r>
              <w:rPr>
                <w:rFonts w:ascii="Times New Roman" w:hAnsi="宋体" w:cs="Times New Roman"/>
                <w:color w:val="auto"/>
                <w:sz w:val="21"/>
                <w:szCs w:val="21"/>
              </w:rPr>
              <w:t>酸式滴定管</w:t>
            </w:r>
          </w:p>
        </w:tc>
        <w:tc>
          <w:tcPr>
            <w:tcW w:w="2311" w:type="dxa"/>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10</w:t>
            </w:r>
            <w:r>
              <w:rPr>
                <w:rFonts w:ascii="Times New Roman" w:hAnsi="Times New Roman" w:cs="Times New Roman"/>
                <w:color w:val="auto"/>
                <w:sz w:val="21"/>
                <w:szCs w:val="21"/>
              </w:rPr>
              <w:t>mg/L</w:t>
            </w:r>
          </w:p>
        </w:tc>
      </w:tr>
    </w:tbl>
    <w:p>
      <w:pPr>
        <w:pStyle w:val="63"/>
        <w:ind w:firstLine="480"/>
        <w:rPr>
          <w:color w:val="auto"/>
        </w:rPr>
      </w:pPr>
      <w:r>
        <w:rPr>
          <w:color w:val="auto"/>
        </w:rPr>
        <w:t>（4）监测结果</w:t>
      </w:r>
    </w:p>
    <w:p>
      <w:pPr>
        <w:pStyle w:val="63"/>
        <w:ind w:firstLine="480"/>
        <w:rPr>
          <w:color w:val="auto"/>
        </w:rPr>
      </w:pPr>
      <w:r>
        <w:rPr>
          <w:color w:val="auto"/>
        </w:rPr>
        <w:t>地表水质量现状监测结果统计表见表5.2-3。</w:t>
      </w:r>
    </w:p>
    <w:p>
      <w:pPr>
        <w:pStyle w:val="65"/>
      </w:pPr>
      <w:r>
        <w:t>表5.2-3   地表水环境质量监测结果</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379"/>
        <w:gridCol w:w="1137"/>
        <w:gridCol w:w="703"/>
        <w:gridCol w:w="845"/>
        <w:gridCol w:w="862"/>
        <w:gridCol w:w="835"/>
        <w:gridCol w:w="887"/>
        <w:gridCol w:w="1553"/>
        <w:gridCol w:w="1041"/>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749" w:type="pct"/>
            <w:vAlign w:val="center"/>
          </w:tcPr>
          <w:p>
            <w:pPr>
              <w:pStyle w:val="65"/>
            </w:pPr>
            <w:r>
              <w:t>项目</w:t>
            </w:r>
          </w:p>
        </w:tc>
        <w:tc>
          <w:tcPr>
            <w:tcW w:w="618" w:type="pct"/>
            <w:vAlign w:val="center"/>
          </w:tcPr>
          <w:p>
            <w:pPr>
              <w:pStyle w:val="65"/>
            </w:pPr>
            <w:r>
              <w:t>时间</w:t>
            </w:r>
          </w:p>
        </w:tc>
        <w:tc>
          <w:tcPr>
            <w:tcW w:w="383" w:type="pct"/>
            <w:vAlign w:val="center"/>
          </w:tcPr>
          <w:p>
            <w:pPr>
              <w:pStyle w:val="65"/>
            </w:pPr>
            <w:r>
              <w:rPr>
                <w:szCs w:val="21"/>
              </w:rPr>
              <w:t>pH</w:t>
            </w:r>
          </w:p>
        </w:tc>
        <w:tc>
          <w:tcPr>
            <w:tcW w:w="460" w:type="pct"/>
            <w:vAlign w:val="center"/>
          </w:tcPr>
          <w:p>
            <w:pPr>
              <w:pStyle w:val="65"/>
              <w:rPr>
                <w:szCs w:val="21"/>
              </w:rPr>
            </w:pPr>
            <w:r>
              <w:rPr>
                <w:szCs w:val="21"/>
              </w:rPr>
              <w:t>COD</w:t>
            </w:r>
          </w:p>
          <w:p>
            <w:pPr>
              <w:pStyle w:val="65"/>
            </w:pPr>
            <w:r>
              <w:rPr>
                <w:rFonts w:hint="eastAsia"/>
                <w:szCs w:val="21"/>
              </w:rPr>
              <w:t>(</w:t>
            </w:r>
            <w:r>
              <w:rPr>
                <w:szCs w:val="21"/>
              </w:rPr>
              <w:t>mg/L</w:t>
            </w:r>
            <w:r>
              <w:rPr>
                <w:rFonts w:hint="eastAsia"/>
                <w:szCs w:val="21"/>
              </w:rPr>
              <w:t>)</w:t>
            </w:r>
          </w:p>
        </w:tc>
        <w:tc>
          <w:tcPr>
            <w:tcW w:w="469" w:type="pct"/>
            <w:vAlign w:val="center"/>
          </w:tcPr>
          <w:p>
            <w:pPr>
              <w:pStyle w:val="65"/>
              <w:rPr>
                <w:szCs w:val="21"/>
                <w:vertAlign w:val="subscript"/>
              </w:rPr>
            </w:pPr>
            <w:r>
              <w:rPr>
                <w:szCs w:val="21"/>
              </w:rPr>
              <w:t>BOD</w:t>
            </w:r>
            <w:r>
              <w:rPr>
                <w:szCs w:val="21"/>
                <w:vertAlign w:val="subscript"/>
              </w:rPr>
              <w:t>5</w:t>
            </w:r>
          </w:p>
          <w:p>
            <w:pPr>
              <w:pStyle w:val="65"/>
            </w:pPr>
            <w:r>
              <w:rPr>
                <w:rFonts w:hint="eastAsia"/>
                <w:szCs w:val="21"/>
              </w:rPr>
              <w:t>(</w:t>
            </w:r>
            <w:r>
              <w:rPr>
                <w:szCs w:val="21"/>
              </w:rPr>
              <w:t>mg/L</w:t>
            </w:r>
            <w:r>
              <w:rPr>
                <w:rFonts w:hint="eastAsia"/>
                <w:szCs w:val="21"/>
              </w:rPr>
              <w:t>)</w:t>
            </w:r>
          </w:p>
        </w:tc>
        <w:tc>
          <w:tcPr>
            <w:tcW w:w="452" w:type="pct"/>
            <w:vAlign w:val="center"/>
          </w:tcPr>
          <w:p>
            <w:pPr>
              <w:pStyle w:val="65"/>
              <w:rPr>
                <w:szCs w:val="21"/>
              </w:rPr>
            </w:pPr>
            <w:r>
              <w:rPr>
                <w:szCs w:val="21"/>
              </w:rPr>
              <w:t>氨氮</w:t>
            </w:r>
          </w:p>
          <w:p>
            <w:pPr>
              <w:pStyle w:val="65"/>
            </w:pPr>
            <w:r>
              <w:rPr>
                <w:rFonts w:hint="eastAsia"/>
                <w:szCs w:val="21"/>
              </w:rPr>
              <w:t>(</w:t>
            </w:r>
            <w:r>
              <w:rPr>
                <w:szCs w:val="21"/>
              </w:rPr>
              <w:t>mg/L</w:t>
            </w:r>
            <w:r>
              <w:rPr>
                <w:rFonts w:hint="eastAsia"/>
                <w:szCs w:val="21"/>
              </w:rPr>
              <w:t>)</w:t>
            </w:r>
          </w:p>
        </w:tc>
        <w:tc>
          <w:tcPr>
            <w:tcW w:w="460" w:type="pct"/>
            <w:vAlign w:val="center"/>
          </w:tcPr>
          <w:p>
            <w:pPr>
              <w:pStyle w:val="65"/>
              <w:rPr>
                <w:kern w:val="0"/>
                <w:szCs w:val="21"/>
              </w:rPr>
            </w:pPr>
            <w:r>
              <w:rPr>
                <w:kern w:val="0"/>
                <w:szCs w:val="21"/>
              </w:rPr>
              <w:t>石油类</w:t>
            </w:r>
          </w:p>
          <w:p>
            <w:pPr>
              <w:pStyle w:val="65"/>
            </w:pPr>
            <w:r>
              <w:rPr>
                <w:rFonts w:hint="eastAsia"/>
                <w:szCs w:val="21"/>
              </w:rPr>
              <w:t>(</w:t>
            </w:r>
            <w:r>
              <w:rPr>
                <w:szCs w:val="21"/>
              </w:rPr>
              <w:t>mg/L</w:t>
            </w:r>
            <w:r>
              <w:rPr>
                <w:rFonts w:hint="eastAsia"/>
                <w:szCs w:val="21"/>
              </w:rPr>
              <w:t>)</w:t>
            </w:r>
          </w:p>
        </w:tc>
        <w:tc>
          <w:tcPr>
            <w:tcW w:w="843" w:type="pct"/>
            <w:vAlign w:val="center"/>
          </w:tcPr>
          <w:p>
            <w:pPr>
              <w:pStyle w:val="65"/>
            </w:pPr>
            <w:r>
              <w:rPr>
                <w:kern w:val="0"/>
                <w:szCs w:val="21"/>
              </w:rPr>
              <w:t>阴离子表面活性剂</w:t>
            </w:r>
            <w:r>
              <w:rPr>
                <w:rFonts w:hint="eastAsia"/>
                <w:kern w:val="0"/>
                <w:szCs w:val="21"/>
              </w:rPr>
              <w:t>(</w:t>
            </w:r>
            <w:r>
              <w:rPr>
                <w:szCs w:val="21"/>
              </w:rPr>
              <w:t>mg/L</w:t>
            </w:r>
            <w:r>
              <w:rPr>
                <w:rFonts w:hint="eastAsia"/>
                <w:szCs w:val="21"/>
              </w:rPr>
              <w:t>)</w:t>
            </w:r>
          </w:p>
        </w:tc>
        <w:tc>
          <w:tcPr>
            <w:tcW w:w="566" w:type="pct"/>
            <w:vAlign w:val="center"/>
          </w:tcPr>
          <w:p>
            <w:pPr>
              <w:pStyle w:val="65"/>
              <w:rPr>
                <w:kern w:val="0"/>
                <w:szCs w:val="21"/>
              </w:rPr>
            </w:pPr>
            <w:r>
              <w:rPr>
                <w:kern w:val="0"/>
                <w:szCs w:val="21"/>
              </w:rPr>
              <w:t>氯离子</w:t>
            </w:r>
          </w:p>
          <w:p>
            <w:pPr>
              <w:pStyle w:val="65"/>
            </w:pPr>
            <w:r>
              <w:rPr>
                <w:rFonts w:hint="eastAsia"/>
                <w:szCs w:val="21"/>
              </w:rPr>
              <w:t>(</w:t>
            </w:r>
            <w:r>
              <w:rPr>
                <w:szCs w:val="21"/>
              </w:rPr>
              <w:t>mg/L</w:t>
            </w: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749" w:type="pct"/>
            <w:vAlign w:val="center"/>
          </w:tcPr>
          <w:p>
            <w:pPr>
              <w:pStyle w:val="65"/>
              <w:rPr>
                <w:b w:val="0"/>
              </w:rPr>
            </w:pPr>
            <w:r>
              <w:rPr>
                <w:b w:val="0"/>
              </w:rPr>
              <w:t>标准</w:t>
            </w:r>
          </w:p>
        </w:tc>
        <w:tc>
          <w:tcPr>
            <w:tcW w:w="618" w:type="pct"/>
            <w:vAlign w:val="center"/>
          </w:tcPr>
          <w:p>
            <w:pPr>
              <w:pStyle w:val="65"/>
              <w:rPr>
                <w:b w:val="0"/>
              </w:rPr>
            </w:pPr>
            <w:r>
              <w:rPr>
                <w:b w:val="0"/>
              </w:rPr>
              <w:t>/</w:t>
            </w:r>
          </w:p>
        </w:tc>
        <w:tc>
          <w:tcPr>
            <w:tcW w:w="383" w:type="pct"/>
            <w:vAlign w:val="center"/>
          </w:tcPr>
          <w:p>
            <w:pPr>
              <w:pStyle w:val="65"/>
              <w:rPr>
                <w:b w:val="0"/>
              </w:rPr>
            </w:pPr>
            <w:r>
              <w:rPr>
                <w:b w:val="0"/>
              </w:rPr>
              <w:t>6~9</w:t>
            </w:r>
          </w:p>
        </w:tc>
        <w:tc>
          <w:tcPr>
            <w:tcW w:w="460" w:type="pct"/>
            <w:vAlign w:val="center"/>
          </w:tcPr>
          <w:p>
            <w:pPr>
              <w:pStyle w:val="65"/>
              <w:rPr>
                <w:b w:val="0"/>
              </w:rPr>
            </w:pPr>
            <w:r>
              <w:rPr>
                <w:b w:val="0"/>
              </w:rPr>
              <w:t>≤</w:t>
            </w:r>
            <w:r>
              <w:rPr>
                <w:rFonts w:hint="eastAsia"/>
                <w:b w:val="0"/>
              </w:rPr>
              <w:t>20</w:t>
            </w:r>
          </w:p>
        </w:tc>
        <w:tc>
          <w:tcPr>
            <w:tcW w:w="469" w:type="pct"/>
            <w:vAlign w:val="center"/>
          </w:tcPr>
          <w:p>
            <w:pPr>
              <w:pStyle w:val="65"/>
              <w:rPr>
                <w:b w:val="0"/>
              </w:rPr>
            </w:pPr>
            <w:r>
              <w:rPr>
                <w:b w:val="0"/>
              </w:rPr>
              <w:t>≤</w:t>
            </w:r>
            <w:r>
              <w:rPr>
                <w:rFonts w:hint="eastAsia"/>
                <w:b w:val="0"/>
              </w:rPr>
              <w:t>4</w:t>
            </w:r>
          </w:p>
        </w:tc>
        <w:tc>
          <w:tcPr>
            <w:tcW w:w="452" w:type="pct"/>
            <w:vAlign w:val="center"/>
          </w:tcPr>
          <w:p>
            <w:pPr>
              <w:pStyle w:val="65"/>
              <w:rPr>
                <w:b w:val="0"/>
              </w:rPr>
            </w:pPr>
            <w:r>
              <w:rPr>
                <w:b w:val="0"/>
              </w:rPr>
              <w:t>≤</w:t>
            </w:r>
            <w:r>
              <w:rPr>
                <w:rFonts w:hint="eastAsia"/>
                <w:b w:val="0"/>
              </w:rPr>
              <w:t>1.0</w:t>
            </w:r>
          </w:p>
        </w:tc>
        <w:tc>
          <w:tcPr>
            <w:tcW w:w="460" w:type="pct"/>
            <w:vAlign w:val="center"/>
          </w:tcPr>
          <w:p>
            <w:pPr>
              <w:pStyle w:val="65"/>
              <w:rPr>
                <w:b w:val="0"/>
              </w:rPr>
            </w:pPr>
            <w:r>
              <w:rPr>
                <w:b w:val="0"/>
              </w:rPr>
              <w:t>≤</w:t>
            </w:r>
            <w:r>
              <w:rPr>
                <w:rFonts w:hint="eastAsia"/>
                <w:b w:val="0"/>
              </w:rPr>
              <w:t>0.05</w:t>
            </w:r>
          </w:p>
        </w:tc>
        <w:tc>
          <w:tcPr>
            <w:tcW w:w="843" w:type="pct"/>
            <w:vAlign w:val="center"/>
          </w:tcPr>
          <w:p>
            <w:pPr>
              <w:pStyle w:val="65"/>
              <w:rPr>
                <w:b w:val="0"/>
              </w:rPr>
            </w:pPr>
            <w:r>
              <w:rPr>
                <w:b w:val="0"/>
              </w:rPr>
              <w:t>≤0.</w:t>
            </w:r>
            <w:r>
              <w:rPr>
                <w:rFonts w:hint="eastAsia"/>
                <w:b w:val="0"/>
              </w:rPr>
              <w:t>2</w:t>
            </w:r>
          </w:p>
        </w:tc>
        <w:tc>
          <w:tcPr>
            <w:tcW w:w="566" w:type="pct"/>
            <w:vAlign w:val="center"/>
          </w:tcPr>
          <w:p>
            <w:pPr>
              <w:pStyle w:val="65"/>
              <w:rPr>
                <w:b w:val="0"/>
              </w:rPr>
            </w:pPr>
            <w:r>
              <w:rPr>
                <w:b w:val="0"/>
              </w:rPr>
              <w:t>≤250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749" w:type="pct"/>
            <w:vAlign w:val="center"/>
          </w:tcPr>
          <w:p>
            <w:pPr>
              <w:pStyle w:val="65"/>
            </w:pPr>
            <w:r>
              <w:rPr>
                <w:rFonts w:hint="eastAsia" w:hAnsi="宋体"/>
                <w:b w:val="0"/>
              </w:rPr>
              <w:t>项目所在地泾河上游500m</w:t>
            </w:r>
          </w:p>
        </w:tc>
        <w:tc>
          <w:tcPr>
            <w:tcW w:w="618" w:type="pct"/>
            <w:vAlign w:val="center"/>
          </w:tcPr>
          <w:p>
            <w:pPr>
              <w:pStyle w:val="65"/>
              <w:rPr>
                <w:b w:val="0"/>
              </w:rPr>
            </w:pPr>
            <w:r>
              <w:rPr>
                <w:rFonts w:hint="eastAsia"/>
                <w:b w:val="0"/>
              </w:rPr>
              <w:t>10月9日</w:t>
            </w:r>
          </w:p>
        </w:tc>
        <w:tc>
          <w:tcPr>
            <w:tcW w:w="383" w:type="pct"/>
            <w:vAlign w:val="center"/>
          </w:tcPr>
          <w:p>
            <w:pPr>
              <w:pStyle w:val="65"/>
              <w:rPr>
                <w:b w:val="0"/>
              </w:rPr>
            </w:pPr>
            <w:r>
              <w:rPr>
                <w:rFonts w:hint="eastAsia"/>
                <w:b w:val="0"/>
              </w:rPr>
              <w:t>8.26</w:t>
            </w:r>
          </w:p>
        </w:tc>
        <w:tc>
          <w:tcPr>
            <w:tcW w:w="460" w:type="pct"/>
            <w:vAlign w:val="center"/>
          </w:tcPr>
          <w:p>
            <w:pPr>
              <w:pStyle w:val="65"/>
              <w:rPr>
                <w:b w:val="0"/>
              </w:rPr>
            </w:pPr>
            <w:r>
              <w:rPr>
                <w:rFonts w:hint="eastAsia"/>
                <w:b w:val="0"/>
              </w:rPr>
              <w:t>15</w:t>
            </w:r>
          </w:p>
        </w:tc>
        <w:tc>
          <w:tcPr>
            <w:tcW w:w="469" w:type="pct"/>
            <w:vAlign w:val="center"/>
          </w:tcPr>
          <w:p>
            <w:pPr>
              <w:pStyle w:val="65"/>
              <w:rPr>
                <w:b w:val="0"/>
              </w:rPr>
            </w:pPr>
            <w:r>
              <w:rPr>
                <w:rFonts w:hint="eastAsia"/>
                <w:b w:val="0"/>
              </w:rPr>
              <w:t>3</w:t>
            </w:r>
          </w:p>
        </w:tc>
        <w:tc>
          <w:tcPr>
            <w:tcW w:w="452" w:type="pct"/>
            <w:vAlign w:val="center"/>
          </w:tcPr>
          <w:p>
            <w:pPr>
              <w:pStyle w:val="65"/>
              <w:rPr>
                <w:b w:val="0"/>
              </w:rPr>
            </w:pPr>
            <w:r>
              <w:rPr>
                <w:rFonts w:hint="eastAsia"/>
                <w:b w:val="0"/>
              </w:rPr>
              <w:t>0.232</w:t>
            </w:r>
          </w:p>
        </w:tc>
        <w:tc>
          <w:tcPr>
            <w:tcW w:w="460" w:type="pct"/>
            <w:vAlign w:val="center"/>
          </w:tcPr>
          <w:p>
            <w:pPr>
              <w:pStyle w:val="65"/>
              <w:rPr>
                <w:b w:val="0"/>
              </w:rPr>
            </w:pPr>
            <w:r>
              <w:rPr>
                <w:rFonts w:hint="eastAsia"/>
                <w:b w:val="0"/>
              </w:rPr>
              <w:t>0.04ND</w:t>
            </w:r>
          </w:p>
        </w:tc>
        <w:tc>
          <w:tcPr>
            <w:tcW w:w="843" w:type="pct"/>
            <w:vAlign w:val="center"/>
          </w:tcPr>
          <w:p>
            <w:pPr>
              <w:pStyle w:val="65"/>
              <w:rPr>
                <w:b w:val="0"/>
              </w:rPr>
            </w:pPr>
            <w:r>
              <w:rPr>
                <w:rFonts w:hint="eastAsia"/>
                <w:b w:val="0"/>
              </w:rPr>
              <w:t>0.05ND</w:t>
            </w:r>
          </w:p>
        </w:tc>
        <w:tc>
          <w:tcPr>
            <w:tcW w:w="566" w:type="pct"/>
            <w:vAlign w:val="center"/>
          </w:tcPr>
          <w:p>
            <w:pPr>
              <w:pStyle w:val="65"/>
              <w:rPr>
                <w:b w:val="0"/>
              </w:rPr>
            </w:pPr>
            <w:r>
              <w:rPr>
                <w:rFonts w:hint="eastAsia"/>
                <w:b w:val="0"/>
              </w:rPr>
              <w:t>202</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749" w:type="pct"/>
            <w:vAlign w:val="center"/>
          </w:tcPr>
          <w:p>
            <w:pPr>
              <w:pStyle w:val="65"/>
            </w:pPr>
            <w:r>
              <w:rPr>
                <w:rFonts w:hint="eastAsia" w:hAnsi="宋体"/>
                <w:b w:val="0"/>
              </w:rPr>
              <w:t>项目所在地泾河下游1000m</w:t>
            </w:r>
          </w:p>
        </w:tc>
        <w:tc>
          <w:tcPr>
            <w:tcW w:w="618" w:type="pct"/>
            <w:vAlign w:val="center"/>
          </w:tcPr>
          <w:p>
            <w:pPr>
              <w:pStyle w:val="65"/>
              <w:rPr>
                <w:b w:val="0"/>
              </w:rPr>
            </w:pPr>
            <w:r>
              <w:rPr>
                <w:rFonts w:hint="eastAsia"/>
                <w:b w:val="0"/>
              </w:rPr>
              <w:t>10月10日</w:t>
            </w:r>
          </w:p>
        </w:tc>
        <w:tc>
          <w:tcPr>
            <w:tcW w:w="383" w:type="pct"/>
            <w:vAlign w:val="center"/>
          </w:tcPr>
          <w:p>
            <w:pPr>
              <w:pStyle w:val="65"/>
              <w:rPr>
                <w:b w:val="0"/>
              </w:rPr>
            </w:pPr>
            <w:r>
              <w:rPr>
                <w:rFonts w:hint="eastAsia"/>
                <w:b w:val="0"/>
              </w:rPr>
              <w:t>8.21</w:t>
            </w:r>
          </w:p>
        </w:tc>
        <w:tc>
          <w:tcPr>
            <w:tcW w:w="460" w:type="pct"/>
            <w:vAlign w:val="center"/>
          </w:tcPr>
          <w:p>
            <w:pPr>
              <w:pStyle w:val="65"/>
              <w:rPr>
                <w:b w:val="0"/>
              </w:rPr>
            </w:pPr>
            <w:r>
              <w:rPr>
                <w:rFonts w:hint="eastAsia"/>
                <w:b w:val="0"/>
              </w:rPr>
              <w:t>16</w:t>
            </w:r>
          </w:p>
        </w:tc>
        <w:tc>
          <w:tcPr>
            <w:tcW w:w="469" w:type="pct"/>
            <w:vAlign w:val="center"/>
          </w:tcPr>
          <w:p>
            <w:pPr>
              <w:pStyle w:val="65"/>
              <w:rPr>
                <w:b w:val="0"/>
              </w:rPr>
            </w:pPr>
            <w:r>
              <w:rPr>
                <w:rFonts w:hint="eastAsia"/>
                <w:b w:val="0"/>
              </w:rPr>
              <w:t>4</w:t>
            </w:r>
          </w:p>
        </w:tc>
        <w:tc>
          <w:tcPr>
            <w:tcW w:w="452" w:type="pct"/>
            <w:vAlign w:val="center"/>
          </w:tcPr>
          <w:p>
            <w:pPr>
              <w:pStyle w:val="65"/>
              <w:rPr>
                <w:b w:val="0"/>
              </w:rPr>
            </w:pPr>
            <w:r>
              <w:rPr>
                <w:rFonts w:hint="eastAsia"/>
                <w:b w:val="0"/>
              </w:rPr>
              <w:t>0.246</w:t>
            </w:r>
          </w:p>
        </w:tc>
        <w:tc>
          <w:tcPr>
            <w:tcW w:w="460" w:type="pct"/>
            <w:vAlign w:val="center"/>
          </w:tcPr>
          <w:p>
            <w:pPr>
              <w:pStyle w:val="65"/>
              <w:rPr>
                <w:b w:val="0"/>
              </w:rPr>
            </w:pPr>
            <w:r>
              <w:rPr>
                <w:rFonts w:hint="eastAsia"/>
                <w:b w:val="0"/>
              </w:rPr>
              <w:t>0.04ND</w:t>
            </w:r>
          </w:p>
        </w:tc>
        <w:tc>
          <w:tcPr>
            <w:tcW w:w="843" w:type="pct"/>
            <w:vAlign w:val="center"/>
          </w:tcPr>
          <w:p>
            <w:pPr>
              <w:pStyle w:val="65"/>
              <w:rPr>
                <w:b w:val="0"/>
              </w:rPr>
            </w:pPr>
            <w:r>
              <w:rPr>
                <w:rFonts w:hint="eastAsia"/>
                <w:b w:val="0"/>
              </w:rPr>
              <w:t>0.05ND</w:t>
            </w:r>
          </w:p>
        </w:tc>
        <w:tc>
          <w:tcPr>
            <w:tcW w:w="566" w:type="pct"/>
            <w:vAlign w:val="center"/>
          </w:tcPr>
          <w:p>
            <w:pPr>
              <w:pStyle w:val="65"/>
              <w:rPr>
                <w:b w:val="0"/>
              </w:rPr>
            </w:pPr>
            <w:r>
              <w:rPr>
                <w:rFonts w:hint="eastAsia"/>
                <w:b w:val="0"/>
              </w:rPr>
              <w:t>208</w:t>
            </w:r>
          </w:p>
        </w:tc>
      </w:tr>
    </w:tbl>
    <w:p>
      <w:pPr>
        <w:pStyle w:val="63"/>
        <w:ind w:firstLine="480"/>
        <w:rPr>
          <w:color w:val="auto"/>
        </w:rPr>
      </w:pPr>
      <w:r>
        <w:rPr>
          <w:color w:val="auto"/>
        </w:rPr>
        <w:t>由监测结果可见，</w:t>
      </w:r>
      <w:r>
        <w:rPr>
          <w:rFonts w:hint="eastAsia"/>
          <w:color w:val="auto"/>
        </w:rPr>
        <w:t>地表水两个监测断面所有</w:t>
      </w:r>
      <w:r>
        <w:rPr>
          <w:color w:val="auto"/>
        </w:rPr>
        <w:t>监测因子均满足《地表水环境质量标准》（</w:t>
      </w:r>
      <w:r>
        <w:rPr>
          <w:rFonts w:cs="Times New Roman"/>
          <w:color w:val="auto"/>
        </w:rPr>
        <w:t>GB3838-2002</w:t>
      </w:r>
      <w:r>
        <w:rPr>
          <w:color w:val="auto"/>
        </w:rPr>
        <w:t>）</w:t>
      </w:r>
      <w:r>
        <w:rPr>
          <w:rFonts w:hint="eastAsia" w:ascii="宋体" w:hAnsi="宋体"/>
          <w:color w:val="auto"/>
        </w:rPr>
        <w:t>Ⅲ</w:t>
      </w:r>
      <w:r>
        <w:rPr>
          <w:color w:val="auto"/>
        </w:rPr>
        <w:t>类水质要求，</w:t>
      </w:r>
      <w:r>
        <w:rPr>
          <w:rFonts w:hint="eastAsia"/>
          <w:color w:val="auto"/>
        </w:rPr>
        <w:t>表明当地地表水水质较好。</w:t>
      </w:r>
    </w:p>
    <w:p>
      <w:pPr>
        <w:pStyle w:val="61"/>
        <w:rPr>
          <w:color w:val="auto"/>
        </w:rPr>
      </w:pPr>
      <w:bookmarkStart w:id="42" w:name="_Toc436902160"/>
      <w:r>
        <w:rPr>
          <w:rFonts w:hint="eastAsia"/>
          <w:color w:val="auto"/>
        </w:rPr>
        <w:t>5.3</w:t>
      </w:r>
      <w:r>
        <w:rPr>
          <w:color w:val="auto"/>
        </w:rPr>
        <w:t>地下水现状调查与评价</w:t>
      </w:r>
      <w:bookmarkEnd w:id="42"/>
    </w:p>
    <w:p>
      <w:pPr>
        <w:pStyle w:val="62"/>
        <w:rPr>
          <w:color w:val="auto"/>
        </w:rPr>
      </w:pPr>
      <w:r>
        <w:rPr>
          <w:rFonts w:hint="eastAsia"/>
          <w:color w:val="auto"/>
        </w:rPr>
        <w:t>5.3.1地下水水位</w:t>
      </w:r>
    </w:p>
    <w:p>
      <w:pPr>
        <w:pStyle w:val="63"/>
        <w:ind w:firstLine="480"/>
        <w:rPr>
          <w:color w:val="auto"/>
        </w:rPr>
      </w:pPr>
      <w:r>
        <w:rPr>
          <w:color w:val="auto"/>
        </w:rPr>
        <w:t>（1）监测点选取</w:t>
      </w:r>
    </w:p>
    <w:p>
      <w:pPr>
        <w:pStyle w:val="63"/>
        <w:ind w:firstLine="480"/>
        <w:rPr>
          <w:color w:val="auto"/>
        </w:rPr>
      </w:pPr>
      <w:r>
        <w:rPr>
          <w:color w:val="auto"/>
        </w:rPr>
        <w:t>根据《</w:t>
      </w:r>
      <w:bookmarkStart w:id="43" w:name="_Toc400954689"/>
      <w:r>
        <w:rPr>
          <w:rFonts w:hint="eastAsia"/>
          <w:color w:val="auto"/>
          <w:szCs w:val="44"/>
        </w:rPr>
        <w:t>西咸新区泾河新城城市供水工程</w:t>
      </w:r>
      <w:bookmarkEnd w:id="43"/>
      <w:bookmarkStart w:id="44" w:name="_Toc400954690"/>
      <w:r>
        <w:rPr>
          <w:rFonts w:hint="eastAsia"/>
          <w:color w:val="auto"/>
          <w:szCs w:val="44"/>
        </w:rPr>
        <w:t>应急水源地地下水勘查报告</w:t>
      </w:r>
      <w:bookmarkEnd w:id="44"/>
      <w:r>
        <w:rPr>
          <w:color w:val="auto"/>
        </w:rPr>
        <w:t>》，报告中于2014年3月开始，对评价范围内的机井、民井共22口进行调查，本次在调查结果中选取10个承压水水井水位埋深及水位标高进行评价。评价范围内承压水水井位置见图</w:t>
      </w:r>
      <w:r>
        <w:rPr>
          <w:rFonts w:hint="eastAsia"/>
          <w:color w:val="auto"/>
        </w:rPr>
        <w:t>5.3</w:t>
      </w:r>
      <w:r>
        <w:rPr>
          <w:color w:val="auto"/>
        </w:rPr>
        <w:t>-</w:t>
      </w:r>
      <w:r>
        <w:rPr>
          <w:rFonts w:hint="eastAsia"/>
          <w:color w:val="auto"/>
        </w:rPr>
        <w:t>1</w:t>
      </w:r>
      <w:r>
        <w:rPr>
          <w:color w:val="auto"/>
        </w:rPr>
        <w:t>。</w:t>
      </w:r>
    </w:p>
    <w:p>
      <w:pPr>
        <w:pStyle w:val="63"/>
        <w:ind w:firstLine="480"/>
        <w:rPr>
          <w:color w:val="auto"/>
        </w:rPr>
      </w:pPr>
      <w:r>
        <w:rPr>
          <w:color w:val="auto"/>
        </w:rPr>
        <w:t>（2）监测结果</w:t>
      </w:r>
    </w:p>
    <w:p>
      <w:pPr>
        <w:pStyle w:val="63"/>
        <w:ind w:firstLine="480"/>
        <w:rPr>
          <w:color w:val="auto"/>
        </w:rPr>
      </w:pPr>
      <w:r>
        <w:rPr>
          <w:color w:val="auto"/>
        </w:rPr>
        <w:t>本项目评价范围内水井水位情况见表5.3-1。</w:t>
      </w:r>
    </w:p>
    <w:p>
      <w:pPr>
        <w:pStyle w:val="65"/>
      </w:pPr>
      <w:r>
        <w:t>表5.3-1   水位情况统计表</w:t>
      </w:r>
    </w:p>
    <w:tbl>
      <w:tblPr>
        <w:tblStyle w:val="24"/>
        <w:tblW w:w="0" w:type="auto"/>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848"/>
        <w:gridCol w:w="1848"/>
        <w:gridCol w:w="1848"/>
        <w:gridCol w:w="1849"/>
        <w:gridCol w:w="1849"/>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Align w:val="center"/>
          </w:tcPr>
          <w:p>
            <w:pPr>
              <w:pStyle w:val="65"/>
              <w:rPr>
                <w:szCs w:val="21"/>
              </w:rPr>
            </w:pPr>
            <w:r>
              <w:rPr>
                <w:szCs w:val="21"/>
              </w:rPr>
              <w:t>水位类型</w:t>
            </w:r>
          </w:p>
        </w:tc>
        <w:tc>
          <w:tcPr>
            <w:tcW w:w="1848" w:type="dxa"/>
            <w:vAlign w:val="center"/>
          </w:tcPr>
          <w:p>
            <w:pPr>
              <w:pStyle w:val="65"/>
              <w:rPr>
                <w:szCs w:val="21"/>
              </w:rPr>
            </w:pPr>
            <w:r>
              <w:rPr>
                <w:szCs w:val="21"/>
              </w:rPr>
              <w:t>序号</w:t>
            </w:r>
          </w:p>
        </w:tc>
        <w:tc>
          <w:tcPr>
            <w:tcW w:w="1848" w:type="dxa"/>
            <w:vAlign w:val="center"/>
          </w:tcPr>
          <w:p>
            <w:pPr>
              <w:pStyle w:val="65"/>
              <w:rPr>
                <w:szCs w:val="21"/>
              </w:rPr>
            </w:pPr>
            <w:r>
              <w:rPr>
                <w:szCs w:val="21"/>
              </w:rPr>
              <w:t>水井（钻孔）编号</w:t>
            </w:r>
          </w:p>
        </w:tc>
        <w:tc>
          <w:tcPr>
            <w:tcW w:w="1849" w:type="dxa"/>
            <w:vAlign w:val="center"/>
          </w:tcPr>
          <w:p>
            <w:pPr>
              <w:pStyle w:val="65"/>
              <w:rPr>
                <w:szCs w:val="21"/>
              </w:rPr>
            </w:pPr>
            <w:r>
              <w:rPr>
                <w:szCs w:val="21"/>
              </w:rPr>
              <w:t>水位埋深（m）</w:t>
            </w:r>
          </w:p>
        </w:tc>
        <w:tc>
          <w:tcPr>
            <w:tcW w:w="1849" w:type="dxa"/>
            <w:vAlign w:val="center"/>
          </w:tcPr>
          <w:p>
            <w:pPr>
              <w:pStyle w:val="65"/>
              <w:rPr>
                <w:szCs w:val="21"/>
              </w:rPr>
            </w:pPr>
            <w:r>
              <w:rPr>
                <w:szCs w:val="21"/>
              </w:rPr>
              <w:t>水位标高（m）</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Merge w:val="restart"/>
            <w:vAlign w:val="center"/>
          </w:tcPr>
          <w:p>
            <w:pPr>
              <w:pStyle w:val="65"/>
              <w:rPr>
                <w:b w:val="0"/>
                <w:szCs w:val="21"/>
              </w:rPr>
            </w:pPr>
            <w:r>
              <w:rPr>
                <w:b w:val="0"/>
                <w:szCs w:val="21"/>
              </w:rPr>
              <w:t>承压水</w:t>
            </w:r>
          </w:p>
        </w:tc>
        <w:tc>
          <w:tcPr>
            <w:tcW w:w="1848" w:type="dxa"/>
            <w:vAlign w:val="center"/>
          </w:tcPr>
          <w:p>
            <w:pPr>
              <w:pStyle w:val="65"/>
              <w:rPr>
                <w:b w:val="0"/>
                <w:szCs w:val="21"/>
              </w:rPr>
            </w:pPr>
            <w:r>
              <w:rPr>
                <w:b w:val="0"/>
                <w:szCs w:val="21"/>
              </w:rPr>
              <w:t>1</w:t>
            </w:r>
          </w:p>
        </w:tc>
        <w:tc>
          <w:tcPr>
            <w:tcW w:w="1848" w:type="dxa"/>
            <w:vAlign w:val="center"/>
          </w:tcPr>
          <w:p>
            <w:pPr>
              <w:pStyle w:val="65"/>
              <w:rPr>
                <w:b w:val="0"/>
                <w:szCs w:val="21"/>
              </w:rPr>
            </w:pPr>
            <w:r>
              <w:rPr>
                <w:b w:val="0"/>
                <w:szCs w:val="21"/>
              </w:rPr>
              <w:t>J14</w:t>
            </w:r>
          </w:p>
        </w:tc>
        <w:tc>
          <w:tcPr>
            <w:tcW w:w="1849" w:type="dxa"/>
            <w:vAlign w:val="center"/>
          </w:tcPr>
          <w:p>
            <w:pPr>
              <w:pStyle w:val="65"/>
              <w:rPr>
                <w:b w:val="0"/>
                <w:szCs w:val="21"/>
              </w:rPr>
            </w:pPr>
            <w:r>
              <w:rPr>
                <w:b w:val="0"/>
                <w:szCs w:val="21"/>
              </w:rPr>
              <w:t>70</w:t>
            </w:r>
          </w:p>
        </w:tc>
        <w:tc>
          <w:tcPr>
            <w:tcW w:w="1849" w:type="dxa"/>
            <w:vAlign w:val="center"/>
          </w:tcPr>
          <w:p>
            <w:pPr>
              <w:pStyle w:val="65"/>
              <w:rPr>
                <w:b w:val="0"/>
                <w:szCs w:val="21"/>
              </w:rPr>
            </w:pPr>
            <w:r>
              <w:rPr>
                <w:b w:val="0"/>
                <w:szCs w:val="21"/>
              </w:rPr>
              <w:t>440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Merge w:val="continue"/>
            <w:vAlign w:val="center"/>
          </w:tcPr>
          <w:p>
            <w:pPr>
              <w:pStyle w:val="65"/>
              <w:rPr>
                <w:b w:val="0"/>
                <w:szCs w:val="21"/>
              </w:rPr>
            </w:pPr>
          </w:p>
        </w:tc>
        <w:tc>
          <w:tcPr>
            <w:tcW w:w="1848" w:type="dxa"/>
            <w:vAlign w:val="center"/>
          </w:tcPr>
          <w:p>
            <w:pPr>
              <w:pStyle w:val="65"/>
              <w:rPr>
                <w:b w:val="0"/>
                <w:szCs w:val="21"/>
              </w:rPr>
            </w:pPr>
            <w:r>
              <w:rPr>
                <w:b w:val="0"/>
                <w:szCs w:val="21"/>
              </w:rPr>
              <w:t>2</w:t>
            </w:r>
          </w:p>
        </w:tc>
        <w:tc>
          <w:tcPr>
            <w:tcW w:w="1848" w:type="dxa"/>
            <w:vAlign w:val="center"/>
          </w:tcPr>
          <w:p>
            <w:pPr>
              <w:pStyle w:val="65"/>
              <w:rPr>
                <w:b w:val="0"/>
                <w:szCs w:val="21"/>
              </w:rPr>
            </w:pPr>
            <w:r>
              <w:rPr>
                <w:b w:val="0"/>
                <w:szCs w:val="21"/>
              </w:rPr>
              <w:t>G11</w:t>
            </w:r>
          </w:p>
        </w:tc>
        <w:tc>
          <w:tcPr>
            <w:tcW w:w="1849" w:type="dxa"/>
            <w:vAlign w:val="center"/>
          </w:tcPr>
          <w:p>
            <w:pPr>
              <w:pStyle w:val="65"/>
              <w:rPr>
                <w:b w:val="0"/>
                <w:szCs w:val="21"/>
              </w:rPr>
            </w:pPr>
            <w:r>
              <w:rPr>
                <w:b w:val="0"/>
                <w:szCs w:val="21"/>
              </w:rPr>
              <w:t>7.12</w:t>
            </w:r>
          </w:p>
        </w:tc>
        <w:tc>
          <w:tcPr>
            <w:tcW w:w="1849" w:type="dxa"/>
            <w:vAlign w:val="center"/>
          </w:tcPr>
          <w:p>
            <w:pPr>
              <w:pStyle w:val="65"/>
              <w:rPr>
                <w:b w:val="0"/>
                <w:szCs w:val="21"/>
              </w:rPr>
            </w:pPr>
            <w:r>
              <w:rPr>
                <w:b w:val="0"/>
                <w:szCs w:val="21"/>
              </w:rPr>
              <w:t>404</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Merge w:val="continue"/>
            <w:vAlign w:val="center"/>
          </w:tcPr>
          <w:p>
            <w:pPr>
              <w:pStyle w:val="65"/>
              <w:rPr>
                <w:b w:val="0"/>
                <w:szCs w:val="21"/>
              </w:rPr>
            </w:pPr>
          </w:p>
        </w:tc>
        <w:tc>
          <w:tcPr>
            <w:tcW w:w="1848" w:type="dxa"/>
            <w:vAlign w:val="center"/>
          </w:tcPr>
          <w:p>
            <w:pPr>
              <w:pStyle w:val="65"/>
              <w:rPr>
                <w:b w:val="0"/>
                <w:szCs w:val="21"/>
              </w:rPr>
            </w:pPr>
            <w:r>
              <w:rPr>
                <w:b w:val="0"/>
                <w:szCs w:val="21"/>
              </w:rPr>
              <w:t>3</w:t>
            </w:r>
          </w:p>
        </w:tc>
        <w:tc>
          <w:tcPr>
            <w:tcW w:w="1848" w:type="dxa"/>
            <w:vAlign w:val="center"/>
          </w:tcPr>
          <w:p>
            <w:pPr>
              <w:pStyle w:val="65"/>
              <w:rPr>
                <w:b w:val="0"/>
                <w:szCs w:val="21"/>
              </w:rPr>
            </w:pPr>
            <w:r>
              <w:rPr>
                <w:b w:val="0"/>
                <w:szCs w:val="21"/>
              </w:rPr>
              <w:t>G16</w:t>
            </w:r>
          </w:p>
        </w:tc>
        <w:tc>
          <w:tcPr>
            <w:tcW w:w="1849" w:type="dxa"/>
            <w:vAlign w:val="center"/>
          </w:tcPr>
          <w:p>
            <w:pPr>
              <w:pStyle w:val="65"/>
              <w:rPr>
                <w:b w:val="0"/>
                <w:szCs w:val="21"/>
              </w:rPr>
            </w:pPr>
            <w:r>
              <w:rPr>
                <w:b w:val="0"/>
                <w:szCs w:val="21"/>
              </w:rPr>
              <w:t>23.10</w:t>
            </w:r>
          </w:p>
        </w:tc>
        <w:tc>
          <w:tcPr>
            <w:tcW w:w="1849" w:type="dxa"/>
            <w:vAlign w:val="center"/>
          </w:tcPr>
          <w:p>
            <w:pPr>
              <w:pStyle w:val="65"/>
              <w:rPr>
                <w:b w:val="0"/>
                <w:szCs w:val="21"/>
              </w:rPr>
            </w:pPr>
            <w:r>
              <w:rPr>
                <w:b w:val="0"/>
                <w:szCs w:val="21"/>
              </w:rPr>
              <w:t>402</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Merge w:val="continue"/>
            <w:vAlign w:val="center"/>
          </w:tcPr>
          <w:p>
            <w:pPr>
              <w:pStyle w:val="65"/>
              <w:rPr>
                <w:b w:val="0"/>
                <w:szCs w:val="21"/>
              </w:rPr>
            </w:pPr>
          </w:p>
        </w:tc>
        <w:tc>
          <w:tcPr>
            <w:tcW w:w="1848" w:type="dxa"/>
            <w:vAlign w:val="center"/>
          </w:tcPr>
          <w:p>
            <w:pPr>
              <w:pStyle w:val="65"/>
              <w:rPr>
                <w:b w:val="0"/>
                <w:szCs w:val="21"/>
              </w:rPr>
            </w:pPr>
            <w:r>
              <w:rPr>
                <w:b w:val="0"/>
                <w:szCs w:val="21"/>
              </w:rPr>
              <w:t>4</w:t>
            </w:r>
          </w:p>
        </w:tc>
        <w:tc>
          <w:tcPr>
            <w:tcW w:w="1848" w:type="dxa"/>
            <w:vAlign w:val="center"/>
          </w:tcPr>
          <w:p>
            <w:pPr>
              <w:pStyle w:val="65"/>
              <w:rPr>
                <w:b w:val="0"/>
                <w:szCs w:val="21"/>
              </w:rPr>
            </w:pPr>
            <w:r>
              <w:rPr>
                <w:b w:val="0"/>
                <w:szCs w:val="21"/>
              </w:rPr>
              <w:t>K1</w:t>
            </w:r>
          </w:p>
        </w:tc>
        <w:tc>
          <w:tcPr>
            <w:tcW w:w="1849" w:type="dxa"/>
            <w:vAlign w:val="center"/>
          </w:tcPr>
          <w:p>
            <w:pPr>
              <w:pStyle w:val="65"/>
              <w:rPr>
                <w:b w:val="0"/>
                <w:szCs w:val="21"/>
              </w:rPr>
            </w:pPr>
            <w:r>
              <w:rPr>
                <w:b w:val="0"/>
                <w:szCs w:val="21"/>
              </w:rPr>
              <w:t>0.10</w:t>
            </w:r>
          </w:p>
        </w:tc>
        <w:tc>
          <w:tcPr>
            <w:tcW w:w="1849" w:type="dxa"/>
            <w:vAlign w:val="center"/>
          </w:tcPr>
          <w:p>
            <w:pPr>
              <w:pStyle w:val="65"/>
              <w:rPr>
                <w:b w:val="0"/>
                <w:szCs w:val="21"/>
              </w:rPr>
            </w:pPr>
            <w:r>
              <w:rPr>
                <w:b w:val="0"/>
                <w:szCs w:val="21"/>
              </w:rPr>
              <w:t>380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Merge w:val="continue"/>
            <w:vAlign w:val="center"/>
          </w:tcPr>
          <w:p>
            <w:pPr>
              <w:pStyle w:val="65"/>
              <w:rPr>
                <w:b w:val="0"/>
                <w:szCs w:val="21"/>
              </w:rPr>
            </w:pPr>
          </w:p>
        </w:tc>
        <w:tc>
          <w:tcPr>
            <w:tcW w:w="1848" w:type="dxa"/>
            <w:vAlign w:val="center"/>
          </w:tcPr>
          <w:p>
            <w:pPr>
              <w:pStyle w:val="65"/>
              <w:rPr>
                <w:b w:val="0"/>
                <w:szCs w:val="21"/>
              </w:rPr>
            </w:pPr>
            <w:r>
              <w:rPr>
                <w:b w:val="0"/>
                <w:szCs w:val="21"/>
              </w:rPr>
              <w:t>5</w:t>
            </w:r>
          </w:p>
        </w:tc>
        <w:tc>
          <w:tcPr>
            <w:tcW w:w="1848" w:type="dxa"/>
            <w:vAlign w:val="center"/>
          </w:tcPr>
          <w:p>
            <w:pPr>
              <w:pStyle w:val="65"/>
              <w:rPr>
                <w:b w:val="0"/>
                <w:szCs w:val="21"/>
              </w:rPr>
            </w:pPr>
            <w:r>
              <w:rPr>
                <w:b w:val="0"/>
                <w:szCs w:val="21"/>
              </w:rPr>
              <w:t>K2</w:t>
            </w:r>
          </w:p>
        </w:tc>
        <w:tc>
          <w:tcPr>
            <w:tcW w:w="1849" w:type="dxa"/>
            <w:vAlign w:val="center"/>
          </w:tcPr>
          <w:p>
            <w:pPr>
              <w:pStyle w:val="65"/>
              <w:rPr>
                <w:b w:val="0"/>
                <w:szCs w:val="21"/>
              </w:rPr>
            </w:pPr>
            <w:r>
              <w:rPr>
                <w:b w:val="0"/>
                <w:szCs w:val="21"/>
              </w:rPr>
              <w:t>0.28</w:t>
            </w:r>
          </w:p>
        </w:tc>
        <w:tc>
          <w:tcPr>
            <w:tcW w:w="1849" w:type="dxa"/>
            <w:vAlign w:val="center"/>
          </w:tcPr>
          <w:p>
            <w:pPr>
              <w:pStyle w:val="65"/>
              <w:rPr>
                <w:b w:val="0"/>
                <w:szCs w:val="21"/>
              </w:rPr>
            </w:pPr>
            <w:r>
              <w:rPr>
                <w:b w:val="0"/>
                <w:szCs w:val="21"/>
              </w:rPr>
              <w:t>380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Merge w:val="continue"/>
            <w:vAlign w:val="center"/>
          </w:tcPr>
          <w:p>
            <w:pPr>
              <w:pStyle w:val="65"/>
              <w:rPr>
                <w:b w:val="0"/>
                <w:szCs w:val="21"/>
              </w:rPr>
            </w:pPr>
          </w:p>
        </w:tc>
        <w:tc>
          <w:tcPr>
            <w:tcW w:w="1848" w:type="dxa"/>
            <w:vAlign w:val="center"/>
          </w:tcPr>
          <w:p>
            <w:pPr>
              <w:pStyle w:val="65"/>
              <w:rPr>
                <w:b w:val="0"/>
                <w:szCs w:val="21"/>
              </w:rPr>
            </w:pPr>
            <w:r>
              <w:rPr>
                <w:b w:val="0"/>
                <w:szCs w:val="21"/>
              </w:rPr>
              <w:t>6</w:t>
            </w:r>
          </w:p>
        </w:tc>
        <w:tc>
          <w:tcPr>
            <w:tcW w:w="1848" w:type="dxa"/>
            <w:vAlign w:val="center"/>
          </w:tcPr>
          <w:p>
            <w:pPr>
              <w:pStyle w:val="65"/>
              <w:rPr>
                <w:b w:val="0"/>
                <w:szCs w:val="21"/>
              </w:rPr>
            </w:pPr>
            <w:r>
              <w:rPr>
                <w:b w:val="0"/>
                <w:szCs w:val="21"/>
              </w:rPr>
              <w:t>K3</w:t>
            </w:r>
          </w:p>
        </w:tc>
        <w:tc>
          <w:tcPr>
            <w:tcW w:w="1849" w:type="dxa"/>
            <w:vAlign w:val="center"/>
          </w:tcPr>
          <w:p>
            <w:pPr>
              <w:pStyle w:val="65"/>
              <w:rPr>
                <w:b w:val="0"/>
                <w:szCs w:val="21"/>
              </w:rPr>
            </w:pPr>
            <w:r>
              <w:rPr>
                <w:b w:val="0"/>
                <w:szCs w:val="21"/>
              </w:rPr>
              <w:t>1.24</w:t>
            </w:r>
          </w:p>
        </w:tc>
        <w:tc>
          <w:tcPr>
            <w:tcW w:w="1849" w:type="dxa"/>
            <w:vAlign w:val="center"/>
          </w:tcPr>
          <w:p>
            <w:pPr>
              <w:pStyle w:val="65"/>
              <w:rPr>
                <w:b w:val="0"/>
                <w:szCs w:val="21"/>
              </w:rPr>
            </w:pPr>
            <w:r>
              <w:rPr>
                <w:b w:val="0"/>
                <w:szCs w:val="21"/>
              </w:rPr>
              <w:t>378</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Merge w:val="continue"/>
            <w:vAlign w:val="center"/>
          </w:tcPr>
          <w:p>
            <w:pPr>
              <w:pStyle w:val="65"/>
              <w:rPr>
                <w:b w:val="0"/>
                <w:szCs w:val="21"/>
              </w:rPr>
            </w:pPr>
          </w:p>
        </w:tc>
        <w:tc>
          <w:tcPr>
            <w:tcW w:w="1848" w:type="dxa"/>
            <w:vAlign w:val="center"/>
          </w:tcPr>
          <w:p>
            <w:pPr>
              <w:pStyle w:val="65"/>
              <w:rPr>
                <w:b w:val="0"/>
                <w:szCs w:val="21"/>
              </w:rPr>
            </w:pPr>
            <w:r>
              <w:rPr>
                <w:b w:val="0"/>
                <w:szCs w:val="21"/>
              </w:rPr>
              <w:t>7</w:t>
            </w:r>
          </w:p>
        </w:tc>
        <w:tc>
          <w:tcPr>
            <w:tcW w:w="1848" w:type="dxa"/>
            <w:vAlign w:val="center"/>
          </w:tcPr>
          <w:p>
            <w:pPr>
              <w:pStyle w:val="65"/>
              <w:rPr>
                <w:b w:val="0"/>
                <w:szCs w:val="21"/>
              </w:rPr>
            </w:pPr>
            <w:r>
              <w:rPr>
                <w:b w:val="0"/>
                <w:szCs w:val="21"/>
              </w:rPr>
              <w:t>G20</w:t>
            </w:r>
          </w:p>
        </w:tc>
        <w:tc>
          <w:tcPr>
            <w:tcW w:w="1849" w:type="dxa"/>
            <w:vAlign w:val="center"/>
          </w:tcPr>
          <w:p>
            <w:pPr>
              <w:pStyle w:val="65"/>
              <w:rPr>
                <w:b w:val="0"/>
                <w:szCs w:val="21"/>
              </w:rPr>
            </w:pPr>
            <w:r>
              <w:rPr>
                <w:b w:val="0"/>
                <w:szCs w:val="21"/>
              </w:rPr>
              <w:t>6.59</w:t>
            </w:r>
          </w:p>
        </w:tc>
        <w:tc>
          <w:tcPr>
            <w:tcW w:w="1849" w:type="dxa"/>
            <w:vAlign w:val="center"/>
          </w:tcPr>
          <w:p>
            <w:pPr>
              <w:pStyle w:val="65"/>
              <w:rPr>
                <w:b w:val="0"/>
                <w:szCs w:val="21"/>
              </w:rPr>
            </w:pPr>
            <w:r>
              <w:rPr>
                <w:b w:val="0"/>
                <w:szCs w:val="21"/>
              </w:rPr>
              <w:t>391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Merge w:val="continue"/>
            <w:vAlign w:val="center"/>
          </w:tcPr>
          <w:p>
            <w:pPr>
              <w:pStyle w:val="65"/>
              <w:rPr>
                <w:b w:val="0"/>
                <w:szCs w:val="21"/>
              </w:rPr>
            </w:pPr>
          </w:p>
        </w:tc>
        <w:tc>
          <w:tcPr>
            <w:tcW w:w="1848" w:type="dxa"/>
            <w:vAlign w:val="center"/>
          </w:tcPr>
          <w:p>
            <w:pPr>
              <w:pStyle w:val="65"/>
              <w:rPr>
                <w:b w:val="0"/>
                <w:szCs w:val="21"/>
              </w:rPr>
            </w:pPr>
            <w:r>
              <w:rPr>
                <w:b w:val="0"/>
                <w:szCs w:val="21"/>
              </w:rPr>
              <w:t>8</w:t>
            </w:r>
          </w:p>
        </w:tc>
        <w:tc>
          <w:tcPr>
            <w:tcW w:w="1848" w:type="dxa"/>
            <w:vAlign w:val="center"/>
          </w:tcPr>
          <w:p>
            <w:pPr>
              <w:pStyle w:val="65"/>
              <w:rPr>
                <w:b w:val="0"/>
                <w:szCs w:val="21"/>
              </w:rPr>
            </w:pPr>
            <w:r>
              <w:rPr>
                <w:b w:val="0"/>
                <w:szCs w:val="21"/>
              </w:rPr>
              <w:t>G53</w:t>
            </w:r>
          </w:p>
        </w:tc>
        <w:tc>
          <w:tcPr>
            <w:tcW w:w="1849" w:type="dxa"/>
            <w:vAlign w:val="center"/>
          </w:tcPr>
          <w:p>
            <w:pPr>
              <w:pStyle w:val="65"/>
              <w:rPr>
                <w:b w:val="0"/>
                <w:szCs w:val="21"/>
              </w:rPr>
            </w:pPr>
            <w:r>
              <w:rPr>
                <w:b w:val="0"/>
                <w:szCs w:val="21"/>
              </w:rPr>
              <w:t>30</w:t>
            </w:r>
          </w:p>
        </w:tc>
        <w:tc>
          <w:tcPr>
            <w:tcW w:w="1849" w:type="dxa"/>
            <w:vAlign w:val="center"/>
          </w:tcPr>
          <w:p>
            <w:pPr>
              <w:pStyle w:val="65"/>
              <w:rPr>
                <w:b w:val="0"/>
                <w:szCs w:val="21"/>
              </w:rPr>
            </w:pPr>
            <w:r>
              <w:rPr>
                <w:b w:val="0"/>
                <w:szCs w:val="21"/>
              </w:rPr>
              <w:t>440</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Merge w:val="restart"/>
            <w:vAlign w:val="center"/>
          </w:tcPr>
          <w:p>
            <w:pPr>
              <w:pStyle w:val="65"/>
              <w:rPr>
                <w:b w:val="0"/>
                <w:szCs w:val="21"/>
              </w:rPr>
            </w:pPr>
            <w:r>
              <w:rPr>
                <w:b w:val="0"/>
                <w:szCs w:val="21"/>
              </w:rPr>
              <w:t>潜水</w:t>
            </w:r>
          </w:p>
        </w:tc>
        <w:tc>
          <w:tcPr>
            <w:tcW w:w="1848" w:type="dxa"/>
            <w:vAlign w:val="center"/>
          </w:tcPr>
          <w:p>
            <w:pPr>
              <w:pStyle w:val="65"/>
              <w:rPr>
                <w:b w:val="0"/>
                <w:szCs w:val="21"/>
              </w:rPr>
            </w:pPr>
            <w:r>
              <w:rPr>
                <w:b w:val="0"/>
                <w:szCs w:val="21"/>
              </w:rPr>
              <w:t>9</w:t>
            </w:r>
          </w:p>
        </w:tc>
        <w:tc>
          <w:tcPr>
            <w:tcW w:w="1848" w:type="dxa"/>
            <w:vAlign w:val="center"/>
          </w:tcPr>
          <w:p>
            <w:pPr>
              <w:pStyle w:val="65"/>
              <w:rPr>
                <w:b w:val="0"/>
                <w:szCs w:val="21"/>
              </w:rPr>
            </w:pPr>
            <w:r>
              <w:rPr>
                <w:b w:val="0"/>
                <w:szCs w:val="21"/>
              </w:rPr>
              <w:t>G81</w:t>
            </w:r>
          </w:p>
        </w:tc>
        <w:tc>
          <w:tcPr>
            <w:tcW w:w="1849" w:type="dxa"/>
            <w:vAlign w:val="center"/>
          </w:tcPr>
          <w:p>
            <w:pPr>
              <w:pStyle w:val="65"/>
              <w:rPr>
                <w:b w:val="0"/>
                <w:szCs w:val="21"/>
              </w:rPr>
            </w:pPr>
            <w:r>
              <w:rPr>
                <w:b w:val="0"/>
                <w:szCs w:val="21"/>
              </w:rPr>
              <w:t>12.8</w:t>
            </w:r>
          </w:p>
        </w:tc>
        <w:tc>
          <w:tcPr>
            <w:tcW w:w="1849" w:type="dxa"/>
            <w:vAlign w:val="center"/>
          </w:tcPr>
          <w:p>
            <w:pPr>
              <w:pStyle w:val="65"/>
              <w:rPr>
                <w:b w:val="0"/>
                <w:szCs w:val="21"/>
              </w:rPr>
            </w:pPr>
            <w:r>
              <w:rPr>
                <w:b w:val="0"/>
                <w:szCs w:val="21"/>
              </w:rPr>
              <w:t>394</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1848" w:type="dxa"/>
            <w:vMerge w:val="continue"/>
            <w:vAlign w:val="center"/>
          </w:tcPr>
          <w:p>
            <w:pPr>
              <w:pStyle w:val="65"/>
              <w:rPr>
                <w:szCs w:val="21"/>
              </w:rPr>
            </w:pPr>
          </w:p>
        </w:tc>
        <w:tc>
          <w:tcPr>
            <w:tcW w:w="1848" w:type="dxa"/>
            <w:vAlign w:val="center"/>
          </w:tcPr>
          <w:p>
            <w:pPr>
              <w:pStyle w:val="65"/>
              <w:rPr>
                <w:b w:val="0"/>
                <w:szCs w:val="21"/>
              </w:rPr>
            </w:pPr>
            <w:r>
              <w:rPr>
                <w:b w:val="0"/>
                <w:szCs w:val="21"/>
              </w:rPr>
              <w:t>10</w:t>
            </w:r>
          </w:p>
        </w:tc>
        <w:tc>
          <w:tcPr>
            <w:tcW w:w="1848" w:type="dxa"/>
            <w:vAlign w:val="center"/>
          </w:tcPr>
          <w:p>
            <w:pPr>
              <w:pStyle w:val="65"/>
              <w:rPr>
                <w:b w:val="0"/>
                <w:szCs w:val="21"/>
              </w:rPr>
            </w:pPr>
            <w:r>
              <w:rPr>
                <w:b w:val="0"/>
                <w:szCs w:val="21"/>
              </w:rPr>
              <w:t>J79</w:t>
            </w:r>
          </w:p>
        </w:tc>
        <w:tc>
          <w:tcPr>
            <w:tcW w:w="1849" w:type="dxa"/>
            <w:vAlign w:val="center"/>
          </w:tcPr>
          <w:p>
            <w:pPr>
              <w:pStyle w:val="65"/>
              <w:rPr>
                <w:b w:val="0"/>
                <w:szCs w:val="21"/>
              </w:rPr>
            </w:pPr>
            <w:r>
              <w:rPr>
                <w:b w:val="0"/>
                <w:szCs w:val="21"/>
              </w:rPr>
              <w:t>13.8</w:t>
            </w:r>
          </w:p>
        </w:tc>
        <w:tc>
          <w:tcPr>
            <w:tcW w:w="1849" w:type="dxa"/>
            <w:vAlign w:val="center"/>
          </w:tcPr>
          <w:p>
            <w:pPr>
              <w:pStyle w:val="65"/>
              <w:rPr>
                <w:b w:val="0"/>
                <w:szCs w:val="21"/>
              </w:rPr>
            </w:pPr>
            <w:r>
              <w:rPr>
                <w:b w:val="0"/>
                <w:szCs w:val="21"/>
              </w:rPr>
              <w:t>405</w:t>
            </w:r>
          </w:p>
        </w:tc>
      </w:tr>
    </w:tbl>
    <w:p>
      <w:pPr>
        <w:pStyle w:val="62"/>
        <w:rPr>
          <w:color w:val="auto"/>
        </w:rPr>
      </w:pPr>
      <w:r>
        <w:rPr>
          <w:rFonts w:hint="eastAsia"/>
          <w:color w:val="auto"/>
        </w:rPr>
        <w:t>5.3.2</w:t>
      </w:r>
      <w:r>
        <w:rPr>
          <w:color w:val="auto"/>
        </w:rPr>
        <w:t>地下水水质</w:t>
      </w:r>
    </w:p>
    <w:p>
      <w:pPr>
        <w:pStyle w:val="63"/>
        <w:ind w:firstLine="480"/>
        <w:rPr>
          <w:color w:val="auto"/>
        </w:rPr>
      </w:pPr>
      <w:r>
        <w:rPr>
          <w:color w:val="auto"/>
        </w:rPr>
        <w:t>建设单位于2014年</w:t>
      </w:r>
      <w:r>
        <w:rPr>
          <w:rFonts w:hint="eastAsia"/>
          <w:color w:val="auto"/>
        </w:rPr>
        <w:t>6</w:t>
      </w:r>
      <w:r>
        <w:rPr>
          <w:color w:val="auto"/>
        </w:rPr>
        <w:t>月~</w:t>
      </w:r>
      <w:r>
        <w:rPr>
          <w:rFonts w:hint="eastAsia"/>
          <w:color w:val="auto"/>
        </w:rPr>
        <w:t>8</w:t>
      </w:r>
      <w:r>
        <w:rPr>
          <w:color w:val="auto"/>
        </w:rPr>
        <w:t>月委托陕西工程勘察研究院水土检测中心对区域地下水质进行监测（监测报告见附件</w:t>
      </w:r>
      <w:r>
        <w:rPr>
          <w:rFonts w:hint="eastAsia"/>
          <w:color w:val="auto"/>
        </w:rPr>
        <w:t>4</w:t>
      </w:r>
      <w:r>
        <w:rPr>
          <w:color w:val="auto"/>
        </w:rPr>
        <w:t>），具体指标见表</w:t>
      </w:r>
      <w:r>
        <w:rPr>
          <w:rFonts w:hint="eastAsia"/>
          <w:color w:val="auto"/>
        </w:rPr>
        <w:t>5</w:t>
      </w:r>
      <w:r>
        <w:rPr>
          <w:color w:val="auto"/>
        </w:rPr>
        <w:t>.</w:t>
      </w:r>
      <w:r>
        <w:rPr>
          <w:rFonts w:hint="eastAsia"/>
          <w:color w:val="auto"/>
        </w:rPr>
        <w:t>3</w:t>
      </w:r>
      <w:r>
        <w:rPr>
          <w:color w:val="auto"/>
        </w:rPr>
        <w:t>-</w:t>
      </w:r>
      <w:r>
        <w:rPr>
          <w:rFonts w:hint="eastAsia"/>
          <w:color w:val="auto"/>
        </w:rPr>
        <w:t>2</w:t>
      </w:r>
      <w:r>
        <w:rPr>
          <w:color w:val="auto"/>
        </w:rPr>
        <w:t>。</w:t>
      </w:r>
    </w:p>
    <w:p>
      <w:pPr>
        <w:pStyle w:val="63"/>
        <w:ind w:firstLine="480"/>
        <w:rPr>
          <w:color w:val="auto"/>
        </w:rPr>
      </w:pPr>
      <w:r>
        <w:rPr>
          <w:color w:val="auto"/>
        </w:rPr>
        <w:t>根据表4.1-</w:t>
      </w:r>
      <w:r>
        <w:rPr>
          <w:rFonts w:hint="eastAsia"/>
          <w:color w:val="auto"/>
        </w:rPr>
        <w:t>2</w:t>
      </w:r>
      <w:r>
        <w:rPr>
          <w:color w:val="auto"/>
        </w:rPr>
        <w:t>，监测水井中，</w:t>
      </w:r>
      <w:r>
        <w:rPr>
          <w:rFonts w:hint="eastAsia"/>
          <w:color w:val="auto"/>
        </w:rPr>
        <w:t>泾河北岸JK1、JK2</w:t>
      </w:r>
      <w:r>
        <w:rPr>
          <w:color w:val="auto"/>
        </w:rPr>
        <w:t>浅层承压水</w:t>
      </w:r>
      <w:r>
        <w:rPr>
          <w:rFonts w:hint="eastAsia"/>
          <w:color w:val="auto"/>
        </w:rPr>
        <w:t>井PH、氟化物、砷、肉眼可见物；泾河南岸JK3</w:t>
      </w:r>
      <w:r>
        <w:rPr>
          <w:color w:val="auto"/>
        </w:rPr>
        <w:t>浅层承压水</w:t>
      </w:r>
      <w:r>
        <w:rPr>
          <w:rFonts w:hint="eastAsia"/>
          <w:color w:val="auto"/>
        </w:rPr>
        <w:t>井溶解性总固体、硫酸盐、铬（六价）；泾河北岸16号</w:t>
      </w:r>
      <w:r>
        <w:rPr>
          <w:color w:val="auto"/>
        </w:rPr>
        <w:t>浅层承压水</w:t>
      </w:r>
      <w:r>
        <w:rPr>
          <w:rFonts w:hint="eastAsia"/>
          <w:color w:val="auto"/>
        </w:rPr>
        <w:t>井溶解性固体、硫酸盐、氯化物、氟化物；泾河北岸17号</w:t>
      </w:r>
      <w:r>
        <w:rPr>
          <w:color w:val="auto"/>
        </w:rPr>
        <w:t>浅层承压水</w:t>
      </w:r>
      <w:r>
        <w:rPr>
          <w:rFonts w:hint="eastAsia"/>
          <w:color w:val="auto"/>
        </w:rPr>
        <w:t>井氯化物</w:t>
      </w:r>
      <w:r>
        <w:rPr>
          <w:color w:val="auto"/>
        </w:rPr>
        <w:t>超过《地下水质量标准》</w:t>
      </w:r>
      <w:r>
        <w:rPr>
          <w:rFonts w:hint="eastAsia"/>
          <w:color w:val="auto"/>
        </w:rPr>
        <w:t>（</w:t>
      </w:r>
      <w:r>
        <w:rPr>
          <w:color w:val="auto"/>
        </w:rPr>
        <w:t>GB/T14848-93</w:t>
      </w:r>
      <w:r>
        <w:rPr>
          <w:rFonts w:hint="eastAsia"/>
          <w:color w:val="auto"/>
        </w:rPr>
        <w:t>）</w:t>
      </w:r>
      <w:r>
        <w:rPr>
          <w:rFonts w:hint="eastAsia" w:ascii="宋体" w:hAnsi="宋体"/>
          <w:color w:val="auto"/>
        </w:rPr>
        <w:t>Ⅲ</w:t>
      </w:r>
      <w:r>
        <w:rPr>
          <w:color w:val="auto"/>
        </w:rPr>
        <w:t>类</w:t>
      </w:r>
      <w:r>
        <w:rPr>
          <w:rFonts w:hint="eastAsia"/>
          <w:color w:val="auto"/>
        </w:rPr>
        <w:t>，其他监测椅子均符合</w:t>
      </w:r>
      <w:r>
        <w:rPr>
          <w:color w:val="auto"/>
        </w:rPr>
        <w:t>《地下水质量标准》</w:t>
      </w:r>
      <w:r>
        <w:rPr>
          <w:rFonts w:hint="eastAsia"/>
          <w:color w:val="auto"/>
        </w:rPr>
        <w:t>（</w:t>
      </w:r>
      <w:r>
        <w:rPr>
          <w:color w:val="auto"/>
        </w:rPr>
        <w:t>GB/T14848-93</w:t>
      </w:r>
      <w:r>
        <w:rPr>
          <w:rFonts w:hint="eastAsia"/>
          <w:color w:val="auto"/>
        </w:rPr>
        <w:t>）</w:t>
      </w:r>
      <w:r>
        <w:rPr>
          <w:rFonts w:hint="eastAsia" w:ascii="宋体" w:hAnsi="宋体"/>
          <w:color w:val="auto"/>
        </w:rPr>
        <w:t>Ⅲ类标准要求。</w:t>
      </w:r>
      <w:r>
        <w:rPr>
          <w:color w:val="auto"/>
        </w:rPr>
        <w:t>超标原因主要是因为</w:t>
      </w:r>
      <w:r>
        <w:rPr>
          <w:rFonts w:hint="eastAsia"/>
          <w:color w:val="auto"/>
        </w:rPr>
        <w:t>当地地下水背景值较高，</w:t>
      </w:r>
      <w:r>
        <w:rPr>
          <w:rFonts w:hint="eastAsia" w:ascii="宋体" w:hAnsi="宋体"/>
          <w:color w:val="auto"/>
        </w:rPr>
        <w:t>浅层地下水多为高氟水、苦咸水，氟化物、氯化物、硫酸盐、氨氮、溶解性总固体等水质指标不同程度超标</w:t>
      </w:r>
      <w:r>
        <w:rPr>
          <w:rFonts w:hint="eastAsia"/>
          <w:color w:val="auto"/>
        </w:rPr>
        <w:t>，</w:t>
      </w:r>
      <w:r>
        <w:rPr>
          <w:rFonts w:hint="eastAsia" w:ascii="宋体" w:hAnsi="宋体"/>
          <w:color w:val="auto"/>
        </w:rPr>
        <w:t>水质较差，不适宜饮用。</w:t>
      </w:r>
      <w:r>
        <w:rPr>
          <w:rFonts w:hint="eastAsia"/>
          <w:color w:val="auto"/>
        </w:rPr>
        <w:t>总体来说区浅层承压水水样为差~好的生活饮用水，需经过除氟等深度水处理后方可作为泾河新城应急供水水源地。</w:t>
      </w:r>
    </w:p>
    <w:p>
      <w:pPr>
        <w:pStyle w:val="63"/>
        <w:ind w:firstLine="480"/>
        <w:rPr>
          <w:color w:val="auto"/>
        </w:rPr>
      </w:pPr>
    </w:p>
    <w:p>
      <w:pPr>
        <w:pStyle w:val="63"/>
        <w:ind w:firstLine="480"/>
        <w:rPr>
          <w:color w:val="auto"/>
        </w:rPr>
        <w:sectPr>
          <w:pgSz w:w="11906" w:h="16838"/>
          <w:pgMar w:top="1440" w:right="1440" w:bottom="1440" w:left="1440" w:header="851" w:footer="992" w:gutter="0"/>
          <w:cols w:space="720" w:num="1"/>
          <w:titlePg/>
          <w:docGrid w:type="lines" w:linePitch="312" w:charSpace="0"/>
        </w:sectPr>
      </w:pPr>
    </w:p>
    <w:p>
      <w:pPr>
        <w:pStyle w:val="65"/>
      </w:pPr>
      <w:r>
        <w:t>表</w:t>
      </w:r>
      <w:r>
        <w:rPr>
          <w:rFonts w:hint="eastAsia"/>
        </w:rPr>
        <w:t>5</w:t>
      </w:r>
      <w:r>
        <w:t>.</w:t>
      </w:r>
      <w:r>
        <w:rPr>
          <w:rFonts w:hint="eastAsia"/>
        </w:rPr>
        <w:t>3</w:t>
      </w:r>
      <w:r>
        <w:t>-</w:t>
      </w:r>
      <w:r>
        <w:rPr>
          <w:rFonts w:hint="eastAsia"/>
        </w:rPr>
        <w:t>2</w:t>
      </w:r>
      <w:r>
        <w:t xml:space="preserve">  评价区地下水水质汇总表（mg/L，pH无量纲）</w:t>
      </w:r>
    </w:p>
    <w:tbl>
      <w:tblPr>
        <w:tblStyle w:val="2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3"/>
        <w:gridCol w:w="855"/>
        <w:gridCol w:w="2430"/>
        <w:gridCol w:w="2430"/>
        <w:gridCol w:w="2430"/>
        <w:gridCol w:w="2717"/>
        <w:gridCol w:w="25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指标</w:t>
            </w:r>
          </w:p>
        </w:tc>
        <w:tc>
          <w:tcPr>
            <w:tcW w:w="292"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标准</w:t>
            </w:r>
          </w:p>
        </w:tc>
        <w:tc>
          <w:tcPr>
            <w:tcW w:w="830"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北岸</w:t>
            </w:r>
            <w:r>
              <w:rPr>
                <w:rFonts w:cs="Times New Roman"/>
                <w:color w:val="auto"/>
                <w:sz w:val="21"/>
                <w:szCs w:val="21"/>
              </w:rPr>
              <w:t>JK1</w:t>
            </w:r>
            <w:r>
              <w:rPr>
                <w:rFonts w:hAnsi="宋体" w:cs="Times New Roman"/>
                <w:color w:val="auto"/>
                <w:sz w:val="21"/>
                <w:szCs w:val="21"/>
              </w:rPr>
              <w:t>（浅层承压水）</w:t>
            </w:r>
          </w:p>
        </w:tc>
        <w:tc>
          <w:tcPr>
            <w:tcW w:w="830" w:type="pct"/>
            <w:vAlign w:val="center"/>
          </w:tcPr>
          <w:p>
            <w:pPr>
              <w:pStyle w:val="63"/>
              <w:spacing w:line="240" w:lineRule="auto"/>
              <w:ind w:firstLine="0" w:firstLineChars="0"/>
              <w:jc w:val="center"/>
              <w:rPr>
                <w:rFonts w:cs="Times New Roman"/>
                <w:color w:val="auto"/>
                <w:sz w:val="21"/>
                <w:szCs w:val="21"/>
              </w:rPr>
            </w:pPr>
            <w:r>
              <w:rPr>
                <w:rFonts w:hAnsi="宋体" w:cs="Times New Roman"/>
                <w:color w:val="auto"/>
                <w:sz w:val="21"/>
                <w:szCs w:val="21"/>
              </w:rPr>
              <w:t>北岸</w:t>
            </w:r>
            <w:r>
              <w:rPr>
                <w:rFonts w:cs="Times New Roman"/>
                <w:color w:val="auto"/>
                <w:sz w:val="21"/>
                <w:szCs w:val="21"/>
              </w:rPr>
              <w:t>JK2</w:t>
            </w:r>
            <w:r>
              <w:rPr>
                <w:rFonts w:hAnsi="宋体" w:cs="Times New Roman"/>
                <w:color w:val="auto"/>
                <w:sz w:val="21"/>
                <w:szCs w:val="21"/>
              </w:rPr>
              <w:t>（浅层承压水）</w:t>
            </w:r>
          </w:p>
        </w:tc>
        <w:tc>
          <w:tcPr>
            <w:tcW w:w="830"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南岸JK3</w:t>
            </w:r>
            <w:r>
              <w:rPr>
                <w:rFonts w:hAnsi="宋体" w:cs="Times New Roman"/>
                <w:color w:val="auto"/>
                <w:sz w:val="21"/>
                <w:szCs w:val="21"/>
              </w:rPr>
              <w:t>（浅层承压水）</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北岸16号井（</w:t>
            </w:r>
            <w:r>
              <w:rPr>
                <w:rFonts w:hAnsi="宋体" w:cs="Times New Roman"/>
                <w:color w:val="auto"/>
                <w:sz w:val="21"/>
                <w:szCs w:val="21"/>
              </w:rPr>
              <w:t>浅层承压水</w:t>
            </w:r>
            <w:r>
              <w:rPr>
                <w:rFonts w:hint="eastAsia" w:hAnsi="宋体" w:cs="Times New Roman"/>
                <w:color w:val="auto"/>
                <w:sz w:val="21"/>
                <w:szCs w:val="21"/>
              </w:rPr>
              <w:t>）</w:t>
            </w:r>
          </w:p>
        </w:tc>
        <w:tc>
          <w:tcPr>
            <w:tcW w:w="858" w:type="pct"/>
            <w:tcMar>
              <w:left w:w="0" w:type="dxa"/>
              <w:right w:w="0" w:type="dxa"/>
            </w:tcMar>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北岸17号井</w:t>
            </w:r>
            <w:r>
              <w:rPr>
                <w:rFonts w:hAnsi="宋体" w:cs="Times New Roman"/>
                <w:color w:val="auto"/>
                <w:sz w:val="21"/>
                <w:szCs w:val="21"/>
              </w:rPr>
              <w:t>（浅层承压水）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58"/>
              <w:spacing w:line="400" w:lineRule="exact"/>
              <w:jc w:val="center"/>
              <w:rPr>
                <w:rFonts w:ascii="Times New Roman" w:hAnsi="Times New Roman" w:cs="Times New Roman"/>
                <w:color w:val="auto"/>
                <w:sz w:val="21"/>
                <w:szCs w:val="21"/>
              </w:rPr>
            </w:pPr>
            <w:r>
              <w:rPr>
                <w:rFonts w:ascii="Times New Roman" w:hAnsi="宋体" w:cs="Times New Roman"/>
                <w:color w:val="auto"/>
                <w:sz w:val="21"/>
                <w:szCs w:val="21"/>
              </w:rPr>
              <w:t>砷</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0.01</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0.016</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0.017</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0.001</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0.002</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镉</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0.005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0.0005</w:t>
            </w:r>
          </w:p>
        </w:tc>
        <w:tc>
          <w:tcPr>
            <w:tcW w:w="92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0.0005</w:t>
            </w:r>
          </w:p>
        </w:tc>
        <w:tc>
          <w:tcPr>
            <w:tcW w:w="85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铬（六价）</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0.05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0.005</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0.133</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0.20</w:t>
            </w:r>
          </w:p>
        </w:tc>
        <w:tc>
          <w:tcPr>
            <w:tcW w:w="85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铅</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0.01</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0.001</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0.001</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0.001</w:t>
            </w:r>
          </w:p>
        </w:tc>
        <w:tc>
          <w:tcPr>
            <w:tcW w:w="92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0.001</w:t>
            </w:r>
          </w:p>
        </w:tc>
        <w:tc>
          <w:tcPr>
            <w:tcW w:w="85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氰化物</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0.05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0.0008</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0.0008</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0.0008</w:t>
            </w:r>
          </w:p>
        </w:tc>
        <w:tc>
          <w:tcPr>
            <w:tcW w:w="92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0.0008</w:t>
            </w:r>
          </w:p>
        </w:tc>
        <w:tc>
          <w:tcPr>
            <w:tcW w:w="85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氟化物</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1.0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4.90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4.90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0.85</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1.32</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汞</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0.001</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0.00005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0.00005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0.00005</w:t>
            </w:r>
          </w:p>
        </w:tc>
        <w:tc>
          <w:tcPr>
            <w:tcW w:w="92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0.00005</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0.00023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硝酸盐氮</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20</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0.6</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0.6</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7.37</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2.61</w:t>
            </w:r>
          </w:p>
        </w:tc>
        <w:tc>
          <w:tcPr>
            <w:tcW w:w="85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色度</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15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5.0</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5.0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5.00</w:t>
            </w:r>
          </w:p>
        </w:tc>
        <w:tc>
          <w:tcPr>
            <w:tcW w:w="92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5.0</w:t>
            </w:r>
          </w:p>
        </w:tc>
        <w:tc>
          <w:tcPr>
            <w:tcW w:w="85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浑浊度</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3</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1.0</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1.0</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1.0</w:t>
            </w:r>
          </w:p>
        </w:tc>
        <w:tc>
          <w:tcPr>
            <w:tcW w:w="92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1.0</w:t>
            </w:r>
          </w:p>
        </w:tc>
        <w:tc>
          <w:tcPr>
            <w:tcW w:w="85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嗅和味</w:t>
            </w:r>
          </w:p>
        </w:tc>
        <w:tc>
          <w:tcPr>
            <w:tcW w:w="292"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无</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无</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无</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无</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无</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tcMar>
              <w:left w:w="0" w:type="dxa"/>
              <w:right w:w="0" w:type="dxa"/>
            </w:tcMar>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肉眼可见物</w:t>
            </w:r>
          </w:p>
        </w:tc>
        <w:tc>
          <w:tcPr>
            <w:tcW w:w="292"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无</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微量沉淀</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微量沉淀</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无</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无</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pH</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6.5~8.5</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8.56</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8.58</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7.89</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7.99</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7.83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铁</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0.3</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0.080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0.10</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0.080</w:t>
            </w:r>
          </w:p>
        </w:tc>
        <w:tc>
          <w:tcPr>
            <w:tcW w:w="92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0.080</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锰</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0.1</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0.05</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0.05</w:t>
            </w:r>
          </w:p>
        </w:tc>
        <w:tc>
          <w:tcPr>
            <w:tcW w:w="92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0.05</w:t>
            </w:r>
          </w:p>
        </w:tc>
        <w:tc>
          <w:tcPr>
            <w:tcW w:w="85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氯化物</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250.0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156</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160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103</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326</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181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硫酸盐</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250.0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168</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178</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437</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562</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298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tcMar>
              <w:left w:w="0" w:type="dxa"/>
              <w:right w:w="0" w:type="dxa"/>
            </w:tcMar>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溶解性固体</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1000.0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960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936</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1220</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1580</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444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总硬度</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450.0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40.0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50.0</w:t>
            </w:r>
          </w:p>
        </w:tc>
        <w:tc>
          <w:tcPr>
            <w:tcW w:w="830"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395</w:t>
            </w:r>
          </w:p>
        </w:tc>
        <w:tc>
          <w:tcPr>
            <w:tcW w:w="92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405</w:t>
            </w:r>
          </w:p>
        </w:tc>
        <w:tc>
          <w:tcPr>
            <w:tcW w:w="858" w:type="pct"/>
            <w:vAlign w:val="center"/>
          </w:tcPr>
          <w:p>
            <w:pPr>
              <w:pStyle w:val="63"/>
              <w:spacing w:line="400" w:lineRule="exact"/>
              <w:ind w:firstLine="0" w:firstLineChars="0"/>
              <w:jc w:val="center"/>
              <w:rPr>
                <w:rFonts w:cs="Times New Roman"/>
                <w:color w:val="auto"/>
                <w:sz w:val="21"/>
                <w:szCs w:val="21"/>
              </w:rPr>
            </w:pPr>
            <w:r>
              <w:rPr>
                <w:rFonts w:hint="eastAsia" w:cs="Times New Roman"/>
                <w:color w:val="auto"/>
                <w:sz w:val="21"/>
                <w:szCs w:val="21"/>
              </w:rPr>
              <w:t>355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1" w:type="pct"/>
            <w:vAlign w:val="center"/>
          </w:tcPr>
          <w:p>
            <w:pPr>
              <w:pStyle w:val="63"/>
              <w:spacing w:line="400" w:lineRule="exact"/>
              <w:ind w:firstLine="0" w:firstLineChars="0"/>
              <w:jc w:val="center"/>
              <w:rPr>
                <w:rFonts w:cs="Times New Roman"/>
                <w:color w:val="auto"/>
                <w:sz w:val="21"/>
                <w:szCs w:val="21"/>
              </w:rPr>
            </w:pPr>
            <w:r>
              <w:rPr>
                <w:rFonts w:hAnsi="宋体" w:cs="Times New Roman"/>
                <w:color w:val="auto"/>
                <w:sz w:val="21"/>
                <w:szCs w:val="21"/>
              </w:rPr>
              <w:t>挥发酚</w:t>
            </w:r>
          </w:p>
        </w:tc>
        <w:tc>
          <w:tcPr>
            <w:tcW w:w="292"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0.02</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0.001</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0.001</w:t>
            </w:r>
          </w:p>
        </w:tc>
        <w:tc>
          <w:tcPr>
            <w:tcW w:w="830"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0.001</w:t>
            </w:r>
          </w:p>
        </w:tc>
        <w:tc>
          <w:tcPr>
            <w:tcW w:w="92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0.001</w:t>
            </w:r>
          </w:p>
        </w:tc>
        <w:tc>
          <w:tcPr>
            <w:tcW w:w="858" w:type="pct"/>
            <w:vAlign w:val="center"/>
          </w:tcPr>
          <w:p>
            <w:pPr>
              <w:pStyle w:val="63"/>
              <w:spacing w:line="400" w:lineRule="exact"/>
              <w:ind w:firstLine="0" w:firstLineChars="0"/>
              <w:jc w:val="center"/>
              <w:rPr>
                <w:rFonts w:cs="Times New Roman"/>
                <w:color w:val="auto"/>
                <w:sz w:val="21"/>
                <w:szCs w:val="21"/>
              </w:rPr>
            </w:pPr>
            <w:r>
              <w:rPr>
                <w:rFonts w:cs="Times New Roman"/>
                <w:color w:val="auto"/>
                <w:sz w:val="21"/>
                <w:szCs w:val="21"/>
              </w:rPr>
              <w:t>&lt;</w:t>
            </w:r>
            <w:r>
              <w:rPr>
                <w:rFonts w:hint="eastAsia" w:cs="Times New Roman"/>
                <w:color w:val="auto"/>
                <w:sz w:val="21"/>
                <w:szCs w:val="21"/>
              </w:rPr>
              <w:t>0.001</w:t>
            </w:r>
          </w:p>
        </w:tc>
      </w:tr>
    </w:tbl>
    <w:p>
      <w:pPr>
        <w:pStyle w:val="63"/>
        <w:ind w:firstLine="480"/>
        <w:rPr>
          <w:color w:val="auto"/>
        </w:rPr>
        <w:sectPr>
          <w:pgSz w:w="16838" w:h="11906" w:orient="landscape"/>
          <w:pgMar w:top="1440" w:right="1157" w:bottom="1440" w:left="1157" w:header="851" w:footer="992" w:gutter="0"/>
          <w:cols w:space="720" w:num="1"/>
          <w:titlePg/>
          <w:docGrid w:type="linesAndChars" w:linePitch="312" w:charSpace="0"/>
        </w:sectPr>
      </w:pPr>
    </w:p>
    <w:p>
      <w:pPr>
        <w:pStyle w:val="61"/>
        <w:rPr>
          <w:color w:val="auto"/>
        </w:rPr>
      </w:pPr>
      <w:bookmarkStart w:id="45" w:name="_Toc436902161"/>
      <w:r>
        <w:rPr>
          <w:bCs/>
          <w:color w:val="auto"/>
        </w:rPr>
        <w:t>5.4</w:t>
      </w:r>
      <w:r>
        <w:rPr>
          <w:color w:val="auto"/>
        </w:rPr>
        <w:t>环境噪声现状调查与评价</w:t>
      </w:r>
      <w:bookmarkEnd w:id="45"/>
    </w:p>
    <w:p>
      <w:pPr>
        <w:pStyle w:val="63"/>
        <w:ind w:firstLine="480"/>
        <w:rPr>
          <w:color w:val="auto"/>
        </w:rPr>
      </w:pPr>
      <w:r>
        <w:rPr>
          <w:color w:val="auto"/>
        </w:rPr>
        <w:t>（1）监测布点</w:t>
      </w:r>
    </w:p>
    <w:p>
      <w:pPr>
        <w:pStyle w:val="63"/>
        <w:ind w:firstLine="480"/>
        <w:rPr>
          <w:color w:val="auto"/>
        </w:rPr>
      </w:pPr>
      <w:r>
        <w:rPr>
          <w:color w:val="auto"/>
        </w:rPr>
        <w:t>按照《环境影响评价技术导则</w:t>
      </w:r>
      <w:r>
        <w:rPr>
          <w:rFonts w:cs="Times New Roman"/>
          <w:color w:val="auto"/>
        </w:rPr>
        <w:t>·</w:t>
      </w:r>
      <w:r>
        <w:rPr>
          <w:color w:val="auto"/>
        </w:rPr>
        <w:t>声环境》规定，结合拟建项目初步平面布局，声环境质量现状调查在拟建</w:t>
      </w:r>
      <w:r>
        <w:rPr>
          <w:rFonts w:hint="eastAsia"/>
          <w:color w:val="auto"/>
        </w:rPr>
        <w:t>水源管理站</w:t>
      </w:r>
      <w:r>
        <w:rPr>
          <w:color w:val="auto"/>
        </w:rPr>
        <w:t>厂界四周及水源地设监测点位，共计</w:t>
      </w:r>
      <w:r>
        <w:rPr>
          <w:rFonts w:cs="Times New Roman"/>
          <w:color w:val="auto"/>
        </w:rPr>
        <w:t>5</w:t>
      </w:r>
      <w:r>
        <w:rPr>
          <w:color w:val="auto"/>
        </w:rPr>
        <w:t>个点位，分别监测昼间、夜间等效声级。</w:t>
      </w:r>
    </w:p>
    <w:p>
      <w:pPr>
        <w:pStyle w:val="65"/>
      </w:pPr>
      <w:r>
        <w:t>表5.4-1噪声监测点位布置</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821"/>
        <w:gridCol w:w="1634"/>
        <w:gridCol w:w="1362"/>
        <w:gridCol w:w="1693"/>
        <w:gridCol w:w="3732"/>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4" w:type="pct"/>
            <w:vAlign w:val="center"/>
          </w:tcPr>
          <w:p>
            <w:pPr>
              <w:pStyle w:val="65"/>
            </w:pPr>
            <w:r>
              <w:rPr>
                <w:rFonts w:hint="eastAsia"/>
              </w:rPr>
              <w:t>编号</w:t>
            </w:r>
          </w:p>
        </w:tc>
        <w:tc>
          <w:tcPr>
            <w:tcW w:w="884" w:type="pct"/>
            <w:vAlign w:val="center"/>
          </w:tcPr>
          <w:p>
            <w:pPr>
              <w:pStyle w:val="65"/>
            </w:pPr>
            <w:r>
              <w:rPr>
                <w:rFonts w:hint="eastAsia"/>
              </w:rPr>
              <w:t>名称</w:t>
            </w:r>
          </w:p>
        </w:tc>
        <w:tc>
          <w:tcPr>
            <w:tcW w:w="737" w:type="pct"/>
            <w:vAlign w:val="center"/>
          </w:tcPr>
          <w:p>
            <w:pPr>
              <w:pStyle w:val="65"/>
            </w:pPr>
            <w:r>
              <w:rPr>
                <w:rFonts w:hint="eastAsia"/>
              </w:rPr>
              <w:t>监测点位</w:t>
            </w:r>
          </w:p>
        </w:tc>
        <w:tc>
          <w:tcPr>
            <w:tcW w:w="916" w:type="pct"/>
            <w:vAlign w:val="center"/>
          </w:tcPr>
          <w:p>
            <w:pPr>
              <w:pStyle w:val="65"/>
            </w:pPr>
            <w:r>
              <w:rPr>
                <w:rFonts w:hint="eastAsia"/>
              </w:rPr>
              <w:t>监测因子</w:t>
            </w:r>
          </w:p>
        </w:tc>
        <w:tc>
          <w:tcPr>
            <w:tcW w:w="2019" w:type="pct"/>
            <w:vAlign w:val="center"/>
          </w:tcPr>
          <w:p>
            <w:pPr>
              <w:pStyle w:val="65"/>
            </w:pPr>
            <w:r>
              <w:rPr>
                <w:rFonts w:hint="eastAsia"/>
              </w:rPr>
              <w:t>区域功能</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4" w:type="pct"/>
            <w:vAlign w:val="center"/>
          </w:tcPr>
          <w:p>
            <w:pPr>
              <w:pStyle w:val="65"/>
              <w:rPr>
                <w:b w:val="0"/>
              </w:rPr>
            </w:pPr>
            <w:r>
              <w:rPr>
                <w:b w:val="0"/>
              </w:rPr>
              <w:t>1#</w:t>
            </w:r>
          </w:p>
        </w:tc>
        <w:tc>
          <w:tcPr>
            <w:tcW w:w="884" w:type="pct"/>
            <w:vMerge w:val="restart"/>
            <w:vAlign w:val="center"/>
          </w:tcPr>
          <w:p>
            <w:pPr>
              <w:pStyle w:val="65"/>
              <w:rPr>
                <w:b w:val="0"/>
              </w:rPr>
            </w:pPr>
            <w:r>
              <w:rPr>
                <w:rFonts w:hAnsi="宋体"/>
                <w:b w:val="0"/>
              </w:rPr>
              <w:t>管理站厂界</w:t>
            </w:r>
          </w:p>
        </w:tc>
        <w:tc>
          <w:tcPr>
            <w:tcW w:w="737" w:type="pct"/>
            <w:vAlign w:val="center"/>
          </w:tcPr>
          <w:p>
            <w:pPr>
              <w:pStyle w:val="65"/>
              <w:rPr>
                <w:b w:val="0"/>
              </w:rPr>
            </w:pPr>
            <w:r>
              <w:rPr>
                <w:rFonts w:hAnsi="宋体"/>
                <w:b w:val="0"/>
              </w:rPr>
              <w:t>东厂界</w:t>
            </w:r>
          </w:p>
        </w:tc>
        <w:tc>
          <w:tcPr>
            <w:tcW w:w="916" w:type="pct"/>
            <w:vMerge w:val="restart"/>
            <w:vAlign w:val="center"/>
          </w:tcPr>
          <w:p>
            <w:pPr>
              <w:pStyle w:val="65"/>
              <w:rPr>
                <w:b w:val="0"/>
              </w:rPr>
            </w:pPr>
            <w:r>
              <w:rPr>
                <w:rFonts w:hAnsi="宋体"/>
                <w:b w:val="0"/>
              </w:rPr>
              <w:t>等效</w:t>
            </w:r>
            <w:r>
              <w:rPr>
                <w:b w:val="0"/>
              </w:rPr>
              <w:t>A</w:t>
            </w:r>
            <w:r>
              <w:rPr>
                <w:rFonts w:hAnsi="宋体"/>
                <w:b w:val="0"/>
              </w:rPr>
              <w:t>声级</w:t>
            </w:r>
          </w:p>
        </w:tc>
        <w:tc>
          <w:tcPr>
            <w:tcW w:w="2019" w:type="pct"/>
            <w:vMerge w:val="restar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GB3096-2008</w:t>
            </w:r>
          </w:p>
          <w:p>
            <w:pPr>
              <w:pStyle w:val="58"/>
              <w:jc w:val="center"/>
              <w:rPr>
                <w:rFonts w:ascii="Times New Roman" w:hAnsi="Times New Roman" w:cs="Times New Roman"/>
                <w:color w:val="auto"/>
                <w:lang w:eastAsia="zh-CN"/>
              </w:rPr>
            </w:pPr>
            <w:r>
              <w:rPr>
                <w:rFonts w:ascii="Times New Roman" w:hAnsi="宋体" w:cs="Times New Roman"/>
                <w:color w:val="auto"/>
                <w:sz w:val="21"/>
                <w:szCs w:val="21"/>
                <w:lang w:eastAsia="zh-CN"/>
              </w:rPr>
              <w:t>《声环境质量标准》</w:t>
            </w:r>
            <w:r>
              <w:rPr>
                <w:rFonts w:ascii="Times New Roman" w:hAnsi="Times New Roman" w:cs="Times New Roman"/>
                <w:color w:val="auto"/>
                <w:sz w:val="21"/>
                <w:szCs w:val="21"/>
                <w:lang w:eastAsia="zh-CN"/>
              </w:rPr>
              <w:t>2</w:t>
            </w:r>
            <w:r>
              <w:rPr>
                <w:rFonts w:ascii="Times New Roman" w:hAnsi="宋体" w:cs="Times New Roman"/>
                <w:color w:val="auto"/>
                <w:sz w:val="21"/>
                <w:szCs w:val="21"/>
                <w:lang w:eastAsia="zh-CN"/>
              </w:rPr>
              <w:t>类标准</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4" w:type="pct"/>
            <w:vAlign w:val="center"/>
          </w:tcPr>
          <w:p>
            <w:pPr>
              <w:pStyle w:val="65"/>
              <w:rPr>
                <w:b w:val="0"/>
              </w:rPr>
            </w:pPr>
            <w:r>
              <w:rPr>
                <w:b w:val="0"/>
              </w:rPr>
              <w:t>2#</w:t>
            </w:r>
          </w:p>
        </w:tc>
        <w:tc>
          <w:tcPr>
            <w:tcW w:w="884" w:type="pct"/>
            <w:vMerge w:val="continue"/>
            <w:vAlign w:val="center"/>
          </w:tcPr>
          <w:p>
            <w:pPr>
              <w:pStyle w:val="65"/>
              <w:rPr>
                <w:b w:val="0"/>
              </w:rPr>
            </w:pPr>
          </w:p>
        </w:tc>
        <w:tc>
          <w:tcPr>
            <w:tcW w:w="737" w:type="pct"/>
            <w:vAlign w:val="center"/>
          </w:tcPr>
          <w:p>
            <w:pPr>
              <w:pStyle w:val="65"/>
              <w:rPr>
                <w:b w:val="0"/>
              </w:rPr>
            </w:pPr>
            <w:r>
              <w:rPr>
                <w:rFonts w:hAnsi="宋体"/>
                <w:b w:val="0"/>
              </w:rPr>
              <w:t>南厂界</w:t>
            </w:r>
          </w:p>
        </w:tc>
        <w:tc>
          <w:tcPr>
            <w:tcW w:w="916" w:type="pct"/>
            <w:vMerge w:val="continue"/>
            <w:vAlign w:val="center"/>
          </w:tcPr>
          <w:p>
            <w:pPr>
              <w:pStyle w:val="65"/>
              <w:rPr>
                <w:b w:val="0"/>
              </w:rPr>
            </w:pPr>
          </w:p>
        </w:tc>
        <w:tc>
          <w:tcPr>
            <w:tcW w:w="2019" w:type="pct"/>
            <w:vMerge w:val="continue"/>
            <w:vAlign w:val="center"/>
          </w:tcPr>
          <w:p>
            <w:pPr>
              <w:pStyle w:val="65"/>
              <w:rPr>
                <w:b w:val="0"/>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4" w:type="pct"/>
            <w:vAlign w:val="center"/>
          </w:tcPr>
          <w:p>
            <w:pPr>
              <w:pStyle w:val="65"/>
              <w:rPr>
                <w:b w:val="0"/>
              </w:rPr>
            </w:pPr>
            <w:r>
              <w:rPr>
                <w:b w:val="0"/>
              </w:rPr>
              <w:t>3#</w:t>
            </w:r>
          </w:p>
        </w:tc>
        <w:tc>
          <w:tcPr>
            <w:tcW w:w="884" w:type="pct"/>
            <w:vMerge w:val="continue"/>
            <w:vAlign w:val="center"/>
          </w:tcPr>
          <w:p>
            <w:pPr>
              <w:pStyle w:val="65"/>
              <w:rPr>
                <w:b w:val="0"/>
              </w:rPr>
            </w:pPr>
          </w:p>
        </w:tc>
        <w:tc>
          <w:tcPr>
            <w:tcW w:w="737" w:type="pct"/>
            <w:vAlign w:val="center"/>
          </w:tcPr>
          <w:p>
            <w:pPr>
              <w:pStyle w:val="65"/>
              <w:rPr>
                <w:b w:val="0"/>
              </w:rPr>
            </w:pPr>
            <w:r>
              <w:rPr>
                <w:rFonts w:hAnsi="宋体"/>
                <w:b w:val="0"/>
              </w:rPr>
              <w:t>西厂界</w:t>
            </w:r>
          </w:p>
        </w:tc>
        <w:tc>
          <w:tcPr>
            <w:tcW w:w="916" w:type="pct"/>
            <w:vMerge w:val="continue"/>
            <w:vAlign w:val="center"/>
          </w:tcPr>
          <w:p>
            <w:pPr>
              <w:pStyle w:val="65"/>
              <w:rPr>
                <w:b w:val="0"/>
              </w:rPr>
            </w:pPr>
          </w:p>
        </w:tc>
        <w:tc>
          <w:tcPr>
            <w:tcW w:w="2019" w:type="pct"/>
            <w:vMerge w:val="restar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GB3096-2008</w:t>
            </w:r>
          </w:p>
          <w:p>
            <w:pPr>
              <w:pStyle w:val="65"/>
              <w:rPr>
                <w:b w:val="0"/>
              </w:rPr>
            </w:pPr>
            <w:r>
              <w:rPr>
                <w:rFonts w:hAnsi="宋体"/>
                <w:b w:val="0"/>
                <w:szCs w:val="21"/>
              </w:rPr>
              <w:t>《声环境质量标准》</w:t>
            </w:r>
            <w:r>
              <w:rPr>
                <w:rFonts w:hint="eastAsia"/>
                <w:b w:val="0"/>
                <w:szCs w:val="21"/>
              </w:rPr>
              <w:t>4a</w:t>
            </w:r>
            <w:r>
              <w:rPr>
                <w:rFonts w:hAnsi="宋体"/>
                <w:b w:val="0"/>
                <w:szCs w:val="21"/>
              </w:rPr>
              <w:t>类标准</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4" w:type="pct"/>
            <w:vAlign w:val="center"/>
          </w:tcPr>
          <w:p>
            <w:pPr>
              <w:pStyle w:val="65"/>
              <w:rPr>
                <w:b w:val="0"/>
              </w:rPr>
            </w:pPr>
            <w:r>
              <w:rPr>
                <w:b w:val="0"/>
              </w:rPr>
              <w:t>4#</w:t>
            </w:r>
          </w:p>
        </w:tc>
        <w:tc>
          <w:tcPr>
            <w:tcW w:w="884" w:type="pct"/>
            <w:vMerge w:val="continue"/>
            <w:vAlign w:val="center"/>
          </w:tcPr>
          <w:p>
            <w:pPr>
              <w:pStyle w:val="65"/>
              <w:rPr>
                <w:b w:val="0"/>
              </w:rPr>
            </w:pPr>
          </w:p>
        </w:tc>
        <w:tc>
          <w:tcPr>
            <w:tcW w:w="737" w:type="pct"/>
            <w:vAlign w:val="center"/>
          </w:tcPr>
          <w:p>
            <w:pPr>
              <w:pStyle w:val="65"/>
              <w:rPr>
                <w:b w:val="0"/>
              </w:rPr>
            </w:pPr>
            <w:r>
              <w:rPr>
                <w:rFonts w:hAnsi="宋体"/>
                <w:b w:val="0"/>
              </w:rPr>
              <w:t>北厂界</w:t>
            </w:r>
          </w:p>
        </w:tc>
        <w:tc>
          <w:tcPr>
            <w:tcW w:w="916" w:type="pct"/>
            <w:vMerge w:val="continue"/>
            <w:vAlign w:val="center"/>
          </w:tcPr>
          <w:p>
            <w:pPr>
              <w:pStyle w:val="65"/>
              <w:rPr>
                <w:b w:val="0"/>
              </w:rPr>
            </w:pPr>
          </w:p>
        </w:tc>
        <w:tc>
          <w:tcPr>
            <w:tcW w:w="2019" w:type="pct"/>
            <w:vMerge w:val="continue"/>
            <w:vAlign w:val="center"/>
          </w:tcPr>
          <w:p>
            <w:pPr>
              <w:pStyle w:val="65"/>
              <w:rPr>
                <w:b w:val="0"/>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4" w:type="pct"/>
            <w:vAlign w:val="center"/>
          </w:tcPr>
          <w:p>
            <w:pPr>
              <w:pStyle w:val="65"/>
              <w:rPr>
                <w:b w:val="0"/>
              </w:rPr>
            </w:pPr>
            <w:r>
              <w:rPr>
                <w:b w:val="0"/>
              </w:rPr>
              <w:t>5#</w:t>
            </w:r>
          </w:p>
        </w:tc>
        <w:tc>
          <w:tcPr>
            <w:tcW w:w="884" w:type="pct"/>
            <w:vAlign w:val="center"/>
          </w:tcPr>
          <w:p>
            <w:pPr>
              <w:pStyle w:val="65"/>
              <w:rPr>
                <w:b w:val="0"/>
              </w:rPr>
            </w:pPr>
            <w:r>
              <w:rPr>
                <w:rFonts w:hAnsi="宋体"/>
                <w:b w:val="0"/>
              </w:rPr>
              <w:t>水源地</w:t>
            </w:r>
          </w:p>
        </w:tc>
        <w:tc>
          <w:tcPr>
            <w:tcW w:w="737" w:type="pct"/>
            <w:vAlign w:val="center"/>
          </w:tcPr>
          <w:p>
            <w:pPr>
              <w:pStyle w:val="65"/>
              <w:rPr>
                <w:b w:val="0"/>
              </w:rPr>
            </w:pPr>
            <w:r>
              <w:rPr>
                <w:rFonts w:hAnsi="宋体"/>
                <w:b w:val="0"/>
              </w:rPr>
              <w:t>泾河南岸</w:t>
            </w:r>
          </w:p>
        </w:tc>
        <w:tc>
          <w:tcPr>
            <w:tcW w:w="916" w:type="pct"/>
            <w:vMerge w:val="continue"/>
            <w:vAlign w:val="center"/>
          </w:tcPr>
          <w:p>
            <w:pPr>
              <w:pStyle w:val="65"/>
              <w:rPr>
                <w:b w:val="0"/>
              </w:rPr>
            </w:pPr>
          </w:p>
        </w:tc>
        <w:tc>
          <w:tcPr>
            <w:tcW w:w="2019"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GB3096-2008</w:t>
            </w:r>
          </w:p>
          <w:p>
            <w:pPr>
              <w:pStyle w:val="65"/>
              <w:rPr>
                <w:b w:val="0"/>
              </w:rPr>
            </w:pPr>
            <w:r>
              <w:rPr>
                <w:rFonts w:hAnsi="宋体"/>
                <w:b w:val="0"/>
                <w:szCs w:val="21"/>
              </w:rPr>
              <w:t>《声环境质量标准》</w:t>
            </w:r>
            <w:r>
              <w:rPr>
                <w:b w:val="0"/>
                <w:szCs w:val="21"/>
              </w:rPr>
              <w:t>2</w:t>
            </w:r>
            <w:r>
              <w:rPr>
                <w:rFonts w:hAnsi="宋体"/>
                <w:b w:val="0"/>
                <w:szCs w:val="21"/>
              </w:rPr>
              <w:t>类标准</w:t>
            </w:r>
          </w:p>
        </w:tc>
      </w:tr>
    </w:tbl>
    <w:p>
      <w:pPr>
        <w:pStyle w:val="63"/>
        <w:ind w:firstLine="480"/>
        <w:rPr>
          <w:color w:val="auto"/>
        </w:rPr>
      </w:pPr>
      <w:r>
        <w:rPr>
          <w:color w:val="auto"/>
        </w:rPr>
        <w:t>（</w:t>
      </w:r>
      <w:r>
        <w:rPr>
          <w:rFonts w:cs="Times New Roman"/>
          <w:color w:val="auto"/>
        </w:rPr>
        <w:t>2</w:t>
      </w:r>
      <w:r>
        <w:rPr>
          <w:color w:val="auto"/>
        </w:rPr>
        <w:t>）监测项目采样时间及频率</w:t>
      </w:r>
    </w:p>
    <w:p>
      <w:pPr>
        <w:pStyle w:val="63"/>
        <w:ind w:firstLine="480"/>
        <w:rPr>
          <w:color w:val="auto"/>
        </w:rPr>
      </w:pPr>
      <w:r>
        <w:rPr>
          <w:color w:val="auto"/>
        </w:rPr>
        <w:t>本次评价声环境现状由</w:t>
      </w:r>
      <w:r>
        <w:rPr>
          <w:rFonts w:hint="eastAsia"/>
          <w:color w:val="auto"/>
        </w:rPr>
        <w:t>西安市环境保护局莲湖分局环境监测站监测西安市环境保护局莲湖分局环境监测站监测</w:t>
      </w:r>
      <w:r>
        <w:rPr>
          <w:color w:val="auto"/>
        </w:rPr>
        <w:t>，监测报告见附件4，噪声时间2015年</w:t>
      </w:r>
      <w:r>
        <w:rPr>
          <w:rFonts w:hint="eastAsia"/>
          <w:color w:val="auto"/>
        </w:rPr>
        <w:t>10</w:t>
      </w:r>
      <w:r>
        <w:rPr>
          <w:color w:val="auto"/>
        </w:rPr>
        <w:t>月</w:t>
      </w:r>
      <w:r>
        <w:rPr>
          <w:rFonts w:hint="eastAsia"/>
          <w:color w:val="auto"/>
        </w:rPr>
        <w:t>09</w:t>
      </w:r>
      <w:r>
        <w:rPr>
          <w:color w:val="auto"/>
        </w:rPr>
        <w:t>日至2015年</w:t>
      </w:r>
      <w:r>
        <w:rPr>
          <w:rFonts w:hint="eastAsia"/>
          <w:color w:val="auto"/>
        </w:rPr>
        <w:t>10</w:t>
      </w:r>
      <w:r>
        <w:rPr>
          <w:color w:val="auto"/>
        </w:rPr>
        <w:t>月</w:t>
      </w:r>
      <w:r>
        <w:rPr>
          <w:rFonts w:hint="eastAsia"/>
          <w:color w:val="auto"/>
        </w:rPr>
        <w:t>10</w:t>
      </w:r>
      <w:r>
        <w:rPr>
          <w:color w:val="auto"/>
        </w:rPr>
        <w:t>日，连续监测两天，昼夜个监测一次。</w:t>
      </w:r>
    </w:p>
    <w:p>
      <w:pPr>
        <w:pStyle w:val="63"/>
        <w:ind w:firstLine="480"/>
        <w:rPr>
          <w:color w:val="auto"/>
        </w:rPr>
      </w:pPr>
      <w:r>
        <w:rPr>
          <w:color w:val="auto"/>
        </w:rPr>
        <w:t>（3）监测方法</w:t>
      </w:r>
    </w:p>
    <w:p>
      <w:pPr>
        <w:pStyle w:val="63"/>
        <w:ind w:firstLine="480"/>
        <w:rPr>
          <w:color w:val="auto"/>
        </w:rPr>
      </w:pPr>
      <w:r>
        <w:rPr>
          <w:rFonts w:hint="eastAsia"/>
          <w:color w:val="auto"/>
        </w:rPr>
        <w:t>西安市环境保护局莲湖分局环境监测站</w:t>
      </w:r>
      <w:r>
        <w:rPr>
          <w:color w:val="auto"/>
        </w:rPr>
        <w:t>对上述各监测点进行了声环境现状监测，测量仪器为多功能声级计AWA5680(H26)，校准仪器为AWA6221B声校准仪(H27)。</w:t>
      </w:r>
    </w:p>
    <w:p>
      <w:pPr>
        <w:pStyle w:val="63"/>
        <w:ind w:firstLine="480"/>
        <w:rPr>
          <w:color w:val="auto"/>
        </w:rPr>
      </w:pPr>
      <w:r>
        <w:rPr>
          <w:color w:val="auto"/>
        </w:rPr>
        <w:t>（4）监测结果</w:t>
      </w:r>
    </w:p>
    <w:p>
      <w:pPr>
        <w:pStyle w:val="63"/>
        <w:ind w:firstLine="480"/>
        <w:rPr>
          <w:color w:val="auto"/>
        </w:rPr>
      </w:pPr>
      <w:r>
        <w:rPr>
          <w:color w:val="auto"/>
        </w:rPr>
        <w:t>声环境现状监测结果统计表见表5.4-2。</w:t>
      </w:r>
    </w:p>
    <w:p>
      <w:pPr>
        <w:pStyle w:val="65"/>
      </w:pPr>
      <w:r>
        <w:t>表5.4-2   声环境现状监测结果（单位：dB（A））</w:t>
      </w:r>
    </w:p>
    <w:tbl>
      <w:tblPr>
        <w:tblStyle w:val="2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40"/>
        <w:gridCol w:w="1540"/>
        <w:gridCol w:w="1540"/>
        <w:gridCol w:w="1540"/>
        <w:gridCol w:w="1541"/>
        <w:gridCol w:w="15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restart"/>
          </w:tcPr>
          <w:p>
            <w:pPr>
              <w:pStyle w:val="65"/>
            </w:pPr>
            <w:r>
              <w:rPr>
                <w:rFonts w:hint="eastAsia"/>
              </w:rPr>
              <w:t>监测时段</w:t>
            </w:r>
          </w:p>
        </w:tc>
        <w:tc>
          <w:tcPr>
            <w:tcW w:w="1540" w:type="dxa"/>
            <w:vMerge w:val="restart"/>
          </w:tcPr>
          <w:p>
            <w:pPr>
              <w:pStyle w:val="65"/>
            </w:pPr>
            <w:r>
              <w:rPr>
                <w:rFonts w:hint="eastAsia"/>
              </w:rPr>
              <w:t>序号</w:t>
            </w:r>
          </w:p>
        </w:tc>
        <w:tc>
          <w:tcPr>
            <w:tcW w:w="1540" w:type="dxa"/>
            <w:vMerge w:val="restart"/>
          </w:tcPr>
          <w:p>
            <w:pPr>
              <w:pStyle w:val="65"/>
            </w:pPr>
            <w:r>
              <w:rPr>
                <w:rFonts w:hint="eastAsia"/>
              </w:rPr>
              <w:t>监测点位</w:t>
            </w:r>
          </w:p>
        </w:tc>
        <w:tc>
          <w:tcPr>
            <w:tcW w:w="3081" w:type="dxa"/>
            <w:gridSpan w:val="2"/>
          </w:tcPr>
          <w:p>
            <w:pPr>
              <w:pStyle w:val="65"/>
            </w:pPr>
            <w:r>
              <w:rPr>
                <w:rFonts w:hint="eastAsia"/>
              </w:rPr>
              <w:t>统计值</w:t>
            </w:r>
          </w:p>
        </w:tc>
        <w:tc>
          <w:tcPr>
            <w:tcW w:w="1541" w:type="dxa"/>
            <w:vMerge w:val="restart"/>
          </w:tcPr>
          <w:p>
            <w:pPr>
              <w:pStyle w:val="65"/>
            </w:pPr>
            <w:r>
              <w:rPr>
                <w:rFonts w:hint="eastAsia"/>
              </w:rPr>
              <w:t>标准限值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tcPr>
          <w:p>
            <w:pPr>
              <w:pStyle w:val="65"/>
            </w:pPr>
          </w:p>
        </w:tc>
        <w:tc>
          <w:tcPr>
            <w:tcW w:w="1540" w:type="dxa"/>
            <w:vMerge w:val="continue"/>
          </w:tcPr>
          <w:p>
            <w:pPr>
              <w:pStyle w:val="65"/>
            </w:pPr>
          </w:p>
        </w:tc>
        <w:tc>
          <w:tcPr>
            <w:tcW w:w="1540" w:type="dxa"/>
            <w:vMerge w:val="continue"/>
          </w:tcPr>
          <w:p>
            <w:pPr>
              <w:pStyle w:val="65"/>
            </w:pPr>
          </w:p>
        </w:tc>
        <w:tc>
          <w:tcPr>
            <w:tcW w:w="1540" w:type="dxa"/>
          </w:tcPr>
          <w:p>
            <w:pPr>
              <w:pStyle w:val="65"/>
            </w:pPr>
            <w:r>
              <w:rPr>
                <w:rFonts w:hint="eastAsia"/>
              </w:rPr>
              <w:t>2015.10.09</w:t>
            </w:r>
          </w:p>
        </w:tc>
        <w:tc>
          <w:tcPr>
            <w:tcW w:w="1541" w:type="dxa"/>
          </w:tcPr>
          <w:p>
            <w:pPr>
              <w:pStyle w:val="65"/>
            </w:pPr>
            <w:r>
              <w:rPr>
                <w:rFonts w:hint="eastAsia"/>
              </w:rPr>
              <w:t>2015.10.10</w:t>
            </w:r>
          </w:p>
        </w:tc>
        <w:tc>
          <w:tcPr>
            <w:tcW w:w="1541" w:type="dxa"/>
            <w:vMerge w:val="continue"/>
          </w:tcPr>
          <w:p>
            <w:pPr>
              <w:pStyle w:val="6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restart"/>
          </w:tcPr>
          <w:p>
            <w:pPr>
              <w:pStyle w:val="65"/>
            </w:pPr>
            <w:r>
              <w:rPr>
                <w:rFonts w:hint="eastAsia"/>
              </w:rPr>
              <w:t>昼间</w:t>
            </w:r>
          </w:p>
        </w:tc>
        <w:tc>
          <w:tcPr>
            <w:tcW w:w="1540" w:type="dxa"/>
          </w:tcPr>
          <w:p>
            <w:pPr>
              <w:pStyle w:val="65"/>
              <w:rPr>
                <w:b w:val="0"/>
              </w:rPr>
            </w:pPr>
            <w:r>
              <w:rPr>
                <w:rFonts w:hint="eastAsia"/>
                <w:b w:val="0"/>
              </w:rPr>
              <w:t>1#</w:t>
            </w:r>
          </w:p>
        </w:tc>
        <w:tc>
          <w:tcPr>
            <w:tcW w:w="1540" w:type="dxa"/>
            <w:vAlign w:val="center"/>
          </w:tcPr>
          <w:p>
            <w:pPr>
              <w:pStyle w:val="65"/>
              <w:rPr>
                <w:b w:val="0"/>
              </w:rPr>
            </w:pPr>
            <w:r>
              <w:rPr>
                <w:rFonts w:hAnsi="宋体"/>
                <w:b w:val="0"/>
              </w:rPr>
              <w:t>东厂界</w:t>
            </w:r>
          </w:p>
        </w:tc>
        <w:tc>
          <w:tcPr>
            <w:tcW w:w="1540" w:type="dxa"/>
          </w:tcPr>
          <w:p>
            <w:pPr>
              <w:pStyle w:val="65"/>
              <w:rPr>
                <w:b w:val="0"/>
              </w:rPr>
            </w:pPr>
            <w:r>
              <w:rPr>
                <w:rFonts w:hint="eastAsia"/>
                <w:b w:val="0"/>
              </w:rPr>
              <w:t>53.3</w:t>
            </w:r>
          </w:p>
        </w:tc>
        <w:tc>
          <w:tcPr>
            <w:tcW w:w="1541" w:type="dxa"/>
          </w:tcPr>
          <w:p>
            <w:pPr>
              <w:pStyle w:val="65"/>
              <w:rPr>
                <w:b w:val="0"/>
              </w:rPr>
            </w:pPr>
            <w:r>
              <w:rPr>
                <w:rFonts w:hint="eastAsia"/>
                <w:b w:val="0"/>
              </w:rPr>
              <w:t>49.1</w:t>
            </w:r>
          </w:p>
        </w:tc>
        <w:tc>
          <w:tcPr>
            <w:tcW w:w="1541" w:type="dxa"/>
          </w:tcPr>
          <w:p>
            <w:pPr>
              <w:pStyle w:val="65"/>
              <w:rPr>
                <w:b w:val="0"/>
              </w:rPr>
            </w:pPr>
            <w:r>
              <w:rPr>
                <w:rFonts w:hint="eastAsia"/>
                <w:b w:val="0"/>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tcPr>
          <w:p>
            <w:pPr>
              <w:pStyle w:val="65"/>
            </w:pPr>
          </w:p>
        </w:tc>
        <w:tc>
          <w:tcPr>
            <w:tcW w:w="1540" w:type="dxa"/>
          </w:tcPr>
          <w:p>
            <w:pPr>
              <w:pStyle w:val="65"/>
              <w:rPr>
                <w:b w:val="0"/>
              </w:rPr>
            </w:pPr>
            <w:r>
              <w:rPr>
                <w:rFonts w:hint="eastAsia"/>
                <w:b w:val="0"/>
              </w:rPr>
              <w:t>2#</w:t>
            </w:r>
          </w:p>
        </w:tc>
        <w:tc>
          <w:tcPr>
            <w:tcW w:w="1540" w:type="dxa"/>
            <w:vAlign w:val="center"/>
          </w:tcPr>
          <w:p>
            <w:pPr>
              <w:pStyle w:val="65"/>
              <w:rPr>
                <w:b w:val="0"/>
              </w:rPr>
            </w:pPr>
            <w:r>
              <w:rPr>
                <w:rFonts w:hAnsi="宋体"/>
                <w:b w:val="0"/>
              </w:rPr>
              <w:t>南厂界</w:t>
            </w:r>
          </w:p>
        </w:tc>
        <w:tc>
          <w:tcPr>
            <w:tcW w:w="1540" w:type="dxa"/>
          </w:tcPr>
          <w:p>
            <w:pPr>
              <w:pStyle w:val="65"/>
              <w:rPr>
                <w:b w:val="0"/>
              </w:rPr>
            </w:pPr>
            <w:r>
              <w:rPr>
                <w:rFonts w:hint="eastAsia"/>
                <w:b w:val="0"/>
              </w:rPr>
              <w:t>48.2</w:t>
            </w:r>
          </w:p>
        </w:tc>
        <w:tc>
          <w:tcPr>
            <w:tcW w:w="1541" w:type="dxa"/>
          </w:tcPr>
          <w:p>
            <w:pPr>
              <w:pStyle w:val="65"/>
              <w:rPr>
                <w:b w:val="0"/>
              </w:rPr>
            </w:pPr>
            <w:r>
              <w:rPr>
                <w:rFonts w:hint="eastAsia"/>
                <w:b w:val="0"/>
              </w:rPr>
              <w:t>45.7</w:t>
            </w:r>
          </w:p>
        </w:tc>
        <w:tc>
          <w:tcPr>
            <w:tcW w:w="1541" w:type="dxa"/>
          </w:tcPr>
          <w:p>
            <w:pPr>
              <w:pStyle w:val="65"/>
              <w:rPr>
                <w:b w:val="0"/>
              </w:rPr>
            </w:pPr>
            <w:r>
              <w:rPr>
                <w:rFonts w:hint="eastAsia"/>
                <w:b w:val="0"/>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tcPr>
          <w:p>
            <w:pPr>
              <w:pStyle w:val="65"/>
            </w:pPr>
          </w:p>
        </w:tc>
        <w:tc>
          <w:tcPr>
            <w:tcW w:w="1540" w:type="dxa"/>
          </w:tcPr>
          <w:p>
            <w:pPr>
              <w:pStyle w:val="65"/>
              <w:rPr>
                <w:b w:val="0"/>
              </w:rPr>
            </w:pPr>
            <w:r>
              <w:rPr>
                <w:rFonts w:hint="eastAsia"/>
                <w:b w:val="0"/>
              </w:rPr>
              <w:t>3#</w:t>
            </w:r>
          </w:p>
        </w:tc>
        <w:tc>
          <w:tcPr>
            <w:tcW w:w="1540" w:type="dxa"/>
            <w:vAlign w:val="center"/>
          </w:tcPr>
          <w:p>
            <w:pPr>
              <w:pStyle w:val="65"/>
              <w:rPr>
                <w:b w:val="0"/>
              </w:rPr>
            </w:pPr>
            <w:r>
              <w:rPr>
                <w:rFonts w:hAnsi="宋体"/>
                <w:b w:val="0"/>
              </w:rPr>
              <w:t>西厂界</w:t>
            </w:r>
          </w:p>
        </w:tc>
        <w:tc>
          <w:tcPr>
            <w:tcW w:w="1540" w:type="dxa"/>
          </w:tcPr>
          <w:p>
            <w:pPr>
              <w:pStyle w:val="65"/>
              <w:rPr>
                <w:b w:val="0"/>
              </w:rPr>
            </w:pPr>
            <w:r>
              <w:rPr>
                <w:rFonts w:hint="eastAsia"/>
                <w:b w:val="0"/>
              </w:rPr>
              <w:t>46.6</w:t>
            </w:r>
          </w:p>
        </w:tc>
        <w:tc>
          <w:tcPr>
            <w:tcW w:w="1541" w:type="dxa"/>
          </w:tcPr>
          <w:p>
            <w:pPr>
              <w:pStyle w:val="65"/>
              <w:rPr>
                <w:b w:val="0"/>
              </w:rPr>
            </w:pPr>
            <w:r>
              <w:rPr>
                <w:rFonts w:hint="eastAsia"/>
                <w:b w:val="0"/>
              </w:rPr>
              <w:t>44.9</w:t>
            </w:r>
          </w:p>
        </w:tc>
        <w:tc>
          <w:tcPr>
            <w:tcW w:w="1541" w:type="dxa"/>
          </w:tcPr>
          <w:p>
            <w:pPr>
              <w:pStyle w:val="65"/>
              <w:rPr>
                <w:b w:val="0"/>
              </w:rPr>
            </w:pPr>
            <w:r>
              <w:rPr>
                <w:rFonts w:hint="eastAsia"/>
                <w:b w:val="0"/>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tcPr>
          <w:p>
            <w:pPr>
              <w:pStyle w:val="65"/>
            </w:pPr>
          </w:p>
        </w:tc>
        <w:tc>
          <w:tcPr>
            <w:tcW w:w="1540" w:type="dxa"/>
          </w:tcPr>
          <w:p>
            <w:pPr>
              <w:pStyle w:val="65"/>
              <w:rPr>
                <w:b w:val="0"/>
              </w:rPr>
            </w:pPr>
            <w:r>
              <w:rPr>
                <w:rFonts w:hint="eastAsia"/>
                <w:b w:val="0"/>
              </w:rPr>
              <w:t>4#</w:t>
            </w:r>
          </w:p>
        </w:tc>
        <w:tc>
          <w:tcPr>
            <w:tcW w:w="1540" w:type="dxa"/>
            <w:vAlign w:val="center"/>
          </w:tcPr>
          <w:p>
            <w:pPr>
              <w:pStyle w:val="65"/>
              <w:rPr>
                <w:b w:val="0"/>
              </w:rPr>
            </w:pPr>
            <w:r>
              <w:rPr>
                <w:rFonts w:hAnsi="宋体"/>
                <w:b w:val="0"/>
              </w:rPr>
              <w:t>北厂界</w:t>
            </w:r>
          </w:p>
        </w:tc>
        <w:tc>
          <w:tcPr>
            <w:tcW w:w="1540" w:type="dxa"/>
          </w:tcPr>
          <w:p>
            <w:pPr>
              <w:pStyle w:val="65"/>
              <w:rPr>
                <w:b w:val="0"/>
              </w:rPr>
            </w:pPr>
            <w:r>
              <w:rPr>
                <w:rFonts w:hint="eastAsia"/>
                <w:b w:val="0"/>
              </w:rPr>
              <w:t>48.1</w:t>
            </w:r>
          </w:p>
        </w:tc>
        <w:tc>
          <w:tcPr>
            <w:tcW w:w="1541" w:type="dxa"/>
          </w:tcPr>
          <w:p>
            <w:pPr>
              <w:pStyle w:val="65"/>
              <w:rPr>
                <w:b w:val="0"/>
              </w:rPr>
            </w:pPr>
            <w:r>
              <w:rPr>
                <w:rFonts w:hint="eastAsia"/>
                <w:b w:val="0"/>
              </w:rPr>
              <w:t>46.2</w:t>
            </w:r>
          </w:p>
        </w:tc>
        <w:tc>
          <w:tcPr>
            <w:tcW w:w="1541" w:type="dxa"/>
          </w:tcPr>
          <w:p>
            <w:pPr>
              <w:pStyle w:val="65"/>
              <w:rPr>
                <w:b w:val="0"/>
              </w:rPr>
            </w:pPr>
            <w:r>
              <w:rPr>
                <w:rFonts w:hint="eastAsia"/>
                <w:b w:val="0"/>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tcPr>
          <w:p>
            <w:pPr>
              <w:pStyle w:val="65"/>
            </w:pPr>
          </w:p>
        </w:tc>
        <w:tc>
          <w:tcPr>
            <w:tcW w:w="1540" w:type="dxa"/>
          </w:tcPr>
          <w:p>
            <w:pPr>
              <w:pStyle w:val="65"/>
              <w:rPr>
                <w:b w:val="0"/>
              </w:rPr>
            </w:pPr>
            <w:r>
              <w:rPr>
                <w:rFonts w:hint="eastAsia"/>
                <w:b w:val="0"/>
              </w:rPr>
              <w:t>5#</w:t>
            </w:r>
          </w:p>
        </w:tc>
        <w:tc>
          <w:tcPr>
            <w:tcW w:w="1540" w:type="dxa"/>
            <w:vAlign w:val="center"/>
          </w:tcPr>
          <w:p>
            <w:pPr>
              <w:pStyle w:val="65"/>
              <w:rPr>
                <w:b w:val="0"/>
              </w:rPr>
            </w:pPr>
            <w:r>
              <w:rPr>
                <w:rFonts w:hAnsi="宋体"/>
                <w:b w:val="0"/>
              </w:rPr>
              <w:t>泾河南岸</w:t>
            </w:r>
          </w:p>
        </w:tc>
        <w:tc>
          <w:tcPr>
            <w:tcW w:w="1540" w:type="dxa"/>
          </w:tcPr>
          <w:p>
            <w:pPr>
              <w:pStyle w:val="65"/>
              <w:rPr>
                <w:b w:val="0"/>
              </w:rPr>
            </w:pPr>
            <w:r>
              <w:rPr>
                <w:rFonts w:hint="eastAsia"/>
                <w:b w:val="0"/>
              </w:rPr>
              <w:t>43.5</w:t>
            </w:r>
          </w:p>
        </w:tc>
        <w:tc>
          <w:tcPr>
            <w:tcW w:w="1541" w:type="dxa"/>
          </w:tcPr>
          <w:p>
            <w:pPr>
              <w:pStyle w:val="65"/>
              <w:rPr>
                <w:b w:val="0"/>
              </w:rPr>
            </w:pPr>
            <w:r>
              <w:rPr>
                <w:rFonts w:hint="eastAsia"/>
                <w:b w:val="0"/>
              </w:rPr>
              <w:t>41.2</w:t>
            </w:r>
          </w:p>
        </w:tc>
        <w:tc>
          <w:tcPr>
            <w:tcW w:w="1541" w:type="dxa"/>
          </w:tcPr>
          <w:p>
            <w:pPr>
              <w:pStyle w:val="65"/>
              <w:rPr>
                <w:b w:val="0"/>
              </w:rPr>
            </w:pPr>
            <w:r>
              <w:rPr>
                <w:rFonts w:hint="eastAsia"/>
                <w:b w:val="0"/>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restart"/>
          </w:tcPr>
          <w:p>
            <w:pPr>
              <w:pStyle w:val="65"/>
            </w:pPr>
            <w:r>
              <w:rPr>
                <w:rFonts w:hint="eastAsia"/>
              </w:rPr>
              <w:t>夜间</w:t>
            </w:r>
          </w:p>
        </w:tc>
        <w:tc>
          <w:tcPr>
            <w:tcW w:w="1540" w:type="dxa"/>
          </w:tcPr>
          <w:p>
            <w:pPr>
              <w:pStyle w:val="65"/>
              <w:rPr>
                <w:b w:val="0"/>
              </w:rPr>
            </w:pPr>
            <w:r>
              <w:rPr>
                <w:rFonts w:hint="eastAsia"/>
                <w:b w:val="0"/>
              </w:rPr>
              <w:t>1#</w:t>
            </w:r>
          </w:p>
        </w:tc>
        <w:tc>
          <w:tcPr>
            <w:tcW w:w="1540" w:type="dxa"/>
            <w:vAlign w:val="center"/>
          </w:tcPr>
          <w:p>
            <w:pPr>
              <w:pStyle w:val="65"/>
              <w:rPr>
                <w:b w:val="0"/>
              </w:rPr>
            </w:pPr>
            <w:r>
              <w:rPr>
                <w:rFonts w:hAnsi="宋体"/>
                <w:b w:val="0"/>
              </w:rPr>
              <w:t>东厂界</w:t>
            </w:r>
          </w:p>
        </w:tc>
        <w:tc>
          <w:tcPr>
            <w:tcW w:w="1540" w:type="dxa"/>
          </w:tcPr>
          <w:p>
            <w:pPr>
              <w:pStyle w:val="65"/>
              <w:rPr>
                <w:b w:val="0"/>
              </w:rPr>
            </w:pPr>
            <w:r>
              <w:rPr>
                <w:rFonts w:hint="eastAsia"/>
                <w:b w:val="0"/>
              </w:rPr>
              <w:t>53.1</w:t>
            </w:r>
          </w:p>
        </w:tc>
        <w:tc>
          <w:tcPr>
            <w:tcW w:w="1541" w:type="dxa"/>
          </w:tcPr>
          <w:p>
            <w:pPr>
              <w:pStyle w:val="65"/>
              <w:rPr>
                <w:b w:val="0"/>
              </w:rPr>
            </w:pPr>
            <w:r>
              <w:rPr>
                <w:rFonts w:hint="eastAsia"/>
                <w:b w:val="0"/>
              </w:rPr>
              <w:t>49.3</w:t>
            </w:r>
          </w:p>
        </w:tc>
        <w:tc>
          <w:tcPr>
            <w:tcW w:w="1541" w:type="dxa"/>
          </w:tcPr>
          <w:p>
            <w:pPr>
              <w:pStyle w:val="65"/>
              <w:rPr>
                <w:b w:val="0"/>
              </w:rPr>
            </w:pPr>
            <w:r>
              <w:rPr>
                <w:rFonts w:hint="eastAsia"/>
                <w:b w:val="0"/>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tcPr>
          <w:p>
            <w:pPr>
              <w:pStyle w:val="65"/>
            </w:pPr>
          </w:p>
        </w:tc>
        <w:tc>
          <w:tcPr>
            <w:tcW w:w="1540" w:type="dxa"/>
          </w:tcPr>
          <w:p>
            <w:pPr>
              <w:pStyle w:val="65"/>
              <w:rPr>
                <w:b w:val="0"/>
              </w:rPr>
            </w:pPr>
            <w:r>
              <w:rPr>
                <w:rFonts w:hint="eastAsia"/>
                <w:b w:val="0"/>
              </w:rPr>
              <w:t>2#</w:t>
            </w:r>
          </w:p>
        </w:tc>
        <w:tc>
          <w:tcPr>
            <w:tcW w:w="1540" w:type="dxa"/>
            <w:vAlign w:val="center"/>
          </w:tcPr>
          <w:p>
            <w:pPr>
              <w:pStyle w:val="65"/>
              <w:rPr>
                <w:b w:val="0"/>
              </w:rPr>
            </w:pPr>
            <w:r>
              <w:rPr>
                <w:rFonts w:hAnsi="宋体"/>
                <w:b w:val="0"/>
              </w:rPr>
              <w:t>南厂界</w:t>
            </w:r>
          </w:p>
        </w:tc>
        <w:tc>
          <w:tcPr>
            <w:tcW w:w="1540" w:type="dxa"/>
          </w:tcPr>
          <w:p>
            <w:pPr>
              <w:pStyle w:val="65"/>
              <w:rPr>
                <w:b w:val="0"/>
              </w:rPr>
            </w:pPr>
            <w:r>
              <w:rPr>
                <w:rFonts w:hint="eastAsia"/>
                <w:b w:val="0"/>
              </w:rPr>
              <w:t>48.5</w:t>
            </w:r>
          </w:p>
        </w:tc>
        <w:tc>
          <w:tcPr>
            <w:tcW w:w="1541" w:type="dxa"/>
          </w:tcPr>
          <w:p>
            <w:pPr>
              <w:pStyle w:val="65"/>
              <w:rPr>
                <w:b w:val="0"/>
              </w:rPr>
            </w:pPr>
            <w:r>
              <w:rPr>
                <w:rFonts w:hint="eastAsia"/>
                <w:b w:val="0"/>
              </w:rPr>
              <w:t>45.4</w:t>
            </w:r>
          </w:p>
        </w:tc>
        <w:tc>
          <w:tcPr>
            <w:tcW w:w="1541" w:type="dxa"/>
          </w:tcPr>
          <w:p>
            <w:pPr>
              <w:pStyle w:val="65"/>
              <w:rPr>
                <w:b w:val="0"/>
              </w:rPr>
            </w:pPr>
            <w:r>
              <w:rPr>
                <w:rFonts w:hint="eastAsia"/>
                <w:b w:val="0"/>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tcPr>
          <w:p>
            <w:pPr>
              <w:pStyle w:val="65"/>
            </w:pPr>
          </w:p>
        </w:tc>
        <w:tc>
          <w:tcPr>
            <w:tcW w:w="1540" w:type="dxa"/>
          </w:tcPr>
          <w:p>
            <w:pPr>
              <w:pStyle w:val="65"/>
              <w:rPr>
                <w:b w:val="0"/>
              </w:rPr>
            </w:pPr>
            <w:r>
              <w:rPr>
                <w:rFonts w:hint="eastAsia"/>
                <w:b w:val="0"/>
              </w:rPr>
              <w:t>3#</w:t>
            </w:r>
          </w:p>
        </w:tc>
        <w:tc>
          <w:tcPr>
            <w:tcW w:w="1540" w:type="dxa"/>
            <w:vAlign w:val="center"/>
          </w:tcPr>
          <w:p>
            <w:pPr>
              <w:pStyle w:val="65"/>
              <w:rPr>
                <w:b w:val="0"/>
              </w:rPr>
            </w:pPr>
            <w:r>
              <w:rPr>
                <w:rFonts w:hAnsi="宋体"/>
                <w:b w:val="0"/>
              </w:rPr>
              <w:t>西厂界</w:t>
            </w:r>
          </w:p>
        </w:tc>
        <w:tc>
          <w:tcPr>
            <w:tcW w:w="1540" w:type="dxa"/>
          </w:tcPr>
          <w:p>
            <w:pPr>
              <w:pStyle w:val="65"/>
              <w:rPr>
                <w:b w:val="0"/>
              </w:rPr>
            </w:pPr>
            <w:r>
              <w:rPr>
                <w:rFonts w:hint="eastAsia"/>
                <w:b w:val="0"/>
              </w:rPr>
              <w:t>46.8</w:t>
            </w:r>
          </w:p>
        </w:tc>
        <w:tc>
          <w:tcPr>
            <w:tcW w:w="1541" w:type="dxa"/>
          </w:tcPr>
          <w:p>
            <w:pPr>
              <w:pStyle w:val="65"/>
              <w:rPr>
                <w:b w:val="0"/>
              </w:rPr>
            </w:pPr>
            <w:r>
              <w:rPr>
                <w:rFonts w:hint="eastAsia"/>
                <w:b w:val="0"/>
              </w:rPr>
              <w:t>44.6</w:t>
            </w:r>
          </w:p>
        </w:tc>
        <w:tc>
          <w:tcPr>
            <w:tcW w:w="1541" w:type="dxa"/>
          </w:tcPr>
          <w:p>
            <w:pPr>
              <w:pStyle w:val="65"/>
              <w:rPr>
                <w:b w:val="0"/>
              </w:rPr>
            </w:pPr>
            <w:r>
              <w:rPr>
                <w:rFonts w:hint="eastAsia"/>
                <w:b w:val="0"/>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tcPr>
          <w:p>
            <w:pPr>
              <w:pStyle w:val="65"/>
            </w:pPr>
          </w:p>
        </w:tc>
        <w:tc>
          <w:tcPr>
            <w:tcW w:w="1540" w:type="dxa"/>
          </w:tcPr>
          <w:p>
            <w:pPr>
              <w:pStyle w:val="65"/>
              <w:rPr>
                <w:b w:val="0"/>
              </w:rPr>
            </w:pPr>
            <w:r>
              <w:rPr>
                <w:rFonts w:hint="eastAsia"/>
                <w:b w:val="0"/>
              </w:rPr>
              <w:t>4#</w:t>
            </w:r>
          </w:p>
        </w:tc>
        <w:tc>
          <w:tcPr>
            <w:tcW w:w="1540" w:type="dxa"/>
            <w:vAlign w:val="center"/>
          </w:tcPr>
          <w:p>
            <w:pPr>
              <w:pStyle w:val="65"/>
              <w:rPr>
                <w:b w:val="0"/>
              </w:rPr>
            </w:pPr>
            <w:r>
              <w:rPr>
                <w:rFonts w:hAnsi="宋体"/>
                <w:b w:val="0"/>
              </w:rPr>
              <w:t>北厂界</w:t>
            </w:r>
          </w:p>
        </w:tc>
        <w:tc>
          <w:tcPr>
            <w:tcW w:w="1540" w:type="dxa"/>
          </w:tcPr>
          <w:p>
            <w:pPr>
              <w:pStyle w:val="65"/>
              <w:rPr>
                <w:b w:val="0"/>
              </w:rPr>
            </w:pPr>
            <w:r>
              <w:rPr>
                <w:rFonts w:hint="eastAsia"/>
                <w:b w:val="0"/>
              </w:rPr>
              <w:t>48.7</w:t>
            </w:r>
          </w:p>
        </w:tc>
        <w:tc>
          <w:tcPr>
            <w:tcW w:w="1541" w:type="dxa"/>
          </w:tcPr>
          <w:p>
            <w:pPr>
              <w:pStyle w:val="65"/>
              <w:rPr>
                <w:b w:val="0"/>
              </w:rPr>
            </w:pPr>
            <w:r>
              <w:rPr>
                <w:rFonts w:hint="eastAsia"/>
                <w:b w:val="0"/>
              </w:rPr>
              <w:t>46.5</w:t>
            </w:r>
          </w:p>
        </w:tc>
        <w:tc>
          <w:tcPr>
            <w:tcW w:w="1541" w:type="dxa"/>
          </w:tcPr>
          <w:p>
            <w:pPr>
              <w:pStyle w:val="65"/>
              <w:rPr>
                <w:b w:val="0"/>
              </w:rPr>
            </w:pPr>
            <w:r>
              <w:rPr>
                <w:rFonts w:hint="eastAsia"/>
                <w:b w:val="0"/>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40" w:type="dxa"/>
            <w:vMerge w:val="continue"/>
          </w:tcPr>
          <w:p>
            <w:pPr>
              <w:pStyle w:val="65"/>
            </w:pPr>
          </w:p>
        </w:tc>
        <w:tc>
          <w:tcPr>
            <w:tcW w:w="1540" w:type="dxa"/>
          </w:tcPr>
          <w:p>
            <w:pPr>
              <w:pStyle w:val="65"/>
              <w:rPr>
                <w:b w:val="0"/>
              </w:rPr>
            </w:pPr>
            <w:r>
              <w:rPr>
                <w:rFonts w:hint="eastAsia"/>
                <w:b w:val="0"/>
              </w:rPr>
              <w:t>5#</w:t>
            </w:r>
          </w:p>
        </w:tc>
        <w:tc>
          <w:tcPr>
            <w:tcW w:w="1540" w:type="dxa"/>
            <w:vAlign w:val="center"/>
          </w:tcPr>
          <w:p>
            <w:pPr>
              <w:pStyle w:val="65"/>
              <w:rPr>
                <w:b w:val="0"/>
              </w:rPr>
            </w:pPr>
            <w:r>
              <w:rPr>
                <w:rFonts w:hAnsi="宋体"/>
                <w:b w:val="0"/>
              </w:rPr>
              <w:t>泾河南岸</w:t>
            </w:r>
          </w:p>
        </w:tc>
        <w:tc>
          <w:tcPr>
            <w:tcW w:w="1540" w:type="dxa"/>
          </w:tcPr>
          <w:p>
            <w:pPr>
              <w:pStyle w:val="65"/>
              <w:rPr>
                <w:b w:val="0"/>
              </w:rPr>
            </w:pPr>
            <w:r>
              <w:rPr>
                <w:rFonts w:hint="eastAsia"/>
                <w:b w:val="0"/>
              </w:rPr>
              <w:t>43.2</w:t>
            </w:r>
          </w:p>
        </w:tc>
        <w:tc>
          <w:tcPr>
            <w:tcW w:w="1541" w:type="dxa"/>
          </w:tcPr>
          <w:p>
            <w:pPr>
              <w:pStyle w:val="65"/>
              <w:rPr>
                <w:b w:val="0"/>
              </w:rPr>
            </w:pPr>
            <w:r>
              <w:rPr>
                <w:rFonts w:hint="eastAsia"/>
                <w:b w:val="0"/>
              </w:rPr>
              <w:t>41.7</w:t>
            </w:r>
          </w:p>
        </w:tc>
        <w:tc>
          <w:tcPr>
            <w:tcW w:w="1541" w:type="dxa"/>
          </w:tcPr>
          <w:p>
            <w:pPr>
              <w:pStyle w:val="65"/>
              <w:rPr>
                <w:b w:val="0"/>
              </w:rPr>
            </w:pPr>
            <w:r>
              <w:rPr>
                <w:rFonts w:hint="eastAsia"/>
                <w:b w:val="0"/>
              </w:rPr>
              <w:t>50</w:t>
            </w:r>
          </w:p>
        </w:tc>
      </w:tr>
    </w:tbl>
    <w:p>
      <w:pPr>
        <w:pStyle w:val="63"/>
        <w:ind w:firstLine="480"/>
        <w:rPr>
          <w:color w:val="auto"/>
        </w:rPr>
      </w:pPr>
      <w:r>
        <w:rPr>
          <w:color w:val="auto"/>
        </w:rPr>
        <w:t>从表中可以看出，拟建</w:t>
      </w:r>
      <w:r>
        <w:rPr>
          <w:rFonts w:hint="eastAsia"/>
          <w:color w:val="auto"/>
        </w:rPr>
        <w:t>水源管理站3#、4#厂界</w:t>
      </w:r>
      <w:r>
        <w:rPr>
          <w:color w:val="auto"/>
        </w:rPr>
        <w:t>紧邻</w:t>
      </w:r>
      <w:r>
        <w:rPr>
          <w:rFonts w:hint="eastAsia"/>
          <w:color w:val="auto"/>
        </w:rPr>
        <w:t>规划路和高泾南路</w:t>
      </w:r>
      <w:r>
        <w:rPr>
          <w:color w:val="auto"/>
        </w:rPr>
        <w:t>，其噪声监测值可满足《声环境质量标准》（</w:t>
      </w:r>
      <w:r>
        <w:rPr>
          <w:rFonts w:cs="Times New Roman"/>
          <w:color w:val="auto"/>
        </w:rPr>
        <w:t>GB3096-2008</w:t>
      </w:r>
      <w:r>
        <w:rPr>
          <w:color w:val="auto"/>
        </w:rPr>
        <w:t>）</w:t>
      </w:r>
      <w:r>
        <w:rPr>
          <w:rFonts w:cs="Times New Roman"/>
          <w:color w:val="auto"/>
        </w:rPr>
        <w:t>4a</w:t>
      </w:r>
      <w:r>
        <w:rPr>
          <w:color w:val="auto"/>
        </w:rPr>
        <w:t>类标准要求超标外，其他点位均满足《声环境质量标准》（</w:t>
      </w:r>
      <w:r>
        <w:rPr>
          <w:rFonts w:cs="Times New Roman"/>
          <w:color w:val="auto"/>
        </w:rPr>
        <w:t>GB3096-2008</w:t>
      </w:r>
      <w:r>
        <w:rPr>
          <w:color w:val="auto"/>
        </w:rPr>
        <w:t>）</w:t>
      </w:r>
      <w:r>
        <w:rPr>
          <w:rFonts w:cs="Times New Roman"/>
          <w:color w:val="auto"/>
        </w:rPr>
        <w:t>2</w:t>
      </w:r>
      <w:r>
        <w:rPr>
          <w:color w:val="auto"/>
        </w:rPr>
        <w:t>类标准要求。</w:t>
      </w:r>
    </w:p>
    <w:p>
      <w:pPr>
        <w:pStyle w:val="61"/>
        <w:rPr>
          <w:color w:val="auto"/>
        </w:rPr>
      </w:pPr>
      <w:bookmarkStart w:id="46" w:name="_Toc436902162"/>
      <w:r>
        <w:rPr>
          <w:color w:val="auto"/>
        </w:rPr>
        <w:t>5.5生态现状调查与评价</w:t>
      </w:r>
      <w:bookmarkEnd w:id="46"/>
    </w:p>
    <w:p>
      <w:pPr>
        <w:pStyle w:val="63"/>
        <w:ind w:firstLine="480"/>
        <w:rPr>
          <w:color w:val="auto"/>
        </w:rPr>
      </w:pPr>
      <w:r>
        <w:rPr>
          <w:color w:val="auto"/>
        </w:rPr>
        <w:t>评价区土地利用现状以耕地为主，输水管线为交通用地，输水管线沿线分布有少量农村宅基地及工矿企业。评价区土地利用现状见图</w:t>
      </w:r>
      <w:r>
        <w:rPr>
          <w:rFonts w:hint="eastAsia"/>
          <w:color w:val="auto"/>
        </w:rPr>
        <w:t>4.1-12</w:t>
      </w:r>
      <w:r>
        <w:rPr>
          <w:color w:val="auto"/>
        </w:rPr>
        <w:t>。</w:t>
      </w:r>
    </w:p>
    <w:p>
      <w:pPr>
        <w:pStyle w:val="63"/>
        <w:ind w:firstLine="480"/>
        <w:rPr>
          <w:color w:val="auto"/>
        </w:rPr>
      </w:pPr>
      <w:r>
        <w:rPr>
          <w:color w:val="auto"/>
        </w:rPr>
        <w:t>评价区植被以农作物为主，包括小麦、玉米、蔬菜等；动物以家庭零星圈养的家禽畜为主，如鸡、狗、猪、兔等。</w:t>
      </w:r>
    </w:p>
    <w:p>
      <w:pPr>
        <w:pStyle w:val="63"/>
        <w:ind w:firstLine="480"/>
        <w:rPr>
          <w:color w:val="auto"/>
        </w:rPr>
        <w:sectPr>
          <w:pgSz w:w="11906" w:h="16838"/>
          <w:pgMar w:top="1440" w:right="1440" w:bottom="1440" w:left="1440" w:header="851" w:footer="992" w:gutter="0"/>
          <w:cols w:space="720" w:num="1"/>
          <w:titlePg/>
          <w:docGrid w:type="linesAndChars" w:linePitch="312" w:charSpace="0"/>
        </w:sectPr>
      </w:pPr>
    </w:p>
    <w:p>
      <w:pPr>
        <w:pStyle w:val="60"/>
        <w:spacing w:before="156" w:after="156"/>
      </w:pPr>
      <w:bookmarkStart w:id="47" w:name="_Toc436902163"/>
      <w:r>
        <w:t>6</w:t>
      </w:r>
      <w:r>
        <w:rPr>
          <w:rFonts w:hint="eastAsia"/>
        </w:rPr>
        <w:t xml:space="preserve"> 环境影响预测与评价</w:t>
      </w:r>
      <w:bookmarkEnd w:id="47"/>
    </w:p>
    <w:p>
      <w:pPr>
        <w:pStyle w:val="61"/>
        <w:rPr>
          <w:color w:val="auto"/>
        </w:rPr>
      </w:pPr>
      <w:bookmarkStart w:id="48" w:name="_Toc436902164"/>
      <w:r>
        <w:rPr>
          <w:bCs/>
          <w:color w:val="auto"/>
        </w:rPr>
        <w:t>6.1</w:t>
      </w:r>
      <w:r>
        <w:rPr>
          <w:color w:val="auto"/>
        </w:rPr>
        <w:t>施工期环境影响分析</w:t>
      </w:r>
      <w:bookmarkEnd w:id="48"/>
    </w:p>
    <w:p>
      <w:pPr>
        <w:pStyle w:val="62"/>
        <w:rPr>
          <w:color w:val="auto"/>
        </w:rPr>
      </w:pPr>
      <w:r>
        <w:rPr>
          <w:bCs/>
          <w:color w:val="auto"/>
        </w:rPr>
        <w:t>6.1.1</w:t>
      </w:r>
      <w:r>
        <w:rPr>
          <w:color w:val="auto"/>
        </w:rPr>
        <w:t>施工期环境空气影响分析</w:t>
      </w:r>
    </w:p>
    <w:p>
      <w:pPr>
        <w:pStyle w:val="63"/>
        <w:ind w:firstLine="480"/>
        <w:rPr>
          <w:color w:val="auto"/>
        </w:rPr>
      </w:pPr>
      <w:r>
        <w:rPr>
          <w:color w:val="auto"/>
        </w:rPr>
        <w:t>该工程建设阶段，由于场地施工、管线敷设等将使实施地表结构受损，植被遭到一定破坏，在风力的作用下，松动的地面及缺少植被覆盖的黄土随风而起漂浮在空气中，使局部空气环境中TSP浓度增加。还有在项目建设过程中，散放的建筑材料，如石灰、水泥、沙子等也容易起扬尘，造成粉尘飞扬，污染施工现场及其附近环境空气环境质量，影响施工人员和附近人员的健康。工程在建设期也必然使进出评价区人流物流明显增大，特别是汽车运输量增大，汽车驶过不但带起大量的扬尘，而且会造成周围裸露土地表层松动，增加了风蚀起尘可能性，使汽车驶过的道路两边一定范围短时间内飘尘污染较重。</w:t>
      </w:r>
    </w:p>
    <w:p>
      <w:pPr>
        <w:pStyle w:val="63"/>
        <w:ind w:firstLine="480"/>
        <w:rPr>
          <w:color w:val="auto"/>
        </w:rPr>
      </w:pPr>
      <w:r>
        <w:rPr>
          <w:color w:val="auto"/>
        </w:rPr>
        <w:t>尽管工程在建设阶段会对建设地及其周围空气质量造成一定影响，但只要文明施工，施工现场及时清扫经常洒水、运输车辆加盖蓬布低速行驶、遇到大风日停止施工等措施可有效减少粉尘扬尘产生，可以减少施工对环境空气影响，且其影响随施工过程的结束而结束，其影响程度有限。</w:t>
      </w:r>
    </w:p>
    <w:p>
      <w:pPr>
        <w:pStyle w:val="63"/>
        <w:ind w:firstLine="480"/>
        <w:rPr>
          <w:color w:val="auto"/>
        </w:rPr>
      </w:pPr>
      <w:r>
        <w:rPr>
          <w:color w:val="auto"/>
        </w:rPr>
        <w:t>根据《陕西省人民政府关于印发省“治污降霾•保卫蓝天”五年行动计划（2013-2017年）的通知》，施工期应加强扬尘控制，深化面源污染管理。安装视频监控设施监控堆场扬尘，促使施工企业绿色施工；建筑施工场地周边必须设置围挡，湿法作业、场地覆盖；建筑工地施工现场主要道路必须进行硬化处理，禁止现场搅拌混凝土、砂浆。减少露天装卸作业，严查渣土车沿途抛洒，在建筑工地集中路段设置拉土保洁指定通道，规定时间、路线、流程进行拉土作业；对渣土运输车辆安装GPS定位系统进行全面监控。</w:t>
      </w:r>
    </w:p>
    <w:p>
      <w:pPr>
        <w:pStyle w:val="63"/>
        <w:ind w:firstLine="480"/>
        <w:rPr>
          <w:color w:val="auto"/>
        </w:rPr>
      </w:pPr>
      <w:r>
        <w:rPr>
          <w:color w:val="auto"/>
        </w:rPr>
        <w:t>根据《陕西省建筑施工扬尘治理行动方案》，建设单位与施工单位签订的合同，应当明确施工单位的扬尘污染防治责任，并将扬尘污染防治费用列入工程预算并及时足额支付施工单位。在出现严重雾霾、沙尘暴等恶劣天气时，按当地政府要求停止施工的，建设单位不得强令施工单位进行施工，停工时间不得计算在合同工期内。施工企业应制定专门的扬尘治理管理制度，企业技术负责人在审批施工组织设计和专项施工方案时，要对施工现场扬尘治理措施进行认真审核；施工企业定期召开安全例会和安全检查时，要将扬尘治理工作作为重要内容。施工企业要及时总结、优化扬尘治理工作经验和成果，使扬尘治理工作向科学化、规范化迈进，推动扬尘防治设施、设备向标准化、定型化、工具式、可周转利用方面发展。扬尘专项治理期间，各施工企业要制定自查方案，按月对本企业所有在建项目扬尘治理情况进行检查，对发现的问题及时进行整改。项目经理为施工现场扬尘治理的第一责任人，应确定项目扬尘治理专职人员，专职人员按照项目部扬尘治理措施，具体负责做好定期检查及日常巡查管理，纠违和设施维护工作，建立健全扬尘检查及整治记录。需要按照建筑施工扬尘治理措施16条进行实施：</w:t>
      </w:r>
    </w:p>
    <w:p>
      <w:pPr>
        <w:pStyle w:val="63"/>
        <w:ind w:firstLine="480"/>
        <w:rPr>
          <w:color w:val="auto"/>
        </w:rPr>
      </w:pPr>
      <w:r>
        <w:rPr>
          <w:color w:val="auto"/>
        </w:rPr>
        <w:t>一、施工组织设计中，必须制定施工现场扬尘预防治理专项方案，并指定专人负责落实，无专项方案严禁开工。</w:t>
      </w:r>
    </w:p>
    <w:p>
      <w:pPr>
        <w:pStyle w:val="63"/>
        <w:ind w:firstLine="480"/>
        <w:rPr>
          <w:color w:val="auto"/>
        </w:rPr>
      </w:pPr>
      <w:r>
        <w:rPr>
          <w:color w:val="auto"/>
        </w:rPr>
        <w:t>二、工程项目部必须制定空气重污染应急预案，政府发布重污染预警时，立即启动应急响应。</w:t>
      </w:r>
    </w:p>
    <w:p>
      <w:pPr>
        <w:pStyle w:val="63"/>
        <w:ind w:firstLine="480"/>
        <w:rPr>
          <w:color w:val="auto"/>
        </w:rPr>
      </w:pPr>
      <w:r>
        <w:rPr>
          <w:color w:val="auto"/>
        </w:rPr>
        <w:t>三、工程项目部必须对进场所有作业人员进行工地扬尘预防治理知识培训，未经培训严禁上岗。</w:t>
      </w:r>
    </w:p>
    <w:p>
      <w:pPr>
        <w:pStyle w:val="63"/>
        <w:ind w:firstLine="480"/>
        <w:rPr>
          <w:color w:val="auto"/>
        </w:rPr>
      </w:pPr>
      <w:r>
        <w:rPr>
          <w:color w:val="auto"/>
        </w:rPr>
        <w:t>四、施工工地工程概况标志牌必须公布扬尘投诉举报电话，举报电话应包括施工企业电话和主管部门电话。</w:t>
      </w:r>
    </w:p>
    <w:p>
      <w:pPr>
        <w:pStyle w:val="63"/>
        <w:ind w:firstLine="480"/>
        <w:rPr>
          <w:color w:val="auto"/>
        </w:rPr>
      </w:pPr>
      <w:r>
        <w:rPr>
          <w:color w:val="auto"/>
        </w:rPr>
        <w:t>五、在建工程施工现场必须封闭围挡施工，严禁围挡不严或敞开式施工。</w:t>
      </w:r>
    </w:p>
    <w:p>
      <w:pPr>
        <w:pStyle w:val="63"/>
        <w:ind w:firstLine="480"/>
        <w:rPr>
          <w:color w:val="auto"/>
        </w:rPr>
      </w:pPr>
      <w:r>
        <w:rPr>
          <w:color w:val="auto"/>
        </w:rPr>
        <w:t>六、工程开工前，施工现场出入口及场内主要道路必须硬化，其余场地必须绿化或固化。</w:t>
      </w:r>
    </w:p>
    <w:p>
      <w:pPr>
        <w:pStyle w:val="63"/>
        <w:ind w:firstLine="480"/>
        <w:rPr>
          <w:color w:val="auto"/>
        </w:rPr>
      </w:pPr>
      <w:r>
        <w:rPr>
          <w:color w:val="auto"/>
        </w:rPr>
        <w:t>七、施工现场出入口必须配备车辆冲洗设施，严禁车辆带泥出场。</w:t>
      </w:r>
    </w:p>
    <w:p>
      <w:pPr>
        <w:pStyle w:val="63"/>
        <w:ind w:firstLine="480"/>
        <w:rPr>
          <w:color w:val="auto"/>
        </w:rPr>
      </w:pPr>
      <w:r>
        <w:rPr>
          <w:color w:val="auto"/>
        </w:rPr>
        <w:t>八、施工现场集中堆放的土方必须覆盖，严禁裸露。</w:t>
      </w:r>
    </w:p>
    <w:p>
      <w:pPr>
        <w:pStyle w:val="63"/>
        <w:ind w:firstLine="480"/>
        <w:rPr>
          <w:color w:val="auto"/>
        </w:rPr>
      </w:pPr>
      <w:r>
        <w:rPr>
          <w:color w:val="auto"/>
        </w:rPr>
        <w:t>九、施工现场运送土方、渣土的车辆必须封闭或遮盖，严禁沿路遗漏或抛撒。</w:t>
      </w:r>
    </w:p>
    <w:p>
      <w:pPr>
        <w:pStyle w:val="63"/>
        <w:ind w:firstLine="480"/>
        <w:rPr>
          <w:color w:val="auto"/>
        </w:rPr>
      </w:pPr>
      <w:r>
        <w:rPr>
          <w:color w:val="auto"/>
        </w:rPr>
        <w:t>十、施工现场必须设置固定垃圾存放点，垃圾应分类集中堆放并覆盖，及时清运，严禁焚烧、下埋和随意丢弃。</w:t>
      </w:r>
    </w:p>
    <w:p>
      <w:pPr>
        <w:pStyle w:val="63"/>
        <w:ind w:firstLine="480"/>
        <w:rPr>
          <w:color w:val="auto"/>
        </w:rPr>
      </w:pPr>
      <w:r>
        <w:rPr>
          <w:color w:val="auto"/>
        </w:rPr>
        <w:t>十一、施工现场的水泥及其它粉尘类建筑材料必须密闭存放或覆盖，严禁露天放置。</w:t>
      </w:r>
    </w:p>
    <w:p>
      <w:pPr>
        <w:pStyle w:val="63"/>
        <w:ind w:firstLine="480"/>
        <w:rPr>
          <w:color w:val="auto"/>
        </w:rPr>
      </w:pPr>
      <w:r>
        <w:rPr>
          <w:color w:val="auto"/>
        </w:rPr>
        <w:t>十二、施工现场必须建立洒水清扫制度或雾化降尘措施，并有专人负责。</w:t>
      </w:r>
    </w:p>
    <w:p>
      <w:pPr>
        <w:pStyle w:val="63"/>
        <w:ind w:firstLine="480"/>
        <w:rPr>
          <w:color w:val="auto"/>
        </w:rPr>
      </w:pPr>
      <w:r>
        <w:rPr>
          <w:color w:val="auto"/>
        </w:rPr>
        <w:t>十三、施工层建筑垃圾必须采用封闭方式及时清运，严禁凌空抛掷。</w:t>
      </w:r>
    </w:p>
    <w:p>
      <w:pPr>
        <w:pStyle w:val="63"/>
        <w:ind w:firstLine="480"/>
        <w:rPr>
          <w:color w:val="auto"/>
        </w:rPr>
      </w:pPr>
      <w:r>
        <w:rPr>
          <w:color w:val="auto"/>
        </w:rPr>
        <w:t>十四、施工现场必须安装视频监控系统，对施工扬尘进行实时监控。</w:t>
      </w:r>
    </w:p>
    <w:p>
      <w:pPr>
        <w:pStyle w:val="63"/>
        <w:ind w:firstLine="480"/>
        <w:rPr>
          <w:color w:val="auto"/>
        </w:rPr>
      </w:pPr>
      <w:r>
        <w:rPr>
          <w:color w:val="auto"/>
        </w:rPr>
        <w:t>十五、拆除工程必须采用围挡隔离，并采取洒水降尘或雾化降尘措施，废弃物应及时覆盖或清运，严禁敞开式拆除。</w:t>
      </w:r>
    </w:p>
    <w:p>
      <w:pPr>
        <w:pStyle w:val="63"/>
        <w:ind w:firstLine="480"/>
        <w:rPr>
          <w:color w:val="auto"/>
        </w:rPr>
      </w:pPr>
      <w:r>
        <w:rPr>
          <w:color w:val="auto"/>
        </w:rPr>
        <w:t>十六、遇有严重污染日时，严禁建筑工地土方作业和建筑拆除作业。</w:t>
      </w:r>
    </w:p>
    <w:p>
      <w:pPr>
        <w:pStyle w:val="62"/>
        <w:rPr>
          <w:color w:val="auto"/>
        </w:rPr>
      </w:pPr>
      <w:r>
        <w:rPr>
          <w:bCs/>
          <w:color w:val="auto"/>
        </w:rPr>
        <w:t>6.1.</w:t>
      </w:r>
      <w:r>
        <w:rPr>
          <w:rFonts w:hint="eastAsia"/>
          <w:bCs/>
          <w:color w:val="auto"/>
        </w:rPr>
        <w:t>2</w:t>
      </w:r>
      <w:r>
        <w:rPr>
          <w:color w:val="auto"/>
        </w:rPr>
        <w:t>施工期水环境影响分析</w:t>
      </w:r>
    </w:p>
    <w:p>
      <w:pPr>
        <w:spacing w:line="360" w:lineRule="auto"/>
        <w:ind w:firstLine="480" w:firstLineChars="200"/>
        <w:rPr>
          <w:sz w:val="24"/>
        </w:rPr>
      </w:pPr>
      <w:r>
        <w:rPr>
          <w:sz w:val="24"/>
        </w:rPr>
        <w:t>项目</w:t>
      </w:r>
      <w:r>
        <w:rPr>
          <w:rFonts w:hint="eastAsia"/>
          <w:sz w:val="24"/>
        </w:rPr>
        <w:t>管道施工需穿越泾惠渠退水渠二处，穿河采用倒虹管设计，管道进行防腐处理，管线穿越河道时施工期短，对河流影响较小，不会影响水体功能和水质。</w:t>
      </w:r>
      <w:r>
        <w:rPr>
          <w:sz w:val="24"/>
        </w:rPr>
        <w:t>施工期废</w:t>
      </w:r>
      <w:r>
        <w:rPr>
          <w:rFonts w:hint="eastAsia"/>
          <w:sz w:val="24"/>
        </w:rPr>
        <w:t>水</w:t>
      </w:r>
      <w:r>
        <w:rPr>
          <w:sz w:val="24"/>
        </w:rPr>
        <w:t>主要有机械修理系统废水、施工人员生活污水以及管道试压阶段排放的工程废水。</w:t>
      </w:r>
    </w:p>
    <w:p>
      <w:pPr>
        <w:spacing w:line="360" w:lineRule="auto"/>
        <w:ind w:firstLine="480" w:firstLineChars="200"/>
        <w:rPr>
          <w:sz w:val="24"/>
        </w:rPr>
      </w:pPr>
      <w:r>
        <w:rPr>
          <w:sz w:val="24"/>
        </w:rPr>
        <w:t>（</w:t>
      </w:r>
      <w:r>
        <w:rPr>
          <w:rFonts w:hint="eastAsia"/>
          <w:sz w:val="24"/>
        </w:rPr>
        <w:t>1</w:t>
      </w:r>
      <w:r>
        <w:rPr>
          <w:sz w:val="24"/>
        </w:rPr>
        <w:t>）机械修理系统废水</w:t>
      </w:r>
    </w:p>
    <w:p>
      <w:pPr>
        <w:autoSpaceDE w:val="0"/>
        <w:autoSpaceDN w:val="0"/>
        <w:adjustRightInd w:val="0"/>
        <w:spacing w:line="360" w:lineRule="auto"/>
        <w:ind w:firstLine="480" w:firstLineChars="200"/>
        <w:rPr>
          <w:sz w:val="24"/>
        </w:rPr>
      </w:pPr>
      <w:r>
        <w:rPr>
          <w:sz w:val="24"/>
        </w:rPr>
        <w:t>机修系统废水具有不连续排放的特点，主要污染物为石油类和SS。机修废水先经沉淀池沉淀去除废水中的悬浮物以及部分石油类，再经隔油池处理后回用。</w:t>
      </w:r>
    </w:p>
    <w:p>
      <w:pPr>
        <w:spacing w:line="360" w:lineRule="auto"/>
        <w:ind w:firstLine="480" w:firstLineChars="200"/>
        <w:rPr>
          <w:sz w:val="24"/>
        </w:rPr>
      </w:pPr>
      <w:r>
        <w:rPr>
          <w:sz w:val="24"/>
        </w:rPr>
        <w:t>修理系统废水为间歇排放，仅在机修过程中产生，在短时间内可以处理后回用。修理系统用水对水质要求不高，因此经过处理的废水</w:t>
      </w:r>
      <w:r>
        <w:rPr>
          <w:rFonts w:hint="eastAsia"/>
          <w:sz w:val="24"/>
        </w:rPr>
        <w:t>可</w:t>
      </w:r>
      <w:r>
        <w:rPr>
          <w:sz w:val="24"/>
        </w:rPr>
        <w:t>完全回收利用于修理系统中。</w:t>
      </w:r>
    </w:p>
    <w:p>
      <w:pPr>
        <w:spacing w:line="360" w:lineRule="auto"/>
        <w:ind w:firstLine="480" w:firstLineChars="200"/>
        <w:rPr>
          <w:sz w:val="24"/>
        </w:rPr>
      </w:pPr>
      <w:r>
        <w:rPr>
          <w:sz w:val="24"/>
        </w:rPr>
        <w:t>（</w:t>
      </w:r>
      <w:r>
        <w:rPr>
          <w:rFonts w:hint="eastAsia"/>
          <w:sz w:val="24"/>
        </w:rPr>
        <w:t>2</w:t>
      </w:r>
      <w:r>
        <w:rPr>
          <w:sz w:val="24"/>
        </w:rPr>
        <w:t>）生活污水</w:t>
      </w:r>
    </w:p>
    <w:p>
      <w:pPr>
        <w:spacing w:line="360" w:lineRule="auto"/>
        <w:ind w:firstLine="480" w:firstLineChars="200"/>
        <w:rPr>
          <w:sz w:val="24"/>
        </w:rPr>
      </w:pPr>
      <w:r>
        <w:rPr>
          <w:sz w:val="24"/>
        </w:rPr>
        <w:t>施工期生活污水主要为洗涤废水等，本项目施工人员为20人，生活污水产生量为</w:t>
      </w:r>
      <w:r>
        <w:rPr>
          <w:rFonts w:hint="eastAsia"/>
          <w:sz w:val="24"/>
        </w:rPr>
        <w:t>480</w:t>
      </w:r>
      <w:r>
        <w:rPr>
          <w:sz w:val="24"/>
        </w:rPr>
        <w:t>m</w:t>
      </w:r>
      <w:r>
        <w:rPr>
          <w:sz w:val="24"/>
          <w:vertAlign w:val="superscript"/>
        </w:rPr>
        <w:t>3</w:t>
      </w:r>
      <w:r>
        <w:rPr>
          <w:sz w:val="24"/>
        </w:rPr>
        <w:t>。生活污水主要污染物为COD、BOD</w:t>
      </w:r>
      <w:r>
        <w:rPr>
          <w:sz w:val="24"/>
          <w:vertAlign w:val="subscript"/>
        </w:rPr>
        <w:t>5</w:t>
      </w:r>
      <w:r>
        <w:rPr>
          <w:sz w:val="24"/>
        </w:rPr>
        <w:t>、SS、氨氮，</w:t>
      </w:r>
      <w:r>
        <w:rPr>
          <w:rFonts w:hint="eastAsia"/>
          <w:sz w:val="24"/>
        </w:rPr>
        <w:t>其</w:t>
      </w:r>
      <w:r>
        <w:rPr>
          <w:sz w:val="24"/>
        </w:rPr>
        <w:t>浓度分别为200mg/L、80mg/L、100mg/L、12mg/L，施工期</w:t>
      </w:r>
      <w:r>
        <w:rPr>
          <w:rFonts w:hint="eastAsia"/>
          <w:sz w:val="24"/>
        </w:rPr>
        <w:t>设置1座1m</w:t>
      </w:r>
      <w:r>
        <w:rPr>
          <w:rFonts w:hint="eastAsia"/>
          <w:sz w:val="24"/>
          <w:vertAlign w:val="superscript"/>
        </w:rPr>
        <w:t>3</w:t>
      </w:r>
      <w:r>
        <w:rPr>
          <w:rFonts w:hint="eastAsia"/>
          <w:sz w:val="24"/>
        </w:rPr>
        <w:t>隔油沉淀池，</w:t>
      </w:r>
      <w:r>
        <w:rPr>
          <w:sz w:val="24"/>
        </w:rPr>
        <w:t>生活污水拟采取沉淀后用于周围农田浇灌的措施处理。</w:t>
      </w:r>
    </w:p>
    <w:p>
      <w:pPr>
        <w:spacing w:line="360" w:lineRule="auto"/>
        <w:ind w:firstLine="480" w:firstLineChars="200"/>
        <w:rPr>
          <w:sz w:val="24"/>
        </w:rPr>
      </w:pPr>
      <w:r>
        <w:rPr>
          <w:sz w:val="24"/>
        </w:rPr>
        <w:t>由于施工期人数少，污水产生量小，且浇灌要求不高，结合工程施工区情况，</w:t>
      </w:r>
      <w:r>
        <w:rPr>
          <w:rFonts w:hint="eastAsia"/>
          <w:sz w:val="24"/>
        </w:rPr>
        <w:t>处理</w:t>
      </w:r>
      <w:r>
        <w:rPr>
          <w:sz w:val="24"/>
        </w:rPr>
        <w:t>方案是可行。</w:t>
      </w:r>
    </w:p>
    <w:p>
      <w:pPr>
        <w:spacing w:line="360" w:lineRule="auto"/>
        <w:ind w:firstLine="480" w:firstLineChars="200"/>
        <w:rPr>
          <w:sz w:val="24"/>
        </w:rPr>
      </w:pPr>
      <w:r>
        <w:rPr>
          <w:rFonts w:hint="eastAsia"/>
          <w:sz w:val="24"/>
        </w:rPr>
        <w:t>（3）钻井工程废水</w:t>
      </w:r>
    </w:p>
    <w:p>
      <w:pPr>
        <w:pStyle w:val="63"/>
        <w:ind w:firstLine="480"/>
        <w:rPr>
          <w:color w:val="auto"/>
        </w:rPr>
      </w:pPr>
      <w:r>
        <w:rPr>
          <w:rFonts w:hint="eastAsia"/>
          <w:color w:val="auto"/>
        </w:rPr>
        <w:t>钻井废水中主要污染物为SS、COD、石油类等。钻井废水排入防渗泥浆池中用于配制泥浆，沉淀后上清液循环使用。钻井废水不外排，不会对地表水及地下水产生影响。</w:t>
      </w:r>
    </w:p>
    <w:p>
      <w:pPr>
        <w:pStyle w:val="63"/>
        <w:ind w:firstLine="480"/>
        <w:rPr>
          <w:color w:val="auto"/>
        </w:rPr>
      </w:pPr>
      <w:r>
        <w:rPr>
          <w:rFonts w:hint="eastAsia"/>
          <w:color w:val="auto"/>
        </w:rPr>
        <w:t>在钻井过程中，为防止黄土地层坍塌和钻遇含水层时泥浆漏失，会随时调整泥浆浓度，以泥浆护壁，泥浆中的主要成分为粘土，将井壁维护后，钻井废水漏失量少，评价认为钻井废水对地下水影响较小。</w:t>
      </w:r>
    </w:p>
    <w:p>
      <w:pPr>
        <w:pStyle w:val="63"/>
        <w:ind w:firstLine="480"/>
        <w:rPr>
          <w:color w:val="auto"/>
        </w:rPr>
      </w:pPr>
      <w:r>
        <w:rPr>
          <w:rFonts w:hint="eastAsia"/>
          <w:color w:val="auto"/>
        </w:rPr>
        <w:t>钻井过程中穿过含水层时，会有地下水混入泥浆中带出，但是因为在钻井的同时，钻井泥浆在井内循环，钻井泥浆中含膨润土等成分，粘稠细腻，当其吸附于井壁表面时，可堵塞砂岩含水层表面孔隙，阻止地下水向钻井的渗透，因此能进入钻井的地下水量少，对区域地下水资源影响很小。</w:t>
      </w:r>
    </w:p>
    <w:p>
      <w:pPr>
        <w:pStyle w:val="63"/>
        <w:ind w:firstLine="480"/>
        <w:rPr>
          <w:color w:val="auto"/>
        </w:rPr>
      </w:pPr>
      <w:r>
        <w:rPr>
          <w:color w:val="auto"/>
        </w:rPr>
        <w:t>综上所述，</w:t>
      </w:r>
      <w:r>
        <w:rPr>
          <w:rFonts w:hint="eastAsia"/>
          <w:color w:val="auto"/>
        </w:rPr>
        <w:t>管线穿越河道时施工期短，对河流影响较小。</w:t>
      </w:r>
      <w:r>
        <w:rPr>
          <w:color w:val="auto"/>
        </w:rPr>
        <w:t>施工期机修废水</w:t>
      </w:r>
      <w:r>
        <w:rPr>
          <w:rFonts w:hint="eastAsia"/>
          <w:color w:val="auto"/>
        </w:rPr>
        <w:t>和钻井工程废水</w:t>
      </w:r>
      <w:r>
        <w:rPr>
          <w:color w:val="auto"/>
        </w:rPr>
        <w:t>全部循环使用不外排；生活污水处理后用于农田灌溉。工程施工期废水不会对管道沿线河流水质造成</w:t>
      </w:r>
      <w:r>
        <w:rPr>
          <w:rFonts w:hint="eastAsia"/>
          <w:color w:val="auto"/>
        </w:rPr>
        <w:t>较大</w:t>
      </w:r>
      <w:r>
        <w:rPr>
          <w:color w:val="auto"/>
        </w:rPr>
        <w:t>不利影响。</w:t>
      </w:r>
      <w:r>
        <w:rPr>
          <w:snapToGrid w:val="0"/>
          <w:color w:val="auto"/>
        </w:rPr>
        <w:t>工程施工期废水和污水排放具有一定的时段性，施工期结束，对水环境的影响也随之消失。</w:t>
      </w:r>
    </w:p>
    <w:p>
      <w:pPr>
        <w:pStyle w:val="62"/>
        <w:rPr>
          <w:color w:val="auto"/>
        </w:rPr>
      </w:pPr>
      <w:r>
        <w:rPr>
          <w:bCs/>
          <w:color w:val="auto"/>
        </w:rPr>
        <w:t>6.1.</w:t>
      </w:r>
      <w:r>
        <w:rPr>
          <w:rFonts w:hint="eastAsia"/>
          <w:bCs/>
          <w:color w:val="auto"/>
        </w:rPr>
        <w:t>3</w:t>
      </w:r>
      <w:r>
        <w:rPr>
          <w:color w:val="auto"/>
        </w:rPr>
        <w:t>施工期噪声影响分析</w:t>
      </w:r>
    </w:p>
    <w:p>
      <w:pPr>
        <w:pStyle w:val="63"/>
        <w:ind w:firstLine="480"/>
        <w:jc w:val="both"/>
        <w:rPr>
          <w:color w:val="auto"/>
        </w:rPr>
      </w:pPr>
      <w:r>
        <w:rPr>
          <w:color w:val="auto"/>
        </w:rPr>
        <w:t>（1）</w:t>
      </w:r>
      <w:r>
        <w:rPr>
          <w:rFonts w:hint="eastAsia"/>
          <w:color w:val="auto"/>
        </w:rPr>
        <w:t>输水管线及钻井工程</w:t>
      </w:r>
      <w:r>
        <w:rPr>
          <w:color w:val="auto"/>
        </w:rPr>
        <w:t>噪声影响预测评价</w:t>
      </w:r>
    </w:p>
    <w:p>
      <w:pPr>
        <w:spacing w:line="360" w:lineRule="auto"/>
        <w:ind w:firstLine="480" w:firstLineChars="200"/>
        <w:rPr>
          <w:sz w:val="24"/>
        </w:rPr>
      </w:pPr>
      <w:r>
        <w:rPr>
          <w:rFonts w:hint="eastAsia" w:ascii="宋体" w:hAnsi="宋体" w:cs="宋体"/>
          <w:sz w:val="24"/>
        </w:rPr>
        <w:t>① 输水管线及钻井工程</w:t>
      </w:r>
      <w:r>
        <w:rPr>
          <w:sz w:val="24"/>
        </w:rPr>
        <w:t>噪声影响预测结果</w:t>
      </w:r>
    </w:p>
    <w:p>
      <w:pPr>
        <w:pStyle w:val="63"/>
        <w:ind w:firstLine="480"/>
        <w:jc w:val="both"/>
        <w:rPr>
          <w:color w:val="auto"/>
        </w:rPr>
      </w:pPr>
      <w:r>
        <w:rPr>
          <w:color w:val="auto"/>
        </w:rPr>
        <w:t>管线工程施工主要是管沟开挖、管道安装和土方回填，主要施工机械有挖土机、运输车辆等</w:t>
      </w:r>
      <w:r>
        <w:rPr>
          <w:rFonts w:hint="eastAsia"/>
          <w:color w:val="auto"/>
        </w:rPr>
        <w:t>，钻井工程施工机械有</w:t>
      </w:r>
      <w:r>
        <w:rPr>
          <w:color w:val="auto"/>
        </w:rPr>
        <w:t>钻孔机</w:t>
      </w:r>
      <w:r>
        <w:rPr>
          <w:rFonts w:hint="eastAsia"/>
          <w:color w:val="auto"/>
        </w:rPr>
        <w:t>等</w:t>
      </w:r>
      <w:r>
        <w:rPr>
          <w:color w:val="auto"/>
        </w:rPr>
        <w:t>。施工时各种机械噪声影响范围的预测结果见表</w:t>
      </w:r>
      <w:r>
        <w:rPr>
          <w:rFonts w:hint="eastAsia"/>
          <w:color w:val="auto"/>
        </w:rPr>
        <w:t>6.1</w:t>
      </w:r>
      <w:r>
        <w:rPr>
          <w:color w:val="auto"/>
        </w:rPr>
        <w:t>-1。</w:t>
      </w:r>
    </w:p>
    <w:p>
      <w:pPr>
        <w:pStyle w:val="63"/>
        <w:spacing w:line="240" w:lineRule="auto"/>
        <w:ind w:firstLine="422"/>
        <w:jc w:val="center"/>
        <w:rPr>
          <w:color w:val="auto"/>
          <w:sz w:val="21"/>
          <w:szCs w:val="21"/>
        </w:rPr>
      </w:pPr>
      <w:r>
        <w:rPr>
          <w:b/>
          <w:color w:val="auto"/>
          <w:sz w:val="21"/>
          <w:szCs w:val="21"/>
        </w:rPr>
        <w:t>表</w:t>
      </w:r>
      <w:r>
        <w:rPr>
          <w:rFonts w:hint="eastAsia"/>
          <w:b/>
          <w:color w:val="auto"/>
          <w:sz w:val="21"/>
          <w:szCs w:val="21"/>
        </w:rPr>
        <w:t>6.1</w:t>
      </w:r>
      <w:r>
        <w:rPr>
          <w:b/>
          <w:color w:val="auto"/>
          <w:sz w:val="21"/>
          <w:szCs w:val="21"/>
        </w:rPr>
        <w:t>-1</w:t>
      </w:r>
      <w:r>
        <w:rPr>
          <w:rFonts w:hint="eastAsia"/>
          <w:b/>
          <w:color w:val="auto"/>
          <w:sz w:val="21"/>
          <w:szCs w:val="21"/>
        </w:rPr>
        <w:t xml:space="preserve"> </w:t>
      </w:r>
      <w:r>
        <w:rPr>
          <w:b/>
          <w:color w:val="auto"/>
          <w:sz w:val="21"/>
          <w:szCs w:val="21"/>
        </w:rPr>
        <w:t xml:space="preserve"> 输送水管线施工机械噪声预测结果  单位：dB(A)</w:t>
      </w:r>
    </w:p>
    <w:tbl>
      <w:tblPr>
        <w:tblStyle w:val="24"/>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1275"/>
        <w:gridCol w:w="564"/>
        <w:gridCol w:w="426"/>
        <w:gridCol w:w="477"/>
        <w:gridCol w:w="595"/>
        <w:gridCol w:w="539"/>
        <w:gridCol w:w="539"/>
        <w:gridCol w:w="595"/>
        <w:gridCol w:w="595"/>
        <w:gridCol w:w="539"/>
        <w:gridCol w:w="543"/>
        <w:gridCol w:w="567"/>
        <w:gridCol w:w="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75" w:type="pct"/>
            <w:vMerge w:val="restart"/>
            <w:shd w:val="clear" w:color="auto" w:fill="auto"/>
            <w:vAlign w:val="center"/>
          </w:tcPr>
          <w:p>
            <w:pPr>
              <w:jc w:val="center"/>
              <w:rPr>
                <w:caps/>
                <w:snapToGrid w:val="0"/>
                <w:kern w:val="0"/>
                <w:szCs w:val="21"/>
              </w:rPr>
            </w:pPr>
            <w:r>
              <w:rPr>
                <w:caps/>
                <w:snapToGrid w:val="0"/>
                <w:kern w:val="0"/>
                <w:szCs w:val="21"/>
              </w:rPr>
              <w:t>序号</w:t>
            </w:r>
          </w:p>
        </w:tc>
        <w:tc>
          <w:tcPr>
            <w:tcW w:w="775" w:type="pct"/>
            <w:vMerge w:val="restart"/>
            <w:shd w:val="clear" w:color="auto" w:fill="auto"/>
            <w:vAlign w:val="center"/>
          </w:tcPr>
          <w:p>
            <w:pPr>
              <w:jc w:val="center"/>
              <w:rPr>
                <w:caps/>
                <w:snapToGrid w:val="0"/>
                <w:kern w:val="0"/>
                <w:szCs w:val="21"/>
              </w:rPr>
            </w:pPr>
            <w:r>
              <w:rPr>
                <w:caps/>
                <w:snapToGrid w:val="0"/>
                <w:kern w:val="0"/>
                <w:szCs w:val="21"/>
              </w:rPr>
              <w:t>设备</w:t>
            </w:r>
          </w:p>
        </w:tc>
        <w:tc>
          <w:tcPr>
            <w:tcW w:w="343" w:type="pct"/>
            <w:vMerge w:val="restart"/>
            <w:shd w:val="clear" w:color="auto" w:fill="auto"/>
            <w:vAlign w:val="center"/>
          </w:tcPr>
          <w:p>
            <w:pPr>
              <w:jc w:val="center"/>
              <w:rPr>
                <w:caps/>
                <w:snapToGrid w:val="0"/>
                <w:kern w:val="0"/>
                <w:szCs w:val="21"/>
              </w:rPr>
            </w:pPr>
            <w:r>
              <w:rPr>
                <w:caps/>
                <w:snapToGrid w:val="0"/>
                <w:kern w:val="0"/>
                <w:szCs w:val="21"/>
              </w:rPr>
              <w:t xml:space="preserve">源强 </w:t>
            </w:r>
          </w:p>
        </w:tc>
        <w:tc>
          <w:tcPr>
            <w:tcW w:w="2948" w:type="pct"/>
            <w:gridSpan w:val="9"/>
            <w:shd w:val="clear" w:color="auto" w:fill="auto"/>
            <w:vAlign w:val="center"/>
          </w:tcPr>
          <w:p>
            <w:pPr>
              <w:jc w:val="center"/>
              <w:rPr>
                <w:caps/>
                <w:snapToGrid w:val="0"/>
                <w:kern w:val="0"/>
                <w:szCs w:val="21"/>
              </w:rPr>
            </w:pPr>
            <w:r>
              <w:rPr>
                <w:caps/>
                <w:snapToGrid w:val="0"/>
                <w:kern w:val="0"/>
                <w:szCs w:val="21"/>
              </w:rPr>
              <w:t>不同距离（</w:t>
            </w:r>
            <w:r>
              <w:rPr>
                <w:snapToGrid w:val="0"/>
                <w:kern w:val="0"/>
                <w:szCs w:val="21"/>
              </w:rPr>
              <w:t>m</w:t>
            </w:r>
            <w:r>
              <w:rPr>
                <w:caps/>
                <w:snapToGrid w:val="0"/>
                <w:kern w:val="0"/>
                <w:szCs w:val="21"/>
              </w:rPr>
              <w:t>）处噪声贡献值</w:t>
            </w:r>
          </w:p>
        </w:tc>
        <w:tc>
          <w:tcPr>
            <w:tcW w:w="658" w:type="pct"/>
            <w:gridSpan w:val="2"/>
            <w:shd w:val="clear" w:color="auto" w:fill="auto"/>
            <w:vAlign w:val="center"/>
          </w:tcPr>
          <w:p>
            <w:pPr>
              <w:jc w:val="center"/>
              <w:rPr>
                <w:caps/>
                <w:snapToGrid w:val="0"/>
                <w:kern w:val="0"/>
                <w:szCs w:val="21"/>
              </w:rPr>
            </w:pPr>
            <w:r>
              <w:rPr>
                <w:caps/>
                <w:snapToGrid w:val="0"/>
                <w:kern w:val="0"/>
                <w:szCs w:val="21"/>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 w:type="pct"/>
            <w:vMerge w:val="continue"/>
            <w:shd w:val="clear" w:color="auto" w:fill="auto"/>
            <w:vAlign w:val="center"/>
          </w:tcPr>
          <w:p>
            <w:pPr>
              <w:jc w:val="center"/>
              <w:rPr>
                <w:snapToGrid w:val="0"/>
                <w:kern w:val="0"/>
                <w:szCs w:val="21"/>
              </w:rPr>
            </w:pPr>
          </w:p>
        </w:tc>
        <w:tc>
          <w:tcPr>
            <w:tcW w:w="775" w:type="pct"/>
            <w:vMerge w:val="continue"/>
            <w:shd w:val="clear" w:color="auto" w:fill="auto"/>
            <w:vAlign w:val="center"/>
          </w:tcPr>
          <w:p>
            <w:pPr>
              <w:jc w:val="center"/>
              <w:rPr>
                <w:snapToGrid w:val="0"/>
                <w:kern w:val="0"/>
                <w:szCs w:val="21"/>
              </w:rPr>
            </w:pPr>
          </w:p>
        </w:tc>
        <w:tc>
          <w:tcPr>
            <w:tcW w:w="343" w:type="pct"/>
            <w:vMerge w:val="continue"/>
            <w:shd w:val="clear" w:color="auto" w:fill="auto"/>
            <w:vAlign w:val="center"/>
          </w:tcPr>
          <w:p>
            <w:pPr>
              <w:jc w:val="center"/>
              <w:rPr>
                <w:snapToGrid w:val="0"/>
                <w:kern w:val="0"/>
                <w:szCs w:val="21"/>
              </w:rPr>
            </w:pPr>
          </w:p>
        </w:tc>
        <w:tc>
          <w:tcPr>
            <w:tcW w:w="259" w:type="pct"/>
            <w:shd w:val="clear" w:color="auto" w:fill="auto"/>
            <w:vAlign w:val="center"/>
          </w:tcPr>
          <w:p>
            <w:pPr>
              <w:jc w:val="center"/>
              <w:rPr>
                <w:snapToGrid w:val="0"/>
                <w:kern w:val="0"/>
                <w:szCs w:val="21"/>
              </w:rPr>
            </w:pPr>
            <w:r>
              <w:rPr>
                <w:snapToGrid w:val="0"/>
                <w:kern w:val="0"/>
                <w:szCs w:val="21"/>
              </w:rPr>
              <w:t>10</w:t>
            </w:r>
          </w:p>
        </w:tc>
        <w:tc>
          <w:tcPr>
            <w:tcW w:w="290" w:type="pct"/>
            <w:shd w:val="clear" w:color="auto" w:fill="auto"/>
            <w:vAlign w:val="center"/>
          </w:tcPr>
          <w:p>
            <w:pPr>
              <w:jc w:val="center"/>
              <w:rPr>
                <w:snapToGrid w:val="0"/>
                <w:kern w:val="0"/>
                <w:szCs w:val="21"/>
              </w:rPr>
            </w:pPr>
            <w:r>
              <w:rPr>
                <w:snapToGrid w:val="0"/>
                <w:kern w:val="0"/>
                <w:szCs w:val="21"/>
              </w:rPr>
              <w:t>20</w:t>
            </w:r>
          </w:p>
        </w:tc>
        <w:tc>
          <w:tcPr>
            <w:tcW w:w="362" w:type="pct"/>
            <w:shd w:val="clear" w:color="auto" w:fill="auto"/>
            <w:vAlign w:val="center"/>
          </w:tcPr>
          <w:p>
            <w:pPr>
              <w:jc w:val="center"/>
              <w:rPr>
                <w:snapToGrid w:val="0"/>
                <w:kern w:val="0"/>
                <w:szCs w:val="21"/>
              </w:rPr>
            </w:pPr>
            <w:r>
              <w:rPr>
                <w:snapToGrid w:val="0"/>
                <w:kern w:val="0"/>
                <w:szCs w:val="21"/>
              </w:rPr>
              <w:t>30</w:t>
            </w:r>
          </w:p>
        </w:tc>
        <w:tc>
          <w:tcPr>
            <w:tcW w:w="328" w:type="pct"/>
            <w:shd w:val="clear" w:color="auto" w:fill="auto"/>
            <w:vAlign w:val="center"/>
          </w:tcPr>
          <w:p>
            <w:pPr>
              <w:jc w:val="center"/>
              <w:rPr>
                <w:snapToGrid w:val="0"/>
                <w:kern w:val="0"/>
                <w:szCs w:val="21"/>
              </w:rPr>
            </w:pPr>
            <w:r>
              <w:rPr>
                <w:snapToGrid w:val="0"/>
                <w:kern w:val="0"/>
                <w:szCs w:val="21"/>
              </w:rPr>
              <w:t>40</w:t>
            </w:r>
          </w:p>
        </w:tc>
        <w:tc>
          <w:tcPr>
            <w:tcW w:w="328" w:type="pct"/>
            <w:shd w:val="clear" w:color="auto" w:fill="auto"/>
            <w:vAlign w:val="center"/>
          </w:tcPr>
          <w:p>
            <w:pPr>
              <w:jc w:val="center"/>
              <w:rPr>
                <w:snapToGrid w:val="0"/>
                <w:kern w:val="0"/>
                <w:szCs w:val="21"/>
              </w:rPr>
            </w:pPr>
            <w:r>
              <w:rPr>
                <w:snapToGrid w:val="0"/>
                <w:kern w:val="0"/>
                <w:szCs w:val="21"/>
              </w:rPr>
              <w:t>50</w:t>
            </w:r>
          </w:p>
        </w:tc>
        <w:tc>
          <w:tcPr>
            <w:tcW w:w="362" w:type="pct"/>
            <w:shd w:val="clear" w:color="auto" w:fill="auto"/>
            <w:vAlign w:val="center"/>
          </w:tcPr>
          <w:p>
            <w:pPr>
              <w:jc w:val="center"/>
              <w:rPr>
                <w:snapToGrid w:val="0"/>
                <w:kern w:val="0"/>
                <w:szCs w:val="21"/>
              </w:rPr>
            </w:pPr>
            <w:r>
              <w:rPr>
                <w:snapToGrid w:val="0"/>
                <w:kern w:val="0"/>
                <w:szCs w:val="21"/>
              </w:rPr>
              <w:t>80</w:t>
            </w:r>
          </w:p>
        </w:tc>
        <w:tc>
          <w:tcPr>
            <w:tcW w:w="362" w:type="pct"/>
            <w:shd w:val="clear" w:color="auto" w:fill="auto"/>
            <w:vAlign w:val="center"/>
          </w:tcPr>
          <w:p>
            <w:pPr>
              <w:jc w:val="center"/>
              <w:rPr>
                <w:snapToGrid w:val="0"/>
                <w:kern w:val="0"/>
                <w:szCs w:val="21"/>
              </w:rPr>
            </w:pPr>
            <w:r>
              <w:rPr>
                <w:snapToGrid w:val="0"/>
                <w:kern w:val="0"/>
                <w:szCs w:val="21"/>
              </w:rPr>
              <w:t>90</w:t>
            </w:r>
          </w:p>
        </w:tc>
        <w:tc>
          <w:tcPr>
            <w:tcW w:w="328" w:type="pct"/>
            <w:shd w:val="clear" w:color="auto" w:fill="auto"/>
            <w:vAlign w:val="center"/>
          </w:tcPr>
          <w:p>
            <w:pPr>
              <w:jc w:val="center"/>
              <w:rPr>
                <w:snapToGrid w:val="0"/>
                <w:kern w:val="0"/>
                <w:szCs w:val="21"/>
              </w:rPr>
            </w:pPr>
            <w:r>
              <w:rPr>
                <w:snapToGrid w:val="0"/>
                <w:kern w:val="0"/>
                <w:szCs w:val="21"/>
              </w:rPr>
              <w:t>100</w:t>
            </w:r>
          </w:p>
        </w:tc>
        <w:tc>
          <w:tcPr>
            <w:tcW w:w="330" w:type="pct"/>
            <w:shd w:val="clear" w:color="auto" w:fill="auto"/>
            <w:vAlign w:val="center"/>
          </w:tcPr>
          <w:p>
            <w:pPr>
              <w:jc w:val="center"/>
              <w:rPr>
                <w:snapToGrid w:val="0"/>
                <w:kern w:val="0"/>
                <w:szCs w:val="21"/>
              </w:rPr>
            </w:pPr>
            <w:r>
              <w:rPr>
                <w:snapToGrid w:val="0"/>
                <w:kern w:val="0"/>
                <w:szCs w:val="21"/>
              </w:rPr>
              <w:t>200</w:t>
            </w:r>
          </w:p>
        </w:tc>
        <w:tc>
          <w:tcPr>
            <w:tcW w:w="345" w:type="pct"/>
            <w:shd w:val="clear" w:color="auto" w:fill="auto"/>
            <w:vAlign w:val="center"/>
          </w:tcPr>
          <w:p>
            <w:pPr>
              <w:jc w:val="center"/>
              <w:rPr>
                <w:snapToGrid w:val="0"/>
                <w:kern w:val="0"/>
                <w:szCs w:val="21"/>
              </w:rPr>
            </w:pPr>
            <w:r>
              <w:rPr>
                <w:rFonts w:hint="eastAsia"/>
                <w:snapToGrid w:val="0"/>
                <w:kern w:val="0"/>
                <w:szCs w:val="21"/>
              </w:rPr>
              <w:t>场</w:t>
            </w:r>
            <w:r>
              <w:rPr>
                <w:snapToGrid w:val="0"/>
                <w:kern w:val="0"/>
                <w:szCs w:val="21"/>
              </w:rPr>
              <w:t>界</w:t>
            </w:r>
          </w:p>
        </w:tc>
        <w:tc>
          <w:tcPr>
            <w:tcW w:w="313" w:type="pct"/>
            <w:shd w:val="clear" w:color="auto" w:fill="auto"/>
            <w:vAlign w:val="center"/>
          </w:tcPr>
          <w:p>
            <w:pPr>
              <w:jc w:val="center"/>
              <w:rPr>
                <w:snapToGrid w:val="0"/>
                <w:kern w:val="0"/>
                <w:szCs w:val="21"/>
              </w:rPr>
            </w:pPr>
            <w:r>
              <w:rPr>
                <w:snapToGrid w:val="0"/>
                <w:kern w:val="0"/>
                <w:szCs w:val="21"/>
              </w:rPr>
              <w:t>2类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 w:type="pct"/>
            <w:shd w:val="clear" w:color="auto" w:fill="auto"/>
            <w:vAlign w:val="center"/>
          </w:tcPr>
          <w:p>
            <w:pPr>
              <w:jc w:val="center"/>
              <w:rPr>
                <w:snapToGrid w:val="0"/>
                <w:kern w:val="0"/>
                <w:szCs w:val="21"/>
              </w:rPr>
            </w:pPr>
            <w:r>
              <w:rPr>
                <w:snapToGrid w:val="0"/>
                <w:kern w:val="0"/>
                <w:szCs w:val="21"/>
              </w:rPr>
              <w:t>1</w:t>
            </w:r>
          </w:p>
        </w:tc>
        <w:tc>
          <w:tcPr>
            <w:tcW w:w="775" w:type="pct"/>
            <w:shd w:val="clear" w:color="auto" w:fill="auto"/>
            <w:vAlign w:val="center"/>
          </w:tcPr>
          <w:p>
            <w:pPr>
              <w:jc w:val="center"/>
              <w:rPr>
                <w:snapToGrid w:val="0"/>
                <w:kern w:val="0"/>
                <w:szCs w:val="21"/>
              </w:rPr>
            </w:pPr>
            <w:r>
              <w:rPr>
                <w:snapToGrid w:val="0"/>
                <w:kern w:val="0"/>
                <w:szCs w:val="21"/>
              </w:rPr>
              <w:t>钻孔机</w:t>
            </w:r>
          </w:p>
        </w:tc>
        <w:tc>
          <w:tcPr>
            <w:tcW w:w="343" w:type="pct"/>
            <w:shd w:val="clear" w:color="auto" w:fill="auto"/>
            <w:vAlign w:val="center"/>
          </w:tcPr>
          <w:p>
            <w:pPr>
              <w:spacing w:line="360" w:lineRule="auto"/>
              <w:jc w:val="center"/>
              <w:rPr>
                <w:szCs w:val="21"/>
              </w:rPr>
            </w:pPr>
            <w:r>
              <w:rPr>
                <w:szCs w:val="21"/>
              </w:rPr>
              <w:t>1</w:t>
            </w:r>
            <w:r>
              <w:rPr>
                <w:rFonts w:hint="eastAsia"/>
                <w:szCs w:val="21"/>
              </w:rPr>
              <w:t>0</w:t>
            </w:r>
            <w:r>
              <w:rPr>
                <w:szCs w:val="21"/>
              </w:rPr>
              <w:t>0</w:t>
            </w:r>
          </w:p>
        </w:tc>
        <w:tc>
          <w:tcPr>
            <w:tcW w:w="259" w:type="pct"/>
            <w:shd w:val="clear" w:color="auto" w:fill="auto"/>
            <w:vAlign w:val="center"/>
          </w:tcPr>
          <w:p>
            <w:pPr>
              <w:jc w:val="center"/>
              <w:rPr>
                <w:rFonts w:ascii="宋体" w:hAnsi="宋体" w:cs="宋体"/>
                <w:szCs w:val="21"/>
              </w:rPr>
            </w:pPr>
            <w:r>
              <w:rPr>
                <w:rFonts w:hint="eastAsia"/>
                <w:szCs w:val="21"/>
              </w:rPr>
              <w:t>80</w:t>
            </w:r>
          </w:p>
        </w:tc>
        <w:tc>
          <w:tcPr>
            <w:tcW w:w="290" w:type="pct"/>
            <w:shd w:val="clear" w:color="auto" w:fill="auto"/>
            <w:vAlign w:val="center"/>
          </w:tcPr>
          <w:p>
            <w:pPr>
              <w:jc w:val="center"/>
              <w:rPr>
                <w:rFonts w:ascii="宋体" w:hAnsi="宋体" w:cs="宋体"/>
                <w:szCs w:val="21"/>
              </w:rPr>
            </w:pPr>
            <w:r>
              <w:rPr>
                <w:rFonts w:hint="eastAsia"/>
                <w:szCs w:val="21"/>
              </w:rPr>
              <w:t>74</w:t>
            </w:r>
          </w:p>
        </w:tc>
        <w:tc>
          <w:tcPr>
            <w:tcW w:w="362" w:type="pct"/>
            <w:shd w:val="clear" w:color="auto" w:fill="auto"/>
            <w:vAlign w:val="center"/>
          </w:tcPr>
          <w:p>
            <w:pPr>
              <w:jc w:val="center"/>
              <w:rPr>
                <w:rFonts w:ascii="宋体" w:hAnsi="宋体" w:cs="宋体"/>
                <w:szCs w:val="21"/>
              </w:rPr>
            </w:pPr>
            <w:r>
              <w:rPr>
                <w:rFonts w:hint="eastAsia"/>
                <w:szCs w:val="21"/>
              </w:rPr>
              <w:t>70.5</w:t>
            </w:r>
          </w:p>
        </w:tc>
        <w:tc>
          <w:tcPr>
            <w:tcW w:w="328" w:type="pct"/>
            <w:shd w:val="clear" w:color="auto" w:fill="auto"/>
            <w:vAlign w:val="center"/>
          </w:tcPr>
          <w:p>
            <w:pPr>
              <w:jc w:val="center"/>
              <w:rPr>
                <w:rFonts w:ascii="宋体" w:hAnsi="宋体" w:cs="宋体"/>
                <w:szCs w:val="21"/>
              </w:rPr>
            </w:pPr>
            <w:r>
              <w:rPr>
                <w:rFonts w:hint="eastAsia"/>
                <w:szCs w:val="21"/>
              </w:rPr>
              <w:t>68</w:t>
            </w:r>
          </w:p>
        </w:tc>
        <w:tc>
          <w:tcPr>
            <w:tcW w:w="328" w:type="pct"/>
            <w:shd w:val="clear" w:color="auto" w:fill="auto"/>
            <w:vAlign w:val="center"/>
          </w:tcPr>
          <w:p>
            <w:pPr>
              <w:jc w:val="center"/>
              <w:rPr>
                <w:rFonts w:ascii="宋体" w:hAnsi="宋体" w:cs="宋体"/>
                <w:szCs w:val="21"/>
              </w:rPr>
            </w:pPr>
            <w:r>
              <w:rPr>
                <w:rFonts w:hint="eastAsia"/>
                <w:szCs w:val="21"/>
              </w:rPr>
              <w:t>66</w:t>
            </w:r>
          </w:p>
        </w:tc>
        <w:tc>
          <w:tcPr>
            <w:tcW w:w="362" w:type="pct"/>
            <w:shd w:val="clear" w:color="auto" w:fill="auto"/>
            <w:vAlign w:val="center"/>
          </w:tcPr>
          <w:p>
            <w:pPr>
              <w:jc w:val="center"/>
              <w:rPr>
                <w:rFonts w:ascii="宋体" w:hAnsi="宋体" w:cs="宋体"/>
                <w:szCs w:val="21"/>
              </w:rPr>
            </w:pPr>
            <w:r>
              <w:rPr>
                <w:rFonts w:hint="eastAsia"/>
                <w:szCs w:val="21"/>
              </w:rPr>
              <w:t>61.9</w:t>
            </w:r>
          </w:p>
        </w:tc>
        <w:tc>
          <w:tcPr>
            <w:tcW w:w="362" w:type="pct"/>
            <w:shd w:val="clear" w:color="auto" w:fill="auto"/>
            <w:vAlign w:val="center"/>
          </w:tcPr>
          <w:p>
            <w:pPr>
              <w:jc w:val="center"/>
              <w:rPr>
                <w:rFonts w:ascii="宋体" w:hAnsi="宋体" w:cs="宋体"/>
                <w:szCs w:val="21"/>
              </w:rPr>
            </w:pPr>
            <w:r>
              <w:rPr>
                <w:rFonts w:hint="eastAsia"/>
                <w:szCs w:val="21"/>
              </w:rPr>
              <w:t>60.9</w:t>
            </w:r>
          </w:p>
        </w:tc>
        <w:tc>
          <w:tcPr>
            <w:tcW w:w="328" w:type="pct"/>
            <w:shd w:val="clear" w:color="auto" w:fill="auto"/>
            <w:vAlign w:val="center"/>
          </w:tcPr>
          <w:p>
            <w:pPr>
              <w:jc w:val="center"/>
              <w:rPr>
                <w:rFonts w:ascii="宋体" w:hAnsi="宋体" w:cs="宋体"/>
                <w:szCs w:val="21"/>
              </w:rPr>
            </w:pPr>
            <w:r>
              <w:rPr>
                <w:rFonts w:hint="eastAsia"/>
                <w:szCs w:val="21"/>
              </w:rPr>
              <w:t>60</w:t>
            </w:r>
          </w:p>
        </w:tc>
        <w:tc>
          <w:tcPr>
            <w:tcW w:w="330" w:type="pct"/>
            <w:shd w:val="clear" w:color="auto" w:fill="auto"/>
            <w:vAlign w:val="center"/>
          </w:tcPr>
          <w:p>
            <w:pPr>
              <w:jc w:val="center"/>
              <w:rPr>
                <w:rFonts w:ascii="宋体" w:hAnsi="宋体" w:cs="宋体"/>
                <w:szCs w:val="21"/>
              </w:rPr>
            </w:pPr>
            <w:r>
              <w:rPr>
                <w:rFonts w:hint="eastAsia"/>
                <w:szCs w:val="21"/>
              </w:rPr>
              <w:t>54</w:t>
            </w:r>
          </w:p>
        </w:tc>
        <w:tc>
          <w:tcPr>
            <w:tcW w:w="345" w:type="pct"/>
            <w:vMerge w:val="restart"/>
            <w:shd w:val="clear" w:color="auto" w:fill="auto"/>
            <w:vAlign w:val="center"/>
          </w:tcPr>
          <w:p>
            <w:pPr>
              <w:jc w:val="center"/>
              <w:rPr>
                <w:snapToGrid w:val="0"/>
                <w:kern w:val="0"/>
                <w:szCs w:val="21"/>
              </w:rPr>
            </w:pPr>
            <w:r>
              <w:rPr>
                <w:snapToGrid w:val="0"/>
                <w:kern w:val="0"/>
                <w:szCs w:val="21"/>
              </w:rPr>
              <w:t>70</w:t>
            </w:r>
          </w:p>
        </w:tc>
        <w:tc>
          <w:tcPr>
            <w:tcW w:w="313" w:type="pct"/>
            <w:vMerge w:val="restart"/>
            <w:shd w:val="clear" w:color="auto" w:fill="auto"/>
            <w:vAlign w:val="center"/>
          </w:tcPr>
          <w:p>
            <w:pPr>
              <w:jc w:val="center"/>
              <w:rPr>
                <w:snapToGrid w:val="0"/>
                <w:kern w:val="0"/>
                <w:szCs w:val="21"/>
              </w:rPr>
            </w:pPr>
            <w:r>
              <w:rPr>
                <w:snapToGrid w:val="0"/>
                <w:kern w:val="0"/>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 w:type="pct"/>
            <w:shd w:val="clear" w:color="auto" w:fill="auto"/>
            <w:vAlign w:val="center"/>
          </w:tcPr>
          <w:p>
            <w:pPr>
              <w:jc w:val="center"/>
              <w:rPr>
                <w:snapToGrid w:val="0"/>
                <w:kern w:val="0"/>
                <w:szCs w:val="21"/>
              </w:rPr>
            </w:pPr>
            <w:r>
              <w:rPr>
                <w:snapToGrid w:val="0"/>
                <w:kern w:val="0"/>
                <w:szCs w:val="21"/>
              </w:rPr>
              <w:t>2</w:t>
            </w:r>
          </w:p>
        </w:tc>
        <w:tc>
          <w:tcPr>
            <w:tcW w:w="775" w:type="pct"/>
            <w:shd w:val="clear" w:color="auto" w:fill="auto"/>
            <w:vAlign w:val="center"/>
          </w:tcPr>
          <w:p>
            <w:pPr>
              <w:jc w:val="center"/>
              <w:rPr>
                <w:snapToGrid w:val="0"/>
                <w:kern w:val="0"/>
                <w:szCs w:val="21"/>
              </w:rPr>
            </w:pPr>
            <w:r>
              <w:rPr>
                <w:snapToGrid w:val="0"/>
                <w:kern w:val="0"/>
                <w:szCs w:val="21"/>
              </w:rPr>
              <w:t>柴油发电机</w:t>
            </w:r>
          </w:p>
        </w:tc>
        <w:tc>
          <w:tcPr>
            <w:tcW w:w="343" w:type="pct"/>
            <w:shd w:val="clear" w:color="auto" w:fill="auto"/>
            <w:vAlign w:val="center"/>
          </w:tcPr>
          <w:p>
            <w:pPr>
              <w:jc w:val="center"/>
              <w:rPr>
                <w:szCs w:val="21"/>
              </w:rPr>
            </w:pPr>
            <w:r>
              <w:rPr>
                <w:rFonts w:hint="eastAsia"/>
                <w:szCs w:val="21"/>
              </w:rPr>
              <w:t>95</w:t>
            </w:r>
          </w:p>
        </w:tc>
        <w:tc>
          <w:tcPr>
            <w:tcW w:w="259" w:type="pct"/>
            <w:shd w:val="clear" w:color="auto" w:fill="auto"/>
            <w:vAlign w:val="center"/>
          </w:tcPr>
          <w:p>
            <w:pPr>
              <w:jc w:val="center"/>
              <w:rPr>
                <w:rFonts w:ascii="宋体" w:hAnsi="宋体" w:cs="宋体"/>
                <w:szCs w:val="21"/>
              </w:rPr>
            </w:pPr>
            <w:r>
              <w:rPr>
                <w:rFonts w:hint="eastAsia"/>
                <w:szCs w:val="21"/>
              </w:rPr>
              <w:t>75</w:t>
            </w:r>
          </w:p>
        </w:tc>
        <w:tc>
          <w:tcPr>
            <w:tcW w:w="290" w:type="pct"/>
            <w:shd w:val="clear" w:color="auto" w:fill="auto"/>
            <w:vAlign w:val="center"/>
          </w:tcPr>
          <w:p>
            <w:pPr>
              <w:jc w:val="center"/>
              <w:rPr>
                <w:rFonts w:ascii="宋体" w:hAnsi="宋体" w:cs="宋体"/>
                <w:szCs w:val="21"/>
              </w:rPr>
            </w:pPr>
            <w:r>
              <w:rPr>
                <w:rFonts w:hint="eastAsia"/>
                <w:szCs w:val="21"/>
              </w:rPr>
              <w:t>69</w:t>
            </w:r>
          </w:p>
        </w:tc>
        <w:tc>
          <w:tcPr>
            <w:tcW w:w="362" w:type="pct"/>
            <w:shd w:val="clear" w:color="auto" w:fill="auto"/>
            <w:vAlign w:val="center"/>
          </w:tcPr>
          <w:p>
            <w:pPr>
              <w:jc w:val="center"/>
              <w:rPr>
                <w:rFonts w:ascii="宋体" w:hAnsi="宋体" w:cs="宋体"/>
                <w:szCs w:val="21"/>
              </w:rPr>
            </w:pPr>
            <w:r>
              <w:rPr>
                <w:rFonts w:hint="eastAsia"/>
                <w:szCs w:val="21"/>
              </w:rPr>
              <w:t>65.5</w:t>
            </w:r>
          </w:p>
        </w:tc>
        <w:tc>
          <w:tcPr>
            <w:tcW w:w="328" w:type="pct"/>
            <w:shd w:val="clear" w:color="auto" w:fill="auto"/>
            <w:vAlign w:val="center"/>
          </w:tcPr>
          <w:p>
            <w:pPr>
              <w:jc w:val="center"/>
              <w:rPr>
                <w:rFonts w:ascii="宋体" w:hAnsi="宋体" w:cs="宋体"/>
                <w:szCs w:val="21"/>
              </w:rPr>
            </w:pPr>
            <w:r>
              <w:rPr>
                <w:rFonts w:hint="eastAsia"/>
                <w:szCs w:val="21"/>
              </w:rPr>
              <w:t>63</w:t>
            </w:r>
          </w:p>
        </w:tc>
        <w:tc>
          <w:tcPr>
            <w:tcW w:w="328" w:type="pct"/>
            <w:shd w:val="clear" w:color="auto" w:fill="auto"/>
            <w:vAlign w:val="center"/>
          </w:tcPr>
          <w:p>
            <w:pPr>
              <w:jc w:val="center"/>
              <w:rPr>
                <w:rFonts w:ascii="宋体" w:hAnsi="宋体" w:cs="宋体"/>
                <w:szCs w:val="21"/>
              </w:rPr>
            </w:pPr>
            <w:r>
              <w:rPr>
                <w:rFonts w:hint="eastAsia"/>
                <w:szCs w:val="21"/>
              </w:rPr>
              <w:t>61</w:t>
            </w:r>
          </w:p>
        </w:tc>
        <w:tc>
          <w:tcPr>
            <w:tcW w:w="362" w:type="pct"/>
            <w:shd w:val="clear" w:color="auto" w:fill="auto"/>
            <w:vAlign w:val="center"/>
          </w:tcPr>
          <w:p>
            <w:pPr>
              <w:jc w:val="center"/>
              <w:rPr>
                <w:rFonts w:ascii="宋体" w:hAnsi="宋体" w:cs="宋体"/>
                <w:szCs w:val="21"/>
              </w:rPr>
            </w:pPr>
            <w:r>
              <w:rPr>
                <w:rFonts w:hint="eastAsia"/>
                <w:szCs w:val="21"/>
              </w:rPr>
              <w:t>56.9</w:t>
            </w:r>
          </w:p>
        </w:tc>
        <w:tc>
          <w:tcPr>
            <w:tcW w:w="362" w:type="pct"/>
            <w:shd w:val="clear" w:color="auto" w:fill="auto"/>
            <w:vAlign w:val="center"/>
          </w:tcPr>
          <w:p>
            <w:pPr>
              <w:jc w:val="center"/>
              <w:rPr>
                <w:rFonts w:ascii="宋体" w:hAnsi="宋体" w:cs="宋体"/>
                <w:szCs w:val="21"/>
              </w:rPr>
            </w:pPr>
            <w:r>
              <w:rPr>
                <w:rFonts w:hint="eastAsia"/>
                <w:szCs w:val="21"/>
              </w:rPr>
              <w:t>55.9</w:t>
            </w:r>
          </w:p>
        </w:tc>
        <w:tc>
          <w:tcPr>
            <w:tcW w:w="328" w:type="pct"/>
            <w:shd w:val="clear" w:color="auto" w:fill="auto"/>
            <w:vAlign w:val="center"/>
          </w:tcPr>
          <w:p>
            <w:pPr>
              <w:jc w:val="center"/>
              <w:rPr>
                <w:rFonts w:ascii="宋体" w:hAnsi="宋体" w:cs="宋体"/>
                <w:szCs w:val="21"/>
              </w:rPr>
            </w:pPr>
            <w:r>
              <w:rPr>
                <w:rFonts w:hint="eastAsia"/>
                <w:szCs w:val="21"/>
              </w:rPr>
              <w:t>55</w:t>
            </w:r>
          </w:p>
        </w:tc>
        <w:tc>
          <w:tcPr>
            <w:tcW w:w="330" w:type="pct"/>
            <w:shd w:val="clear" w:color="auto" w:fill="auto"/>
            <w:vAlign w:val="center"/>
          </w:tcPr>
          <w:p>
            <w:pPr>
              <w:jc w:val="center"/>
              <w:rPr>
                <w:rFonts w:ascii="宋体" w:hAnsi="宋体" w:cs="宋体"/>
                <w:szCs w:val="21"/>
              </w:rPr>
            </w:pPr>
            <w:r>
              <w:rPr>
                <w:rFonts w:hint="eastAsia"/>
                <w:szCs w:val="21"/>
              </w:rPr>
              <w:t>49</w:t>
            </w:r>
          </w:p>
        </w:tc>
        <w:tc>
          <w:tcPr>
            <w:tcW w:w="345" w:type="pct"/>
            <w:vMerge w:val="continue"/>
            <w:shd w:val="clear" w:color="auto" w:fill="auto"/>
            <w:vAlign w:val="center"/>
          </w:tcPr>
          <w:p>
            <w:pPr>
              <w:jc w:val="center"/>
              <w:rPr>
                <w:snapToGrid w:val="0"/>
                <w:kern w:val="0"/>
                <w:szCs w:val="21"/>
              </w:rPr>
            </w:pPr>
          </w:p>
        </w:tc>
        <w:tc>
          <w:tcPr>
            <w:tcW w:w="313" w:type="pct"/>
            <w:vMerge w:val="continue"/>
            <w:shd w:val="clear" w:color="auto" w:fill="auto"/>
            <w:vAlign w:val="center"/>
          </w:tcPr>
          <w:p>
            <w:pPr>
              <w:jc w:val="center"/>
              <w:rPr>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75" w:type="pct"/>
            <w:shd w:val="clear" w:color="auto" w:fill="auto"/>
            <w:vAlign w:val="center"/>
          </w:tcPr>
          <w:p>
            <w:pPr>
              <w:jc w:val="center"/>
              <w:rPr>
                <w:snapToGrid w:val="0"/>
                <w:kern w:val="0"/>
                <w:szCs w:val="21"/>
              </w:rPr>
            </w:pPr>
            <w:r>
              <w:rPr>
                <w:snapToGrid w:val="0"/>
                <w:kern w:val="0"/>
                <w:szCs w:val="21"/>
              </w:rPr>
              <w:t>3</w:t>
            </w:r>
          </w:p>
        </w:tc>
        <w:tc>
          <w:tcPr>
            <w:tcW w:w="775" w:type="pct"/>
            <w:shd w:val="clear" w:color="auto" w:fill="auto"/>
            <w:vAlign w:val="center"/>
          </w:tcPr>
          <w:p>
            <w:pPr>
              <w:jc w:val="center"/>
              <w:rPr>
                <w:snapToGrid w:val="0"/>
                <w:kern w:val="0"/>
                <w:szCs w:val="21"/>
              </w:rPr>
            </w:pPr>
            <w:r>
              <w:rPr>
                <w:snapToGrid w:val="0"/>
                <w:kern w:val="0"/>
                <w:szCs w:val="21"/>
              </w:rPr>
              <w:t>挖掘机</w:t>
            </w:r>
          </w:p>
        </w:tc>
        <w:tc>
          <w:tcPr>
            <w:tcW w:w="343" w:type="pct"/>
            <w:shd w:val="clear" w:color="auto" w:fill="auto"/>
            <w:vAlign w:val="center"/>
          </w:tcPr>
          <w:p>
            <w:pPr>
              <w:spacing w:line="360" w:lineRule="auto"/>
              <w:jc w:val="center"/>
              <w:rPr>
                <w:szCs w:val="21"/>
              </w:rPr>
            </w:pPr>
            <w:r>
              <w:rPr>
                <w:szCs w:val="21"/>
              </w:rPr>
              <w:t>9</w:t>
            </w:r>
            <w:r>
              <w:rPr>
                <w:rFonts w:hint="eastAsia"/>
                <w:szCs w:val="21"/>
              </w:rPr>
              <w:t>0</w:t>
            </w:r>
          </w:p>
        </w:tc>
        <w:tc>
          <w:tcPr>
            <w:tcW w:w="259" w:type="pct"/>
            <w:shd w:val="clear" w:color="auto" w:fill="auto"/>
            <w:vAlign w:val="center"/>
          </w:tcPr>
          <w:p>
            <w:pPr>
              <w:jc w:val="center"/>
              <w:rPr>
                <w:rFonts w:ascii="宋体" w:hAnsi="宋体" w:cs="宋体"/>
                <w:szCs w:val="21"/>
              </w:rPr>
            </w:pPr>
            <w:r>
              <w:rPr>
                <w:rFonts w:hint="eastAsia"/>
                <w:szCs w:val="21"/>
              </w:rPr>
              <w:t>70</w:t>
            </w:r>
          </w:p>
        </w:tc>
        <w:tc>
          <w:tcPr>
            <w:tcW w:w="290" w:type="pct"/>
            <w:shd w:val="clear" w:color="auto" w:fill="auto"/>
            <w:vAlign w:val="center"/>
          </w:tcPr>
          <w:p>
            <w:pPr>
              <w:jc w:val="center"/>
              <w:rPr>
                <w:rFonts w:ascii="宋体" w:hAnsi="宋体" w:cs="宋体"/>
                <w:szCs w:val="21"/>
              </w:rPr>
            </w:pPr>
            <w:r>
              <w:rPr>
                <w:rFonts w:hint="eastAsia"/>
                <w:szCs w:val="21"/>
              </w:rPr>
              <w:t>64</w:t>
            </w:r>
          </w:p>
        </w:tc>
        <w:tc>
          <w:tcPr>
            <w:tcW w:w="362" w:type="pct"/>
            <w:shd w:val="clear" w:color="auto" w:fill="auto"/>
            <w:vAlign w:val="center"/>
          </w:tcPr>
          <w:p>
            <w:pPr>
              <w:jc w:val="center"/>
              <w:rPr>
                <w:rFonts w:ascii="宋体" w:hAnsi="宋体" w:cs="宋体"/>
                <w:szCs w:val="21"/>
              </w:rPr>
            </w:pPr>
            <w:r>
              <w:rPr>
                <w:rFonts w:hint="eastAsia"/>
                <w:szCs w:val="21"/>
              </w:rPr>
              <w:t>60.5</w:t>
            </w:r>
          </w:p>
        </w:tc>
        <w:tc>
          <w:tcPr>
            <w:tcW w:w="328" w:type="pct"/>
            <w:shd w:val="clear" w:color="auto" w:fill="auto"/>
            <w:vAlign w:val="center"/>
          </w:tcPr>
          <w:p>
            <w:pPr>
              <w:jc w:val="center"/>
              <w:rPr>
                <w:rFonts w:ascii="宋体" w:hAnsi="宋体" w:cs="宋体"/>
                <w:szCs w:val="21"/>
              </w:rPr>
            </w:pPr>
            <w:r>
              <w:rPr>
                <w:rFonts w:hint="eastAsia"/>
                <w:szCs w:val="21"/>
              </w:rPr>
              <w:t>58</w:t>
            </w:r>
          </w:p>
        </w:tc>
        <w:tc>
          <w:tcPr>
            <w:tcW w:w="328" w:type="pct"/>
            <w:shd w:val="clear" w:color="auto" w:fill="auto"/>
            <w:vAlign w:val="center"/>
          </w:tcPr>
          <w:p>
            <w:pPr>
              <w:jc w:val="center"/>
              <w:rPr>
                <w:rFonts w:ascii="宋体" w:hAnsi="宋体" w:cs="宋体"/>
                <w:szCs w:val="21"/>
              </w:rPr>
            </w:pPr>
            <w:r>
              <w:rPr>
                <w:rFonts w:hint="eastAsia"/>
                <w:szCs w:val="21"/>
              </w:rPr>
              <w:t>56</w:t>
            </w:r>
          </w:p>
        </w:tc>
        <w:tc>
          <w:tcPr>
            <w:tcW w:w="362" w:type="pct"/>
            <w:shd w:val="clear" w:color="auto" w:fill="auto"/>
            <w:vAlign w:val="center"/>
          </w:tcPr>
          <w:p>
            <w:pPr>
              <w:jc w:val="center"/>
              <w:rPr>
                <w:rFonts w:ascii="宋体" w:hAnsi="宋体" w:cs="宋体"/>
                <w:szCs w:val="21"/>
              </w:rPr>
            </w:pPr>
            <w:r>
              <w:rPr>
                <w:rFonts w:hint="eastAsia"/>
                <w:szCs w:val="21"/>
              </w:rPr>
              <w:t>51.9</w:t>
            </w:r>
          </w:p>
        </w:tc>
        <w:tc>
          <w:tcPr>
            <w:tcW w:w="362" w:type="pct"/>
            <w:shd w:val="clear" w:color="auto" w:fill="auto"/>
            <w:vAlign w:val="center"/>
          </w:tcPr>
          <w:p>
            <w:pPr>
              <w:jc w:val="center"/>
              <w:rPr>
                <w:rFonts w:ascii="宋体" w:hAnsi="宋体" w:cs="宋体"/>
                <w:szCs w:val="21"/>
              </w:rPr>
            </w:pPr>
            <w:r>
              <w:rPr>
                <w:rFonts w:hint="eastAsia"/>
                <w:szCs w:val="21"/>
              </w:rPr>
              <w:t>50.9</w:t>
            </w:r>
          </w:p>
        </w:tc>
        <w:tc>
          <w:tcPr>
            <w:tcW w:w="328" w:type="pct"/>
            <w:shd w:val="clear" w:color="auto" w:fill="auto"/>
            <w:vAlign w:val="center"/>
          </w:tcPr>
          <w:p>
            <w:pPr>
              <w:jc w:val="center"/>
              <w:rPr>
                <w:rFonts w:ascii="宋体" w:hAnsi="宋体" w:cs="宋体"/>
                <w:szCs w:val="21"/>
              </w:rPr>
            </w:pPr>
            <w:r>
              <w:rPr>
                <w:rFonts w:hint="eastAsia"/>
                <w:szCs w:val="21"/>
              </w:rPr>
              <w:t>50</w:t>
            </w:r>
          </w:p>
        </w:tc>
        <w:tc>
          <w:tcPr>
            <w:tcW w:w="330" w:type="pct"/>
            <w:shd w:val="clear" w:color="auto" w:fill="auto"/>
            <w:vAlign w:val="center"/>
          </w:tcPr>
          <w:p>
            <w:pPr>
              <w:jc w:val="center"/>
              <w:rPr>
                <w:rFonts w:ascii="宋体" w:hAnsi="宋体" w:cs="宋体"/>
                <w:szCs w:val="21"/>
              </w:rPr>
            </w:pPr>
            <w:r>
              <w:rPr>
                <w:rFonts w:hint="eastAsia"/>
                <w:szCs w:val="21"/>
              </w:rPr>
              <w:t>44</w:t>
            </w:r>
          </w:p>
        </w:tc>
        <w:tc>
          <w:tcPr>
            <w:tcW w:w="345" w:type="pct"/>
            <w:vMerge w:val="continue"/>
            <w:shd w:val="clear" w:color="auto" w:fill="auto"/>
            <w:vAlign w:val="center"/>
          </w:tcPr>
          <w:p>
            <w:pPr>
              <w:jc w:val="center"/>
              <w:rPr>
                <w:snapToGrid w:val="0"/>
                <w:kern w:val="0"/>
                <w:szCs w:val="21"/>
              </w:rPr>
            </w:pPr>
          </w:p>
        </w:tc>
        <w:tc>
          <w:tcPr>
            <w:tcW w:w="313" w:type="pct"/>
            <w:vMerge w:val="continue"/>
            <w:shd w:val="clear" w:color="auto" w:fill="auto"/>
            <w:vAlign w:val="center"/>
          </w:tcPr>
          <w:p>
            <w:pPr>
              <w:jc w:val="center"/>
              <w:rPr>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75" w:type="pct"/>
            <w:shd w:val="clear" w:color="auto" w:fill="auto"/>
            <w:vAlign w:val="center"/>
          </w:tcPr>
          <w:p>
            <w:pPr>
              <w:jc w:val="center"/>
              <w:rPr>
                <w:snapToGrid w:val="0"/>
                <w:kern w:val="0"/>
                <w:szCs w:val="21"/>
              </w:rPr>
            </w:pPr>
            <w:r>
              <w:rPr>
                <w:snapToGrid w:val="0"/>
                <w:kern w:val="0"/>
                <w:szCs w:val="21"/>
              </w:rPr>
              <w:t>4</w:t>
            </w:r>
          </w:p>
        </w:tc>
        <w:tc>
          <w:tcPr>
            <w:tcW w:w="775" w:type="pct"/>
            <w:shd w:val="clear" w:color="auto" w:fill="auto"/>
            <w:vAlign w:val="center"/>
          </w:tcPr>
          <w:p>
            <w:pPr>
              <w:jc w:val="center"/>
              <w:rPr>
                <w:snapToGrid w:val="0"/>
                <w:kern w:val="0"/>
                <w:szCs w:val="21"/>
              </w:rPr>
            </w:pPr>
            <w:r>
              <w:rPr>
                <w:snapToGrid w:val="0"/>
                <w:kern w:val="0"/>
                <w:szCs w:val="21"/>
              </w:rPr>
              <w:t>汽车</w:t>
            </w:r>
          </w:p>
        </w:tc>
        <w:tc>
          <w:tcPr>
            <w:tcW w:w="343" w:type="pct"/>
            <w:shd w:val="clear" w:color="auto" w:fill="auto"/>
            <w:vAlign w:val="center"/>
          </w:tcPr>
          <w:p>
            <w:pPr>
              <w:spacing w:line="360" w:lineRule="auto"/>
              <w:jc w:val="center"/>
              <w:rPr>
                <w:szCs w:val="21"/>
              </w:rPr>
            </w:pPr>
            <w:r>
              <w:rPr>
                <w:rFonts w:hint="eastAsia"/>
                <w:szCs w:val="21"/>
              </w:rPr>
              <w:t>7</w:t>
            </w:r>
            <w:r>
              <w:rPr>
                <w:szCs w:val="21"/>
              </w:rPr>
              <w:t>5</w:t>
            </w:r>
          </w:p>
        </w:tc>
        <w:tc>
          <w:tcPr>
            <w:tcW w:w="259" w:type="pct"/>
            <w:shd w:val="clear" w:color="auto" w:fill="auto"/>
            <w:vAlign w:val="center"/>
          </w:tcPr>
          <w:p>
            <w:pPr>
              <w:jc w:val="center"/>
              <w:rPr>
                <w:rFonts w:ascii="宋体" w:hAnsi="宋体" w:cs="宋体"/>
                <w:szCs w:val="21"/>
              </w:rPr>
            </w:pPr>
            <w:r>
              <w:rPr>
                <w:rFonts w:hint="eastAsia"/>
                <w:szCs w:val="21"/>
              </w:rPr>
              <w:t>55</w:t>
            </w:r>
          </w:p>
        </w:tc>
        <w:tc>
          <w:tcPr>
            <w:tcW w:w="290" w:type="pct"/>
            <w:shd w:val="clear" w:color="auto" w:fill="auto"/>
            <w:vAlign w:val="center"/>
          </w:tcPr>
          <w:p>
            <w:pPr>
              <w:jc w:val="center"/>
              <w:rPr>
                <w:rFonts w:ascii="宋体" w:hAnsi="宋体" w:cs="宋体"/>
                <w:szCs w:val="21"/>
              </w:rPr>
            </w:pPr>
            <w:r>
              <w:rPr>
                <w:rFonts w:hint="eastAsia"/>
                <w:szCs w:val="21"/>
              </w:rPr>
              <w:t>49</w:t>
            </w:r>
          </w:p>
        </w:tc>
        <w:tc>
          <w:tcPr>
            <w:tcW w:w="362" w:type="pct"/>
            <w:shd w:val="clear" w:color="auto" w:fill="auto"/>
            <w:vAlign w:val="center"/>
          </w:tcPr>
          <w:p>
            <w:pPr>
              <w:jc w:val="center"/>
              <w:rPr>
                <w:rFonts w:ascii="宋体" w:hAnsi="宋体" w:cs="宋体"/>
                <w:szCs w:val="21"/>
              </w:rPr>
            </w:pPr>
            <w:r>
              <w:rPr>
                <w:rFonts w:hint="eastAsia"/>
                <w:szCs w:val="21"/>
              </w:rPr>
              <w:t>45.5</w:t>
            </w:r>
          </w:p>
        </w:tc>
        <w:tc>
          <w:tcPr>
            <w:tcW w:w="328" w:type="pct"/>
            <w:shd w:val="clear" w:color="auto" w:fill="auto"/>
            <w:vAlign w:val="center"/>
          </w:tcPr>
          <w:p>
            <w:pPr>
              <w:jc w:val="center"/>
              <w:rPr>
                <w:rFonts w:ascii="宋体" w:hAnsi="宋体" w:cs="宋体"/>
                <w:szCs w:val="21"/>
              </w:rPr>
            </w:pPr>
            <w:r>
              <w:rPr>
                <w:rFonts w:hint="eastAsia"/>
                <w:szCs w:val="21"/>
              </w:rPr>
              <w:t>43</w:t>
            </w:r>
          </w:p>
        </w:tc>
        <w:tc>
          <w:tcPr>
            <w:tcW w:w="328" w:type="pct"/>
            <w:shd w:val="clear" w:color="auto" w:fill="auto"/>
            <w:vAlign w:val="center"/>
          </w:tcPr>
          <w:p>
            <w:pPr>
              <w:jc w:val="center"/>
              <w:rPr>
                <w:rFonts w:ascii="宋体" w:hAnsi="宋体" w:cs="宋体"/>
                <w:szCs w:val="21"/>
              </w:rPr>
            </w:pPr>
            <w:r>
              <w:rPr>
                <w:rFonts w:hint="eastAsia"/>
                <w:szCs w:val="21"/>
              </w:rPr>
              <w:t>41</w:t>
            </w:r>
          </w:p>
        </w:tc>
        <w:tc>
          <w:tcPr>
            <w:tcW w:w="362" w:type="pct"/>
            <w:shd w:val="clear" w:color="auto" w:fill="auto"/>
            <w:vAlign w:val="center"/>
          </w:tcPr>
          <w:p>
            <w:pPr>
              <w:jc w:val="center"/>
              <w:rPr>
                <w:rFonts w:ascii="宋体" w:hAnsi="宋体" w:cs="宋体"/>
                <w:szCs w:val="21"/>
              </w:rPr>
            </w:pPr>
            <w:r>
              <w:rPr>
                <w:rFonts w:hint="eastAsia"/>
                <w:szCs w:val="21"/>
              </w:rPr>
              <w:t>36.9</w:t>
            </w:r>
          </w:p>
        </w:tc>
        <w:tc>
          <w:tcPr>
            <w:tcW w:w="362" w:type="pct"/>
            <w:shd w:val="clear" w:color="auto" w:fill="auto"/>
            <w:vAlign w:val="center"/>
          </w:tcPr>
          <w:p>
            <w:pPr>
              <w:jc w:val="center"/>
              <w:rPr>
                <w:rFonts w:ascii="宋体" w:hAnsi="宋体" w:cs="宋体"/>
                <w:szCs w:val="21"/>
              </w:rPr>
            </w:pPr>
            <w:r>
              <w:rPr>
                <w:rFonts w:hint="eastAsia"/>
                <w:szCs w:val="21"/>
              </w:rPr>
              <w:t>35.9</w:t>
            </w:r>
          </w:p>
        </w:tc>
        <w:tc>
          <w:tcPr>
            <w:tcW w:w="328" w:type="pct"/>
            <w:shd w:val="clear" w:color="auto" w:fill="auto"/>
            <w:vAlign w:val="center"/>
          </w:tcPr>
          <w:p>
            <w:pPr>
              <w:jc w:val="center"/>
              <w:rPr>
                <w:rFonts w:ascii="宋体" w:hAnsi="宋体" w:cs="宋体"/>
                <w:szCs w:val="21"/>
              </w:rPr>
            </w:pPr>
            <w:r>
              <w:rPr>
                <w:rFonts w:hint="eastAsia"/>
                <w:szCs w:val="21"/>
              </w:rPr>
              <w:t>35</w:t>
            </w:r>
          </w:p>
        </w:tc>
        <w:tc>
          <w:tcPr>
            <w:tcW w:w="330" w:type="pct"/>
            <w:shd w:val="clear" w:color="auto" w:fill="auto"/>
            <w:vAlign w:val="center"/>
          </w:tcPr>
          <w:p>
            <w:pPr>
              <w:jc w:val="center"/>
              <w:rPr>
                <w:rFonts w:ascii="宋体" w:hAnsi="宋体" w:cs="宋体"/>
                <w:szCs w:val="21"/>
              </w:rPr>
            </w:pPr>
            <w:r>
              <w:rPr>
                <w:rFonts w:hint="eastAsia"/>
                <w:szCs w:val="21"/>
              </w:rPr>
              <w:t>29</w:t>
            </w:r>
          </w:p>
        </w:tc>
        <w:tc>
          <w:tcPr>
            <w:tcW w:w="345" w:type="pct"/>
            <w:vMerge w:val="continue"/>
            <w:shd w:val="clear" w:color="auto" w:fill="auto"/>
            <w:vAlign w:val="center"/>
          </w:tcPr>
          <w:p>
            <w:pPr>
              <w:jc w:val="center"/>
              <w:rPr>
                <w:snapToGrid w:val="0"/>
                <w:kern w:val="0"/>
                <w:szCs w:val="21"/>
              </w:rPr>
            </w:pPr>
          </w:p>
        </w:tc>
        <w:tc>
          <w:tcPr>
            <w:tcW w:w="313" w:type="pct"/>
            <w:vMerge w:val="continue"/>
            <w:shd w:val="clear" w:color="auto" w:fill="auto"/>
            <w:vAlign w:val="center"/>
          </w:tcPr>
          <w:p>
            <w:pPr>
              <w:jc w:val="center"/>
              <w:rPr>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75" w:type="pct"/>
            <w:shd w:val="clear" w:color="auto" w:fill="auto"/>
            <w:vAlign w:val="center"/>
          </w:tcPr>
          <w:p>
            <w:pPr>
              <w:jc w:val="center"/>
              <w:rPr>
                <w:snapToGrid w:val="0"/>
                <w:kern w:val="0"/>
                <w:szCs w:val="21"/>
              </w:rPr>
            </w:pPr>
            <w:r>
              <w:rPr>
                <w:snapToGrid w:val="0"/>
                <w:kern w:val="0"/>
                <w:szCs w:val="21"/>
              </w:rPr>
              <w:t>5</w:t>
            </w:r>
          </w:p>
        </w:tc>
        <w:tc>
          <w:tcPr>
            <w:tcW w:w="775" w:type="pct"/>
            <w:shd w:val="clear" w:color="auto" w:fill="auto"/>
            <w:vAlign w:val="center"/>
          </w:tcPr>
          <w:p>
            <w:pPr>
              <w:jc w:val="center"/>
              <w:rPr>
                <w:snapToGrid w:val="0"/>
                <w:kern w:val="0"/>
                <w:szCs w:val="21"/>
              </w:rPr>
            </w:pPr>
            <w:r>
              <w:rPr>
                <w:snapToGrid w:val="0"/>
                <w:kern w:val="0"/>
                <w:szCs w:val="21"/>
              </w:rPr>
              <w:t>起重机</w:t>
            </w:r>
          </w:p>
        </w:tc>
        <w:tc>
          <w:tcPr>
            <w:tcW w:w="343" w:type="pct"/>
            <w:shd w:val="clear" w:color="auto" w:fill="auto"/>
            <w:vAlign w:val="center"/>
          </w:tcPr>
          <w:p>
            <w:pPr>
              <w:spacing w:line="360" w:lineRule="auto"/>
              <w:jc w:val="center"/>
              <w:rPr>
                <w:szCs w:val="21"/>
              </w:rPr>
            </w:pPr>
            <w:r>
              <w:rPr>
                <w:rFonts w:hint="eastAsia"/>
                <w:szCs w:val="21"/>
              </w:rPr>
              <w:t>95</w:t>
            </w:r>
          </w:p>
        </w:tc>
        <w:tc>
          <w:tcPr>
            <w:tcW w:w="259" w:type="pct"/>
            <w:shd w:val="clear" w:color="auto" w:fill="auto"/>
            <w:vAlign w:val="center"/>
          </w:tcPr>
          <w:p>
            <w:pPr>
              <w:jc w:val="center"/>
              <w:rPr>
                <w:rFonts w:ascii="宋体" w:hAnsi="宋体" w:cs="宋体"/>
                <w:szCs w:val="21"/>
              </w:rPr>
            </w:pPr>
            <w:r>
              <w:rPr>
                <w:rFonts w:hint="eastAsia"/>
                <w:szCs w:val="21"/>
              </w:rPr>
              <w:t>75</w:t>
            </w:r>
          </w:p>
        </w:tc>
        <w:tc>
          <w:tcPr>
            <w:tcW w:w="290" w:type="pct"/>
            <w:shd w:val="clear" w:color="auto" w:fill="auto"/>
            <w:vAlign w:val="center"/>
          </w:tcPr>
          <w:p>
            <w:pPr>
              <w:jc w:val="center"/>
              <w:rPr>
                <w:rFonts w:ascii="宋体" w:hAnsi="宋体" w:cs="宋体"/>
                <w:szCs w:val="21"/>
              </w:rPr>
            </w:pPr>
            <w:r>
              <w:rPr>
                <w:rFonts w:hint="eastAsia"/>
                <w:szCs w:val="21"/>
              </w:rPr>
              <w:t>69</w:t>
            </w:r>
          </w:p>
        </w:tc>
        <w:tc>
          <w:tcPr>
            <w:tcW w:w="362" w:type="pct"/>
            <w:shd w:val="clear" w:color="auto" w:fill="auto"/>
            <w:vAlign w:val="center"/>
          </w:tcPr>
          <w:p>
            <w:pPr>
              <w:jc w:val="center"/>
              <w:rPr>
                <w:rFonts w:ascii="宋体" w:hAnsi="宋体" w:cs="宋体"/>
                <w:szCs w:val="21"/>
              </w:rPr>
            </w:pPr>
            <w:r>
              <w:rPr>
                <w:rFonts w:hint="eastAsia"/>
                <w:szCs w:val="21"/>
              </w:rPr>
              <w:t>65.5</w:t>
            </w:r>
          </w:p>
        </w:tc>
        <w:tc>
          <w:tcPr>
            <w:tcW w:w="328" w:type="pct"/>
            <w:shd w:val="clear" w:color="auto" w:fill="auto"/>
            <w:vAlign w:val="center"/>
          </w:tcPr>
          <w:p>
            <w:pPr>
              <w:jc w:val="center"/>
              <w:rPr>
                <w:rFonts w:ascii="宋体" w:hAnsi="宋体" w:cs="宋体"/>
                <w:szCs w:val="21"/>
              </w:rPr>
            </w:pPr>
            <w:r>
              <w:rPr>
                <w:rFonts w:hint="eastAsia"/>
                <w:szCs w:val="21"/>
              </w:rPr>
              <w:t>63</w:t>
            </w:r>
          </w:p>
        </w:tc>
        <w:tc>
          <w:tcPr>
            <w:tcW w:w="328" w:type="pct"/>
            <w:shd w:val="clear" w:color="auto" w:fill="auto"/>
            <w:vAlign w:val="center"/>
          </w:tcPr>
          <w:p>
            <w:pPr>
              <w:jc w:val="center"/>
              <w:rPr>
                <w:rFonts w:ascii="宋体" w:hAnsi="宋体" w:cs="宋体"/>
                <w:szCs w:val="21"/>
              </w:rPr>
            </w:pPr>
            <w:r>
              <w:rPr>
                <w:rFonts w:hint="eastAsia"/>
                <w:szCs w:val="21"/>
              </w:rPr>
              <w:t>61</w:t>
            </w:r>
          </w:p>
        </w:tc>
        <w:tc>
          <w:tcPr>
            <w:tcW w:w="362" w:type="pct"/>
            <w:shd w:val="clear" w:color="auto" w:fill="auto"/>
            <w:vAlign w:val="center"/>
          </w:tcPr>
          <w:p>
            <w:pPr>
              <w:jc w:val="center"/>
              <w:rPr>
                <w:rFonts w:ascii="宋体" w:hAnsi="宋体" w:cs="宋体"/>
                <w:szCs w:val="21"/>
              </w:rPr>
            </w:pPr>
            <w:r>
              <w:rPr>
                <w:rFonts w:hint="eastAsia"/>
                <w:szCs w:val="21"/>
              </w:rPr>
              <w:t>56.9</w:t>
            </w:r>
          </w:p>
        </w:tc>
        <w:tc>
          <w:tcPr>
            <w:tcW w:w="362" w:type="pct"/>
            <w:shd w:val="clear" w:color="auto" w:fill="auto"/>
            <w:vAlign w:val="center"/>
          </w:tcPr>
          <w:p>
            <w:pPr>
              <w:jc w:val="center"/>
              <w:rPr>
                <w:rFonts w:ascii="宋体" w:hAnsi="宋体" w:cs="宋体"/>
                <w:szCs w:val="21"/>
              </w:rPr>
            </w:pPr>
            <w:r>
              <w:rPr>
                <w:rFonts w:hint="eastAsia"/>
                <w:szCs w:val="21"/>
              </w:rPr>
              <w:t>55.9</w:t>
            </w:r>
          </w:p>
        </w:tc>
        <w:tc>
          <w:tcPr>
            <w:tcW w:w="328" w:type="pct"/>
            <w:shd w:val="clear" w:color="auto" w:fill="auto"/>
            <w:vAlign w:val="center"/>
          </w:tcPr>
          <w:p>
            <w:pPr>
              <w:jc w:val="center"/>
              <w:rPr>
                <w:rFonts w:ascii="宋体" w:hAnsi="宋体" w:cs="宋体"/>
                <w:szCs w:val="21"/>
              </w:rPr>
            </w:pPr>
            <w:r>
              <w:rPr>
                <w:rFonts w:hint="eastAsia"/>
                <w:szCs w:val="21"/>
              </w:rPr>
              <w:t>55</w:t>
            </w:r>
          </w:p>
        </w:tc>
        <w:tc>
          <w:tcPr>
            <w:tcW w:w="330" w:type="pct"/>
            <w:shd w:val="clear" w:color="auto" w:fill="auto"/>
            <w:vAlign w:val="center"/>
          </w:tcPr>
          <w:p>
            <w:pPr>
              <w:jc w:val="center"/>
              <w:rPr>
                <w:rFonts w:ascii="宋体" w:hAnsi="宋体" w:cs="宋体"/>
                <w:szCs w:val="21"/>
              </w:rPr>
            </w:pPr>
            <w:r>
              <w:rPr>
                <w:rFonts w:hint="eastAsia"/>
                <w:szCs w:val="21"/>
              </w:rPr>
              <w:t>49</w:t>
            </w:r>
          </w:p>
        </w:tc>
        <w:tc>
          <w:tcPr>
            <w:tcW w:w="345" w:type="pct"/>
            <w:vMerge w:val="continue"/>
            <w:shd w:val="clear" w:color="auto" w:fill="auto"/>
            <w:vAlign w:val="center"/>
          </w:tcPr>
          <w:p>
            <w:pPr>
              <w:jc w:val="center"/>
              <w:rPr>
                <w:snapToGrid w:val="0"/>
                <w:kern w:val="0"/>
                <w:szCs w:val="21"/>
              </w:rPr>
            </w:pPr>
          </w:p>
        </w:tc>
        <w:tc>
          <w:tcPr>
            <w:tcW w:w="313" w:type="pct"/>
            <w:vMerge w:val="continue"/>
            <w:shd w:val="clear" w:color="auto" w:fill="auto"/>
            <w:vAlign w:val="center"/>
          </w:tcPr>
          <w:p>
            <w:pPr>
              <w:jc w:val="center"/>
              <w:rPr>
                <w:snapToGrid w:val="0"/>
                <w:kern w:val="0"/>
                <w:szCs w:val="21"/>
              </w:rPr>
            </w:pPr>
          </w:p>
        </w:tc>
      </w:tr>
    </w:tbl>
    <w:p>
      <w:pPr>
        <w:pStyle w:val="63"/>
        <w:ind w:firstLine="480"/>
        <w:jc w:val="both"/>
        <w:rPr>
          <w:color w:val="auto"/>
        </w:rPr>
      </w:pPr>
      <w:r>
        <w:rPr>
          <w:rFonts w:hint="eastAsia" w:ascii="宋体" w:hAnsi="宋体"/>
          <w:color w:val="auto"/>
        </w:rPr>
        <w:t>②</w:t>
      </w:r>
      <w:r>
        <w:rPr>
          <w:color w:val="auto"/>
        </w:rPr>
        <w:t xml:space="preserve"> </w:t>
      </w:r>
      <w:r>
        <w:rPr>
          <w:rFonts w:hint="eastAsia"/>
          <w:color w:val="auto"/>
        </w:rPr>
        <w:t>输水管线及钻井</w:t>
      </w:r>
      <w:r>
        <w:rPr>
          <w:color w:val="auto"/>
        </w:rPr>
        <w:t>工程施工噪声影响评价</w:t>
      </w:r>
    </w:p>
    <w:p>
      <w:pPr>
        <w:spacing w:line="360" w:lineRule="auto"/>
        <w:ind w:firstLine="480" w:firstLineChars="200"/>
        <w:rPr>
          <w:sz w:val="24"/>
        </w:rPr>
      </w:pPr>
      <w:r>
        <w:rPr>
          <w:rFonts w:hint="eastAsia"/>
          <w:sz w:val="24"/>
        </w:rPr>
        <w:t>输水管线</w:t>
      </w:r>
      <w:r>
        <w:rPr>
          <w:sz w:val="24"/>
        </w:rPr>
        <w:t>工程夜间不施工，管道沿线仅有少量散户居住，</w:t>
      </w:r>
      <w:r>
        <w:rPr>
          <w:rFonts w:hint="eastAsia"/>
          <w:sz w:val="24"/>
        </w:rPr>
        <w:t>基本无其他噪声污染源，背景噪声很小。</w:t>
      </w:r>
    </w:p>
    <w:p>
      <w:pPr>
        <w:spacing w:line="360" w:lineRule="auto"/>
        <w:ind w:firstLine="480" w:firstLineChars="200"/>
        <w:rPr>
          <w:sz w:val="24"/>
        </w:rPr>
      </w:pPr>
      <w:r>
        <w:rPr>
          <w:sz w:val="24"/>
        </w:rPr>
        <w:t>由表</w:t>
      </w:r>
      <w:r>
        <w:rPr>
          <w:rFonts w:hint="eastAsia"/>
          <w:sz w:val="24"/>
        </w:rPr>
        <w:t>6.1</w:t>
      </w:r>
      <w:r>
        <w:rPr>
          <w:sz w:val="24"/>
        </w:rPr>
        <w:t>-1中预测结果可知，一般管线施工主要施工机械设备昼间噪声在40m处满足《建筑施工场界环境噪声排放标准》中相应昼间标准限制要求，在</w:t>
      </w:r>
      <w:r>
        <w:rPr>
          <w:rFonts w:hint="eastAsia"/>
          <w:sz w:val="24"/>
        </w:rPr>
        <w:t>100m</w:t>
      </w:r>
      <w:r>
        <w:rPr>
          <w:sz w:val="24"/>
        </w:rPr>
        <w:t>处可满足环境噪声质量标准2类标准要求。</w:t>
      </w:r>
      <w:r>
        <w:rPr>
          <w:rFonts w:hint="eastAsia"/>
          <w:sz w:val="24"/>
        </w:rPr>
        <w:t>管道沿线的散户距离施工区均在100m外，声环境可满足2类标准要求，噪声造成的影响轻微。</w:t>
      </w:r>
    </w:p>
    <w:p>
      <w:pPr>
        <w:spacing w:line="360" w:lineRule="auto"/>
        <w:ind w:firstLine="480" w:firstLineChars="200"/>
      </w:pPr>
      <w:r>
        <w:rPr>
          <w:rFonts w:hint="eastAsia"/>
          <w:sz w:val="24"/>
        </w:rPr>
        <w:t>钻井工程施工时</w:t>
      </w:r>
      <w:r>
        <w:rPr>
          <w:sz w:val="24"/>
        </w:rPr>
        <w:t>需使用钻孔机为高噪声设备，</w:t>
      </w:r>
      <w:r>
        <w:rPr>
          <w:rFonts w:hint="eastAsia"/>
          <w:sz w:val="24"/>
        </w:rPr>
        <w:t>其</w:t>
      </w:r>
      <w:r>
        <w:rPr>
          <w:sz w:val="24"/>
        </w:rPr>
        <w:t>原始源强高达1</w:t>
      </w:r>
      <w:r>
        <w:rPr>
          <w:rFonts w:hint="eastAsia"/>
          <w:sz w:val="24"/>
        </w:rPr>
        <w:t>0</w:t>
      </w:r>
      <w:r>
        <w:rPr>
          <w:sz w:val="24"/>
        </w:rPr>
        <w:t>0dB(A)，而项目</w:t>
      </w:r>
      <w:r>
        <w:rPr>
          <w:rFonts w:hint="eastAsia"/>
          <w:sz w:val="24"/>
        </w:rPr>
        <w:t>水源井周边散户距离施工区均在100m外，对周边居民影响较小。加之</w:t>
      </w:r>
      <w:r>
        <w:rPr>
          <w:sz w:val="24"/>
        </w:rPr>
        <w:t>本</w:t>
      </w:r>
      <w:r>
        <w:rPr>
          <w:rFonts w:hint="eastAsia"/>
          <w:sz w:val="24"/>
        </w:rPr>
        <w:t>钻井</w:t>
      </w:r>
      <w:r>
        <w:rPr>
          <w:sz w:val="24"/>
        </w:rPr>
        <w:t>工程施工周期</w:t>
      </w:r>
      <w:r>
        <w:rPr>
          <w:rFonts w:hint="eastAsia"/>
          <w:sz w:val="24"/>
        </w:rPr>
        <w:t>短</w:t>
      </w:r>
      <w:r>
        <w:rPr>
          <w:sz w:val="24"/>
        </w:rPr>
        <w:t>，对附近居民的影响轻微。</w:t>
      </w:r>
    </w:p>
    <w:p>
      <w:pPr>
        <w:pStyle w:val="63"/>
        <w:ind w:firstLine="480"/>
        <w:jc w:val="both"/>
        <w:rPr>
          <w:color w:val="auto"/>
        </w:rPr>
      </w:pPr>
      <w:r>
        <w:rPr>
          <w:color w:val="auto"/>
        </w:rPr>
        <w:t>（2）</w:t>
      </w:r>
      <w:r>
        <w:rPr>
          <w:rFonts w:hint="eastAsia"/>
          <w:color w:val="auto"/>
        </w:rPr>
        <w:t>保障房给水处理站及水源管理站</w:t>
      </w:r>
      <w:r>
        <w:rPr>
          <w:color w:val="auto"/>
        </w:rPr>
        <w:t>工程施工噪声影响预测评价</w:t>
      </w:r>
    </w:p>
    <w:p>
      <w:pPr>
        <w:spacing w:line="360" w:lineRule="auto"/>
        <w:ind w:firstLine="420" w:firstLineChars="200"/>
        <w:rPr>
          <w:sz w:val="24"/>
        </w:rPr>
      </w:pPr>
      <w:r>
        <w:rPr>
          <w:rFonts w:hint="eastAsia"/>
        </w:rPr>
        <w:t>①</w:t>
      </w:r>
      <w:r>
        <w:rPr>
          <w:sz w:val="24"/>
        </w:rPr>
        <w:t>施工噪声影响预测结果</w:t>
      </w:r>
    </w:p>
    <w:p>
      <w:pPr>
        <w:pStyle w:val="63"/>
        <w:ind w:firstLine="480"/>
        <w:jc w:val="both"/>
        <w:rPr>
          <w:color w:val="auto"/>
        </w:rPr>
      </w:pPr>
      <w:r>
        <w:rPr>
          <w:color w:val="auto"/>
        </w:rPr>
        <w:t>施工主要是构筑物等土建工程施工及</w:t>
      </w:r>
      <w:r>
        <w:rPr>
          <w:rFonts w:hint="eastAsia"/>
          <w:color w:val="auto"/>
        </w:rPr>
        <w:t>站</w:t>
      </w:r>
      <w:r>
        <w:rPr>
          <w:color w:val="auto"/>
        </w:rPr>
        <w:t>内工艺设备安装施工，影响较大的噪声源主要有</w:t>
      </w:r>
      <w:r>
        <w:rPr>
          <w:rFonts w:hint="eastAsia"/>
          <w:color w:val="auto"/>
        </w:rPr>
        <w:t>振捣棒</w:t>
      </w:r>
      <w:r>
        <w:rPr>
          <w:color w:val="auto"/>
        </w:rPr>
        <w:t>、装载车及运输车辆等。水厂施工时各种机械噪声影响范围的预测结果见表</w:t>
      </w:r>
      <w:r>
        <w:rPr>
          <w:rFonts w:hint="eastAsia"/>
          <w:color w:val="auto"/>
        </w:rPr>
        <w:t>6.1-2</w:t>
      </w:r>
      <w:r>
        <w:rPr>
          <w:color w:val="auto"/>
        </w:rPr>
        <w:t>。</w:t>
      </w:r>
    </w:p>
    <w:p>
      <w:pPr>
        <w:pStyle w:val="65"/>
        <w:rPr>
          <w:sz w:val="24"/>
        </w:rPr>
      </w:pPr>
      <w:r>
        <w:t>表</w:t>
      </w:r>
      <w:r>
        <w:rPr>
          <w:rFonts w:hint="eastAsia"/>
        </w:rPr>
        <w:t>6.1-2</w:t>
      </w:r>
      <w:r>
        <w:t xml:space="preserve">  水厂施工机械噪声预测结果  </w:t>
      </w:r>
      <w:r>
        <w:rPr>
          <w:rFonts w:hint="eastAsia"/>
        </w:rPr>
        <w:t xml:space="preserve"> </w:t>
      </w:r>
      <w:r>
        <w:t>单位：dB(A)</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971"/>
        <w:gridCol w:w="483"/>
        <w:gridCol w:w="679"/>
        <w:gridCol w:w="679"/>
        <w:gridCol w:w="678"/>
        <w:gridCol w:w="678"/>
        <w:gridCol w:w="678"/>
        <w:gridCol w:w="678"/>
        <w:gridCol w:w="678"/>
        <w:gridCol w:w="678"/>
        <w:gridCol w:w="678"/>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61" w:type="pct"/>
            <w:vMerge w:val="restart"/>
            <w:shd w:val="clear" w:color="auto" w:fill="auto"/>
            <w:vAlign w:val="center"/>
          </w:tcPr>
          <w:p>
            <w:pPr>
              <w:jc w:val="center"/>
              <w:rPr>
                <w:caps/>
                <w:snapToGrid w:val="0"/>
                <w:kern w:val="0"/>
                <w:szCs w:val="21"/>
              </w:rPr>
            </w:pPr>
            <w:r>
              <w:rPr>
                <w:caps/>
                <w:snapToGrid w:val="0"/>
                <w:kern w:val="0"/>
                <w:szCs w:val="21"/>
              </w:rPr>
              <w:t>序号</w:t>
            </w:r>
          </w:p>
        </w:tc>
        <w:tc>
          <w:tcPr>
            <w:tcW w:w="525" w:type="pct"/>
            <w:vMerge w:val="restart"/>
            <w:shd w:val="clear" w:color="auto" w:fill="auto"/>
            <w:vAlign w:val="center"/>
          </w:tcPr>
          <w:p>
            <w:pPr>
              <w:jc w:val="center"/>
              <w:rPr>
                <w:caps/>
                <w:snapToGrid w:val="0"/>
                <w:kern w:val="0"/>
                <w:szCs w:val="21"/>
              </w:rPr>
            </w:pPr>
            <w:r>
              <w:rPr>
                <w:caps/>
                <w:snapToGrid w:val="0"/>
                <w:kern w:val="0"/>
                <w:szCs w:val="21"/>
              </w:rPr>
              <w:t>设备</w:t>
            </w:r>
          </w:p>
        </w:tc>
        <w:tc>
          <w:tcPr>
            <w:tcW w:w="261" w:type="pct"/>
            <w:vMerge w:val="restart"/>
            <w:shd w:val="clear" w:color="auto" w:fill="auto"/>
            <w:vAlign w:val="center"/>
          </w:tcPr>
          <w:p>
            <w:pPr>
              <w:jc w:val="center"/>
              <w:rPr>
                <w:caps/>
                <w:snapToGrid w:val="0"/>
                <w:kern w:val="0"/>
                <w:szCs w:val="21"/>
              </w:rPr>
            </w:pPr>
            <w:r>
              <w:rPr>
                <w:caps/>
                <w:snapToGrid w:val="0"/>
                <w:kern w:val="0"/>
                <w:szCs w:val="21"/>
              </w:rPr>
              <w:t>源强</w:t>
            </w:r>
          </w:p>
        </w:tc>
        <w:tc>
          <w:tcPr>
            <w:tcW w:w="3302" w:type="pct"/>
            <w:gridSpan w:val="9"/>
            <w:shd w:val="clear" w:color="auto" w:fill="auto"/>
            <w:vAlign w:val="center"/>
          </w:tcPr>
          <w:p>
            <w:pPr>
              <w:jc w:val="center"/>
              <w:rPr>
                <w:caps/>
                <w:snapToGrid w:val="0"/>
                <w:kern w:val="0"/>
                <w:szCs w:val="21"/>
              </w:rPr>
            </w:pPr>
            <w:r>
              <w:rPr>
                <w:caps/>
                <w:snapToGrid w:val="0"/>
                <w:kern w:val="0"/>
                <w:szCs w:val="21"/>
              </w:rPr>
              <w:t>不同距离（</w:t>
            </w:r>
            <w:r>
              <w:rPr>
                <w:snapToGrid w:val="0"/>
                <w:kern w:val="0"/>
                <w:szCs w:val="21"/>
              </w:rPr>
              <w:t>m</w:t>
            </w:r>
            <w:r>
              <w:rPr>
                <w:caps/>
                <w:snapToGrid w:val="0"/>
                <w:kern w:val="0"/>
                <w:szCs w:val="21"/>
              </w:rPr>
              <w:t>）处噪声贡献值</w:t>
            </w:r>
          </w:p>
        </w:tc>
        <w:tc>
          <w:tcPr>
            <w:tcW w:w="650" w:type="pct"/>
            <w:shd w:val="clear" w:color="auto" w:fill="auto"/>
            <w:vAlign w:val="center"/>
          </w:tcPr>
          <w:p>
            <w:pPr>
              <w:jc w:val="center"/>
              <w:rPr>
                <w:caps/>
                <w:snapToGrid w:val="0"/>
                <w:kern w:val="0"/>
                <w:szCs w:val="21"/>
              </w:rPr>
            </w:pPr>
            <w:r>
              <w:rPr>
                <w:caps/>
                <w:snapToGrid w:val="0"/>
                <w:kern w:val="0"/>
                <w:szCs w:val="21"/>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61" w:type="pct"/>
            <w:vMerge w:val="continue"/>
            <w:shd w:val="clear" w:color="auto" w:fill="auto"/>
            <w:vAlign w:val="center"/>
          </w:tcPr>
          <w:p>
            <w:pPr>
              <w:jc w:val="center"/>
              <w:rPr>
                <w:snapToGrid w:val="0"/>
                <w:kern w:val="0"/>
                <w:szCs w:val="21"/>
              </w:rPr>
            </w:pPr>
          </w:p>
        </w:tc>
        <w:tc>
          <w:tcPr>
            <w:tcW w:w="525" w:type="pct"/>
            <w:vMerge w:val="continue"/>
            <w:shd w:val="clear" w:color="auto" w:fill="auto"/>
            <w:vAlign w:val="center"/>
          </w:tcPr>
          <w:p>
            <w:pPr>
              <w:jc w:val="center"/>
              <w:rPr>
                <w:snapToGrid w:val="0"/>
                <w:kern w:val="0"/>
                <w:szCs w:val="21"/>
              </w:rPr>
            </w:pPr>
          </w:p>
        </w:tc>
        <w:tc>
          <w:tcPr>
            <w:tcW w:w="261" w:type="pct"/>
            <w:vMerge w:val="continue"/>
            <w:shd w:val="clear" w:color="auto" w:fill="auto"/>
            <w:vAlign w:val="center"/>
          </w:tcPr>
          <w:p>
            <w:pPr>
              <w:jc w:val="center"/>
              <w:rPr>
                <w:snapToGrid w:val="0"/>
                <w:kern w:val="0"/>
                <w:szCs w:val="21"/>
              </w:rPr>
            </w:pPr>
          </w:p>
        </w:tc>
        <w:tc>
          <w:tcPr>
            <w:tcW w:w="367" w:type="pct"/>
            <w:shd w:val="clear" w:color="auto" w:fill="auto"/>
            <w:vAlign w:val="center"/>
          </w:tcPr>
          <w:p>
            <w:pPr>
              <w:jc w:val="center"/>
              <w:rPr>
                <w:snapToGrid w:val="0"/>
                <w:kern w:val="0"/>
                <w:szCs w:val="21"/>
              </w:rPr>
            </w:pPr>
            <w:r>
              <w:rPr>
                <w:snapToGrid w:val="0"/>
                <w:kern w:val="0"/>
                <w:szCs w:val="21"/>
              </w:rPr>
              <w:t>10</w:t>
            </w:r>
          </w:p>
        </w:tc>
        <w:tc>
          <w:tcPr>
            <w:tcW w:w="367" w:type="pct"/>
            <w:shd w:val="clear" w:color="auto" w:fill="auto"/>
            <w:vAlign w:val="center"/>
          </w:tcPr>
          <w:p>
            <w:pPr>
              <w:jc w:val="center"/>
              <w:rPr>
                <w:snapToGrid w:val="0"/>
                <w:kern w:val="0"/>
                <w:szCs w:val="21"/>
              </w:rPr>
            </w:pPr>
            <w:r>
              <w:rPr>
                <w:snapToGrid w:val="0"/>
                <w:kern w:val="0"/>
                <w:szCs w:val="21"/>
              </w:rPr>
              <w:t>20</w:t>
            </w:r>
          </w:p>
        </w:tc>
        <w:tc>
          <w:tcPr>
            <w:tcW w:w="367" w:type="pct"/>
            <w:shd w:val="clear" w:color="auto" w:fill="auto"/>
            <w:vAlign w:val="center"/>
          </w:tcPr>
          <w:p>
            <w:pPr>
              <w:jc w:val="center"/>
              <w:rPr>
                <w:snapToGrid w:val="0"/>
                <w:kern w:val="0"/>
                <w:szCs w:val="21"/>
              </w:rPr>
            </w:pPr>
            <w:r>
              <w:rPr>
                <w:snapToGrid w:val="0"/>
                <w:kern w:val="0"/>
                <w:szCs w:val="21"/>
              </w:rPr>
              <w:t>30</w:t>
            </w:r>
          </w:p>
        </w:tc>
        <w:tc>
          <w:tcPr>
            <w:tcW w:w="367" w:type="pct"/>
            <w:shd w:val="clear" w:color="auto" w:fill="auto"/>
            <w:vAlign w:val="center"/>
          </w:tcPr>
          <w:p>
            <w:pPr>
              <w:jc w:val="center"/>
              <w:rPr>
                <w:snapToGrid w:val="0"/>
                <w:kern w:val="0"/>
                <w:szCs w:val="21"/>
              </w:rPr>
            </w:pPr>
            <w:r>
              <w:rPr>
                <w:snapToGrid w:val="0"/>
                <w:kern w:val="0"/>
                <w:szCs w:val="21"/>
              </w:rPr>
              <w:t>40</w:t>
            </w:r>
          </w:p>
        </w:tc>
        <w:tc>
          <w:tcPr>
            <w:tcW w:w="367" w:type="pct"/>
            <w:shd w:val="clear" w:color="auto" w:fill="auto"/>
            <w:vAlign w:val="center"/>
          </w:tcPr>
          <w:p>
            <w:pPr>
              <w:jc w:val="center"/>
              <w:rPr>
                <w:snapToGrid w:val="0"/>
                <w:kern w:val="0"/>
                <w:szCs w:val="21"/>
              </w:rPr>
            </w:pPr>
            <w:r>
              <w:rPr>
                <w:snapToGrid w:val="0"/>
                <w:kern w:val="0"/>
                <w:szCs w:val="21"/>
              </w:rPr>
              <w:t>50</w:t>
            </w:r>
          </w:p>
        </w:tc>
        <w:tc>
          <w:tcPr>
            <w:tcW w:w="367" w:type="pct"/>
            <w:shd w:val="clear" w:color="auto" w:fill="auto"/>
            <w:vAlign w:val="center"/>
          </w:tcPr>
          <w:p>
            <w:pPr>
              <w:jc w:val="center"/>
              <w:rPr>
                <w:snapToGrid w:val="0"/>
                <w:kern w:val="0"/>
                <w:szCs w:val="21"/>
              </w:rPr>
            </w:pPr>
            <w:r>
              <w:rPr>
                <w:snapToGrid w:val="0"/>
                <w:kern w:val="0"/>
                <w:szCs w:val="21"/>
              </w:rPr>
              <w:t>80</w:t>
            </w:r>
          </w:p>
        </w:tc>
        <w:tc>
          <w:tcPr>
            <w:tcW w:w="367" w:type="pct"/>
            <w:shd w:val="clear" w:color="auto" w:fill="auto"/>
            <w:vAlign w:val="center"/>
          </w:tcPr>
          <w:p>
            <w:pPr>
              <w:jc w:val="center"/>
              <w:rPr>
                <w:snapToGrid w:val="0"/>
                <w:kern w:val="0"/>
                <w:szCs w:val="21"/>
              </w:rPr>
            </w:pPr>
            <w:r>
              <w:rPr>
                <w:snapToGrid w:val="0"/>
                <w:kern w:val="0"/>
                <w:szCs w:val="21"/>
              </w:rPr>
              <w:t>90</w:t>
            </w:r>
          </w:p>
        </w:tc>
        <w:tc>
          <w:tcPr>
            <w:tcW w:w="367" w:type="pct"/>
            <w:shd w:val="clear" w:color="auto" w:fill="auto"/>
            <w:vAlign w:val="center"/>
          </w:tcPr>
          <w:p>
            <w:pPr>
              <w:jc w:val="center"/>
              <w:rPr>
                <w:snapToGrid w:val="0"/>
                <w:kern w:val="0"/>
                <w:szCs w:val="21"/>
              </w:rPr>
            </w:pPr>
            <w:r>
              <w:rPr>
                <w:snapToGrid w:val="0"/>
                <w:kern w:val="0"/>
                <w:szCs w:val="21"/>
              </w:rPr>
              <w:t>100</w:t>
            </w:r>
          </w:p>
        </w:tc>
        <w:tc>
          <w:tcPr>
            <w:tcW w:w="367" w:type="pct"/>
            <w:shd w:val="clear" w:color="auto" w:fill="auto"/>
            <w:vAlign w:val="center"/>
          </w:tcPr>
          <w:p>
            <w:pPr>
              <w:jc w:val="center"/>
              <w:rPr>
                <w:snapToGrid w:val="0"/>
                <w:kern w:val="0"/>
                <w:szCs w:val="21"/>
              </w:rPr>
            </w:pPr>
            <w:r>
              <w:rPr>
                <w:snapToGrid w:val="0"/>
                <w:kern w:val="0"/>
                <w:szCs w:val="21"/>
              </w:rPr>
              <w:t>200</w:t>
            </w:r>
          </w:p>
        </w:tc>
        <w:tc>
          <w:tcPr>
            <w:tcW w:w="650" w:type="pct"/>
            <w:shd w:val="clear" w:color="auto" w:fill="auto"/>
            <w:vAlign w:val="center"/>
          </w:tcPr>
          <w:p>
            <w:pPr>
              <w:jc w:val="center"/>
              <w:rPr>
                <w:snapToGrid w:val="0"/>
                <w:kern w:val="0"/>
                <w:szCs w:val="21"/>
              </w:rPr>
            </w:pPr>
            <w:r>
              <w:rPr>
                <w:rFonts w:hint="eastAsia"/>
                <w:snapToGrid w:val="0"/>
                <w:kern w:val="0"/>
                <w:szCs w:val="21"/>
              </w:rPr>
              <w:t>场</w:t>
            </w:r>
            <w:r>
              <w:rPr>
                <w:snapToGrid w:val="0"/>
                <w:kern w:val="0"/>
                <w:szCs w:val="21"/>
              </w:rPr>
              <w:t>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61" w:type="pct"/>
            <w:shd w:val="clear" w:color="auto" w:fill="auto"/>
            <w:vAlign w:val="center"/>
          </w:tcPr>
          <w:p>
            <w:pPr>
              <w:jc w:val="center"/>
              <w:rPr>
                <w:snapToGrid w:val="0"/>
                <w:kern w:val="0"/>
                <w:szCs w:val="21"/>
              </w:rPr>
            </w:pPr>
            <w:r>
              <w:rPr>
                <w:snapToGrid w:val="0"/>
                <w:kern w:val="0"/>
                <w:szCs w:val="21"/>
              </w:rPr>
              <w:t>1</w:t>
            </w:r>
          </w:p>
        </w:tc>
        <w:tc>
          <w:tcPr>
            <w:tcW w:w="525" w:type="pct"/>
            <w:shd w:val="clear" w:color="auto" w:fill="auto"/>
            <w:vAlign w:val="center"/>
          </w:tcPr>
          <w:p>
            <w:pPr>
              <w:spacing w:line="360" w:lineRule="auto"/>
              <w:jc w:val="center"/>
              <w:rPr>
                <w:snapToGrid w:val="0"/>
                <w:kern w:val="0"/>
                <w:szCs w:val="21"/>
              </w:rPr>
            </w:pPr>
            <w:r>
              <w:rPr>
                <w:snapToGrid w:val="0"/>
                <w:kern w:val="0"/>
                <w:szCs w:val="21"/>
              </w:rPr>
              <w:t>汽车</w:t>
            </w:r>
          </w:p>
        </w:tc>
        <w:tc>
          <w:tcPr>
            <w:tcW w:w="261" w:type="pct"/>
            <w:shd w:val="clear" w:color="auto" w:fill="auto"/>
            <w:vAlign w:val="center"/>
          </w:tcPr>
          <w:p>
            <w:pPr>
              <w:spacing w:line="360" w:lineRule="auto"/>
              <w:jc w:val="center"/>
              <w:rPr>
                <w:szCs w:val="21"/>
              </w:rPr>
            </w:pPr>
            <w:r>
              <w:rPr>
                <w:rFonts w:hint="eastAsia"/>
                <w:szCs w:val="21"/>
              </w:rPr>
              <w:t>7</w:t>
            </w:r>
            <w:r>
              <w:rPr>
                <w:szCs w:val="21"/>
              </w:rPr>
              <w:t>5</w:t>
            </w:r>
          </w:p>
        </w:tc>
        <w:tc>
          <w:tcPr>
            <w:tcW w:w="367" w:type="pct"/>
            <w:shd w:val="clear" w:color="auto" w:fill="auto"/>
            <w:vAlign w:val="center"/>
          </w:tcPr>
          <w:p>
            <w:pPr>
              <w:jc w:val="center"/>
              <w:rPr>
                <w:rFonts w:ascii="宋体" w:hAnsi="宋体" w:cs="宋体"/>
                <w:szCs w:val="21"/>
              </w:rPr>
            </w:pPr>
            <w:r>
              <w:rPr>
                <w:rFonts w:hint="eastAsia"/>
                <w:szCs w:val="21"/>
              </w:rPr>
              <w:t>55</w:t>
            </w:r>
          </w:p>
        </w:tc>
        <w:tc>
          <w:tcPr>
            <w:tcW w:w="367" w:type="pct"/>
            <w:shd w:val="clear" w:color="auto" w:fill="auto"/>
            <w:vAlign w:val="center"/>
          </w:tcPr>
          <w:p>
            <w:pPr>
              <w:jc w:val="center"/>
              <w:rPr>
                <w:rFonts w:ascii="宋体" w:hAnsi="宋体" w:cs="宋体"/>
                <w:szCs w:val="21"/>
              </w:rPr>
            </w:pPr>
            <w:r>
              <w:rPr>
                <w:rFonts w:hint="eastAsia"/>
                <w:szCs w:val="21"/>
              </w:rPr>
              <w:t>49</w:t>
            </w:r>
          </w:p>
        </w:tc>
        <w:tc>
          <w:tcPr>
            <w:tcW w:w="367" w:type="pct"/>
            <w:shd w:val="clear" w:color="auto" w:fill="auto"/>
            <w:vAlign w:val="center"/>
          </w:tcPr>
          <w:p>
            <w:pPr>
              <w:jc w:val="center"/>
              <w:rPr>
                <w:rFonts w:ascii="宋体" w:hAnsi="宋体" w:cs="宋体"/>
                <w:szCs w:val="21"/>
              </w:rPr>
            </w:pPr>
            <w:r>
              <w:rPr>
                <w:rFonts w:hint="eastAsia"/>
                <w:szCs w:val="21"/>
              </w:rPr>
              <w:t>45.5</w:t>
            </w:r>
          </w:p>
        </w:tc>
        <w:tc>
          <w:tcPr>
            <w:tcW w:w="367" w:type="pct"/>
            <w:shd w:val="clear" w:color="auto" w:fill="auto"/>
            <w:vAlign w:val="center"/>
          </w:tcPr>
          <w:p>
            <w:pPr>
              <w:jc w:val="center"/>
              <w:rPr>
                <w:rFonts w:ascii="宋体" w:hAnsi="宋体" w:cs="宋体"/>
                <w:szCs w:val="21"/>
              </w:rPr>
            </w:pPr>
            <w:r>
              <w:rPr>
                <w:rFonts w:hint="eastAsia"/>
                <w:szCs w:val="21"/>
              </w:rPr>
              <w:t>43</w:t>
            </w:r>
          </w:p>
        </w:tc>
        <w:tc>
          <w:tcPr>
            <w:tcW w:w="367" w:type="pct"/>
            <w:shd w:val="clear" w:color="auto" w:fill="auto"/>
            <w:vAlign w:val="center"/>
          </w:tcPr>
          <w:p>
            <w:pPr>
              <w:jc w:val="center"/>
              <w:rPr>
                <w:rFonts w:ascii="宋体" w:hAnsi="宋体" w:cs="宋体"/>
                <w:szCs w:val="21"/>
              </w:rPr>
            </w:pPr>
            <w:r>
              <w:rPr>
                <w:rFonts w:hint="eastAsia"/>
                <w:szCs w:val="21"/>
              </w:rPr>
              <w:t>41</w:t>
            </w:r>
          </w:p>
        </w:tc>
        <w:tc>
          <w:tcPr>
            <w:tcW w:w="367" w:type="pct"/>
            <w:shd w:val="clear" w:color="auto" w:fill="auto"/>
            <w:vAlign w:val="center"/>
          </w:tcPr>
          <w:p>
            <w:pPr>
              <w:jc w:val="center"/>
              <w:rPr>
                <w:rFonts w:ascii="宋体" w:hAnsi="宋体" w:cs="宋体"/>
                <w:szCs w:val="21"/>
              </w:rPr>
            </w:pPr>
            <w:r>
              <w:rPr>
                <w:rFonts w:hint="eastAsia"/>
                <w:szCs w:val="21"/>
              </w:rPr>
              <w:t>36.9</w:t>
            </w:r>
          </w:p>
        </w:tc>
        <w:tc>
          <w:tcPr>
            <w:tcW w:w="367" w:type="pct"/>
            <w:shd w:val="clear" w:color="auto" w:fill="auto"/>
            <w:vAlign w:val="center"/>
          </w:tcPr>
          <w:p>
            <w:pPr>
              <w:jc w:val="center"/>
              <w:rPr>
                <w:rFonts w:ascii="宋体" w:hAnsi="宋体" w:cs="宋体"/>
                <w:szCs w:val="21"/>
              </w:rPr>
            </w:pPr>
            <w:r>
              <w:rPr>
                <w:rFonts w:hint="eastAsia"/>
                <w:szCs w:val="21"/>
              </w:rPr>
              <w:t>35.9</w:t>
            </w:r>
          </w:p>
        </w:tc>
        <w:tc>
          <w:tcPr>
            <w:tcW w:w="367" w:type="pct"/>
            <w:shd w:val="clear" w:color="auto" w:fill="auto"/>
            <w:vAlign w:val="center"/>
          </w:tcPr>
          <w:p>
            <w:pPr>
              <w:jc w:val="center"/>
              <w:rPr>
                <w:rFonts w:ascii="宋体" w:hAnsi="宋体" w:cs="宋体"/>
                <w:szCs w:val="21"/>
              </w:rPr>
            </w:pPr>
            <w:r>
              <w:rPr>
                <w:rFonts w:hint="eastAsia"/>
                <w:szCs w:val="21"/>
              </w:rPr>
              <w:t>35</w:t>
            </w:r>
          </w:p>
        </w:tc>
        <w:tc>
          <w:tcPr>
            <w:tcW w:w="367" w:type="pct"/>
            <w:shd w:val="clear" w:color="auto" w:fill="auto"/>
            <w:vAlign w:val="center"/>
          </w:tcPr>
          <w:p>
            <w:pPr>
              <w:jc w:val="center"/>
              <w:rPr>
                <w:rFonts w:ascii="宋体" w:hAnsi="宋体" w:cs="宋体"/>
                <w:szCs w:val="21"/>
              </w:rPr>
            </w:pPr>
            <w:r>
              <w:rPr>
                <w:rFonts w:hint="eastAsia"/>
                <w:szCs w:val="21"/>
              </w:rPr>
              <w:t>29</w:t>
            </w:r>
          </w:p>
        </w:tc>
        <w:tc>
          <w:tcPr>
            <w:tcW w:w="650" w:type="pct"/>
            <w:vMerge w:val="restart"/>
            <w:shd w:val="clear" w:color="auto" w:fill="auto"/>
            <w:vAlign w:val="center"/>
          </w:tcPr>
          <w:p>
            <w:pPr>
              <w:jc w:val="center"/>
              <w:rPr>
                <w:snapToGrid w:val="0"/>
                <w:kern w:val="0"/>
                <w:szCs w:val="21"/>
              </w:rPr>
            </w:pPr>
            <w:r>
              <w:rPr>
                <w:snapToGrid w:val="0"/>
                <w:kern w:val="0"/>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61" w:type="pct"/>
            <w:shd w:val="clear" w:color="auto" w:fill="auto"/>
            <w:vAlign w:val="center"/>
          </w:tcPr>
          <w:p>
            <w:pPr>
              <w:jc w:val="center"/>
              <w:rPr>
                <w:snapToGrid w:val="0"/>
                <w:kern w:val="0"/>
                <w:szCs w:val="21"/>
              </w:rPr>
            </w:pPr>
            <w:r>
              <w:rPr>
                <w:snapToGrid w:val="0"/>
                <w:kern w:val="0"/>
                <w:szCs w:val="21"/>
              </w:rPr>
              <w:t>2</w:t>
            </w:r>
          </w:p>
        </w:tc>
        <w:tc>
          <w:tcPr>
            <w:tcW w:w="525" w:type="pct"/>
            <w:shd w:val="clear" w:color="auto" w:fill="auto"/>
            <w:vAlign w:val="center"/>
          </w:tcPr>
          <w:p>
            <w:pPr>
              <w:spacing w:line="360" w:lineRule="auto"/>
              <w:jc w:val="center"/>
              <w:rPr>
                <w:snapToGrid w:val="0"/>
                <w:kern w:val="0"/>
                <w:szCs w:val="21"/>
              </w:rPr>
            </w:pPr>
            <w:r>
              <w:rPr>
                <w:snapToGrid w:val="0"/>
                <w:kern w:val="0"/>
                <w:szCs w:val="21"/>
              </w:rPr>
              <w:t>装载机</w:t>
            </w:r>
          </w:p>
        </w:tc>
        <w:tc>
          <w:tcPr>
            <w:tcW w:w="261" w:type="pct"/>
            <w:shd w:val="clear" w:color="auto" w:fill="auto"/>
            <w:vAlign w:val="center"/>
          </w:tcPr>
          <w:p>
            <w:pPr>
              <w:spacing w:line="360" w:lineRule="auto"/>
              <w:jc w:val="center"/>
              <w:rPr>
                <w:szCs w:val="21"/>
              </w:rPr>
            </w:pPr>
            <w:r>
              <w:rPr>
                <w:szCs w:val="21"/>
              </w:rPr>
              <w:t>95</w:t>
            </w:r>
          </w:p>
        </w:tc>
        <w:tc>
          <w:tcPr>
            <w:tcW w:w="367" w:type="pct"/>
            <w:shd w:val="clear" w:color="auto" w:fill="auto"/>
            <w:vAlign w:val="center"/>
          </w:tcPr>
          <w:p>
            <w:pPr>
              <w:jc w:val="center"/>
              <w:rPr>
                <w:rFonts w:ascii="宋体" w:hAnsi="宋体" w:cs="宋体"/>
                <w:szCs w:val="21"/>
              </w:rPr>
            </w:pPr>
            <w:r>
              <w:rPr>
                <w:rFonts w:hint="eastAsia"/>
                <w:szCs w:val="21"/>
              </w:rPr>
              <w:t>75</w:t>
            </w:r>
          </w:p>
        </w:tc>
        <w:tc>
          <w:tcPr>
            <w:tcW w:w="367" w:type="pct"/>
            <w:shd w:val="clear" w:color="auto" w:fill="auto"/>
            <w:vAlign w:val="center"/>
          </w:tcPr>
          <w:p>
            <w:pPr>
              <w:jc w:val="center"/>
              <w:rPr>
                <w:rFonts w:ascii="宋体" w:hAnsi="宋体" w:cs="宋体"/>
                <w:szCs w:val="21"/>
              </w:rPr>
            </w:pPr>
            <w:r>
              <w:rPr>
                <w:rFonts w:hint="eastAsia"/>
                <w:szCs w:val="21"/>
              </w:rPr>
              <w:t>69</w:t>
            </w:r>
          </w:p>
        </w:tc>
        <w:tc>
          <w:tcPr>
            <w:tcW w:w="367" w:type="pct"/>
            <w:shd w:val="clear" w:color="auto" w:fill="auto"/>
            <w:vAlign w:val="center"/>
          </w:tcPr>
          <w:p>
            <w:pPr>
              <w:jc w:val="center"/>
              <w:rPr>
                <w:rFonts w:ascii="宋体" w:hAnsi="宋体" w:cs="宋体"/>
                <w:szCs w:val="21"/>
              </w:rPr>
            </w:pPr>
            <w:r>
              <w:rPr>
                <w:rFonts w:hint="eastAsia"/>
                <w:szCs w:val="21"/>
              </w:rPr>
              <w:t>65.5</w:t>
            </w:r>
          </w:p>
        </w:tc>
        <w:tc>
          <w:tcPr>
            <w:tcW w:w="367" w:type="pct"/>
            <w:shd w:val="clear" w:color="auto" w:fill="auto"/>
            <w:vAlign w:val="center"/>
          </w:tcPr>
          <w:p>
            <w:pPr>
              <w:jc w:val="center"/>
              <w:rPr>
                <w:rFonts w:ascii="宋体" w:hAnsi="宋体" w:cs="宋体"/>
                <w:szCs w:val="21"/>
              </w:rPr>
            </w:pPr>
            <w:r>
              <w:rPr>
                <w:rFonts w:hint="eastAsia"/>
                <w:szCs w:val="21"/>
              </w:rPr>
              <w:t>63</w:t>
            </w:r>
          </w:p>
        </w:tc>
        <w:tc>
          <w:tcPr>
            <w:tcW w:w="367" w:type="pct"/>
            <w:shd w:val="clear" w:color="auto" w:fill="auto"/>
            <w:vAlign w:val="center"/>
          </w:tcPr>
          <w:p>
            <w:pPr>
              <w:jc w:val="center"/>
              <w:rPr>
                <w:rFonts w:ascii="宋体" w:hAnsi="宋体" w:cs="宋体"/>
                <w:szCs w:val="21"/>
              </w:rPr>
            </w:pPr>
            <w:r>
              <w:rPr>
                <w:rFonts w:hint="eastAsia"/>
                <w:szCs w:val="21"/>
              </w:rPr>
              <w:t>61</w:t>
            </w:r>
          </w:p>
        </w:tc>
        <w:tc>
          <w:tcPr>
            <w:tcW w:w="367" w:type="pct"/>
            <w:shd w:val="clear" w:color="auto" w:fill="auto"/>
            <w:vAlign w:val="center"/>
          </w:tcPr>
          <w:p>
            <w:pPr>
              <w:jc w:val="center"/>
              <w:rPr>
                <w:rFonts w:ascii="宋体" w:hAnsi="宋体" w:cs="宋体"/>
                <w:szCs w:val="21"/>
              </w:rPr>
            </w:pPr>
            <w:r>
              <w:rPr>
                <w:rFonts w:hint="eastAsia"/>
                <w:szCs w:val="21"/>
              </w:rPr>
              <w:t>56.9</w:t>
            </w:r>
          </w:p>
        </w:tc>
        <w:tc>
          <w:tcPr>
            <w:tcW w:w="367" w:type="pct"/>
            <w:shd w:val="clear" w:color="auto" w:fill="auto"/>
            <w:vAlign w:val="center"/>
          </w:tcPr>
          <w:p>
            <w:pPr>
              <w:jc w:val="center"/>
              <w:rPr>
                <w:rFonts w:ascii="宋体" w:hAnsi="宋体" w:cs="宋体"/>
                <w:szCs w:val="21"/>
              </w:rPr>
            </w:pPr>
            <w:r>
              <w:rPr>
                <w:rFonts w:hint="eastAsia"/>
                <w:szCs w:val="21"/>
              </w:rPr>
              <w:t>55.9</w:t>
            </w:r>
          </w:p>
        </w:tc>
        <w:tc>
          <w:tcPr>
            <w:tcW w:w="367" w:type="pct"/>
            <w:shd w:val="clear" w:color="auto" w:fill="auto"/>
            <w:vAlign w:val="center"/>
          </w:tcPr>
          <w:p>
            <w:pPr>
              <w:jc w:val="center"/>
              <w:rPr>
                <w:rFonts w:ascii="宋体" w:hAnsi="宋体" w:cs="宋体"/>
                <w:szCs w:val="21"/>
              </w:rPr>
            </w:pPr>
            <w:r>
              <w:rPr>
                <w:rFonts w:hint="eastAsia"/>
                <w:szCs w:val="21"/>
              </w:rPr>
              <w:t>55</w:t>
            </w:r>
          </w:p>
        </w:tc>
        <w:tc>
          <w:tcPr>
            <w:tcW w:w="367" w:type="pct"/>
            <w:shd w:val="clear" w:color="auto" w:fill="auto"/>
            <w:vAlign w:val="center"/>
          </w:tcPr>
          <w:p>
            <w:pPr>
              <w:jc w:val="center"/>
              <w:rPr>
                <w:rFonts w:ascii="宋体" w:hAnsi="宋体" w:cs="宋体"/>
                <w:szCs w:val="21"/>
              </w:rPr>
            </w:pPr>
            <w:r>
              <w:rPr>
                <w:rFonts w:hint="eastAsia"/>
                <w:szCs w:val="21"/>
              </w:rPr>
              <w:t>49</w:t>
            </w:r>
          </w:p>
        </w:tc>
        <w:tc>
          <w:tcPr>
            <w:tcW w:w="650" w:type="pct"/>
            <w:vMerge w:val="continue"/>
            <w:shd w:val="clear" w:color="auto" w:fill="auto"/>
            <w:vAlign w:val="center"/>
          </w:tcPr>
          <w:p>
            <w:pPr>
              <w:jc w:val="center"/>
              <w:rPr>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61" w:type="pct"/>
            <w:shd w:val="clear" w:color="auto" w:fill="auto"/>
            <w:vAlign w:val="center"/>
          </w:tcPr>
          <w:p>
            <w:pPr>
              <w:jc w:val="center"/>
              <w:rPr>
                <w:snapToGrid w:val="0"/>
                <w:kern w:val="0"/>
                <w:szCs w:val="21"/>
              </w:rPr>
            </w:pPr>
            <w:r>
              <w:rPr>
                <w:snapToGrid w:val="0"/>
                <w:kern w:val="0"/>
                <w:szCs w:val="21"/>
              </w:rPr>
              <w:t>3</w:t>
            </w:r>
          </w:p>
        </w:tc>
        <w:tc>
          <w:tcPr>
            <w:tcW w:w="525" w:type="pct"/>
            <w:shd w:val="clear" w:color="auto" w:fill="auto"/>
            <w:vAlign w:val="center"/>
          </w:tcPr>
          <w:p>
            <w:pPr>
              <w:spacing w:line="360" w:lineRule="auto"/>
              <w:jc w:val="center"/>
              <w:rPr>
                <w:snapToGrid w:val="0"/>
                <w:kern w:val="0"/>
                <w:szCs w:val="21"/>
              </w:rPr>
            </w:pPr>
            <w:r>
              <w:rPr>
                <w:snapToGrid w:val="0"/>
                <w:kern w:val="0"/>
                <w:szCs w:val="21"/>
              </w:rPr>
              <w:t>挖掘机</w:t>
            </w:r>
          </w:p>
        </w:tc>
        <w:tc>
          <w:tcPr>
            <w:tcW w:w="261" w:type="pct"/>
            <w:shd w:val="clear" w:color="auto" w:fill="auto"/>
            <w:vAlign w:val="center"/>
          </w:tcPr>
          <w:p>
            <w:pPr>
              <w:spacing w:line="360" w:lineRule="auto"/>
              <w:jc w:val="center"/>
              <w:rPr>
                <w:szCs w:val="21"/>
              </w:rPr>
            </w:pPr>
            <w:r>
              <w:rPr>
                <w:szCs w:val="21"/>
              </w:rPr>
              <w:t>9</w:t>
            </w:r>
            <w:r>
              <w:rPr>
                <w:rFonts w:hint="eastAsia"/>
                <w:szCs w:val="21"/>
              </w:rPr>
              <w:t>0</w:t>
            </w:r>
          </w:p>
        </w:tc>
        <w:tc>
          <w:tcPr>
            <w:tcW w:w="367" w:type="pct"/>
            <w:shd w:val="clear" w:color="auto" w:fill="auto"/>
            <w:vAlign w:val="center"/>
          </w:tcPr>
          <w:p>
            <w:pPr>
              <w:jc w:val="center"/>
              <w:rPr>
                <w:rFonts w:ascii="宋体" w:hAnsi="宋体" w:cs="宋体"/>
                <w:szCs w:val="21"/>
              </w:rPr>
            </w:pPr>
            <w:r>
              <w:rPr>
                <w:rFonts w:hint="eastAsia"/>
                <w:szCs w:val="21"/>
              </w:rPr>
              <w:t>70</w:t>
            </w:r>
          </w:p>
        </w:tc>
        <w:tc>
          <w:tcPr>
            <w:tcW w:w="367" w:type="pct"/>
            <w:shd w:val="clear" w:color="auto" w:fill="auto"/>
            <w:vAlign w:val="center"/>
          </w:tcPr>
          <w:p>
            <w:pPr>
              <w:jc w:val="center"/>
              <w:rPr>
                <w:rFonts w:ascii="宋体" w:hAnsi="宋体" w:cs="宋体"/>
                <w:szCs w:val="21"/>
              </w:rPr>
            </w:pPr>
            <w:r>
              <w:rPr>
                <w:rFonts w:hint="eastAsia"/>
                <w:szCs w:val="21"/>
              </w:rPr>
              <w:t>64</w:t>
            </w:r>
          </w:p>
        </w:tc>
        <w:tc>
          <w:tcPr>
            <w:tcW w:w="367" w:type="pct"/>
            <w:shd w:val="clear" w:color="auto" w:fill="auto"/>
            <w:vAlign w:val="center"/>
          </w:tcPr>
          <w:p>
            <w:pPr>
              <w:jc w:val="center"/>
              <w:rPr>
                <w:rFonts w:ascii="宋体" w:hAnsi="宋体" w:cs="宋体"/>
                <w:szCs w:val="21"/>
              </w:rPr>
            </w:pPr>
            <w:r>
              <w:rPr>
                <w:rFonts w:hint="eastAsia"/>
                <w:szCs w:val="21"/>
              </w:rPr>
              <w:t>60.5</w:t>
            </w:r>
          </w:p>
        </w:tc>
        <w:tc>
          <w:tcPr>
            <w:tcW w:w="367" w:type="pct"/>
            <w:shd w:val="clear" w:color="auto" w:fill="auto"/>
            <w:vAlign w:val="center"/>
          </w:tcPr>
          <w:p>
            <w:pPr>
              <w:jc w:val="center"/>
              <w:rPr>
                <w:rFonts w:ascii="宋体" w:hAnsi="宋体" w:cs="宋体"/>
                <w:szCs w:val="21"/>
              </w:rPr>
            </w:pPr>
            <w:r>
              <w:rPr>
                <w:rFonts w:hint="eastAsia"/>
                <w:szCs w:val="21"/>
              </w:rPr>
              <w:t>58</w:t>
            </w:r>
          </w:p>
        </w:tc>
        <w:tc>
          <w:tcPr>
            <w:tcW w:w="367" w:type="pct"/>
            <w:shd w:val="clear" w:color="auto" w:fill="auto"/>
            <w:vAlign w:val="center"/>
          </w:tcPr>
          <w:p>
            <w:pPr>
              <w:jc w:val="center"/>
              <w:rPr>
                <w:rFonts w:ascii="宋体" w:hAnsi="宋体" w:cs="宋体"/>
                <w:szCs w:val="21"/>
              </w:rPr>
            </w:pPr>
            <w:r>
              <w:rPr>
                <w:rFonts w:hint="eastAsia"/>
                <w:szCs w:val="21"/>
              </w:rPr>
              <w:t>56</w:t>
            </w:r>
          </w:p>
        </w:tc>
        <w:tc>
          <w:tcPr>
            <w:tcW w:w="367" w:type="pct"/>
            <w:shd w:val="clear" w:color="auto" w:fill="auto"/>
            <w:vAlign w:val="center"/>
          </w:tcPr>
          <w:p>
            <w:pPr>
              <w:jc w:val="center"/>
              <w:rPr>
                <w:rFonts w:ascii="宋体" w:hAnsi="宋体" w:cs="宋体"/>
                <w:szCs w:val="21"/>
              </w:rPr>
            </w:pPr>
            <w:r>
              <w:rPr>
                <w:rFonts w:hint="eastAsia"/>
                <w:szCs w:val="21"/>
              </w:rPr>
              <w:t>51.9</w:t>
            </w:r>
          </w:p>
        </w:tc>
        <w:tc>
          <w:tcPr>
            <w:tcW w:w="367" w:type="pct"/>
            <w:shd w:val="clear" w:color="auto" w:fill="auto"/>
            <w:vAlign w:val="center"/>
          </w:tcPr>
          <w:p>
            <w:pPr>
              <w:jc w:val="center"/>
              <w:rPr>
                <w:rFonts w:ascii="宋体" w:hAnsi="宋体" w:cs="宋体"/>
                <w:szCs w:val="21"/>
              </w:rPr>
            </w:pPr>
            <w:r>
              <w:rPr>
                <w:rFonts w:hint="eastAsia"/>
                <w:szCs w:val="21"/>
              </w:rPr>
              <w:t>50.9</w:t>
            </w:r>
          </w:p>
        </w:tc>
        <w:tc>
          <w:tcPr>
            <w:tcW w:w="367" w:type="pct"/>
            <w:shd w:val="clear" w:color="auto" w:fill="auto"/>
            <w:vAlign w:val="center"/>
          </w:tcPr>
          <w:p>
            <w:pPr>
              <w:jc w:val="center"/>
              <w:rPr>
                <w:rFonts w:ascii="宋体" w:hAnsi="宋体" w:cs="宋体"/>
                <w:szCs w:val="21"/>
              </w:rPr>
            </w:pPr>
            <w:r>
              <w:rPr>
                <w:rFonts w:hint="eastAsia"/>
                <w:szCs w:val="21"/>
              </w:rPr>
              <w:t>50</w:t>
            </w:r>
          </w:p>
        </w:tc>
        <w:tc>
          <w:tcPr>
            <w:tcW w:w="367" w:type="pct"/>
            <w:shd w:val="clear" w:color="auto" w:fill="auto"/>
            <w:vAlign w:val="center"/>
          </w:tcPr>
          <w:p>
            <w:pPr>
              <w:jc w:val="center"/>
              <w:rPr>
                <w:rFonts w:ascii="宋体" w:hAnsi="宋体" w:cs="宋体"/>
                <w:szCs w:val="21"/>
              </w:rPr>
            </w:pPr>
            <w:r>
              <w:rPr>
                <w:rFonts w:hint="eastAsia"/>
                <w:szCs w:val="21"/>
              </w:rPr>
              <w:t>44</w:t>
            </w:r>
          </w:p>
        </w:tc>
        <w:tc>
          <w:tcPr>
            <w:tcW w:w="650" w:type="pct"/>
            <w:vMerge w:val="continue"/>
            <w:shd w:val="clear" w:color="auto" w:fill="auto"/>
            <w:vAlign w:val="center"/>
          </w:tcPr>
          <w:p>
            <w:pPr>
              <w:jc w:val="center"/>
              <w:rPr>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61" w:type="pct"/>
            <w:shd w:val="clear" w:color="auto" w:fill="auto"/>
            <w:vAlign w:val="center"/>
          </w:tcPr>
          <w:p>
            <w:pPr>
              <w:jc w:val="center"/>
              <w:rPr>
                <w:snapToGrid w:val="0"/>
                <w:kern w:val="0"/>
                <w:szCs w:val="21"/>
              </w:rPr>
            </w:pPr>
            <w:r>
              <w:rPr>
                <w:rFonts w:hint="eastAsia"/>
                <w:snapToGrid w:val="0"/>
                <w:kern w:val="0"/>
                <w:szCs w:val="21"/>
              </w:rPr>
              <w:t>4</w:t>
            </w:r>
          </w:p>
        </w:tc>
        <w:tc>
          <w:tcPr>
            <w:tcW w:w="525" w:type="pct"/>
            <w:shd w:val="clear" w:color="auto" w:fill="auto"/>
            <w:vAlign w:val="center"/>
          </w:tcPr>
          <w:p>
            <w:pPr>
              <w:jc w:val="center"/>
              <w:rPr>
                <w:snapToGrid w:val="0"/>
                <w:kern w:val="0"/>
                <w:szCs w:val="21"/>
              </w:rPr>
            </w:pPr>
            <w:r>
              <w:rPr>
                <w:snapToGrid w:val="0"/>
                <w:kern w:val="0"/>
                <w:szCs w:val="21"/>
              </w:rPr>
              <w:t>振捣棒</w:t>
            </w:r>
          </w:p>
        </w:tc>
        <w:tc>
          <w:tcPr>
            <w:tcW w:w="261" w:type="pct"/>
            <w:shd w:val="clear" w:color="auto" w:fill="auto"/>
            <w:vAlign w:val="center"/>
          </w:tcPr>
          <w:p>
            <w:pPr>
              <w:spacing w:line="360" w:lineRule="auto"/>
              <w:jc w:val="center"/>
              <w:rPr>
                <w:szCs w:val="21"/>
              </w:rPr>
            </w:pPr>
            <w:r>
              <w:rPr>
                <w:rFonts w:hint="eastAsia"/>
                <w:szCs w:val="21"/>
              </w:rPr>
              <w:t>95</w:t>
            </w:r>
          </w:p>
        </w:tc>
        <w:tc>
          <w:tcPr>
            <w:tcW w:w="367" w:type="pct"/>
            <w:shd w:val="clear" w:color="auto" w:fill="auto"/>
            <w:vAlign w:val="center"/>
          </w:tcPr>
          <w:p>
            <w:pPr>
              <w:jc w:val="center"/>
              <w:rPr>
                <w:rFonts w:ascii="宋体" w:hAnsi="宋体" w:cs="宋体"/>
                <w:szCs w:val="21"/>
              </w:rPr>
            </w:pPr>
            <w:r>
              <w:rPr>
                <w:rFonts w:hint="eastAsia"/>
                <w:szCs w:val="21"/>
              </w:rPr>
              <w:t>75</w:t>
            </w:r>
          </w:p>
        </w:tc>
        <w:tc>
          <w:tcPr>
            <w:tcW w:w="367" w:type="pct"/>
            <w:shd w:val="clear" w:color="auto" w:fill="auto"/>
            <w:vAlign w:val="center"/>
          </w:tcPr>
          <w:p>
            <w:pPr>
              <w:jc w:val="center"/>
              <w:rPr>
                <w:rFonts w:ascii="宋体" w:hAnsi="宋体" w:cs="宋体"/>
                <w:szCs w:val="21"/>
              </w:rPr>
            </w:pPr>
            <w:r>
              <w:rPr>
                <w:rFonts w:hint="eastAsia"/>
                <w:szCs w:val="21"/>
              </w:rPr>
              <w:t>69</w:t>
            </w:r>
          </w:p>
        </w:tc>
        <w:tc>
          <w:tcPr>
            <w:tcW w:w="367" w:type="pct"/>
            <w:shd w:val="clear" w:color="auto" w:fill="auto"/>
            <w:vAlign w:val="center"/>
          </w:tcPr>
          <w:p>
            <w:pPr>
              <w:jc w:val="center"/>
              <w:rPr>
                <w:rFonts w:ascii="宋体" w:hAnsi="宋体" w:cs="宋体"/>
                <w:szCs w:val="21"/>
              </w:rPr>
            </w:pPr>
            <w:r>
              <w:rPr>
                <w:rFonts w:hint="eastAsia"/>
                <w:szCs w:val="21"/>
              </w:rPr>
              <w:t>65.5</w:t>
            </w:r>
          </w:p>
        </w:tc>
        <w:tc>
          <w:tcPr>
            <w:tcW w:w="367" w:type="pct"/>
            <w:shd w:val="clear" w:color="auto" w:fill="auto"/>
            <w:vAlign w:val="center"/>
          </w:tcPr>
          <w:p>
            <w:pPr>
              <w:jc w:val="center"/>
              <w:rPr>
                <w:rFonts w:ascii="宋体" w:hAnsi="宋体" w:cs="宋体"/>
                <w:szCs w:val="21"/>
              </w:rPr>
            </w:pPr>
            <w:r>
              <w:rPr>
                <w:rFonts w:hint="eastAsia"/>
                <w:szCs w:val="21"/>
              </w:rPr>
              <w:t>63</w:t>
            </w:r>
          </w:p>
        </w:tc>
        <w:tc>
          <w:tcPr>
            <w:tcW w:w="367" w:type="pct"/>
            <w:shd w:val="clear" w:color="auto" w:fill="auto"/>
            <w:vAlign w:val="center"/>
          </w:tcPr>
          <w:p>
            <w:pPr>
              <w:jc w:val="center"/>
              <w:rPr>
                <w:rFonts w:ascii="宋体" w:hAnsi="宋体" w:cs="宋体"/>
                <w:szCs w:val="21"/>
              </w:rPr>
            </w:pPr>
            <w:r>
              <w:rPr>
                <w:rFonts w:hint="eastAsia"/>
                <w:szCs w:val="21"/>
              </w:rPr>
              <w:t>61</w:t>
            </w:r>
          </w:p>
        </w:tc>
        <w:tc>
          <w:tcPr>
            <w:tcW w:w="367" w:type="pct"/>
            <w:shd w:val="clear" w:color="auto" w:fill="auto"/>
            <w:vAlign w:val="center"/>
          </w:tcPr>
          <w:p>
            <w:pPr>
              <w:jc w:val="center"/>
              <w:rPr>
                <w:rFonts w:ascii="宋体" w:hAnsi="宋体" w:cs="宋体"/>
                <w:szCs w:val="21"/>
              </w:rPr>
            </w:pPr>
            <w:r>
              <w:rPr>
                <w:rFonts w:hint="eastAsia"/>
                <w:szCs w:val="21"/>
              </w:rPr>
              <w:t>56.9</w:t>
            </w:r>
          </w:p>
        </w:tc>
        <w:tc>
          <w:tcPr>
            <w:tcW w:w="367" w:type="pct"/>
            <w:shd w:val="clear" w:color="auto" w:fill="auto"/>
            <w:vAlign w:val="center"/>
          </w:tcPr>
          <w:p>
            <w:pPr>
              <w:jc w:val="center"/>
              <w:rPr>
                <w:rFonts w:ascii="宋体" w:hAnsi="宋体" w:cs="宋体"/>
                <w:szCs w:val="21"/>
              </w:rPr>
            </w:pPr>
            <w:r>
              <w:rPr>
                <w:rFonts w:hint="eastAsia"/>
                <w:szCs w:val="21"/>
              </w:rPr>
              <w:t>55.9</w:t>
            </w:r>
          </w:p>
        </w:tc>
        <w:tc>
          <w:tcPr>
            <w:tcW w:w="367" w:type="pct"/>
            <w:shd w:val="clear" w:color="auto" w:fill="auto"/>
            <w:vAlign w:val="center"/>
          </w:tcPr>
          <w:p>
            <w:pPr>
              <w:jc w:val="center"/>
              <w:rPr>
                <w:rFonts w:ascii="宋体" w:hAnsi="宋体" w:cs="宋体"/>
                <w:szCs w:val="21"/>
              </w:rPr>
            </w:pPr>
            <w:r>
              <w:rPr>
                <w:rFonts w:hint="eastAsia"/>
                <w:szCs w:val="21"/>
              </w:rPr>
              <w:t>55</w:t>
            </w:r>
          </w:p>
        </w:tc>
        <w:tc>
          <w:tcPr>
            <w:tcW w:w="367" w:type="pct"/>
            <w:shd w:val="clear" w:color="auto" w:fill="auto"/>
            <w:vAlign w:val="center"/>
          </w:tcPr>
          <w:p>
            <w:pPr>
              <w:jc w:val="center"/>
              <w:rPr>
                <w:rFonts w:ascii="宋体" w:hAnsi="宋体" w:cs="宋体"/>
                <w:szCs w:val="21"/>
              </w:rPr>
            </w:pPr>
            <w:r>
              <w:rPr>
                <w:rFonts w:hint="eastAsia"/>
                <w:szCs w:val="21"/>
              </w:rPr>
              <w:t>49</w:t>
            </w:r>
          </w:p>
        </w:tc>
        <w:tc>
          <w:tcPr>
            <w:tcW w:w="650" w:type="pct"/>
            <w:vMerge w:val="continue"/>
            <w:shd w:val="clear" w:color="auto" w:fill="auto"/>
            <w:vAlign w:val="center"/>
          </w:tcPr>
          <w:p>
            <w:pPr>
              <w:jc w:val="center"/>
              <w:rPr>
                <w:snapToGrid w:val="0"/>
                <w:kern w:val="0"/>
                <w:szCs w:val="21"/>
              </w:rPr>
            </w:pPr>
          </w:p>
        </w:tc>
      </w:tr>
    </w:tbl>
    <w:p>
      <w:pPr>
        <w:pStyle w:val="63"/>
        <w:ind w:firstLine="480"/>
        <w:jc w:val="both"/>
        <w:rPr>
          <w:color w:val="auto"/>
        </w:rPr>
      </w:pPr>
      <w:r>
        <w:rPr>
          <w:rFonts w:hint="eastAsia"/>
          <w:color w:val="auto"/>
        </w:rPr>
        <w:t>保障房给水处理站及水源管理站</w:t>
      </w:r>
      <w:r>
        <w:rPr>
          <w:rFonts w:hint="eastAsia" w:ascii="宋体" w:hAnsi="宋体"/>
          <w:color w:val="auto"/>
        </w:rPr>
        <w:t>施工机械中噪声影响最大的是振捣棒，其原始源强为</w:t>
      </w:r>
      <w:r>
        <w:rPr>
          <w:rFonts w:hint="eastAsia"/>
          <w:color w:val="auto"/>
        </w:rPr>
        <w:t>95</w:t>
      </w:r>
      <w:r>
        <w:rPr>
          <w:color w:val="auto"/>
        </w:rPr>
        <w:t>d</w:t>
      </w:r>
      <w:r>
        <w:rPr>
          <w:color w:val="auto"/>
          <w:szCs w:val="21"/>
        </w:rPr>
        <w:t>B(A)</w:t>
      </w:r>
      <w:r>
        <w:rPr>
          <w:rFonts w:hint="eastAsia" w:ascii="宋体" w:hAnsi="宋体"/>
          <w:color w:val="auto"/>
        </w:rPr>
        <w:t>，对其进行叠加计算，计算结果见表</w:t>
      </w:r>
      <w:r>
        <w:rPr>
          <w:rFonts w:hint="eastAsia"/>
          <w:color w:val="auto"/>
        </w:rPr>
        <w:t>6.1-3</w:t>
      </w:r>
      <w:r>
        <w:rPr>
          <w:rFonts w:hint="eastAsia" w:ascii="宋体" w:hAnsi="宋体"/>
          <w:color w:val="auto"/>
        </w:rPr>
        <w:t>。</w:t>
      </w:r>
    </w:p>
    <w:p>
      <w:pPr>
        <w:spacing w:line="360" w:lineRule="auto"/>
        <w:jc w:val="center"/>
        <w:rPr>
          <w:sz w:val="24"/>
        </w:rPr>
      </w:pPr>
      <w:r>
        <w:rPr>
          <w:b/>
          <w:szCs w:val="21"/>
        </w:rPr>
        <w:t>表</w:t>
      </w:r>
      <w:r>
        <w:rPr>
          <w:rFonts w:hint="eastAsia"/>
          <w:b/>
          <w:szCs w:val="21"/>
        </w:rPr>
        <w:t>6.1-3</w:t>
      </w:r>
      <w:r>
        <w:rPr>
          <w:b/>
          <w:szCs w:val="21"/>
        </w:rPr>
        <w:t xml:space="preserve">  施工机械噪声</w:t>
      </w:r>
      <w:r>
        <w:rPr>
          <w:rFonts w:hint="eastAsia"/>
          <w:b/>
          <w:szCs w:val="21"/>
        </w:rPr>
        <w:t>叠加计算</w:t>
      </w:r>
      <w:r>
        <w:rPr>
          <w:b/>
          <w:szCs w:val="21"/>
        </w:rPr>
        <w:t>结果  单位：dB(A)</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1127"/>
        <w:gridCol w:w="676"/>
        <w:gridCol w:w="676"/>
        <w:gridCol w:w="677"/>
        <w:gridCol w:w="677"/>
        <w:gridCol w:w="677"/>
        <w:gridCol w:w="677"/>
        <w:gridCol w:w="677"/>
        <w:gridCol w:w="677"/>
        <w:gridCol w:w="682"/>
        <w:gridCol w:w="12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443" w:type="pct"/>
            <w:vMerge w:val="restart"/>
            <w:shd w:val="clear" w:color="auto" w:fill="auto"/>
            <w:vAlign w:val="center"/>
          </w:tcPr>
          <w:p>
            <w:pPr>
              <w:jc w:val="center"/>
              <w:rPr>
                <w:caps/>
                <w:snapToGrid w:val="0"/>
                <w:kern w:val="0"/>
                <w:szCs w:val="21"/>
              </w:rPr>
            </w:pPr>
            <w:r>
              <w:rPr>
                <w:rFonts w:hint="eastAsia"/>
                <w:caps/>
                <w:snapToGrid w:val="0"/>
                <w:kern w:val="0"/>
                <w:szCs w:val="21"/>
              </w:rPr>
              <w:t>区域</w:t>
            </w:r>
          </w:p>
        </w:tc>
        <w:tc>
          <w:tcPr>
            <w:tcW w:w="610" w:type="pct"/>
            <w:vMerge w:val="restart"/>
            <w:shd w:val="clear" w:color="auto" w:fill="auto"/>
            <w:vAlign w:val="center"/>
          </w:tcPr>
          <w:p>
            <w:pPr>
              <w:jc w:val="center"/>
              <w:rPr>
                <w:caps/>
                <w:snapToGrid w:val="0"/>
                <w:kern w:val="0"/>
                <w:szCs w:val="21"/>
              </w:rPr>
            </w:pPr>
            <w:r>
              <w:rPr>
                <w:rFonts w:hint="eastAsia"/>
                <w:caps/>
                <w:snapToGrid w:val="0"/>
                <w:kern w:val="0"/>
                <w:szCs w:val="21"/>
              </w:rPr>
              <w:t>噪声背景值</w:t>
            </w:r>
            <w:r>
              <w:rPr>
                <w:caps/>
                <w:snapToGrid w:val="0"/>
                <w:kern w:val="0"/>
                <w:szCs w:val="21"/>
              </w:rPr>
              <w:t xml:space="preserve"> </w:t>
            </w:r>
          </w:p>
        </w:tc>
        <w:tc>
          <w:tcPr>
            <w:tcW w:w="3297" w:type="pct"/>
            <w:gridSpan w:val="9"/>
            <w:shd w:val="clear" w:color="auto" w:fill="auto"/>
            <w:vAlign w:val="center"/>
          </w:tcPr>
          <w:p>
            <w:pPr>
              <w:jc w:val="center"/>
              <w:rPr>
                <w:caps/>
                <w:snapToGrid w:val="0"/>
                <w:kern w:val="0"/>
                <w:szCs w:val="21"/>
              </w:rPr>
            </w:pPr>
            <w:r>
              <w:rPr>
                <w:caps/>
                <w:snapToGrid w:val="0"/>
                <w:kern w:val="0"/>
                <w:szCs w:val="21"/>
              </w:rPr>
              <w:t>不同距离（</w:t>
            </w:r>
            <w:r>
              <w:rPr>
                <w:snapToGrid w:val="0"/>
                <w:kern w:val="0"/>
                <w:szCs w:val="21"/>
              </w:rPr>
              <w:t>m</w:t>
            </w:r>
            <w:r>
              <w:rPr>
                <w:caps/>
                <w:snapToGrid w:val="0"/>
                <w:kern w:val="0"/>
                <w:szCs w:val="21"/>
              </w:rPr>
              <w:t>）处噪声</w:t>
            </w:r>
            <w:r>
              <w:rPr>
                <w:rFonts w:hint="eastAsia"/>
                <w:caps/>
                <w:snapToGrid w:val="0"/>
                <w:kern w:val="0"/>
                <w:szCs w:val="21"/>
              </w:rPr>
              <w:t>叠加值</w:t>
            </w:r>
          </w:p>
        </w:tc>
        <w:tc>
          <w:tcPr>
            <w:tcW w:w="651" w:type="pct"/>
            <w:shd w:val="clear" w:color="auto" w:fill="auto"/>
            <w:vAlign w:val="center"/>
          </w:tcPr>
          <w:p>
            <w:pPr>
              <w:jc w:val="center"/>
              <w:rPr>
                <w:caps/>
                <w:snapToGrid w:val="0"/>
                <w:kern w:val="0"/>
                <w:szCs w:val="21"/>
              </w:rPr>
            </w:pPr>
            <w:r>
              <w:rPr>
                <w:caps/>
                <w:snapToGrid w:val="0"/>
                <w:kern w:val="0"/>
                <w:szCs w:val="21"/>
              </w:rPr>
              <w:t>评价标准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443" w:type="pct"/>
            <w:vMerge w:val="continue"/>
            <w:shd w:val="clear" w:color="auto" w:fill="auto"/>
            <w:vAlign w:val="center"/>
          </w:tcPr>
          <w:p>
            <w:pPr>
              <w:jc w:val="center"/>
              <w:rPr>
                <w:snapToGrid w:val="0"/>
                <w:kern w:val="0"/>
                <w:szCs w:val="21"/>
              </w:rPr>
            </w:pPr>
          </w:p>
        </w:tc>
        <w:tc>
          <w:tcPr>
            <w:tcW w:w="610" w:type="pct"/>
            <w:vMerge w:val="continue"/>
            <w:shd w:val="clear" w:color="auto" w:fill="auto"/>
            <w:vAlign w:val="center"/>
          </w:tcPr>
          <w:p>
            <w:pPr>
              <w:jc w:val="center"/>
              <w:rPr>
                <w:snapToGrid w:val="0"/>
                <w:kern w:val="0"/>
                <w:szCs w:val="21"/>
              </w:rPr>
            </w:pPr>
          </w:p>
        </w:tc>
        <w:tc>
          <w:tcPr>
            <w:tcW w:w="366" w:type="pct"/>
            <w:shd w:val="clear" w:color="auto" w:fill="auto"/>
            <w:vAlign w:val="center"/>
          </w:tcPr>
          <w:p>
            <w:pPr>
              <w:jc w:val="center"/>
              <w:rPr>
                <w:snapToGrid w:val="0"/>
                <w:kern w:val="0"/>
                <w:szCs w:val="21"/>
              </w:rPr>
            </w:pPr>
            <w:r>
              <w:rPr>
                <w:snapToGrid w:val="0"/>
                <w:kern w:val="0"/>
                <w:szCs w:val="21"/>
              </w:rPr>
              <w:t>10</w:t>
            </w:r>
          </w:p>
        </w:tc>
        <w:tc>
          <w:tcPr>
            <w:tcW w:w="366" w:type="pct"/>
            <w:shd w:val="clear" w:color="auto" w:fill="auto"/>
            <w:vAlign w:val="center"/>
          </w:tcPr>
          <w:p>
            <w:pPr>
              <w:jc w:val="center"/>
              <w:rPr>
                <w:snapToGrid w:val="0"/>
                <w:kern w:val="0"/>
                <w:szCs w:val="21"/>
              </w:rPr>
            </w:pPr>
            <w:r>
              <w:rPr>
                <w:snapToGrid w:val="0"/>
                <w:kern w:val="0"/>
                <w:szCs w:val="21"/>
              </w:rPr>
              <w:t>20</w:t>
            </w:r>
          </w:p>
        </w:tc>
        <w:tc>
          <w:tcPr>
            <w:tcW w:w="366" w:type="pct"/>
            <w:shd w:val="clear" w:color="auto" w:fill="auto"/>
            <w:vAlign w:val="center"/>
          </w:tcPr>
          <w:p>
            <w:pPr>
              <w:jc w:val="center"/>
              <w:rPr>
                <w:snapToGrid w:val="0"/>
                <w:kern w:val="0"/>
                <w:szCs w:val="21"/>
              </w:rPr>
            </w:pPr>
            <w:r>
              <w:rPr>
                <w:snapToGrid w:val="0"/>
                <w:kern w:val="0"/>
                <w:szCs w:val="21"/>
              </w:rPr>
              <w:t>30</w:t>
            </w:r>
          </w:p>
        </w:tc>
        <w:tc>
          <w:tcPr>
            <w:tcW w:w="366" w:type="pct"/>
            <w:shd w:val="clear" w:color="auto" w:fill="auto"/>
            <w:vAlign w:val="center"/>
          </w:tcPr>
          <w:p>
            <w:pPr>
              <w:jc w:val="center"/>
              <w:rPr>
                <w:snapToGrid w:val="0"/>
                <w:kern w:val="0"/>
                <w:szCs w:val="21"/>
              </w:rPr>
            </w:pPr>
            <w:r>
              <w:rPr>
                <w:snapToGrid w:val="0"/>
                <w:kern w:val="0"/>
                <w:szCs w:val="21"/>
              </w:rPr>
              <w:t>40</w:t>
            </w:r>
          </w:p>
        </w:tc>
        <w:tc>
          <w:tcPr>
            <w:tcW w:w="366" w:type="pct"/>
            <w:shd w:val="clear" w:color="auto" w:fill="auto"/>
            <w:vAlign w:val="center"/>
          </w:tcPr>
          <w:p>
            <w:pPr>
              <w:jc w:val="center"/>
              <w:rPr>
                <w:snapToGrid w:val="0"/>
                <w:kern w:val="0"/>
                <w:szCs w:val="21"/>
              </w:rPr>
            </w:pPr>
            <w:r>
              <w:rPr>
                <w:snapToGrid w:val="0"/>
                <w:kern w:val="0"/>
                <w:szCs w:val="21"/>
              </w:rPr>
              <w:t>50</w:t>
            </w:r>
          </w:p>
        </w:tc>
        <w:tc>
          <w:tcPr>
            <w:tcW w:w="366" w:type="pct"/>
            <w:shd w:val="clear" w:color="auto" w:fill="auto"/>
            <w:vAlign w:val="center"/>
          </w:tcPr>
          <w:p>
            <w:pPr>
              <w:jc w:val="center"/>
              <w:rPr>
                <w:snapToGrid w:val="0"/>
                <w:kern w:val="0"/>
                <w:szCs w:val="21"/>
              </w:rPr>
            </w:pPr>
            <w:r>
              <w:rPr>
                <w:snapToGrid w:val="0"/>
                <w:kern w:val="0"/>
                <w:szCs w:val="21"/>
              </w:rPr>
              <w:t>80</w:t>
            </w:r>
          </w:p>
        </w:tc>
        <w:tc>
          <w:tcPr>
            <w:tcW w:w="366" w:type="pct"/>
            <w:shd w:val="clear" w:color="auto" w:fill="auto"/>
            <w:vAlign w:val="center"/>
          </w:tcPr>
          <w:p>
            <w:pPr>
              <w:jc w:val="center"/>
              <w:rPr>
                <w:snapToGrid w:val="0"/>
                <w:kern w:val="0"/>
                <w:szCs w:val="21"/>
              </w:rPr>
            </w:pPr>
            <w:r>
              <w:rPr>
                <w:snapToGrid w:val="0"/>
                <w:kern w:val="0"/>
                <w:szCs w:val="21"/>
              </w:rPr>
              <w:t>90</w:t>
            </w:r>
          </w:p>
        </w:tc>
        <w:tc>
          <w:tcPr>
            <w:tcW w:w="366" w:type="pct"/>
            <w:shd w:val="clear" w:color="auto" w:fill="auto"/>
            <w:vAlign w:val="center"/>
          </w:tcPr>
          <w:p>
            <w:pPr>
              <w:jc w:val="center"/>
              <w:rPr>
                <w:snapToGrid w:val="0"/>
                <w:kern w:val="0"/>
                <w:szCs w:val="21"/>
              </w:rPr>
            </w:pPr>
            <w:r>
              <w:rPr>
                <w:snapToGrid w:val="0"/>
                <w:kern w:val="0"/>
                <w:szCs w:val="21"/>
              </w:rPr>
              <w:t>100</w:t>
            </w:r>
          </w:p>
        </w:tc>
        <w:tc>
          <w:tcPr>
            <w:tcW w:w="368" w:type="pct"/>
            <w:shd w:val="clear" w:color="auto" w:fill="auto"/>
            <w:vAlign w:val="center"/>
          </w:tcPr>
          <w:p>
            <w:pPr>
              <w:jc w:val="center"/>
              <w:rPr>
                <w:snapToGrid w:val="0"/>
                <w:kern w:val="0"/>
                <w:szCs w:val="21"/>
              </w:rPr>
            </w:pPr>
            <w:r>
              <w:rPr>
                <w:snapToGrid w:val="0"/>
                <w:kern w:val="0"/>
                <w:szCs w:val="21"/>
              </w:rPr>
              <w:t>200</w:t>
            </w:r>
          </w:p>
        </w:tc>
        <w:tc>
          <w:tcPr>
            <w:tcW w:w="651" w:type="pct"/>
            <w:shd w:val="clear" w:color="auto" w:fill="auto"/>
            <w:vAlign w:val="center"/>
          </w:tcPr>
          <w:p>
            <w:pPr>
              <w:jc w:val="center"/>
              <w:rPr>
                <w:snapToGrid w:val="0"/>
                <w:kern w:val="0"/>
                <w:szCs w:val="21"/>
              </w:rPr>
            </w:pPr>
            <w:r>
              <w:rPr>
                <w:snapToGrid w:val="0"/>
                <w:kern w:val="0"/>
                <w:szCs w:val="21"/>
              </w:rPr>
              <w:t>2类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443" w:type="pct"/>
            <w:shd w:val="clear" w:color="auto" w:fill="auto"/>
            <w:vAlign w:val="center"/>
          </w:tcPr>
          <w:p>
            <w:pPr>
              <w:jc w:val="center"/>
              <w:rPr>
                <w:snapToGrid w:val="0"/>
                <w:kern w:val="0"/>
                <w:szCs w:val="21"/>
              </w:rPr>
            </w:pPr>
            <w:r>
              <w:rPr>
                <w:rFonts w:hint="eastAsia"/>
                <w:snapToGrid w:val="0"/>
                <w:kern w:val="0"/>
                <w:szCs w:val="21"/>
              </w:rPr>
              <w:t>昼间</w:t>
            </w:r>
          </w:p>
        </w:tc>
        <w:tc>
          <w:tcPr>
            <w:tcW w:w="610" w:type="pct"/>
            <w:shd w:val="clear" w:color="auto" w:fill="auto"/>
            <w:vAlign w:val="center"/>
          </w:tcPr>
          <w:p>
            <w:pPr>
              <w:spacing w:line="360" w:lineRule="auto"/>
              <w:jc w:val="center"/>
              <w:rPr>
                <w:szCs w:val="21"/>
              </w:rPr>
            </w:pPr>
            <w:r>
              <w:rPr>
                <w:rFonts w:hint="eastAsia"/>
                <w:szCs w:val="21"/>
              </w:rPr>
              <w:t>53.3</w:t>
            </w:r>
          </w:p>
        </w:tc>
        <w:tc>
          <w:tcPr>
            <w:tcW w:w="366" w:type="pct"/>
            <w:shd w:val="clear" w:color="auto" w:fill="auto"/>
            <w:vAlign w:val="center"/>
          </w:tcPr>
          <w:p>
            <w:pPr>
              <w:jc w:val="right"/>
              <w:rPr>
                <w:rFonts w:ascii="宋体" w:hAnsi="宋体" w:cs="宋体"/>
                <w:sz w:val="24"/>
              </w:rPr>
            </w:pPr>
            <w:r>
              <w:rPr>
                <w:rFonts w:hint="eastAsia"/>
              </w:rPr>
              <w:t>75.0</w:t>
            </w:r>
          </w:p>
        </w:tc>
        <w:tc>
          <w:tcPr>
            <w:tcW w:w="366" w:type="pct"/>
            <w:shd w:val="clear" w:color="auto" w:fill="auto"/>
            <w:vAlign w:val="center"/>
          </w:tcPr>
          <w:p>
            <w:pPr>
              <w:jc w:val="right"/>
              <w:rPr>
                <w:rFonts w:ascii="宋体" w:hAnsi="宋体" w:cs="宋体"/>
                <w:sz w:val="24"/>
              </w:rPr>
            </w:pPr>
            <w:r>
              <w:rPr>
                <w:rFonts w:hint="eastAsia"/>
              </w:rPr>
              <w:t>69.1</w:t>
            </w:r>
          </w:p>
        </w:tc>
        <w:tc>
          <w:tcPr>
            <w:tcW w:w="366" w:type="pct"/>
            <w:shd w:val="clear" w:color="auto" w:fill="auto"/>
            <w:vAlign w:val="center"/>
          </w:tcPr>
          <w:p>
            <w:pPr>
              <w:jc w:val="right"/>
              <w:rPr>
                <w:rFonts w:ascii="宋体" w:hAnsi="宋体" w:cs="宋体"/>
                <w:sz w:val="24"/>
              </w:rPr>
            </w:pPr>
            <w:r>
              <w:rPr>
                <w:rFonts w:hint="eastAsia"/>
              </w:rPr>
              <w:t>65.8</w:t>
            </w:r>
          </w:p>
        </w:tc>
        <w:tc>
          <w:tcPr>
            <w:tcW w:w="366" w:type="pct"/>
            <w:shd w:val="clear" w:color="auto" w:fill="auto"/>
            <w:vAlign w:val="center"/>
          </w:tcPr>
          <w:p>
            <w:pPr>
              <w:jc w:val="right"/>
              <w:rPr>
                <w:rFonts w:ascii="宋体" w:hAnsi="宋体" w:cs="宋体"/>
                <w:sz w:val="24"/>
              </w:rPr>
            </w:pPr>
            <w:r>
              <w:rPr>
                <w:rFonts w:hint="eastAsia"/>
              </w:rPr>
              <w:t>63.4</w:t>
            </w:r>
          </w:p>
        </w:tc>
        <w:tc>
          <w:tcPr>
            <w:tcW w:w="366" w:type="pct"/>
            <w:shd w:val="clear" w:color="auto" w:fill="auto"/>
            <w:vAlign w:val="center"/>
          </w:tcPr>
          <w:p>
            <w:pPr>
              <w:jc w:val="right"/>
              <w:rPr>
                <w:rFonts w:ascii="宋体" w:hAnsi="宋体" w:cs="宋体"/>
                <w:sz w:val="24"/>
              </w:rPr>
            </w:pPr>
            <w:r>
              <w:rPr>
                <w:rFonts w:hint="eastAsia"/>
              </w:rPr>
              <w:t>61.7</w:t>
            </w:r>
          </w:p>
        </w:tc>
        <w:tc>
          <w:tcPr>
            <w:tcW w:w="366" w:type="pct"/>
            <w:shd w:val="clear" w:color="auto" w:fill="auto"/>
            <w:vAlign w:val="center"/>
          </w:tcPr>
          <w:p>
            <w:pPr>
              <w:jc w:val="right"/>
              <w:rPr>
                <w:rFonts w:ascii="宋体" w:hAnsi="宋体" w:cs="宋体"/>
                <w:sz w:val="24"/>
              </w:rPr>
            </w:pPr>
            <w:r>
              <w:rPr>
                <w:rFonts w:hint="eastAsia"/>
              </w:rPr>
              <w:t>58.5</w:t>
            </w:r>
          </w:p>
        </w:tc>
        <w:tc>
          <w:tcPr>
            <w:tcW w:w="366" w:type="pct"/>
            <w:shd w:val="clear" w:color="auto" w:fill="auto"/>
            <w:vAlign w:val="center"/>
          </w:tcPr>
          <w:p>
            <w:pPr>
              <w:jc w:val="right"/>
              <w:rPr>
                <w:rFonts w:ascii="宋体" w:hAnsi="宋体" w:cs="宋体"/>
                <w:sz w:val="24"/>
              </w:rPr>
            </w:pPr>
            <w:r>
              <w:rPr>
                <w:rFonts w:hint="eastAsia"/>
              </w:rPr>
              <w:t>57.8</w:t>
            </w:r>
          </w:p>
        </w:tc>
        <w:tc>
          <w:tcPr>
            <w:tcW w:w="366" w:type="pct"/>
            <w:shd w:val="clear" w:color="auto" w:fill="auto"/>
            <w:vAlign w:val="center"/>
          </w:tcPr>
          <w:p>
            <w:pPr>
              <w:jc w:val="right"/>
              <w:rPr>
                <w:rFonts w:ascii="宋体" w:hAnsi="宋体" w:cs="宋体"/>
                <w:sz w:val="24"/>
              </w:rPr>
            </w:pPr>
            <w:r>
              <w:rPr>
                <w:rFonts w:hint="eastAsia"/>
              </w:rPr>
              <w:t>57.2</w:t>
            </w:r>
          </w:p>
        </w:tc>
        <w:tc>
          <w:tcPr>
            <w:tcW w:w="368" w:type="pct"/>
            <w:shd w:val="clear" w:color="auto" w:fill="auto"/>
            <w:vAlign w:val="center"/>
          </w:tcPr>
          <w:p>
            <w:pPr>
              <w:jc w:val="right"/>
              <w:rPr>
                <w:rFonts w:ascii="宋体" w:hAnsi="宋体" w:cs="宋体"/>
                <w:sz w:val="24"/>
              </w:rPr>
            </w:pPr>
            <w:r>
              <w:rPr>
                <w:rFonts w:hint="eastAsia"/>
              </w:rPr>
              <w:t>54.7</w:t>
            </w:r>
          </w:p>
        </w:tc>
        <w:tc>
          <w:tcPr>
            <w:tcW w:w="651" w:type="pct"/>
            <w:shd w:val="clear" w:color="auto" w:fill="auto"/>
            <w:vAlign w:val="center"/>
          </w:tcPr>
          <w:p>
            <w:pPr>
              <w:jc w:val="center"/>
              <w:rPr>
                <w:snapToGrid w:val="0"/>
                <w:kern w:val="0"/>
                <w:szCs w:val="21"/>
              </w:rPr>
            </w:pPr>
            <w:r>
              <w:rPr>
                <w:snapToGrid w:val="0"/>
                <w:kern w:val="0"/>
                <w:szCs w:val="21"/>
              </w:rPr>
              <w:t>60</w:t>
            </w:r>
          </w:p>
        </w:tc>
      </w:tr>
    </w:tbl>
    <w:p>
      <w:pPr>
        <w:spacing w:beforeLines="50" w:line="360" w:lineRule="auto"/>
        <w:ind w:firstLine="480" w:firstLineChars="200"/>
        <w:rPr>
          <w:sz w:val="24"/>
        </w:rPr>
      </w:pPr>
      <w:r>
        <w:rPr>
          <w:rFonts w:hint="eastAsia" w:ascii="宋体" w:hAnsi="宋体" w:cs="宋体"/>
          <w:sz w:val="24"/>
        </w:rPr>
        <w:t>②</w:t>
      </w:r>
      <w:r>
        <w:rPr>
          <w:rFonts w:hint="eastAsia"/>
          <w:sz w:val="24"/>
        </w:rPr>
        <w:t>保障房给水处理站及水源管理站</w:t>
      </w:r>
      <w:r>
        <w:rPr>
          <w:sz w:val="24"/>
        </w:rPr>
        <w:t>施工噪声影响评价</w:t>
      </w:r>
    </w:p>
    <w:p>
      <w:pPr>
        <w:spacing w:line="360" w:lineRule="auto"/>
        <w:ind w:firstLine="480" w:firstLineChars="200"/>
        <w:rPr>
          <w:sz w:val="24"/>
        </w:rPr>
      </w:pPr>
      <w:r>
        <w:rPr>
          <w:sz w:val="24"/>
        </w:rPr>
        <w:t>工程夜间不施工</w:t>
      </w:r>
      <w:r>
        <w:rPr>
          <w:rFonts w:hint="eastAsia"/>
          <w:sz w:val="24"/>
        </w:rPr>
        <w:t>，</w:t>
      </w:r>
      <w:r>
        <w:rPr>
          <w:sz w:val="24"/>
        </w:rPr>
        <w:t>由表</w:t>
      </w:r>
      <w:r>
        <w:rPr>
          <w:rFonts w:hint="eastAsia"/>
          <w:sz w:val="24"/>
        </w:rPr>
        <w:t>6.1-3</w:t>
      </w:r>
      <w:r>
        <w:rPr>
          <w:sz w:val="24"/>
        </w:rPr>
        <w:t>中预测结果可知，水厂建筑施工主要施工机械设备昼间噪声在</w:t>
      </w:r>
      <w:r>
        <w:rPr>
          <w:rFonts w:hint="eastAsia"/>
          <w:sz w:val="24"/>
        </w:rPr>
        <w:t>2</w:t>
      </w:r>
      <w:r>
        <w:rPr>
          <w:sz w:val="24"/>
        </w:rPr>
        <w:t>0m处满足《建筑施工场界环境噪声排放标准》中相应的昼间标准限制要求</w:t>
      </w:r>
      <w:r>
        <w:rPr>
          <w:rFonts w:hint="eastAsia"/>
          <w:sz w:val="24"/>
        </w:rPr>
        <w:t>，施工噪声最大的振捣棒，该设备运行时，在80m处声环境质量可达2类标准</w:t>
      </w:r>
      <w:r>
        <w:rPr>
          <w:sz w:val="24"/>
        </w:rPr>
        <w:t>。</w:t>
      </w:r>
    </w:p>
    <w:p>
      <w:pPr>
        <w:spacing w:line="360" w:lineRule="auto"/>
        <w:ind w:firstLine="480" w:firstLineChars="200"/>
        <w:rPr>
          <w:sz w:val="24"/>
        </w:rPr>
      </w:pPr>
      <w:r>
        <w:rPr>
          <w:sz w:val="24"/>
        </w:rPr>
        <w:t>本项目</w:t>
      </w:r>
      <w:r>
        <w:rPr>
          <w:rFonts w:hint="eastAsia"/>
          <w:sz w:val="24"/>
        </w:rPr>
        <w:t>保障房给水处理站及水源管理站</w:t>
      </w:r>
      <w:r>
        <w:rPr>
          <w:sz w:val="24"/>
        </w:rPr>
        <w:t>附近敏感目标</w:t>
      </w:r>
      <w:r>
        <w:rPr>
          <w:rFonts w:hint="eastAsia"/>
          <w:sz w:val="24"/>
        </w:rPr>
        <w:t>距离厂界均超过80m，</w:t>
      </w:r>
      <w:r>
        <w:rPr>
          <w:sz w:val="24"/>
        </w:rPr>
        <w:t>施工噪声对</w:t>
      </w:r>
      <w:r>
        <w:rPr>
          <w:rFonts w:hint="eastAsia"/>
          <w:sz w:val="24"/>
        </w:rPr>
        <w:t>附近</w:t>
      </w:r>
      <w:r>
        <w:rPr>
          <w:sz w:val="24"/>
        </w:rPr>
        <w:t>居民日常生活影响</w:t>
      </w:r>
      <w:r>
        <w:rPr>
          <w:rFonts w:hint="eastAsia"/>
          <w:sz w:val="24"/>
        </w:rPr>
        <w:t>较小</w:t>
      </w:r>
      <w:r>
        <w:rPr>
          <w:sz w:val="24"/>
        </w:rPr>
        <w:t>，</w:t>
      </w:r>
      <w:r>
        <w:rPr>
          <w:rFonts w:hint="eastAsia"/>
          <w:sz w:val="24"/>
        </w:rPr>
        <w:t>但</w:t>
      </w:r>
      <w:r>
        <w:rPr>
          <w:sz w:val="24"/>
        </w:rPr>
        <w:t>施工期</w:t>
      </w:r>
      <w:r>
        <w:rPr>
          <w:rFonts w:hint="eastAsia"/>
          <w:sz w:val="24"/>
        </w:rPr>
        <w:t>保障房给水处理站及水源管理站</w:t>
      </w:r>
      <w:r>
        <w:rPr>
          <w:sz w:val="24"/>
        </w:rPr>
        <w:t>建设</w:t>
      </w:r>
      <w:r>
        <w:rPr>
          <w:rFonts w:hint="eastAsia"/>
          <w:sz w:val="24"/>
        </w:rPr>
        <w:t>应</w:t>
      </w:r>
      <w:r>
        <w:rPr>
          <w:sz w:val="24"/>
        </w:rPr>
        <w:t>采取相应的减噪措施</w:t>
      </w:r>
      <w:r>
        <w:rPr>
          <w:rFonts w:hint="eastAsia"/>
          <w:sz w:val="24"/>
        </w:rPr>
        <w:t>，进一步减噪。</w:t>
      </w:r>
      <w:r>
        <w:rPr>
          <w:sz w:val="24"/>
        </w:rPr>
        <w:t>。</w:t>
      </w:r>
    </w:p>
    <w:p>
      <w:pPr>
        <w:pStyle w:val="63"/>
        <w:ind w:firstLine="480"/>
        <w:jc w:val="both"/>
        <w:rPr>
          <w:color w:val="auto"/>
        </w:rPr>
      </w:pPr>
      <w:r>
        <w:rPr>
          <w:color w:val="auto"/>
        </w:rPr>
        <w:t>施工期施工时，在厂界设置拦挡设施；加强施工设备的维护管理，保证设备正常运行；对噪声较大的设备安装减震装置，降低设备运行噪声；尽量将噪声较大的设备安置在远离居民</w:t>
      </w:r>
      <w:r>
        <w:rPr>
          <w:rFonts w:hint="eastAsia"/>
          <w:color w:val="auto"/>
        </w:rPr>
        <w:t>的</w:t>
      </w:r>
      <w:r>
        <w:rPr>
          <w:color w:val="auto"/>
        </w:rPr>
        <w:t>地方；倡导文明施工，尽量降低施工噪声。经上述措施处理后，施工噪声对该村居民的影响将降至最低。</w:t>
      </w:r>
    </w:p>
    <w:p>
      <w:pPr>
        <w:pStyle w:val="63"/>
        <w:ind w:firstLine="480"/>
        <w:rPr>
          <w:color w:val="auto"/>
        </w:rPr>
      </w:pPr>
      <w:r>
        <w:rPr>
          <w:rFonts w:hint="eastAsia"/>
          <w:color w:val="auto"/>
        </w:rPr>
        <w:t>（3）施工期交通噪声</w:t>
      </w:r>
      <w:r>
        <w:rPr>
          <w:color w:val="auto"/>
        </w:rPr>
        <w:t>影响评价</w:t>
      </w:r>
    </w:p>
    <w:p>
      <w:pPr>
        <w:pStyle w:val="63"/>
        <w:ind w:firstLine="480"/>
        <w:rPr>
          <w:color w:val="auto"/>
        </w:rPr>
      </w:pPr>
      <w:r>
        <w:rPr>
          <w:rFonts w:hint="eastAsia"/>
          <w:color w:val="auto"/>
        </w:rPr>
        <w:t>施工期间运输建筑材料的车辆增多，将加重沿线交通噪声污染。运输车辆噪声级一班在75~85dB，属于间歇运行，且运输量有限，加上车辆禁止鸣笛，因此施工期间运输车辆产生噪声污染是短暂的，不会对沿线区域空气环境噪声大的影响，加之施工期噪声污染是短暂的，随着施工的结束，施工噪声也随之结束。</w:t>
      </w:r>
    </w:p>
    <w:p>
      <w:pPr>
        <w:pStyle w:val="62"/>
        <w:rPr>
          <w:color w:val="auto"/>
        </w:rPr>
      </w:pPr>
      <w:r>
        <w:rPr>
          <w:bCs/>
          <w:color w:val="auto"/>
        </w:rPr>
        <w:t>6.1.4</w:t>
      </w:r>
      <w:r>
        <w:rPr>
          <w:color w:val="auto"/>
        </w:rPr>
        <w:t>施工期固体废弃物影响分析</w:t>
      </w:r>
    </w:p>
    <w:p>
      <w:pPr>
        <w:pStyle w:val="63"/>
        <w:ind w:firstLine="480"/>
        <w:rPr>
          <w:color w:val="auto"/>
        </w:rPr>
      </w:pPr>
      <w:r>
        <w:rPr>
          <w:color w:val="auto"/>
        </w:rPr>
        <w:t>施工期产生的固体废物主要为</w:t>
      </w:r>
      <w:r>
        <w:rPr>
          <w:rFonts w:hint="eastAsia"/>
          <w:color w:val="auto"/>
        </w:rPr>
        <w:t>废气土石方、</w:t>
      </w:r>
      <w:r>
        <w:rPr>
          <w:color w:val="auto"/>
        </w:rPr>
        <w:t>管材废料</w:t>
      </w:r>
      <w:r>
        <w:rPr>
          <w:rFonts w:hint="eastAsia"/>
          <w:color w:val="auto"/>
        </w:rPr>
        <w:t>、</w:t>
      </w:r>
      <w:r>
        <w:rPr>
          <w:color w:val="auto"/>
        </w:rPr>
        <w:t>建筑垃圾、</w:t>
      </w:r>
      <w:r>
        <w:rPr>
          <w:rFonts w:hint="eastAsia"/>
          <w:color w:val="auto"/>
        </w:rPr>
        <w:t>钻井泥渣</w:t>
      </w:r>
      <w:r>
        <w:rPr>
          <w:color w:val="auto"/>
        </w:rPr>
        <w:t>和施工生活垃圾等。</w:t>
      </w:r>
    </w:p>
    <w:p>
      <w:pPr>
        <w:pStyle w:val="63"/>
        <w:ind w:firstLine="480"/>
        <w:rPr>
          <w:color w:val="auto"/>
        </w:rPr>
      </w:pPr>
      <w:r>
        <w:rPr>
          <w:rFonts w:hint="eastAsia"/>
          <w:color w:val="auto"/>
        </w:rPr>
        <w:t>（1）废气土石方</w:t>
      </w:r>
    </w:p>
    <w:p>
      <w:pPr>
        <w:pStyle w:val="63"/>
        <w:ind w:firstLine="480"/>
        <w:rPr>
          <w:color w:val="auto"/>
        </w:rPr>
      </w:pPr>
      <w:r>
        <w:rPr>
          <w:color w:val="auto"/>
        </w:rPr>
        <w:t>项目挖填方工程主要在建设输水管线、</w:t>
      </w:r>
      <w:r>
        <w:rPr>
          <w:rFonts w:hint="eastAsia"/>
          <w:color w:val="auto"/>
        </w:rPr>
        <w:t>保障房给水处理站及水源管理站</w:t>
      </w:r>
      <w:r>
        <w:rPr>
          <w:color w:val="auto"/>
        </w:rPr>
        <w:t>。输水管线工程建设总开挖土石方量为</w:t>
      </w:r>
      <w:r>
        <w:rPr>
          <w:rFonts w:hint="eastAsia"/>
          <w:color w:val="auto"/>
        </w:rPr>
        <w:t>6.83</w:t>
      </w:r>
      <w:r>
        <w:rPr>
          <w:color w:val="auto"/>
        </w:rPr>
        <w:t>万m</w:t>
      </w:r>
      <w:r>
        <w:rPr>
          <w:color w:val="auto"/>
          <w:vertAlign w:val="superscript"/>
        </w:rPr>
        <w:t>3</w:t>
      </w:r>
      <w:r>
        <w:rPr>
          <w:color w:val="auto"/>
        </w:rPr>
        <w:t>，</w:t>
      </w:r>
      <w:r>
        <w:rPr>
          <w:rFonts w:hint="eastAsia"/>
          <w:color w:val="auto"/>
        </w:rPr>
        <w:t>土方回填7.26万m</w:t>
      </w:r>
      <w:r>
        <w:rPr>
          <w:rFonts w:hint="eastAsia"/>
          <w:color w:val="auto"/>
          <w:vertAlign w:val="superscript"/>
        </w:rPr>
        <w:t>3</w:t>
      </w:r>
      <w:r>
        <w:rPr>
          <w:rFonts w:hint="eastAsia"/>
          <w:color w:val="auto"/>
        </w:rPr>
        <w:t>，</w:t>
      </w:r>
      <w:r>
        <w:rPr>
          <w:color w:val="auto"/>
        </w:rPr>
        <w:t>外购砂石料0.</w:t>
      </w:r>
      <w:r>
        <w:rPr>
          <w:rFonts w:hint="eastAsia"/>
          <w:color w:val="auto"/>
        </w:rPr>
        <w:t>4</w:t>
      </w:r>
      <w:r>
        <w:rPr>
          <w:color w:val="auto"/>
        </w:rPr>
        <w:t>万m</w:t>
      </w:r>
      <w:r>
        <w:rPr>
          <w:color w:val="auto"/>
          <w:vertAlign w:val="superscript"/>
        </w:rPr>
        <w:t>3</w:t>
      </w:r>
      <w:r>
        <w:rPr>
          <w:rFonts w:hint="eastAsia"/>
          <w:color w:val="auto"/>
        </w:rPr>
        <w:t>；保障房给水处理站及水源管理站</w:t>
      </w:r>
      <w:r>
        <w:rPr>
          <w:color w:val="auto"/>
        </w:rPr>
        <w:t>剥离表土0.06万m</w:t>
      </w:r>
      <w:r>
        <w:rPr>
          <w:color w:val="auto"/>
          <w:vertAlign w:val="superscript"/>
        </w:rPr>
        <w:t>3</w:t>
      </w:r>
      <w:r>
        <w:rPr>
          <w:rFonts w:hint="eastAsia"/>
          <w:color w:val="auto"/>
        </w:rPr>
        <w:t>，运</w:t>
      </w:r>
      <w:r>
        <w:rPr>
          <w:color w:val="auto"/>
        </w:rPr>
        <w:t>往</w:t>
      </w:r>
      <w:r>
        <w:rPr>
          <w:rFonts w:hint="eastAsia"/>
          <w:color w:val="auto"/>
        </w:rPr>
        <w:t>垃圾填埋场处理</w:t>
      </w:r>
      <w:r>
        <w:rPr>
          <w:snapToGrid w:val="0"/>
          <w:color w:val="auto"/>
        </w:rPr>
        <w:t>。</w:t>
      </w:r>
    </w:p>
    <w:p>
      <w:pPr>
        <w:pStyle w:val="63"/>
        <w:ind w:firstLine="480"/>
        <w:rPr>
          <w:color w:val="auto"/>
        </w:rPr>
      </w:pPr>
      <w:r>
        <w:rPr>
          <w:rFonts w:hint="eastAsia"/>
          <w:color w:val="auto"/>
        </w:rPr>
        <w:t>（2）</w:t>
      </w:r>
      <w:r>
        <w:rPr>
          <w:color w:val="auto"/>
        </w:rPr>
        <w:t>管材废料</w:t>
      </w:r>
    </w:p>
    <w:p>
      <w:pPr>
        <w:pStyle w:val="63"/>
        <w:ind w:firstLine="480"/>
        <w:rPr>
          <w:color w:val="auto"/>
        </w:rPr>
      </w:pPr>
      <w:r>
        <w:rPr>
          <w:rFonts w:hint="eastAsia"/>
          <w:color w:val="auto"/>
        </w:rPr>
        <w:t>管道</w:t>
      </w:r>
      <w:r>
        <w:rPr>
          <w:color w:val="auto"/>
        </w:rPr>
        <w:t>施工废料主要包括焊接作业中产生</w:t>
      </w:r>
      <w:r>
        <w:rPr>
          <w:rFonts w:hint="eastAsia"/>
          <w:color w:val="auto"/>
        </w:rPr>
        <w:t>的</w:t>
      </w:r>
      <w:r>
        <w:rPr>
          <w:color w:val="auto"/>
        </w:rPr>
        <w:t>废焊条、防腐作业中产生的废防腐材料、防腐保温布及施工过程中产生的废混凝土等。本项目施工过程产生的施工废料量约为</w:t>
      </w:r>
      <w:r>
        <w:rPr>
          <w:rFonts w:hint="eastAsia"/>
          <w:color w:val="auto"/>
        </w:rPr>
        <w:t>2.06</w:t>
      </w:r>
      <w:r>
        <w:rPr>
          <w:color w:val="auto"/>
        </w:rPr>
        <w:t>t。这一部分废料为一般固废，剩余管材等可卖给废铁收购公司，剩余不可回收部分统一收集</w:t>
      </w:r>
      <w:r>
        <w:rPr>
          <w:rFonts w:hint="eastAsia"/>
          <w:color w:val="auto"/>
        </w:rPr>
        <w:t>定期运至垃圾场处理</w:t>
      </w:r>
      <w:r>
        <w:rPr>
          <w:color w:val="auto"/>
        </w:rPr>
        <w:t>。</w:t>
      </w:r>
    </w:p>
    <w:p>
      <w:pPr>
        <w:pStyle w:val="63"/>
        <w:ind w:firstLine="480"/>
        <w:rPr>
          <w:snapToGrid w:val="0"/>
          <w:color w:val="auto"/>
          <w:lang w:val="en-GB"/>
        </w:rPr>
      </w:pPr>
      <w:r>
        <w:rPr>
          <w:rFonts w:hint="eastAsia"/>
          <w:color w:val="auto"/>
        </w:rPr>
        <w:t>（3）</w:t>
      </w:r>
      <w:r>
        <w:rPr>
          <w:snapToGrid w:val="0"/>
          <w:color w:val="auto"/>
          <w:lang w:val="en-GB"/>
        </w:rPr>
        <w:t>建筑垃圾</w:t>
      </w:r>
    </w:p>
    <w:p>
      <w:pPr>
        <w:pStyle w:val="63"/>
        <w:ind w:firstLine="480"/>
        <w:rPr>
          <w:snapToGrid w:val="0"/>
          <w:color w:val="auto"/>
          <w:lang w:val="en-GB"/>
        </w:rPr>
      </w:pPr>
      <w:r>
        <w:rPr>
          <w:color w:val="auto"/>
        </w:rPr>
        <w:t>建筑垃圾主要在构筑物建造过程中产生。本项目建筑垃圾产生量约为</w:t>
      </w:r>
      <w:r>
        <w:rPr>
          <w:rFonts w:hint="eastAsia"/>
          <w:color w:val="auto"/>
        </w:rPr>
        <w:t>97.2</w:t>
      </w:r>
      <w:r>
        <w:rPr>
          <w:color w:val="auto"/>
        </w:rPr>
        <w:t>t。主要成分为废混凝土、废砖瓦、废木</w:t>
      </w:r>
      <w:r>
        <w:rPr>
          <w:snapToGrid w:val="0"/>
          <w:color w:val="auto"/>
          <w:lang w:val="en-GB"/>
        </w:rPr>
        <w:t>料、废钢材等惰性材料，为一般固体废物，废混凝土、砖瓦等用于场地和道路平整，废钢材等可卖给废铁收购公司，剩余不可回收部分统一收集后</w:t>
      </w:r>
      <w:r>
        <w:rPr>
          <w:rFonts w:hint="eastAsia"/>
          <w:snapToGrid w:val="0"/>
          <w:color w:val="auto"/>
          <w:lang w:val="en-GB"/>
        </w:rPr>
        <w:t>作为垃圾定期清运</w:t>
      </w:r>
      <w:r>
        <w:rPr>
          <w:snapToGrid w:val="0"/>
          <w:color w:val="auto"/>
          <w:lang w:val="en-GB"/>
        </w:rPr>
        <w:t>。</w:t>
      </w:r>
    </w:p>
    <w:p>
      <w:pPr>
        <w:pStyle w:val="63"/>
        <w:ind w:firstLine="480"/>
        <w:rPr>
          <w:snapToGrid w:val="0"/>
          <w:color w:val="auto"/>
          <w:lang w:val="en-GB"/>
        </w:rPr>
      </w:pPr>
      <w:r>
        <w:rPr>
          <w:rFonts w:hint="eastAsia"/>
          <w:snapToGrid w:val="0"/>
          <w:color w:val="auto"/>
          <w:lang w:val="en-GB"/>
        </w:rPr>
        <w:t>（4）</w:t>
      </w:r>
      <w:r>
        <w:rPr>
          <w:rFonts w:hint="eastAsia"/>
          <w:color w:val="auto"/>
        </w:rPr>
        <w:t>钻井泥渣</w:t>
      </w:r>
    </w:p>
    <w:p>
      <w:pPr>
        <w:pStyle w:val="63"/>
        <w:ind w:firstLine="480"/>
        <w:rPr>
          <w:color w:val="auto"/>
        </w:rPr>
      </w:pPr>
      <w:r>
        <w:rPr>
          <w:rFonts w:hint="eastAsia"/>
          <w:color w:val="auto"/>
        </w:rPr>
        <w:t>钻井过程中的循环用水和钻孔排渣储存于泥浆池，泥浆池用0.2mm厚的塑料布衬底及侧壁，不留接缝，边缘用素土压实，泥浆坑泥渣定期清掏后运至项目所在地的垃圾填埋场处置。</w:t>
      </w:r>
    </w:p>
    <w:p>
      <w:pPr>
        <w:pStyle w:val="63"/>
        <w:ind w:firstLine="480"/>
        <w:rPr>
          <w:color w:val="auto"/>
        </w:rPr>
      </w:pPr>
      <w:r>
        <w:rPr>
          <w:rFonts w:hint="eastAsia"/>
          <w:color w:val="auto"/>
        </w:rPr>
        <w:t>（5）生活垃圾</w:t>
      </w:r>
    </w:p>
    <w:p>
      <w:pPr>
        <w:pStyle w:val="63"/>
        <w:ind w:firstLine="480"/>
        <w:rPr>
          <w:color w:val="auto"/>
        </w:rPr>
      </w:pPr>
      <w:r>
        <w:rPr>
          <w:rFonts w:hint="eastAsia"/>
          <w:color w:val="auto"/>
        </w:rPr>
        <w:t>本项目</w:t>
      </w:r>
      <w:r>
        <w:rPr>
          <w:color w:val="auto"/>
        </w:rPr>
        <w:t>建设期间，将有少量施工生活垃圾</w:t>
      </w:r>
      <w:r>
        <w:rPr>
          <w:rFonts w:hint="eastAsia"/>
          <w:color w:val="auto"/>
        </w:rPr>
        <w:t>产生，</w:t>
      </w:r>
      <w:r>
        <w:rPr>
          <w:color w:val="auto"/>
        </w:rPr>
        <w:t>垃圾组成主要为纸屑、餐饮剩余物、包装袋等。施工期</w:t>
      </w:r>
      <w:r>
        <w:rPr>
          <w:rFonts w:hint="eastAsia"/>
          <w:color w:val="auto"/>
        </w:rPr>
        <w:t>生活</w:t>
      </w:r>
      <w:r>
        <w:rPr>
          <w:color w:val="auto"/>
        </w:rPr>
        <w:t>垃圾总产生量为</w:t>
      </w:r>
      <w:r>
        <w:rPr>
          <w:rFonts w:hint="eastAsia"/>
          <w:color w:val="auto"/>
        </w:rPr>
        <w:t>0.2</w:t>
      </w:r>
      <w:r>
        <w:rPr>
          <w:color w:val="auto"/>
        </w:rPr>
        <w:t>t</w:t>
      </w:r>
      <w:r>
        <w:rPr>
          <w:rFonts w:hint="eastAsia"/>
          <w:color w:val="auto"/>
        </w:rPr>
        <w:t>，</w:t>
      </w:r>
      <w:r>
        <w:rPr>
          <w:color w:val="auto"/>
        </w:rPr>
        <w:t>统一收集</w:t>
      </w:r>
      <w:r>
        <w:rPr>
          <w:rFonts w:hint="eastAsia"/>
          <w:color w:val="auto"/>
        </w:rPr>
        <w:t>运至垃圾场处理</w:t>
      </w:r>
      <w:r>
        <w:rPr>
          <w:color w:val="auto"/>
        </w:rPr>
        <w:t>。</w:t>
      </w:r>
    </w:p>
    <w:p>
      <w:pPr>
        <w:pStyle w:val="63"/>
        <w:ind w:firstLine="480"/>
        <w:rPr>
          <w:color w:val="auto"/>
        </w:rPr>
      </w:pPr>
      <w:r>
        <w:rPr>
          <w:color w:val="auto"/>
        </w:rPr>
        <w:t>综上所述，施工期管沟、隧洞开挖以及厂区土石方</w:t>
      </w:r>
      <w:r>
        <w:rPr>
          <w:rFonts w:hint="eastAsia"/>
          <w:color w:val="auto"/>
        </w:rPr>
        <w:t>得到妥善处置</w:t>
      </w:r>
      <w:r>
        <w:rPr>
          <w:color w:val="auto"/>
        </w:rPr>
        <w:t>；管道废料和建筑垃圾可回收的回收利用，不可回收利用的统一收集后</w:t>
      </w:r>
      <w:r>
        <w:rPr>
          <w:rFonts w:hint="eastAsia"/>
          <w:color w:val="auto"/>
        </w:rPr>
        <w:t>和</w:t>
      </w:r>
      <w:r>
        <w:rPr>
          <w:color w:val="auto"/>
        </w:rPr>
        <w:t>生活垃圾</w:t>
      </w:r>
      <w:r>
        <w:rPr>
          <w:rFonts w:hint="eastAsia"/>
          <w:color w:val="auto"/>
        </w:rPr>
        <w:t>定期清运至垃圾场处理</w:t>
      </w:r>
      <w:r>
        <w:rPr>
          <w:color w:val="auto"/>
        </w:rPr>
        <w:t>。工程施工期产生的固体废物均得到妥善处置，不会对环境造成不利影响。</w:t>
      </w:r>
    </w:p>
    <w:p>
      <w:pPr>
        <w:pStyle w:val="62"/>
        <w:rPr>
          <w:color w:val="auto"/>
        </w:rPr>
      </w:pPr>
      <w:r>
        <w:rPr>
          <w:bCs/>
          <w:color w:val="auto"/>
        </w:rPr>
        <w:t xml:space="preserve">6.1.5 </w:t>
      </w:r>
      <w:r>
        <w:rPr>
          <w:color w:val="auto"/>
        </w:rPr>
        <w:t>施工期生态环境影响分析</w:t>
      </w:r>
    </w:p>
    <w:p>
      <w:pPr>
        <w:pStyle w:val="70"/>
        <w:ind w:firstLine="482"/>
        <w:rPr>
          <w:color w:val="auto"/>
        </w:rPr>
      </w:pPr>
      <w:r>
        <w:rPr>
          <w:bCs/>
          <w:color w:val="auto"/>
        </w:rPr>
        <w:t>6.1.5.1</w:t>
      </w:r>
      <w:r>
        <w:rPr>
          <w:rFonts w:ascii="宋体" w:hAnsi="宋体" w:cs="宋体"/>
          <w:color w:val="auto"/>
        </w:rPr>
        <w:t>土地利用影响分析</w:t>
      </w:r>
    </w:p>
    <w:p>
      <w:pPr>
        <w:pStyle w:val="63"/>
        <w:ind w:firstLine="480"/>
        <w:rPr>
          <w:color w:val="auto"/>
        </w:rPr>
      </w:pPr>
      <w:r>
        <w:rPr>
          <w:color w:val="auto"/>
        </w:rPr>
        <w:t>项目占地情况见表3.1-2。根据表3.1-2，项目永久性占地总面积为</w:t>
      </w:r>
      <w:r>
        <w:rPr>
          <w:rFonts w:hint="eastAsia"/>
          <w:color w:val="auto"/>
        </w:rPr>
        <w:t>20</w:t>
      </w:r>
      <w:r>
        <w:rPr>
          <w:color w:val="auto"/>
        </w:rPr>
        <w:t>亩，主要为新建水源井</w:t>
      </w:r>
      <w:r>
        <w:rPr>
          <w:rFonts w:hint="eastAsia"/>
          <w:color w:val="auto"/>
        </w:rPr>
        <w:t>、</w:t>
      </w:r>
      <w:r>
        <w:rPr>
          <w:color w:val="auto"/>
        </w:rPr>
        <w:t>新建</w:t>
      </w:r>
      <w:r>
        <w:rPr>
          <w:rFonts w:hint="eastAsia"/>
          <w:color w:val="auto"/>
        </w:rPr>
        <w:t>保障房给水处理站和水源管理站</w:t>
      </w:r>
      <w:r>
        <w:rPr>
          <w:color w:val="auto"/>
        </w:rPr>
        <w:t>占地，其中，新建水源井</w:t>
      </w:r>
      <w:r>
        <w:rPr>
          <w:rFonts w:hint="eastAsia"/>
          <w:color w:val="auto"/>
        </w:rPr>
        <w:t>和</w:t>
      </w:r>
      <w:r>
        <w:rPr>
          <w:color w:val="auto"/>
        </w:rPr>
        <w:t>新建</w:t>
      </w:r>
      <w:r>
        <w:rPr>
          <w:rFonts w:hint="eastAsia"/>
          <w:color w:val="auto"/>
        </w:rPr>
        <w:t>保障房给水处理站</w:t>
      </w:r>
      <w:r>
        <w:rPr>
          <w:color w:val="auto"/>
        </w:rPr>
        <w:t>用地主要为</w:t>
      </w:r>
      <w:r>
        <w:rPr>
          <w:rFonts w:hint="eastAsia"/>
          <w:color w:val="auto"/>
        </w:rPr>
        <w:t>交通用地</w:t>
      </w:r>
      <w:r>
        <w:rPr>
          <w:color w:val="auto"/>
        </w:rPr>
        <w:t>，新建</w:t>
      </w:r>
      <w:r>
        <w:rPr>
          <w:rFonts w:hint="eastAsia"/>
          <w:color w:val="auto"/>
        </w:rPr>
        <w:t>水源管理站</w:t>
      </w:r>
      <w:r>
        <w:rPr>
          <w:color w:val="auto"/>
        </w:rPr>
        <w:t>用地为已废弃的的</w:t>
      </w:r>
      <w:r>
        <w:rPr>
          <w:rFonts w:hint="eastAsia"/>
          <w:color w:val="auto"/>
        </w:rPr>
        <w:t>耕地</w:t>
      </w:r>
      <w:r>
        <w:rPr>
          <w:color w:val="auto"/>
        </w:rPr>
        <w:t>。由于项目占地面积较小，对该区土地利用结构的影响较为轻微。工程建成后，通过在</w:t>
      </w:r>
      <w:r>
        <w:rPr>
          <w:rFonts w:hint="eastAsia"/>
          <w:color w:val="auto"/>
        </w:rPr>
        <w:t>水源管理站</w:t>
      </w:r>
      <w:r>
        <w:rPr>
          <w:color w:val="auto"/>
        </w:rPr>
        <w:t>周围进行绿化，可一定程度上补偿永久占地造成的生态损失。但是，占用基本农田必须遵守《基本农田保护条例》的规定，依法办理用地手续，并落实占补平衡费用和措施。</w:t>
      </w:r>
    </w:p>
    <w:p>
      <w:pPr>
        <w:pStyle w:val="63"/>
        <w:ind w:firstLine="480"/>
        <w:rPr>
          <w:color w:val="auto"/>
        </w:rPr>
      </w:pPr>
      <w:r>
        <w:rPr>
          <w:color w:val="auto"/>
        </w:rPr>
        <w:t>项目临时性占地总面积为</w:t>
      </w:r>
      <w:r>
        <w:rPr>
          <w:rFonts w:hint="eastAsia" w:cs="Times New Roman"/>
          <w:color w:val="auto"/>
        </w:rPr>
        <w:t>90.84</w:t>
      </w:r>
      <w:r>
        <w:rPr>
          <w:color w:val="auto"/>
        </w:rPr>
        <w:t>亩，主要是施工开挖土方堆场、管线安装、料场、施工便道以及施工临时设施占地占用。输水线路土地利用类型主要为</w:t>
      </w:r>
      <w:r>
        <w:rPr>
          <w:rFonts w:hint="eastAsia"/>
          <w:color w:val="auto"/>
        </w:rPr>
        <w:t>交通道路绿化带</w:t>
      </w:r>
      <w:r>
        <w:rPr>
          <w:color w:val="auto"/>
        </w:rPr>
        <w:t>，施工期临时性占地将破坏占用土地上的</w:t>
      </w:r>
      <w:r>
        <w:rPr>
          <w:rFonts w:hint="eastAsia"/>
          <w:color w:val="auto"/>
        </w:rPr>
        <w:t>植物</w:t>
      </w:r>
      <w:r>
        <w:rPr>
          <w:color w:val="auto"/>
        </w:rPr>
        <w:t>，对土地利用功能影响较大。施工结束后，经土方回填，</w:t>
      </w:r>
      <w:r>
        <w:rPr>
          <w:rFonts w:hint="eastAsia"/>
          <w:color w:val="auto"/>
        </w:rPr>
        <w:t>对交通道路绿化带进行补偿，种植同类植物以</w:t>
      </w:r>
      <w:r>
        <w:rPr>
          <w:color w:val="auto"/>
        </w:rPr>
        <w:t>恢复原用地类型</w:t>
      </w:r>
      <w:r>
        <w:rPr>
          <w:rFonts w:hint="eastAsia"/>
          <w:color w:val="auto"/>
        </w:rPr>
        <w:t>。</w:t>
      </w:r>
    </w:p>
    <w:p>
      <w:pPr>
        <w:pStyle w:val="70"/>
        <w:ind w:firstLine="482"/>
        <w:rPr>
          <w:color w:val="auto"/>
        </w:rPr>
      </w:pPr>
      <w:r>
        <w:rPr>
          <w:color w:val="auto"/>
        </w:rPr>
        <w:t>6.1.5.2</w:t>
      </w:r>
      <w:r>
        <w:rPr>
          <w:rFonts w:ascii="宋体" w:hAnsi="宋体" w:cs="宋体"/>
          <w:color w:val="auto"/>
        </w:rPr>
        <w:t>土壤影响分析</w:t>
      </w:r>
    </w:p>
    <w:p>
      <w:pPr>
        <w:pStyle w:val="63"/>
        <w:ind w:firstLine="480"/>
        <w:rPr>
          <w:color w:val="auto"/>
        </w:rPr>
      </w:pPr>
      <w:r>
        <w:rPr>
          <w:color w:val="auto"/>
        </w:rPr>
        <w:t>工程施工期对土壤的影响主要是占压造成土壤压实和对土壤表层的剥离，由于挖方取土、填方堆放、土层扰乱以及对土壤肥力和性质的破坏，使占地区土壤失去其原有的植物生长和农业生产能力。根据建设项目的工程内容，管线工程和道路工程施工过程的土石方开挖、回填对土壤的影响最大。</w:t>
      </w:r>
    </w:p>
    <w:p>
      <w:pPr>
        <w:pStyle w:val="63"/>
        <w:ind w:firstLine="480"/>
        <w:rPr>
          <w:color w:val="auto"/>
          <w:szCs w:val="21"/>
        </w:rPr>
      </w:pPr>
      <w:r>
        <w:rPr>
          <w:color w:val="auto"/>
        </w:rPr>
        <w:t>工程施工过程中将产生施工垃圾、生活垃圾和废（污）水，包括泥浆、废弃余料等废物，如不收集处理残留于土壤中，这些在土壤中难以生物降解的固体废物，影响土壤耕作和作物生长。因此，施工时必须对固体废物实施严格的管理措施，进行统一回收和专门处理，不得随意抛撒。</w:t>
      </w:r>
    </w:p>
    <w:p>
      <w:pPr>
        <w:pStyle w:val="70"/>
        <w:ind w:firstLine="482"/>
        <w:rPr>
          <w:color w:val="auto"/>
          <w:szCs w:val="21"/>
        </w:rPr>
      </w:pPr>
      <w:r>
        <w:rPr>
          <w:color w:val="auto"/>
        </w:rPr>
        <w:t>6.1.5.3动物及植物影响分析</w:t>
      </w:r>
    </w:p>
    <w:p>
      <w:pPr>
        <w:pStyle w:val="63"/>
        <w:ind w:firstLine="480"/>
        <w:rPr>
          <w:color w:val="auto"/>
        </w:rPr>
      </w:pPr>
      <w:r>
        <w:rPr>
          <w:color w:val="auto"/>
        </w:rPr>
        <w:t>本项目施工期对植被的影响主要为建设过程中的植被剥离、清理和占压，临时占地土方回填后，可以恢复原植被类型，但永久占地难以恢复。对动物的影响主要为栖息地破坏引起的动物逃离、施工噪声对动物的干扰。</w:t>
      </w:r>
    </w:p>
    <w:p>
      <w:pPr>
        <w:pStyle w:val="63"/>
        <w:ind w:firstLine="480"/>
        <w:rPr>
          <w:color w:val="auto"/>
        </w:rPr>
      </w:pPr>
      <w:r>
        <w:rPr>
          <w:color w:val="auto"/>
        </w:rPr>
        <w:t>（1）对植被的影响</w:t>
      </w:r>
    </w:p>
    <w:p>
      <w:pPr>
        <w:pStyle w:val="63"/>
        <w:ind w:firstLine="480"/>
        <w:rPr>
          <w:color w:val="auto"/>
        </w:rPr>
      </w:pPr>
      <w:r>
        <w:rPr>
          <w:color w:val="auto"/>
        </w:rPr>
        <w:t>施工期对植被的影响主要有占地范围内原有植物的剥离、清理及占压。在施工过程中，土壤开挖区范围内植物的地上部分与根系均被清除，施工带两侧的植被由于挖掘土石的堆放、人员的践踏、施工车辆和机具的碾压而受到不同程度的破坏，会造成地上部分破坏甚至死亡。</w:t>
      </w:r>
    </w:p>
    <w:p>
      <w:pPr>
        <w:pStyle w:val="63"/>
        <w:ind w:firstLine="480"/>
        <w:rPr>
          <w:color w:val="auto"/>
        </w:rPr>
      </w:pPr>
      <w:r>
        <w:rPr>
          <w:color w:val="auto"/>
        </w:rPr>
        <w:t>工程填挖方均占压和清除一定数量的地表植物，使填挖区被生土覆盖或出露生土，植物恢复须经过较长时间。此外，石材、水泥的堆放也需占压一定的植物，尤其是水泥的抛撒，可造成附近土壤板结，影响植物生长。</w:t>
      </w:r>
    </w:p>
    <w:p>
      <w:pPr>
        <w:pStyle w:val="63"/>
        <w:ind w:firstLine="480"/>
        <w:rPr>
          <w:color w:val="auto"/>
        </w:rPr>
      </w:pPr>
      <w:r>
        <w:rPr>
          <w:color w:val="auto"/>
        </w:rPr>
        <w:t>本项目对植被的影响，因具体工程类型的不同而有所差异，其中</w:t>
      </w:r>
      <w:r>
        <w:rPr>
          <w:rFonts w:hint="eastAsia"/>
          <w:color w:val="auto"/>
        </w:rPr>
        <w:t>保障房给水处理站和水源站</w:t>
      </w:r>
      <w:r>
        <w:rPr>
          <w:color w:val="auto"/>
        </w:rPr>
        <w:t>建设对植被的影响呈片状分布，而管道影响则呈线状分布。从工程类别的影响来看，水源井、</w:t>
      </w:r>
      <w:r>
        <w:rPr>
          <w:rFonts w:hint="eastAsia"/>
          <w:color w:val="auto"/>
        </w:rPr>
        <w:t>保障房给水处理站和水源管理站</w:t>
      </w:r>
      <w:r>
        <w:rPr>
          <w:color w:val="auto"/>
        </w:rPr>
        <w:t>为永久占地，原有植被全部遭到破坏，代之出现的是人工栽植的绿化植被；管线等为临时占地，</w:t>
      </w:r>
      <w:r>
        <w:rPr>
          <w:rFonts w:hint="eastAsia"/>
          <w:color w:val="auto"/>
        </w:rPr>
        <w:t>原有地貌为人工栽植的绿化带，施工过程中</w:t>
      </w:r>
      <w:r>
        <w:rPr>
          <w:color w:val="auto"/>
        </w:rPr>
        <w:t>破坏植被，</w:t>
      </w:r>
      <w:r>
        <w:rPr>
          <w:rFonts w:hint="eastAsia"/>
          <w:color w:val="auto"/>
        </w:rPr>
        <w:t>施工结束后经人工栽植后，</w:t>
      </w:r>
      <w:r>
        <w:rPr>
          <w:color w:val="auto"/>
        </w:rPr>
        <w:t>在</w:t>
      </w:r>
      <w:r>
        <w:rPr>
          <w:rFonts w:hint="eastAsia"/>
          <w:color w:val="auto"/>
        </w:rPr>
        <w:t>1</w:t>
      </w:r>
      <w:r>
        <w:rPr>
          <w:color w:val="auto"/>
        </w:rPr>
        <w:t>年内</w:t>
      </w:r>
      <w:r>
        <w:rPr>
          <w:rFonts w:hint="eastAsia"/>
          <w:color w:val="auto"/>
        </w:rPr>
        <w:t>均</w:t>
      </w:r>
      <w:r>
        <w:rPr>
          <w:color w:val="auto"/>
        </w:rPr>
        <w:t>可得到恢复。</w:t>
      </w:r>
    </w:p>
    <w:p>
      <w:pPr>
        <w:pStyle w:val="63"/>
        <w:ind w:firstLine="480"/>
        <w:rPr>
          <w:color w:val="auto"/>
        </w:rPr>
      </w:pPr>
      <w:r>
        <w:rPr>
          <w:color w:val="auto"/>
        </w:rPr>
        <w:t>（2）对动物的影响</w:t>
      </w:r>
    </w:p>
    <w:p>
      <w:pPr>
        <w:pStyle w:val="63"/>
        <w:ind w:firstLine="480"/>
        <w:rPr>
          <w:color w:val="auto"/>
        </w:rPr>
      </w:pPr>
      <w:r>
        <w:rPr>
          <w:color w:val="auto"/>
        </w:rPr>
        <w:t>评价区无特殊保护的野生动物，常见动物以家庭零星圈养的家禽畜为主。项目施工期对动物的影响，主要是运输、施工噪声和人为活动，迫使动物离开施工附近区域。因此，在施工过程中应加强对施工人员活动的控制，减少对动物的干扰，夜间尽量减少活动；合理安排施工时间。在此基础上，项目建设对动物</w:t>
      </w:r>
      <w:r>
        <w:rPr>
          <w:rFonts w:hint="eastAsia"/>
          <w:color w:val="auto"/>
        </w:rPr>
        <w:t>的影响小。</w:t>
      </w:r>
    </w:p>
    <w:p>
      <w:pPr>
        <w:pStyle w:val="70"/>
        <w:ind w:firstLine="482"/>
        <w:rPr>
          <w:color w:val="auto"/>
        </w:rPr>
      </w:pPr>
      <w:r>
        <w:rPr>
          <w:bCs/>
          <w:color w:val="auto"/>
        </w:rPr>
        <w:t>6.1.5.4</w:t>
      </w:r>
      <w:r>
        <w:rPr>
          <w:rFonts w:ascii="宋体" w:hAnsi="宋体" w:cs="宋体"/>
          <w:color w:val="auto"/>
        </w:rPr>
        <w:t>景观生态影响分析</w:t>
      </w:r>
    </w:p>
    <w:p>
      <w:pPr>
        <w:pStyle w:val="63"/>
        <w:ind w:firstLine="480"/>
        <w:rPr>
          <w:color w:val="auto"/>
        </w:rPr>
      </w:pPr>
      <w:r>
        <w:rPr>
          <w:color w:val="auto"/>
        </w:rPr>
        <w:t>（1）景观格局影响分析</w:t>
      </w:r>
    </w:p>
    <w:p>
      <w:pPr>
        <w:pStyle w:val="63"/>
        <w:ind w:firstLine="480"/>
        <w:rPr>
          <w:color w:val="auto"/>
          <w:szCs w:val="21"/>
        </w:rPr>
      </w:pPr>
      <w:r>
        <w:rPr>
          <w:color w:val="auto"/>
        </w:rPr>
        <w:t>本项目施工期主要是对原有景观的破坏，泵房建设破坏其所占地及其附近的原有景观；管线工程等线状项目的建设，对原有景观的连通性造成一定程度的破坏影响。本项目不会使评价区内的基底景观格局发生变化，但将增加评价区范围的廊道和斑块的数量和多样性，使景观格局的破碎化程度有所增大。由于工程占地面积小，临时占地施工完后很快可以得到恢复，评价认为本项目对评价区景观格局影响较</w:t>
      </w:r>
      <w:r>
        <w:rPr>
          <w:rFonts w:hint="eastAsia"/>
          <w:color w:val="auto"/>
        </w:rPr>
        <w:t>小。</w:t>
      </w:r>
    </w:p>
    <w:p>
      <w:pPr>
        <w:pStyle w:val="63"/>
        <w:ind w:firstLine="480"/>
        <w:rPr>
          <w:color w:val="auto"/>
        </w:rPr>
      </w:pPr>
      <w:r>
        <w:rPr>
          <w:color w:val="auto"/>
        </w:rPr>
        <w:t>（2）景观生态影响分析</w:t>
      </w:r>
    </w:p>
    <w:p>
      <w:pPr>
        <w:pStyle w:val="63"/>
        <w:ind w:firstLine="480"/>
        <w:rPr>
          <w:color w:val="auto"/>
        </w:rPr>
      </w:pPr>
      <w:r>
        <w:rPr>
          <w:color w:val="auto"/>
        </w:rPr>
        <w:t>从景观生态功能和生态关系分析，管线工程的建设，会造成项目所涉及的地表其两侧一定程度上的景观隔离，但从生物传播关系来看，这种隔离作用仅限于土壤微生物和对以根系作为传播途径的植物有较大的影响，对花粉和种子传播植物以及动物的隔离作用较小。从生态系统中的食物链关系以及更广范围的生物互惠关系来看，由于项目在区域总面积中所占比重很小，其影响相对较小。</w:t>
      </w:r>
    </w:p>
    <w:p>
      <w:pPr>
        <w:pStyle w:val="70"/>
        <w:ind w:firstLine="482"/>
        <w:rPr>
          <w:color w:val="auto"/>
        </w:rPr>
      </w:pPr>
      <w:r>
        <w:rPr>
          <w:color w:val="auto"/>
        </w:rPr>
        <w:t>6.1.5.5生态系统影响分析</w:t>
      </w:r>
    </w:p>
    <w:p>
      <w:pPr>
        <w:pStyle w:val="63"/>
        <w:ind w:firstLine="480"/>
        <w:rPr>
          <w:color w:val="auto"/>
        </w:rPr>
      </w:pPr>
      <w:r>
        <w:rPr>
          <w:color w:val="auto"/>
        </w:rPr>
        <w:t>项目永久占地面积</w:t>
      </w:r>
      <w:r>
        <w:rPr>
          <w:rFonts w:hint="eastAsia"/>
          <w:color w:val="auto"/>
        </w:rPr>
        <w:t>20</w:t>
      </w:r>
      <w:r>
        <w:rPr>
          <w:color w:val="auto"/>
        </w:rPr>
        <w:t>亩，临时占地面积</w:t>
      </w:r>
      <w:r>
        <w:rPr>
          <w:rFonts w:hint="eastAsia"/>
          <w:color w:val="auto"/>
        </w:rPr>
        <w:t>90.84</w:t>
      </w:r>
      <w:r>
        <w:rPr>
          <w:color w:val="auto"/>
        </w:rPr>
        <w:t>亩，征用占用土地利用类型主要为耕地</w:t>
      </w:r>
      <w:r>
        <w:rPr>
          <w:rFonts w:hint="eastAsia"/>
          <w:color w:val="auto"/>
        </w:rPr>
        <w:t>和交通用地</w:t>
      </w:r>
      <w:r>
        <w:rPr>
          <w:color w:val="auto"/>
        </w:rPr>
        <w:t>。项目施工期各工程的建设将对评价区的生态功能产生一定的影响，但项目占地面积相对较小，且</w:t>
      </w:r>
      <w:r>
        <w:rPr>
          <w:rFonts w:hint="eastAsia"/>
          <w:color w:val="auto"/>
        </w:rPr>
        <w:t>81.96</w:t>
      </w:r>
      <w:r>
        <w:rPr>
          <w:color w:val="auto"/>
        </w:rPr>
        <w:t>%为临时占地，在施工期结束后，通过种植草地、复垦绿化等措施，可以恢复原有生态功能。项目建成后，</w:t>
      </w:r>
      <w:r>
        <w:rPr>
          <w:rFonts w:hint="eastAsia"/>
          <w:color w:val="auto"/>
        </w:rPr>
        <w:t>水源管理站</w:t>
      </w:r>
      <w:r>
        <w:rPr>
          <w:color w:val="auto"/>
        </w:rPr>
        <w:t>的绿化面积可达到30%，在一定程度上可以补偿生态功能的损失。</w:t>
      </w:r>
    </w:p>
    <w:p>
      <w:pPr>
        <w:pStyle w:val="63"/>
        <w:ind w:firstLine="480"/>
        <w:rPr>
          <w:color w:val="auto"/>
        </w:rPr>
      </w:pPr>
      <w:r>
        <w:rPr>
          <w:color w:val="auto"/>
        </w:rPr>
        <w:t>项目建设过程中，施工区植被破坏后，会加剧局部水土流失，生态系统稳定性将受到干扰，区域生态环境功能有所下降，对区域农田生态系统和草地生态系统的结构和功能产生一定影响，但本项目永久占地面积相对较少，而临时占地多，因此仅对局部生态系统的结构和功能产生临时性影响。从整个评价区来看，该工程不会改变评价区生态系统的完整性和稳定性。</w:t>
      </w:r>
    </w:p>
    <w:p>
      <w:pPr>
        <w:pStyle w:val="63"/>
        <w:ind w:firstLine="480"/>
        <w:rPr>
          <w:color w:val="auto"/>
        </w:rPr>
      </w:pPr>
      <w:r>
        <w:rPr>
          <w:color w:val="auto"/>
        </w:rPr>
        <w:t>因此，在采取切实有效的措施之后，本项目建设对当地生态功能的影响程度可接受。</w:t>
      </w:r>
    </w:p>
    <w:p>
      <w:pPr>
        <w:pStyle w:val="70"/>
        <w:ind w:firstLine="482"/>
        <w:rPr>
          <w:rFonts w:ascii="宋体" w:hAnsi="宋体" w:cs="宋体"/>
          <w:color w:val="auto"/>
        </w:rPr>
      </w:pPr>
      <w:r>
        <w:rPr>
          <w:bCs/>
          <w:color w:val="auto"/>
        </w:rPr>
        <w:t>6.1.5.6</w:t>
      </w:r>
      <w:r>
        <w:rPr>
          <w:rFonts w:ascii="宋体" w:hAnsi="宋体" w:cs="宋体"/>
          <w:color w:val="auto"/>
        </w:rPr>
        <w:t>水土流失影响分析</w:t>
      </w:r>
    </w:p>
    <w:p>
      <w:pPr>
        <w:pStyle w:val="63"/>
        <w:ind w:firstLine="480"/>
        <w:rPr>
          <w:color w:val="auto"/>
        </w:rPr>
      </w:pPr>
      <w:r>
        <w:rPr>
          <w:color w:val="auto"/>
        </w:rPr>
        <w:t>施工初期的基础开挖等活动会使土壤的结构、组成和理化性质等发生变化。由于地表土壤疏松，施工开挖形成的弃土如不采取合理的防护措施，遇到大风、暴雨等特殊气候条件，极易形成水土流失。项目建成后，部分地面己硬化或被建筑物占用，弃土采取防护措施后，水土流失条件逐渐消失，水土流失基本得到控制。</w:t>
      </w:r>
      <w:r>
        <w:rPr>
          <w:color w:val="auto"/>
        </w:rPr>
        <w:br w:type="page"/>
      </w:r>
    </w:p>
    <w:p>
      <w:pPr>
        <w:pStyle w:val="61"/>
        <w:rPr>
          <w:color w:val="auto"/>
        </w:rPr>
      </w:pPr>
      <w:bookmarkStart w:id="49" w:name="_Toc436902165"/>
      <w:r>
        <w:rPr>
          <w:color w:val="auto"/>
        </w:rPr>
        <w:t>6.2环境空气影响预测与评价</w:t>
      </w:r>
      <w:bookmarkEnd w:id="49"/>
    </w:p>
    <w:p>
      <w:pPr>
        <w:pStyle w:val="63"/>
        <w:ind w:firstLine="480"/>
        <w:rPr>
          <w:color w:val="auto"/>
        </w:rPr>
      </w:pPr>
      <w:r>
        <w:rPr>
          <w:rFonts w:hint="eastAsia"/>
          <w:color w:val="auto"/>
        </w:rPr>
        <w:t>（1）</w:t>
      </w:r>
      <w:r>
        <w:rPr>
          <w:color w:val="auto"/>
        </w:rPr>
        <w:t>微量泄漏的Cl</w:t>
      </w:r>
      <w:r>
        <w:rPr>
          <w:color w:val="auto"/>
          <w:vertAlign w:val="subscript"/>
        </w:rPr>
        <w:t>2</w:t>
      </w:r>
    </w:p>
    <w:p>
      <w:pPr>
        <w:pStyle w:val="63"/>
        <w:ind w:firstLine="480"/>
        <w:rPr>
          <w:color w:val="auto"/>
        </w:rPr>
      </w:pPr>
      <w:r>
        <w:rPr>
          <w:color w:val="auto"/>
        </w:rPr>
        <w:t>项目营运期废气仅有加氯车间微量泄漏的Cl</w:t>
      </w:r>
      <w:r>
        <w:rPr>
          <w:color w:val="auto"/>
          <w:szCs w:val="16"/>
          <w:vertAlign w:val="subscript"/>
        </w:rPr>
        <w:t>2</w:t>
      </w:r>
      <w:r>
        <w:rPr>
          <w:color w:val="auto"/>
        </w:rPr>
        <w:t>。设计采用全真空投加方式，以防止氯的外泄，并在氯库内设置了漏氯检测仪和氯气吸收装置，当发生氯气意外泄漏时，氯气吸收装置自动投运，可将泄漏出的氯气全部进行中和处理，能够保护周围的环境免受氯气泄漏的影响。</w:t>
      </w:r>
    </w:p>
    <w:p>
      <w:pPr>
        <w:pStyle w:val="63"/>
        <w:ind w:firstLine="480"/>
        <w:rPr>
          <w:color w:val="auto"/>
        </w:rPr>
      </w:pPr>
      <w:r>
        <w:rPr>
          <w:rFonts w:hint="eastAsia"/>
          <w:color w:val="auto"/>
        </w:rPr>
        <w:t>（2）餐饮油烟</w:t>
      </w:r>
    </w:p>
    <w:p>
      <w:pPr>
        <w:pStyle w:val="63"/>
        <w:ind w:firstLine="480"/>
        <w:rPr>
          <w:color w:val="auto"/>
        </w:rPr>
      </w:pPr>
      <w:r>
        <w:rPr>
          <w:rFonts w:hint="eastAsia"/>
          <w:color w:val="auto"/>
        </w:rPr>
        <w:t>水源管理站</w:t>
      </w:r>
      <w:r>
        <w:rPr>
          <w:color w:val="auto"/>
        </w:rPr>
        <w:t>拟设计在食堂安装1套油烟净化设备对油烟进行净化，处理后的废气经屋顶排空。油烟净化装置净化效率按</w:t>
      </w:r>
      <w:r>
        <w:rPr>
          <w:rFonts w:hint="eastAsia"/>
          <w:color w:val="auto"/>
        </w:rPr>
        <w:t>65</w:t>
      </w:r>
      <w:r>
        <w:rPr>
          <w:color w:val="auto"/>
        </w:rPr>
        <w:t>%计算，则本项目餐饮油烟的排放量为</w:t>
      </w:r>
      <w:r>
        <w:rPr>
          <w:rFonts w:hint="eastAsia"/>
          <w:color w:val="auto"/>
        </w:rPr>
        <w:t>2.53</w:t>
      </w:r>
      <w:r>
        <w:rPr>
          <w:color w:val="auto"/>
        </w:rPr>
        <w:t>kg/a，排放浓度约为</w:t>
      </w:r>
      <w:r>
        <w:rPr>
          <w:rFonts w:hint="eastAsia"/>
          <w:color w:val="auto"/>
        </w:rPr>
        <w:t>0.58</w:t>
      </w:r>
      <w:r>
        <w:rPr>
          <w:color w:val="auto"/>
        </w:rPr>
        <w:t>mg/m</w:t>
      </w:r>
      <w:r>
        <w:rPr>
          <w:color w:val="auto"/>
          <w:vertAlign w:val="superscript"/>
        </w:rPr>
        <w:t>3</w:t>
      </w:r>
      <w:r>
        <w:rPr>
          <w:color w:val="auto"/>
        </w:rPr>
        <w:t>。</w:t>
      </w:r>
      <w:r>
        <w:rPr>
          <w:rFonts w:hint="eastAsia"/>
          <w:color w:val="auto"/>
        </w:rPr>
        <w:t>排放浓度和油烟净化设施去除率均满足《饮食业油烟排放标准》（GB18483-2001）中的相关要求。</w:t>
      </w:r>
    </w:p>
    <w:p>
      <w:pPr>
        <w:pStyle w:val="63"/>
        <w:ind w:firstLine="480"/>
        <w:rPr>
          <w:color w:val="auto"/>
          <w:szCs w:val="30"/>
        </w:rPr>
      </w:pPr>
      <w:r>
        <w:rPr>
          <w:color w:val="auto"/>
        </w:rPr>
        <w:t>因此，本项目建成运营后不会对周围环境空气造成影响。</w:t>
      </w:r>
    </w:p>
    <w:p>
      <w:pPr>
        <w:pStyle w:val="61"/>
        <w:rPr>
          <w:color w:val="auto"/>
        </w:rPr>
      </w:pPr>
      <w:bookmarkStart w:id="50" w:name="_Toc436902166"/>
      <w:r>
        <w:rPr>
          <w:bCs/>
          <w:color w:val="auto"/>
        </w:rPr>
        <w:t>6.3</w:t>
      </w:r>
      <w:r>
        <w:rPr>
          <w:color w:val="auto"/>
        </w:rPr>
        <w:t>噪声影响预测与评价</w:t>
      </w:r>
      <w:bookmarkEnd w:id="50"/>
    </w:p>
    <w:p>
      <w:pPr>
        <w:pStyle w:val="62"/>
        <w:rPr>
          <w:color w:val="auto"/>
          <w:sz w:val="30"/>
          <w:szCs w:val="30"/>
        </w:rPr>
      </w:pPr>
      <w:r>
        <w:rPr>
          <w:bCs/>
          <w:color w:val="auto"/>
        </w:rPr>
        <w:t>6.3.1</w:t>
      </w:r>
      <w:r>
        <w:rPr>
          <w:color w:val="auto"/>
        </w:rPr>
        <w:t>预测模式选择</w:t>
      </w:r>
    </w:p>
    <w:p>
      <w:pPr>
        <w:pStyle w:val="63"/>
        <w:ind w:firstLine="480"/>
        <w:rPr>
          <w:color w:val="auto"/>
          <w:szCs w:val="30"/>
        </w:rPr>
      </w:pPr>
      <w:r>
        <w:rPr>
          <w:color w:val="auto"/>
        </w:rPr>
        <w:t>根据《环境影响评价技术导则声环境》（HJ 2.4-2009）的要求，采用如下模式：</w:t>
      </w:r>
    </w:p>
    <w:p>
      <w:pPr>
        <w:pStyle w:val="63"/>
        <w:ind w:firstLine="480"/>
        <w:rPr>
          <w:color w:val="auto"/>
        </w:rPr>
      </w:pPr>
      <w:r>
        <w:rPr>
          <w:color w:val="auto"/>
        </w:rPr>
        <w:t>（1）室外声源：</w:t>
      </w:r>
    </w:p>
    <w:p>
      <w:pPr>
        <w:pStyle w:val="63"/>
        <w:ind w:firstLine="480"/>
        <w:rPr>
          <w:color w:val="auto"/>
        </w:rPr>
      </w:pPr>
      <w:r>
        <w:rPr>
          <w:color w:val="auto"/>
        </w:rPr>
        <w:t>室外点声源对预测点的噪声声压级影响值（dB（A））为：</w:t>
      </w:r>
    </w:p>
    <w:p>
      <w:pPr>
        <w:pStyle w:val="63"/>
        <w:ind w:firstLine="480"/>
        <w:rPr>
          <w:rFonts w:cs="Times New Roman"/>
          <w:color w:val="auto"/>
          <w:szCs w:val="24"/>
        </w:rPr>
      </w:pPr>
      <m:oMathPara>
        <m:oMath>
          <m:sSub>
            <m:sSubPr>
              <m:ctrlPr>
                <w:rPr>
                  <w:rFonts w:ascii="Cambria Math" w:hAnsi="Cambria Math"/>
                  <w:color w:val="auto"/>
                </w:rPr>
              </m:ctrlPr>
            </m:sSubPr>
            <m:e>
              <m:r>
                <m:rPr>
                  <m:sty m:val="p"/>
                </m:rPr>
                <w:rPr>
                  <w:rFonts w:ascii="Cambria Math"/>
                  <w:color w:val="auto"/>
                </w:rPr>
                <m:t>L</m:t>
              </m:r>
              <m:ctrlPr>
                <w:rPr>
                  <w:rFonts w:ascii="Cambria Math" w:hAnsi="Cambria Math"/>
                  <w:color w:val="auto"/>
                </w:rPr>
              </m:ctrlPr>
            </m:e>
            <m:sub>
              <m:r>
                <m:rPr>
                  <m:sty m:val="p"/>
                </m:rPr>
                <w:rPr>
                  <w:color w:val="auto"/>
                </w:rPr>
                <m:t>（</m:t>
              </m:r>
              <m:r>
                <m:rPr>
                  <m:sty m:val="p"/>
                </m:rPr>
                <w:rPr>
                  <w:rFonts w:ascii="Cambria Math"/>
                  <w:color w:val="auto"/>
                </w:rPr>
                <m:t>r</m:t>
              </m:r>
              <m:r>
                <m:rPr>
                  <m:sty m:val="p"/>
                </m:rPr>
                <w:rPr>
                  <w:color w:val="auto"/>
                </w:rPr>
                <m:t>）</m:t>
              </m:r>
              <m:ctrlPr>
                <w:rPr>
                  <w:rFonts w:ascii="Cambria Math" w:hAnsi="Cambria Math"/>
                  <w:color w:val="auto"/>
                </w:rPr>
              </m:ctrlPr>
            </m:sub>
          </m:sSub>
          <m:r>
            <m:rPr>
              <m:sty m:val="p"/>
            </m:rPr>
            <w:rPr>
              <w:rFonts w:ascii="Cambria Math"/>
              <w:color w:val="auto"/>
            </w:rPr>
            <m:t>=</m:t>
          </m:r>
          <m:sSub>
            <m:sSubPr>
              <m:ctrlPr>
                <w:rPr>
                  <w:rFonts w:ascii="Cambria Math" w:hAnsi="Cambria Math"/>
                  <w:color w:val="auto"/>
                </w:rPr>
              </m:ctrlPr>
            </m:sSubPr>
            <m:e>
              <m:r>
                <m:rPr>
                  <m:sty m:val="p"/>
                </m:rPr>
                <w:rPr>
                  <w:rFonts w:ascii="Cambria Math"/>
                  <w:color w:val="auto"/>
                </w:rPr>
                <m:t>L</m:t>
              </m:r>
              <m:ctrlPr>
                <w:rPr>
                  <w:rFonts w:ascii="Cambria Math" w:hAnsi="Cambria Math"/>
                  <w:color w:val="auto"/>
                </w:rPr>
              </m:ctrlPr>
            </m:e>
            <m:sub>
              <m:r>
                <m:rPr>
                  <m:sty m:val="p"/>
                </m:rPr>
                <w:rPr>
                  <w:rFonts w:ascii="Cambria Math"/>
                  <w:color w:val="auto"/>
                </w:rPr>
                <m:t>p0</m:t>
              </m:r>
              <m:ctrlPr>
                <w:rPr>
                  <w:rFonts w:ascii="Cambria Math" w:hAnsi="Cambria Math"/>
                  <w:color w:val="auto"/>
                </w:rPr>
              </m:ctrlPr>
            </m:sub>
          </m:sSub>
          <m:r>
            <m:rPr>
              <m:sty m:val="p"/>
            </m:rPr>
            <w:rPr>
              <w:color w:val="auto"/>
            </w:rPr>
            <m:t>−</m:t>
          </m:r>
          <m:r>
            <m:rPr>
              <m:sty m:val="p"/>
            </m:rPr>
            <w:rPr>
              <w:rFonts w:ascii="Cambria Math"/>
              <w:color w:val="auto"/>
            </w:rPr>
            <m:t>20Lg</m:t>
          </m:r>
          <m:f>
            <m:fPr>
              <m:ctrlPr>
                <w:rPr>
                  <w:rFonts w:ascii="Cambria Math" w:hAnsi="Cambria Math"/>
                  <w:color w:val="auto"/>
                </w:rPr>
              </m:ctrlPr>
            </m:fPr>
            <m:num>
              <m:r>
                <m:rPr>
                  <m:sty m:val="p"/>
                </m:rPr>
                <w:rPr>
                  <w:rFonts w:ascii="Cambria Math"/>
                  <w:color w:val="auto"/>
                </w:rPr>
                <m:t>r</m:t>
              </m:r>
              <m:ctrlPr>
                <w:rPr>
                  <w:rFonts w:ascii="Cambria Math" w:hAnsi="Cambria Math"/>
                  <w:color w:val="auto"/>
                </w:rPr>
              </m:ctrlPr>
            </m:num>
            <m:den>
              <m:sSub>
                <m:sSubPr>
                  <m:ctrlPr>
                    <w:rPr>
                      <w:rFonts w:ascii="Cambria Math" w:hAnsi="Cambria Math"/>
                      <w:color w:val="auto"/>
                    </w:rPr>
                  </m:ctrlPr>
                </m:sSubPr>
                <m:e>
                  <m:r>
                    <m:rPr>
                      <m:sty m:val="p"/>
                    </m:rPr>
                    <w:rPr>
                      <w:rFonts w:ascii="Cambria Math"/>
                      <w:color w:val="auto"/>
                    </w:rPr>
                    <m:t>r</m:t>
                  </m:r>
                  <m:ctrlPr>
                    <w:rPr>
                      <w:rFonts w:ascii="Cambria Math" w:hAnsi="Cambria Math"/>
                      <w:color w:val="auto"/>
                    </w:rPr>
                  </m:ctrlPr>
                </m:e>
                <m:sub>
                  <m:r>
                    <m:rPr>
                      <m:sty m:val="p"/>
                    </m:rPr>
                    <w:rPr>
                      <w:rFonts w:ascii="Cambria Math"/>
                      <w:color w:val="auto"/>
                    </w:rPr>
                    <m:t>0</m:t>
                  </m:r>
                  <m:ctrlPr>
                    <w:rPr>
                      <w:rFonts w:ascii="Cambria Math" w:hAnsi="Cambria Math"/>
                      <w:color w:val="auto"/>
                    </w:rPr>
                  </m:ctrlPr>
                </m:sub>
              </m:sSub>
              <m:ctrlPr>
                <w:rPr>
                  <w:rFonts w:ascii="Cambria Math" w:hAnsi="Cambria Math"/>
                  <w:color w:val="auto"/>
                </w:rPr>
              </m:ctrlPr>
            </m:den>
          </m:f>
        </m:oMath>
      </m:oMathPara>
    </w:p>
    <w:p>
      <w:pPr>
        <w:pStyle w:val="63"/>
        <w:ind w:firstLine="460"/>
        <w:rPr>
          <w:color w:val="auto"/>
          <w:sz w:val="23"/>
        </w:rPr>
      </w:pPr>
      <w:r>
        <w:rPr>
          <w:color w:val="auto"/>
          <w:sz w:val="23"/>
        </w:rPr>
        <w:t>式中：</w:t>
      </w:r>
    </w:p>
    <w:p>
      <w:pPr>
        <w:pStyle w:val="63"/>
        <w:ind w:firstLine="480"/>
        <w:rPr>
          <w:color w:val="auto"/>
          <w:szCs w:val="24"/>
        </w:rPr>
      </w:pPr>
      <w:r>
        <w:rPr>
          <w:color w:val="auto"/>
          <w:szCs w:val="24"/>
        </w:rPr>
        <w:t>L</w:t>
      </w:r>
      <w:r>
        <w:rPr>
          <w:color w:val="auto"/>
          <w:szCs w:val="24"/>
          <w:vertAlign w:val="subscript"/>
        </w:rPr>
        <w:t>P</w:t>
      </w:r>
      <w:r>
        <w:rPr>
          <w:rFonts w:ascii="宋体" w:hAnsi="宋体" w:cs="宋体"/>
          <w:color w:val="auto"/>
          <w:szCs w:val="24"/>
          <w:vertAlign w:val="subscript"/>
        </w:rPr>
        <w:t>（</w:t>
      </w:r>
      <w:r>
        <w:rPr>
          <w:color w:val="auto"/>
          <w:szCs w:val="24"/>
          <w:vertAlign w:val="subscript"/>
        </w:rPr>
        <w:t>r</w:t>
      </w:r>
      <w:r>
        <w:rPr>
          <w:rFonts w:ascii="宋体" w:hAnsi="宋体" w:cs="宋体"/>
          <w:color w:val="auto"/>
          <w:szCs w:val="24"/>
          <w:vertAlign w:val="subscript"/>
        </w:rPr>
        <w:t>）</w:t>
      </w:r>
      <w:r>
        <w:rPr>
          <w:rFonts w:ascii="宋体" w:hAnsi="宋体" w:cs="宋体"/>
          <w:color w:val="auto"/>
          <w:szCs w:val="24"/>
        </w:rPr>
        <w:t>为预测点的声压级（</w:t>
      </w:r>
      <w:r>
        <w:rPr>
          <w:color w:val="auto"/>
          <w:szCs w:val="24"/>
        </w:rPr>
        <w:t>dB</w:t>
      </w:r>
      <w:r>
        <w:rPr>
          <w:rFonts w:ascii="宋体" w:hAnsi="宋体" w:cs="宋体"/>
          <w:color w:val="auto"/>
          <w:szCs w:val="24"/>
        </w:rPr>
        <w:t>（</w:t>
      </w:r>
      <w:r>
        <w:rPr>
          <w:color w:val="auto"/>
          <w:szCs w:val="24"/>
        </w:rPr>
        <w:t>A</w:t>
      </w:r>
      <w:r>
        <w:rPr>
          <w:rFonts w:ascii="宋体" w:hAnsi="宋体" w:cs="宋体"/>
          <w:color w:val="auto"/>
          <w:szCs w:val="24"/>
        </w:rPr>
        <w:t>））；</w:t>
      </w:r>
    </w:p>
    <w:p>
      <w:pPr>
        <w:pStyle w:val="63"/>
        <w:ind w:firstLine="480"/>
        <w:rPr>
          <w:color w:val="auto"/>
          <w:szCs w:val="24"/>
        </w:rPr>
      </w:pPr>
      <w:r>
        <w:rPr>
          <w:color w:val="auto"/>
          <w:szCs w:val="24"/>
        </w:rPr>
        <w:t>L</w:t>
      </w:r>
      <w:r>
        <w:rPr>
          <w:color w:val="auto"/>
          <w:szCs w:val="24"/>
          <w:vertAlign w:val="subscript"/>
        </w:rPr>
        <w:t>P0</w:t>
      </w:r>
      <w:r>
        <w:rPr>
          <w:rFonts w:ascii="宋体" w:hAnsi="宋体" w:cs="宋体"/>
          <w:color w:val="auto"/>
          <w:szCs w:val="24"/>
        </w:rPr>
        <w:t>为点声源在</w:t>
      </w:r>
      <w:r>
        <w:rPr>
          <w:color w:val="auto"/>
          <w:szCs w:val="24"/>
        </w:rPr>
        <w:t>r</w:t>
      </w:r>
      <w:r>
        <w:rPr>
          <w:color w:val="auto"/>
          <w:szCs w:val="24"/>
          <w:vertAlign w:val="subscript"/>
        </w:rPr>
        <w:t>0</w:t>
      </w:r>
      <w:r>
        <w:rPr>
          <w:rFonts w:ascii="宋体" w:hAnsi="宋体" w:cs="宋体"/>
          <w:color w:val="auto"/>
          <w:szCs w:val="24"/>
        </w:rPr>
        <w:t>（</w:t>
      </w:r>
      <w:r>
        <w:rPr>
          <w:color w:val="auto"/>
          <w:szCs w:val="24"/>
        </w:rPr>
        <w:t>m</w:t>
      </w:r>
      <w:r>
        <w:rPr>
          <w:rFonts w:ascii="宋体" w:hAnsi="宋体" w:cs="宋体"/>
          <w:color w:val="auto"/>
          <w:szCs w:val="24"/>
        </w:rPr>
        <w:t>）距离处测定的声压级（</w:t>
      </w:r>
      <w:r>
        <w:rPr>
          <w:color w:val="auto"/>
          <w:szCs w:val="24"/>
        </w:rPr>
        <w:t>dB</w:t>
      </w:r>
      <w:r>
        <w:rPr>
          <w:rFonts w:ascii="宋体" w:hAnsi="宋体" w:cs="宋体"/>
          <w:color w:val="auto"/>
          <w:szCs w:val="24"/>
        </w:rPr>
        <w:t>（</w:t>
      </w:r>
      <w:r>
        <w:rPr>
          <w:color w:val="auto"/>
          <w:szCs w:val="24"/>
        </w:rPr>
        <w:t>A</w:t>
      </w:r>
      <w:r>
        <w:rPr>
          <w:rFonts w:ascii="宋体" w:hAnsi="宋体" w:cs="宋体"/>
          <w:color w:val="auto"/>
          <w:szCs w:val="24"/>
        </w:rPr>
        <w:t>））；</w:t>
      </w:r>
    </w:p>
    <w:p>
      <w:pPr>
        <w:pStyle w:val="63"/>
        <w:ind w:firstLine="480"/>
        <w:rPr>
          <w:color w:val="auto"/>
          <w:sz w:val="23"/>
        </w:rPr>
      </w:pPr>
      <w:r>
        <w:rPr>
          <w:color w:val="auto"/>
          <w:szCs w:val="24"/>
        </w:rPr>
        <w:t>r</w:t>
      </w:r>
      <w:r>
        <w:rPr>
          <w:rFonts w:ascii="宋体" w:hAnsi="宋体" w:cs="宋体"/>
          <w:color w:val="auto"/>
          <w:szCs w:val="24"/>
        </w:rPr>
        <w:t>为点声源距预测点的距离（</w:t>
      </w:r>
      <w:r>
        <w:rPr>
          <w:color w:val="auto"/>
          <w:szCs w:val="24"/>
        </w:rPr>
        <w:t>m</w:t>
      </w:r>
      <w:r>
        <w:rPr>
          <w:rFonts w:ascii="宋体" w:hAnsi="宋体" w:cs="宋体"/>
          <w:color w:val="auto"/>
          <w:szCs w:val="24"/>
        </w:rPr>
        <w:t>）；</w:t>
      </w:r>
    </w:p>
    <w:p>
      <w:pPr>
        <w:pStyle w:val="63"/>
        <w:ind w:firstLine="480"/>
        <w:rPr>
          <w:color w:val="auto"/>
        </w:rPr>
      </w:pPr>
      <w:r>
        <w:rPr>
          <w:color w:val="auto"/>
        </w:rPr>
        <w:t>（2）室内声源：</w:t>
      </w:r>
    </w:p>
    <w:p>
      <w:pPr>
        <w:pStyle w:val="63"/>
        <w:ind w:firstLine="480"/>
        <w:rPr>
          <w:color w:val="auto"/>
        </w:rPr>
      </w:pPr>
      <w:r>
        <w:rPr>
          <w:color w:val="auto"/>
        </w:rPr>
        <w:t>对于室外声源，可按下式计算：</w:t>
      </w:r>
    </w:p>
    <w:p>
      <w:pPr>
        <w:pStyle w:val="63"/>
        <w:ind w:firstLine="480"/>
        <w:rPr>
          <w:rFonts w:cs="Times New Roman"/>
          <w:color w:val="auto"/>
          <w:szCs w:val="24"/>
        </w:rPr>
      </w:pPr>
      <m:oMathPara>
        <m:oMath>
          <m:sSub>
            <m:sSubPr>
              <m:ctrlPr>
                <w:rPr>
                  <w:rFonts w:ascii="Cambria Math" w:hAnsi="Cambria Math"/>
                  <w:color w:val="auto"/>
                </w:rPr>
              </m:ctrlPr>
            </m:sSubPr>
            <m:e>
              <m:r>
                <m:rPr>
                  <m:sty m:val="p"/>
                </m:rPr>
                <w:rPr>
                  <w:rFonts w:ascii="Cambria Math"/>
                  <w:color w:val="auto"/>
                </w:rPr>
                <m:t>L</m:t>
              </m:r>
              <m:ctrlPr>
                <w:rPr>
                  <w:rFonts w:ascii="Cambria Math" w:hAnsi="Cambria Math"/>
                  <w:color w:val="auto"/>
                </w:rPr>
              </m:ctrlPr>
            </m:e>
            <m:sub>
              <m:r>
                <m:rPr>
                  <m:sty m:val="p"/>
                </m:rPr>
                <w:rPr>
                  <w:rFonts w:ascii="Cambria Math"/>
                  <w:color w:val="auto"/>
                </w:rPr>
                <m:t>P</m:t>
              </m:r>
              <m:r>
                <m:rPr>
                  <m:sty m:val="p"/>
                </m:rPr>
                <w:rPr>
                  <w:color w:val="auto"/>
                </w:rPr>
                <m:t>（</m:t>
              </m:r>
              <m:r>
                <m:rPr>
                  <m:sty m:val="p"/>
                </m:rPr>
                <w:rPr>
                  <w:rFonts w:ascii="Cambria Math"/>
                  <w:color w:val="auto"/>
                </w:rPr>
                <m:t>r</m:t>
              </m:r>
              <m:r>
                <m:rPr>
                  <m:sty m:val="p"/>
                </m:rPr>
                <w:rPr>
                  <w:color w:val="auto"/>
                </w:rPr>
                <m:t>）</m:t>
              </m:r>
              <m:ctrlPr>
                <w:rPr>
                  <w:rFonts w:ascii="Cambria Math" w:hAnsi="Cambria Math"/>
                  <w:color w:val="auto"/>
                </w:rPr>
              </m:ctrlPr>
            </m:sub>
          </m:sSub>
          <m:r>
            <m:rPr>
              <m:sty m:val="p"/>
            </m:rPr>
            <w:rPr>
              <w:rFonts w:ascii="Cambria Math"/>
              <w:color w:val="auto"/>
            </w:rPr>
            <m:t>=</m:t>
          </m:r>
          <m:sSub>
            <m:sSubPr>
              <m:ctrlPr>
                <w:rPr>
                  <w:rFonts w:ascii="Cambria Math" w:hAnsi="Cambria Math"/>
                  <w:color w:val="auto"/>
                </w:rPr>
              </m:ctrlPr>
            </m:sSubPr>
            <m:e>
              <m:r>
                <m:rPr>
                  <m:sty m:val="p"/>
                </m:rPr>
                <w:rPr>
                  <w:rFonts w:ascii="Cambria Math"/>
                  <w:color w:val="auto"/>
                </w:rPr>
                <m:t>L</m:t>
              </m:r>
              <m:ctrlPr>
                <w:rPr>
                  <w:rFonts w:ascii="Cambria Math" w:hAnsi="Cambria Math"/>
                  <w:color w:val="auto"/>
                </w:rPr>
              </m:ctrlPr>
            </m:e>
            <m:sub>
              <m:r>
                <m:rPr>
                  <m:sty m:val="p"/>
                </m:rPr>
                <w:rPr>
                  <w:rFonts w:ascii="Cambria Math"/>
                  <w:color w:val="auto"/>
                </w:rPr>
                <m:t>p0</m:t>
              </m:r>
              <m:ctrlPr>
                <w:rPr>
                  <w:rFonts w:ascii="Cambria Math" w:hAnsi="Cambria Math"/>
                  <w:color w:val="auto"/>
                </w:rPr>
              </m:ctrlPr>
            </m:sub>
          </m:sSub>
          <m:r>
            <m:rPr>
              <m:sty m:val="p"/>
            </m:rPr>
            <w:rPr>
              <w:color w:val="auto"/>
            </w:rPr>
            <m:t>−</m:t>
          </m:r>
          <m:r>
            <m:rPr>
              <m:sty m:val="p"/>
            </m:rPr>
            <w:rPr>
              <w:rFonts w:ascii="Cambria Math"/>
              <w:color w:val="auto"/>
            </w:rPr>
            <m:t>20Lg</m:t>
          </m:r>
          <m:f>
            <m:fPr>
              <m:ctrlPr>
                <w:rPr>
                  <w:rFonts w:ascii="Cambria Math" w:hAnsi="Cambria Math"/>
                  <w:color w:val="auto"/>
                </w:rPr>
              </m:ctrlPr>
            </m:fPr>
            <m:num>
              <m:r>
                <m:rPr>
                  <m:sty m:val="p"/>
                </m:rPr>
                <w:rPr>
                  <w:rFonts w:ascii="Cambria Math"/>
                  <w:color w:val="auto"/>
                </w:rPr>
                <m:t>r</m:t>
              </m:r>
              <m:ctrlPr>
                <w:rPr>
                  <w:rFonts w:ascii="Cambria Math" w:hAnsi="Cambria Math"/>
                  <w:color w:val="auto"/>
                </w:rPr>
              </m:ctrlPr>
            </m:num>
            <m:den>
              <m:sSub>
                <m:sSubPr>
                  <m:ctrlPr>
                    <w:rPr>
                      <w:rFonts w:ascii="Cambria Math" w:hAnsi="Cambria Math"/>
                      <w:color w:val="auto"/>
                    </w:rPr>
                  </m:ctrlPr>
                </m:sSubPr>
                <m:e>
                  <m:r>
                    <m:rPr>
                      <m:sty m:val="p"/>
                    </m:rPr>
                    <w:rPr>
                      <w:rFonts w:ascii="Cambria Math"/>
                      <w:color w:val="auto"/>
                    </w:rPr>
                    <m:t>r</m:t>
                  </m:r>
                  <m:ctrlPr>
                    <w:rPr>
                      <w:rFonts w:ascii="Cambria Math" w:hAnsi="Cambria Math"/>
                      <w:color w:val="auto"/>
                    </w:rPr>
                  </m:ctrlPr>
                </m:e>
                <m:sub>
                  <m:r>
                    <m:rPr>
                      <m:sty m:val="p"/>
                    </m:rPr>
                    <w:rPr>
                      <w:rFonts w:ascii="Cambria Math"/>
                      <w:color w:val="auto"/>
                    </w:rPr>
                    <m:t>0</m:t>
                  </m:r>
                  <m:ctrlPr>
                    <w:rPr>
                      <w:rFonts w:ascii="Cambria Math" w:hAnsi="Cambria Math"/>
                      <w:color w:val="auto"/>
                    </w:rPr>
                  </m:ctrlPr>
                </m:sub>
              </m:sSub>
              <m:ctrlPr>
                <w:rPr>
                  <w:rFonts w:ascii="Cambria Math" w:hAnsi="Cambria Math"/>
                  <w:color w:val="auto"/>
                </w:rPr>
              </m:ctrlPr>
            </m:den>
          </m:f>
          <m:r>
            <m:rPr>
              <m:sty m:val="p"/>
            </m:rPr>
            <w:rPr>
              <w:color w:val="auto"/>
            </w:rPr>
            <m:t>−</m:t>
          </m:r>
          <m:r>
            <m:rPr>
              <m:sty m:val="p"/>
            </m:rPr>
            <w:rPr>
              <w:rFonts w:ascii="Cambria Math"/>
              <w:color w:val="auto"/>
            </w:rPr>
            <m:t>TL+10Lg</m:t>
          </m:r>
          <m:f>
            <m:fPr>
              <m:ctrlPr>
                <w:rPr>
                  <w:rFonts w:ascii="Cambria Math" w:hAnsi="Cambria Math"/>
                  <w:color w:val="auto"/>
                </w:rPr>
              </m:ctrlPr>
            </m:fPr>
            <m:num>
              <m:r>
                <m:rPr>
                  <m:sty m:val="p"/>
                </m:rPr>
                <w:rPr>
                  <w:rFonts w:ascii="Cambria Math"/>
                  <w:color w:val="auto"/>
                </w:rPr>
                <m:t>1</m:t>
              </m:r>
              <m:r>
                <m:rPr>
                  <m:sty m:val="p"/>
                </m:rPr>
                <w:rPr>
                  <w:color w:val="auto"/>
                </w:rPr>
                <m:t>−α</m:t>
              </m:r>
              <m:ctrlPr>
                <w:rPr>
                  <w:rFonts w:ascii="Cambria Math" w:hAnsi="Cambria Math"/>
                  <w:color w:val="auto"/>
                </w:rPr>
              </m:ctrlPr>
            </m:num>
            <m:den>
              <m:r>
                <m:rPr>
                  <m:sty m:val="p"/>
                </m:rPr>
                <w:rPr>
                  <w:color w:val="auto"/>
                </w:rPr>
                <m:t>α</m:t>
              </m:r>
              <m:ctrlPr>
                <w:rPr>
                  <w:rFonts w:ascii="Cambria Math" w:hAnsi="Cambria Math"/>
                  <w:color w:val="auto"/>
                </w:rPr>
              </m:ctrlPr>
            </m:den>
          </m:f>
        </m:oMath>
      </m:oMathPara>
    </w:p>
    <w:p>
      <w:pPr>
        <w:pStyle w:val="63"/>
        <w:ind w:firstLine="460"/>
        <w:rPr>
          <w:color w:val="auto"/>
        </w:rPr>
      </w:pPr>
      <w:r>
        <w:rPr>
          <w:color w:val="auto"/>
          <w:sz w:val="23"/>
        </w:rPr>
        <w:t>式中：</w:t>
      </w:r>
    </w:p>
    <w:p>
      <w:pPr>
        <w:pStyle w:val="63"/>
        <w:ind w:firstLine="480"/>
        <w:rPr>
          <w:color w:val="auto"/>
        </w:rPr>
      </w:pPr>
      <w:r>
        <w:rPr>
          <w:color w:val="auto"/>
        </w:rPr>
        <w:t>L</w:t>
      </w:r>
      <w:r>
        <w:rPr>
          <w:color w:val="auto"/>
          <w:szCs w:val="16"/>
          <w:vertAlign w:val="subscript"/>
        </w:rPr>
        <w:t>P</w:t>
      </w:r>
      <w:r>
        <w:rPr>
          <w:color w:val="auto"/>
          <w:vertAlign w:val="subscript"/>
        </w:rPr>
        <w:t>（r）</w:t>
      </w:r>
      <w:r>
        <w:rPr>
          <w:color w:val="auto"/>
        </w:rPr>
        <w:t>为预测点的声压级（dB（A））；</w:t>
      </w:r>
    </w:p>
    <w:p>
      <w:pPr>
        <w:pStyle w:val="63"/>
        <w:ind w:firstLine="480"/>
        <w:rPr>
          <w:color w:val="auto"/>
        </w:rPr>
      </w:pPr>
      <w:r>
        <w:rPr>
          <w:color w:val="auto"/>
        </w:rPr>
        <w:t>L</w:t>
      </w:r>
      <w:r>
        <w:rPr>
          <w:color w:val="auto"/>
          <w:szCs w:val="16"/>
          <w:vertAlign w:val="subscript"/>
        </w:rPr>
        <w:t>P0</w:t>
      </w:r>
      <w:r>
        <w:rPr>
          <w:color w:val="auto"/>
        </w:rPr>
        <w:t>为点声源在r</w:t>
      </w:r>
      <w:r>
        <w:rPr>
          <w:color w:val="auto"/>
          <w:szCs w:val="16"/>
          <w:vertAlign w:val="subscript"/>
        </w:rPr>
        <w:t>0</w:t>
      </w:r>
      <w:r>
        <w:rPr>
          <w:color w:val="auto"/>
        </w:rPr>
        <w:t>（m）距离处测定的声压级（dB（A））；</w:t>
      </w:r>
    </w:p>
    <w:p>
      <w:pPr>
        <w:pStyle w:val="63"/>
        <w:ind w:firstLine="480"/>
        <w:rPr>
          <w:color w:val="auto"/>
        </w:rPr>
      </w:pPr>
      <w:r>
        <w:rPr>
          <w:color w:val="auto"/>
        </w:rPr>
        <w:t>TL为围护结构的平均隔声量，一般车间墙、窗组合结构取TL=25dB（A），如果采用双层玻璃窗或通风隔声窗，TL=30dB（A）；为保守考虑，本项目取TL=25dB（A）；</w:t>
      </w:r>
    </w:p>
    <w:p>
      <w:pPr>
        <w:pStyle w:val="63"/>
        <w:ind w:firstLine="480"/>
        <w:rPr>
          <w:color w:val="auto"/>
        </w:rPr>
      </w:pPr>
      <w:r>
        <w:rPr>
          <w:color w:val="auto"/>
        </w:rPr>
        <w:t>α为吸声系数；对一般机械车间，取0.15。</w:t>
      </w:r>
    </w:p>
    <w:p>
      <w:pPr>
        <w:pStyle w:val="63"/>
        <w:ind w:firstLine="480"/>
        <w:rPr>
          <w:color w:val="auto"/>
        </w:rPr>
      </w:pPr>
      <w:r>
        <w:rPr>
          <w:color w:val="auto"/>
        </w:rPr>
        <w:t>（3）对预测点多源声影响及背景噪声的叠加：</w:t>
      </w:r>
    </w:p>
    <w:p>
      <w:pPr>
        <w:pStyle w:val="63"/>
        <w:ind w:firstLine="480"/>
        <w:rPr>
          <w:rFonts w:ascii="Cambria Math" w:hAnsi="Cambria Math" w:cs="Times New Roman"/>
          <w:color w:val="auto"/>
          <w:szCs w:val="24"/>
        </w:rPr>
      </w:pPr>
      <m:oMathPara>
        <m:oMath>
          <m:sSub>
            <m:sSubPr>
              <m:ctrlPr>
                <w:rPr>
                  <w:rFonts w:ascii="Cambria Math" w:hAnsi="Cambria Math"/>
                  <w:color w:val="auto"/>
                </w:rPr>
              </m:ctrlPr>
            </m:sSubPr>
            <m:e>
              <m:r>
                <m:rPr>
                  <m:sty m:val="p"/>
                </m:rPr>
                <w:rPr>
                  <w:rFonts w:ascii="Cambria Math"/>
                  <w:color w:val="auto"/>
                </w:rPr>
                <m:t>L</m:t>
              </m:r>
              <m:ctrlPr>
                <w:rPr>
                  <w:rFonts w:ascii="Cambria Math" w:hAnsi="Cambria Math"/>
                  <w:color w:val="auto"/>
                </w:rPr>
              </m:ctrlPr>
            </m:e>
            <m:sub>
              <m:r>
                <m:rPr>
                  <m:sty m:val="p"/>
                </m:rPr>
                <w:rPr>
                  <w:rFonts w:ascii="Cambria Math"/>
                  <w:color w:val="auto"/>
                </w:rPr>
                <m:t>P</m:t>
              </m:r>
              <m:r>
                <m:rPr>
                  <m:sty m:val="p"/>
                </m:rPr>
                <w:rPr>
                  <w:color w:val="auto"/>
                </w:rPr>
                <m:t>（</m:t>
              </m:r>
              <m:r>
                <m:rPr>
                  <m:sty m:val="p"/>
                </m:rPr>
                <w:rPr>
                  <w:rFonts w:ascii="Cambria Math"/>
                  <w:color w:val="auto"/>
                </w:rPr>
                <m:t>r</m:t>
              </m:r>
              <m:r>
                <m:rPr>
                  <m:sty m:val="p"/>
                </m:rPr>
                <w:rPr>
                  <w:color w:val="auto"/>
                </w:rPr>
                <m:t>）</m:t>
              </m:r>
              <m:ctrlPr>
                <w:rPr>
                  <w:rFonts w:ascii="Cambria Math" w:hAnsi="Cambria Math"/>
                  <w:color w:val="auto"/>
                </w:rPr>
              </m:ctrlPr>
            </m:sub>
          </m:sSub>
          <m:r>
            <m:rPr>
              <m:sty m:val="p"/>
            </m:rPr>
            <w:rPr>
              <w:rFonts w:ascii="Cambria Math"/>
              <w:color w:val="auto"/>
            </w:rPr>
            <m:t>=</m:t>
          </m:r>
          <m:r>
            <m:rPr>
              <m:sty m:val="p"/>
            </m:rPr>
            <w:rPr>
              <w:rFonts w:ascii="Cambria Math" w:hAnsi="Cambria Math"/>
              <w:color w:val="auto"/>
            </w:rPr>
            <m:t>10Lg</m:t>
          </m:r>
          <m:d>
            <m:dPr>
              <m:ctrlPr>
                <w:rPr>
                  <w:rFonts w:ascii="Cambria Math" w:hAnsi="Cambria Math"/>
                  <w:color w:val="auto"/>
                </w:rPr>
              </m:ctrlPr>
            </m:dPr>
            <m:e>
              <m:nary>
                <m:naryPr>
                  <m:chr m:val="∑"/>
                  <m:limLoc m:val="undOvr"/>
                  <m:ctrlPr>
                    <w:rPr>
                      <w:rFonts w:ascii="Cambria Math" w:hAnsi="Cambria Math"/>
                      <w:color w:val="auto"/>
                    </w:rPr>
                  </m:ctrlPr>
                </m:naryPr>
                <m:sub>
                  <m:r>
                    <m:rPr>
                      <m:sty m:val="p"/>
                    </m:rPr>
                    <w:rPr>
                      <w:rFonts w:ascii="Cambria Math" w:hAnsi="Cambria Math"/>
                      <w:color w:val="auto"/>
                    </w:rPr>
                    <m:t>i−1</m:t>
                  </m:r>
                  <m:ctrlPr>
                    <w:rPr>
                      <w:rFonts w:ascii="Cambria Math" w:hAnsi="Cambria Math"/>
                      <w:color w:val="auto"/>
                    </w:rPr>
                  </m:ctrlPr>
                </m:sub>
                <m:sup>
                  <m:r>
                    <m:rPr>
                      <m:sty m:val="p"/>
                    </m:rPr>
                    <w:rPr>
                      <w:rFonts w:ascii="Cambria Math" w:hAnsi="Cambria Math"/>
                      <w:color w:val="auto"/>
                    </w:rPr>
                    <m:t>N</m:t>
                  </m:r>
                  <m:ctrlPr>
                    <w:rPr>
                      <w:rFonts w:ascii="Cambria Math" w:hAnsi="Cambria Math"/>
                      <w:color w:val="auto"/>
                    </w:rPr>
                  </m:ctrlPr>
                </m:sup>
                <m:e>
                  <m:sSup>
                    <m:sSupPr>
                      <m:ctrlPr>
                        <w:rPr>
                          <w:rFonts w:ascii="Cambria Math" w:hAnsi="Cambria Math"/>
                          <w:color w:val="auto"/>
                        </w:rPr>
                      </m:ctrlPr>
                    </m:sSupPr>
                    <m:e>
                      <m:r>
                        <m:rPr>
                          <m:sty m:val="p"/>
                        </m:rPr>
                        <w:rPr>
                          <w:rFonts w:ascii="Cambria Math" w:hAnsi="Cambria Math"/>
                          <w:color w:val="auto"/>
                        </w:rPr>
                        <m:t>10</m:t>
                      </m:r>
                      <m:ctrlPr>
                        <w:rPr>
                          <w:rFonts w:ascii="Cambria Math" w:hAnsi="Cambria Math"/>
                          <w:color w:val="auto"/>
                        </w:rPr>
                      </m:ctrlPr>
                    </m:e>
                    <m:sup>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L</m:t>
                              </m:r>
                              <m:ctrlPr>
                                <w:rPr>
                                  <w:rFonts w:ascii="Cambria Math" w:hAnsi="Cambria Math"/>
                                  <w:color w:val="auto"/>
                                </w:rPr>
                              </m:ctrlPr>
                            </m:e>
                            <m:sub>
                              <m:r>
                                <m:rPr>
                                  <m:sty m:val="p"/>
                                </m:rPr>
                                <w:rPr>
                                  <w:rFonts w:ascii="Cambria Math" w:hAnsi="Cambria Math"/>
                                  <w:color w:val="auto"/>
                                </w:rPr>
                                <m:t>P</m:t>
                              </m:r>
                              <m:ctrlPr>
                                <w:rPr>
                                  <w:rFonts w:ascii="Cambria Math" w:hAnsi="Cambria Math"/>
                                  <w:color w:val="auto"/>
                                </w:rPr>
                              </m:ctrlPr>
                            </m:sub>
                          </m:sSub>
                          <m:ctrlPr>
                            <w:rPr>
                              <w:rFonts w:ascii="Cambria Math" w:hAnsi="Cambria Math"/>
                              <w:color w:val="auto"/>
                            </w:rPr>
                          </m:ctrlPr>
                        </m:num>
                        <m:den>
                          <m:r>
                            <m:rPr>
                              <m:sty m:val="p"/>
                            </m:rPr>
                            <w:rPr>
                              <w:rFonts w:ascii="Cambria Math" w:hAnsi="Cambria Math"/>
                              <w:color w:val="auto"/>
                            </w:rPr>
                            <m:t>10</m:t>
                          </m:r>
                          <m:ctrlPr>
                            <w:rPr>
                              <w:rFonts w:ascii="Cambria Math" w:hAnsi="Cambria Math"/>
                              <w:color w:val="auto"/>
                            </w:rPr>
                          </m:ctrlPr>
                        </m:den>
                      </m:f>
                      <m:ctrlPr>
                        <w:rPr>
                          <w:rFonts w:ascii="Cambria Math" w:hAnsi="Cambria Math"/>
                          <w:color w:val="auto"/>
                        </w:rPr>
                      </m:ctrlPr>
                    </m:sup>
                  </m:sSup>
                  <m:ctrlPr>
                    <w:rPr>
                      <w:rFonts w:ascii="Cambria Math" w:hAnsi="Cambria Math"/>
                      <w:color w:val="auto"/>
                    </w:rPr>
                  </m:ctrlPr>
                </m:e>
              </m:nary>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10</m:t>
                  </m:r>
                  <m:ctrlPr>
                    <w:rPr>
                      <w:rFonts w:ascii="Cambria Math" w:hAnsi="Cambria Math"/>
                      <w:color w:val="auto"/>
                    </w:rPr>
                  </m:ctrlPr>
                </m:e>
                <m:sup>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L</m:t>
                          </m:r>
                          <m:ctrlPr>
                            <w:rPr>
                              <w:rFonts w:ascii="Cambria Math" w:hAnsi="Cambria Math"/>
                              <w:color w:val="auto"/>
                            </w:rPr>
                          </m:ctrlPr>
                        </m:e>
                        <m:sub>
                          <m:r>
                            <m:rPr>
                              <m:sty m:val="p"/>
                            </m:rPr>
                            <w:rPr>
                              <w:rFonts w:ascii="Cambria Math" w:hAnsi="Cambria Math"/>
                              <w:color w:val="auto"/>
                            </w:rPr>
                            <m:t>0</m:t>
                          </m:r>
                          <m:ctrlPr>
                            <w:rPr>
                              <w:rFonts w:ascii="Cambria Math" w:hAnsi="Cambria Math"/>
                              <w:color w:val="auto"/>
                            </w:rPr>
                          </m:ctrlPr>
                        </m:sub>
                      </m:sSub>
                      <m:ctrlPr>
                        <w:rPr>
                          <w:rFonts w:ascii="Cambria Math" w:hAnsi="Cambria Math"/>
                          <w:color w:val="auto"/>
                        </w:rPr>
                      </m:ctrlPr>
                    </m:num>
                    <m:den>
                      <m:r>
                        <m:rPr>
                          <m:sty m:val="p"/>
                        </m:rPr>
                        <w:rPr>
                          <w:rFonts w:ascii="Cambria Math" w:hAnsi="Cambria Math"/>
                          <w:color w:val="auto"/>
                        </w:rPr>
                        <m:t>10</m:t>
                      </m:r>
                      <m:ctrlPr>
                        <w:rPr>
                          <w:rFonts w:ascii="Cambria Math" w:hAnsi="Cambria Math"/>
                          <w:color w:val="auto"/>
                        </w:rPr>
                      </m:ctrlPr>
                    </m:den>
                  </m:f>
                  <m:ctrlPr>
                    <w:rPr>
                      <w:rFonts w:ascii="Cambria Math" w:hAnsi="Cambria Math"/>
                      <w:color w:val="auto"/>
                    </w:rPr>
                  </m:ctrlPr>
                </m:sup>
              </m:sSup>
              <m:ctrlPr>
                <w:rPr>
                  <w:rFonts w:ascii="Cambria Math" w:hAnsi="Cambria Math"/>
                  <w:color w:val="auto"/>
                </w:rPr>
              </m:ctrlPr>
            </m:e>
          </m:d>
        </m:oMath>
      </m:oMathPara>
    </w:p>
    <w:p>
      <w:pPr>
        <w:pStyle w:val="63"/>
        <w:ind w:firstLine="480"/>
        <w:rPr>
          <w:color w:val="auto"/>
        </w:rPr>
      </w:pPr>
      <w:r>
        <w:rPr>
          <w:color w:val="auto"/>
        </w:rPr>
        <w:t>式中：</w:t>
      </w:r>
    </w:p>
    <w:p>
      <w:pPr>
        <w:pStyle w:val="63"/>
        <w:ind w:firstLine="480"/>
        <w:rPr>
          <w:color w:val="auto"/>
        </w:rPr>
      </w:pPr>
      <w:r>
        <w:rPr>
          <w:color w:val="auto"/>
        </w:rPr>
        <w:t>N为声源个数；</w:t>
      </w:r>
    </w:p>
    <w:p>
      <w:pPr>
        <w:pStyle w:val="63"/>
        <w:ind w:firstLine="480"/>
        <w:rPr>
          <w:color w:val="auto"/>
        </w:rPr>
      </w:pPr>
      <w:r>
        <w:rPr>
          <w:color w:val="auto"/>
        </w:rPr>
        <w:t>L</w:t>
      </w:r>
      <w:r>
        <w:rPr>
          <w:color w:val="auto"/>
          <w:szCs w:val="16"/>
          <w:vertAlign w:val="subscript"/>
        </w:rPr>
        <w:t>0</w:t>
      </w:r>
      <w:r>
        <w:rPr>
          <w:color w:val="auto"/>
        </w:rPr>
        <w:t>为预测点的噪声背景值（dB（A））；</w:t>
      </w:r>
    </w:p>
    <w:p>
      <w:pPr>
        <w:pStyle w:val="63"/>
        <w:ind w:firstLine="480"/>
        <w:rPr>
          <w:color w:val="auto"/>
        </w:rPr>
      </w:pPr>
      <w:r>
        <w:rPr>
          <w:color w:val="auto"/>
        </w:rPr>
        <w:t>L</w:t>
      </w:r>
      <w:r>
        <w:rPr>
          <w:color w:val="auto"/>
          <w:szCs w:val="16"/>
          <w:vertAlign w:val="subscript"/>
        </w:rPr>
        <w:t>P</w:t>
      </w:r>
      <w:r>
        <w:rPr>
          <w:color w:val="auto"/>
          <w:vertAlign w:val="subscript"/>
        </w:rPr>
        <w:t>（r）</w:t>
      </w:r>
      <w:r>
        <w:rPr>
          <w:color w:val="auto"/>
        </w:rPr>
        <w:t>为预测点的噪声声压级（dB（A））预测值。</w:t>
      </w:r>
    </w:p>
    <w:p>
      <w:pPr>
        <w:pStyle w:val="62"/>
        <w:rPr>
          <w:rFonts w:ascii="Cambria Math" w:hAnsi="Cambria Math"/>
          <w:color w:val="auto"/>
        </w:rPr>
      </w:pPr>
      <w:r>
        <w:rPr>
          <w:bCs/>
          <w:color w:val="auto"/>
        </w:rPr>
        <w:t>6.3.2</w:t>
      </w:r>
      <w:r>
        <w:rPr>
          <w:color w:val="auto"/>
        </w:rPr>
        <w:t>噪声</w:t>
      </w:r>
      <w:r>
        <w:rPr>
          <w:rFonts w:hint="eastAsia"/>
          <w:color w:val="auto"/>
        </w:rPr>
        <w:t>影响预测评价</w:t>
      </w:r>
    </w:p>
    <w:p>
      <w:pPr>
        <w:pStyle w:val="63"/>
        <w:ind w:firstLine="480"/>
        <w:rPr>
          <w:color w:val="auto"/>
        </w:rPr>
      </w:pPr>
      <w:r>
        <w:rPr>
          <w:color w:val="auto"/>
        </w:rPr>
        <w:t>根据工程分析，本项目噪声源主要为水源地地面式</w:t>
      </w:r>
      <w:r>
        <w:rPr>
          <w:rFonts w:hint="eastAsia"/>
          <w:color w:val="auto"/>
        </w:rPr>
        <w:t>深井泵</w:t>
      </w:r>
      <w:r>
        <w:rPr>
          <w:rFonts w:hint="eastAsia"/>
          <w:color w:val="auto"/>
          <w:szCs w:val="24"/>
        </w:rPr>
        <w:t>房</w:t>
      </w:r>
      <w:r>
        <w:rPr>
          <w:color w:val="auto"/>
        </w:rPr>
        <w:t>噪声和</w:t>
      </w:r>
      <w:r>
        <w:rPr>
          <w:rFonts w:hint="eastAsia"/>
          <w:color w:val="auto"/>
        </w:rPr>
        <w:t>水源管理站</w:t>
      </w:r>
      <w:r>
        <w:rPr>
          <w:color w:val="auto"/>
        </w:rPr>
        <w:t>设备噪声。</w:t>
      </w:r>
    </w:p>
    <w:p>
      <w:pPr>
        <w:pStyle w:val="63"/>
        <w:ind w:firstLine="480"/>
        <w:rPr>
          <w:color w:val="auto"/>
        </w:rPr>
      </w:pPr>
      <w:r>
        <w:rPr>
          <w:color w:val="auto"/>
        </w:rPr>
        <w:t>（1）水源地</w:t>
      </w:r>
    </w:p>
    <w:p>
      <w:pPr>
        <w:pStyle w:val="63"/>
        <w:ind w:firstLine="480"/>
        <w:rPr>
          <w:color w:val="auto"/>
        </w:rPr>
      </w:pPr>
      <w:r>
        <w:rPr>
          <w:rFonts w:hint="eastAsia"/>
          <w:color w:val="auto"/>
        </w:rPr>
        <w:t>本项目水源地采用地面式深井泵</w:t>
      </w:r>
      <w:r>
        <w:rPr>
          <w:rFonts w:hint="eastAsia"/>
          <w:color w:val="auto"/>
          <w:szCs w:val="24"/>
        </w:rPr>
        <w:t>房</w:t>
      </w:r>
      <w:r>
        <w:rPr>
          <w:rFonts w:hint="eastAsia"/>
          <w:color w:val="auto"/>
        </w:rPr>
        <w:t>，采用长轴深井泵，电机位于地面泵房内，通过长轴与浸于井下的水泵连接。地上泵室内仅安装电机、变压器及配电箱等，噪声源强较小，约</w:t>
      </w:r>
      <w:r>
        <w:rPr>
          <w:color w:val="auto"/>
        </w:rPr>
        <w:t>75dB(A)</w:t>
      </w:r>
      <w:r>
        <w:rPr>
          <w:rFonts w:hint="eastAsia"/>
          <w:color w:val="auto"/>
        </w:rPr>
        <w:t>，通过基础减震、泵房隔声等措施后，噪声源强为</w:t>
      </w:r>
      <w:r>
        <w:rPr>
          <w:color w:val="auto"/>
        </w:rPr>
        <w:t>54dB(A)</w:t>
      </w:r>
      <w:r>
        <w:rPr>
          <w:rFonts w:hint="eastAsia"/>
          <w:color w:val="auto"/>
        </w:rPr>
        <w:t>。</w:t>
      </w:r>
    </w:p>
    <w:p>
      <w:pPr>
        <w:pStyle w:val="63"/>
        <w:ind w:firstLine="480"/>
        <w:rPr>
          <w:color w:val="auto"/>
        </w:rPr>
      </w:pPr>
      <w:r>
        <w:rPr>
          <w:rFonts w:hint="eastAsia"/>
          <w:color w:val="auto"/>
        </w:rPr>
        <w:t>深井泵房建筑尺寸为</w:t>
      </w:r>
      <w:r>
        <w:rPr>
          <w:color w:val="auto"/>
        </w:rPr>
        <w:t>5m×</w:t>
      </w:r>
      <w:r>
        <w:rPr>
          <w:rFonts w:hint="eastAsia"/>
          <w:color w:val="auto"/>
        </w:rPr>
        <w:t>5</w:t>
      </w:r>
      <w:r>
        <w:rPr>
          <w:color w:val="auto"/>
        </w:rPr>
        <w:t>m</w:t>
      </w:r>
      <w:r>
        <w:rPr>
          <w:rFonts w:hint="eastAsia"/>
          <w:color w:val="auto"/>
        </w:rPr>
        <w:t>，以深井泵房作为面源源强对本项目水源地深井泵房噪声进行预测，预测结果见图</w:t>
      </w:r>
      <w:r>
        <w:rPr>
          <w:color w:val="auto"/>
        </w:rPr>
        <w:t>6.3-1</w:t>
      </w:r>
      <w:r>
        <w:rPr>
          <w:rFonts w:hint="eastAsia"/>
          <w:color w:val="auto"/>
        </w:rPr>
        <w:t>。由于各泵房最小间距大于</w:t>
      </w:r>
      <w:r>
        <w:rPr>
          <w:color w:val="auto"/>
        </w:rPr>
        <w:t>300m</w:t>
      </w:r>
      <w:r>
        <w:rPr>
          <w:rFonts w:hint="eastAsia"/>
          <w:color w:val="auto"/>
        </w:rPr>
        <w:t>，距离较远，可不考虑泵房之间的噪声叠加影响。</w:t>
      </w:r>
    </w:p>
    <w:p>
      <w:pPr>
        <w:pStyle w:val="63"/>
        <w:spacing w:line="240" w:lineRule="auto"/>
        <w:ind w:firstLine="0" w:firstLineChars="0"/>
        <w:jc w:val="center"/>
        <w:rPr>
          <w:color w:val="auto"/>
        </w:rPr>
      </w:pPr>
      <w:r>
        <w:rPr>
          <w:color w:val="auto"/>
          <w:bdr w:val="single" w:color="auto" w:sz="12" w:space="0"/>
        </w:rPr>
        <w:drawing>
          <wp:inline distT="0" distB="0" distL="0" distR="0">
            <wp:extent cx="5286375" cy="3886200"/>
            <wp:effectExtent l="19050" t="0" r="9525" b="0"/>
            <wp:docPr id="17" name="图片 5" descr="噪声等值线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descr="噪声等值线图.jpg"/>
                    <pic:cNvPicPr>
                      <a:picLocks noChangeAspect="1" noChangeArrowheads="1"/>
                    </pic:cNvPicPr>
                  </pic:nvPicPr>
                  <pic:blipFill>
                    <a:blip r:embed="rId27"/>
                    <a:srcRect/>
                    <a:stretch>
                      <a:fillRect/>
                    </a:stretch>
                  </pic:blipFill>
                  <pic:spPr>
                    <a:xfrm>
                      <a:off x="0" y="0"/>
                      <a:ext cx="5286375" cy="3886200"/>
                    </a:xfrm>
                    <a:prstGeom prst="rect">
                      <a:avLst/>
                    </a:prstGeom>
                    <a:noFill/>
                    <a:ln w="9525">
                      <a:noFill/>
                      <a:miter lim="800000"/>
                      <a:headEnd/>
                      <a:tailEnd/>
                    </a:ln>
                  </pic:spPr>
                </pic:pic>
              </a:graphicData>
            </a:graphic>
          </wp:inline>
        </w:drawing>
      </w:r>
    </w:p>
    <w:p>
      <w:pPr>
        <w:pStyle w:val="65"/>
      </w:pPr>
      <w:r>
        <w:rPr>
          <w:rFonts w:hint="eastAsia"/>
        </w:rPr>
        <w:t>图</w:t>
      </w:r>
      <w:r>
        <w:t xml:space="preserve">6.3-1 </w:t>
      </w:r>
      <w:r>
        <w:rPr>
          <w:rFonts w:hint="eastAsia"/>
        </w:rPr>
        <w:t>本项目水源地深井泵房等声级线图（贡献值）</w:t>
      </w:r>
    </w:p>
    <w:p>
      <w:pPr>
        <w:pStyle w:val="63"/>
        <w:ind w:firstLine="480"/>
        <w:rPr>
          <w:color w:val="auto"/>
        </w:rPr>
      </w:pPr>
      <w:r>
        <w:rPr>
          <w:color w:val="auto"/>
        </w:rPr>
        <w:t>由预测结果可见，本项目深井泵房外10m处，噪声可降至45dB（A），且深井泵房周围无常住居民居住，故深井泵房对周围声环境影响较小。</w:t>
      </w:r>
    </w:p>
    <w:p>
      <w:pPr>
        <w:pStyle w:val="63"/>
        <w:ind w:firstLine="480"/>
        <w:rPr>
          <w:color w:val="auto"/>
        </w:rPr>
      </w:pPr>
      <w:r>
        <w:rPr>
          <w:color w:val="auto"/>
        </w:rPr>
        <w:t>（</w:t>
      </w:r>
      <w:r>
        <w:rPr>
          <w:rFonts w:cs="Times New Roman"/>
          <w:color w:val="auto"/>
        </w:rPr>
        <w:t>2</w:t>
      </w:r>
      <w:r>
        <w:rPr>
          <w:color w:val="auto"/>
        </w:rPr>
        <w:t>）</w:t>
      </w:r>
      <w:r>
        <w:rPr>
          <w:rFonts w:hint="eastAsia"/>
          <w:color w:val="auto"/>
        </w:rPr>
        <w:t>水源管理站</w:t>
      </w:r>
    </w:p>
    <w:p>
      <w:pPr>
        <w:pStyle w:val="63"/>
        <w:ind w:firstLine="480"/>
        <w:rPr>
          <w:color w:val="auto"/>
        </w:rPr>
      </w:pPr>
      <w:r>
        <w:rPr>
          <w:color w:val="auto"/>
        </w:rPr>
        <w:t>本项目</w:t>
      </w:r>
      <w:r>
        <w:rPr>
          <w:rFonts w:hint="eastAsia"/>
          <w:color w:val="auto"/>
        </w:rPr>
        <w:t>水源管理站</w:t>
      </w:r>
      <w:r>
        <w:rPr>
          <w:color w:val="auto"/>
        </w:rPr>
        <w:t>主要噪声源源强及位置见表</w:t>
      </w:r>
      <w:r>
        <w:rPr>
          <w:rFonts w:cs="Times New Roman"/>
          <w:color w:val="auto"/>
        </w:rPr>
        <w:t>6.3-1</w:t>
      </w:r>
      <w:r>
        <w:rPr>
          <w:color w:val="auto"/>
        </w:rPr>
        <w:t>。</w:t>
      </w:r>
    </w:p>
    <w:p>
      <w:pPr>
        <w:pStyle w:val="63"/>
        <w:ind w:firstLine="0" w:firstLineChars="0"/>
        <w:jc w:val="center"/>
        <w:rPr>
          <w:b/>
          <w:color w:val="auto"/>
          <w:sz w:val="21"/>
          <w:szCs w:val="21"/>
        </w:rPr>
      </w:pPr>
      <w:r>
        <w:rPr>
          <w:rFonts w:hint="eastAsia"/>
          <w:b/>
          <w:color w:val="auto"/>
          <w:sz w:val="21"/>
          <w:szCs w:val="21"/>
        </w:rPr>
        <w:t>6.3-1 水源管理站</w:t>
      </w:r>
      <w:r>
        <w:rPr>
          <w:b/>
          <w:color w:val="auto"/>
          <w:sz w:val="21"/>
          <w:szCs w:val="21"/>
        </w:rPr>
        <w:t>主要噪声源源强及位置</w:t>
      </w:r>
    </w:p>
    <w:tbl>
      <w:tblPr>
        <w:tblStyle w:val="24"/>
        <w:tblW w:w="828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6"/>
        <w:gridCol w:w="1125"/>
        <w:gridCol w:w="536"/>
        <w:gridCol w:w="592"/>
        <w:gridCol w:w="593"/>
        <w:gridCol w:w="593"/>
        <w:gridCol w:w="593"/>
        <w:gridCol w:w="593"/>
        <w:gridCol w:w="593"/>
        <w:gridCol w:w="593"/>
        <w:gridCol w:w="593"/>
        <w:gridCol w:w="627"/>
        <w:gridCol w:w="6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06" w:type="dxa"/>
            <w:vMerge w:val="restart"/>
            <w:shd w:val="clear" w:color="auto" w:fill="auto"/>
            <w:vAlign w:val="center"/>
          </w:tcPr>
          <w:p>
            <w:pPr>
              <w:jc w:val="center"/>
              <w:rPr>
                <w:b/>
                <w:caps/>
                <w:snapToGrid w:val="0"/>
                <w:kern w:val="0"/>
                <w:szCs w:val="21"/>
              </w:rPr>
            </w:pPr>
            <w:r>
              <w:rPr>
                <w:b/>
                <w:caps/>
                <w:snapToGrid w:val="0"/>
                <w:kern w:val="0"/>
                <w:szCs w:val="21"/>
              </w:rPr>
              <w:t>序号</w:t>
            </w:r>
          </w:p>
        </w:tc>
        <w:tc>
          <w:tcPr>
            <w:tcW w:w="1125" w:type="dxa"/>
            <w:vMerge w:val="restart"/>
            <w:shd w:val="clear" w:color="auto" w:fill="auto"/>
            <w:vAlign w:val="center"/>
          </w:tcPr>
          <w:p>
            <w:pPr>
              <w:jc w:val="center"/>
              <w:rPr>
                <w:b/>
                <w:caps/>
                <w:snapToGrid w:val="0"/>
                <w:kern w:val="0"/>
                <w:szCs w:val="21"/>
              </w:rPr>
            </w:pPr>
            <w:r>
              <w:rPr>
                <w:b/>
                <w:caps/>
                <w:snapToGrid w:val="0"/>
                <w:kern w:val="0"/>
                <w:szCs w:val="21"/>
              </w:rPr>
              <w:t>设备</w:t>
            </w:r>
          </w:p>
        </w:tc>
        <w:tc>
          <w:tcPr>
            <w:tcW w:w="536" w:type="dxa"/>
            <w:vMerge w:val="restart"/>
            <w:shd w:val="clear" w:color="auto" w:fill="auto"/>
            <w:vAlign w:val="center"/>
          </w:tcPr>
          <w:p>
            <w:pPr>
              <w:jc w:val="center"/>
              <w:rPr>
                <w:b/>
                <w:caps/>
                <w:snapToGrid w:val="0"/>
                <w:kern w:val="0"/>
                <w:szCs w:val="21"/>
              </w:rPr>
            </w:pPr>
            <w:r>
              <w:rPr>
                <w:b/>
                <w:caps/>
                <w:snapToGrid w:val="0"/>
                <w:kern w:val="0"/>
                <w:szCs w:val="21"/>
              </w:rPr>
              <w:t xml:space="preserve">源强 </w:t>
            </w:r>
          </w:p>
        </w:tc>
        <w:tc>
          <w:tcPr>
            <w:tcW w:w="4743" w:type="dxa"/>
            <w:gridSpan w:val="8"/>
            <w:shd w:val="clear" w:color="auto" w:fill="auto"/>
            <w:vAlign w:val="center"/>
          </w:tcPr>
          <w:p>
            <w:pPr>
              <w:jc w:val="center"/>
              <w:rPr>
                <w:b/>
                <w:caps/>
                <w:snapToGrid w:val="0"/>
                <w:kern w:val="0"/>
                <w:szCs w:val="21"/>
              </w:rPr>
            </w:pPr>
            <w:r>
              <w:rPr>
                <w:b/>
                <w:caps/>
                <w:snapToGrid w:val="0"/>
                <w:kern w:val="0"/>
                <w:szCs w:val="21"/>
              </w:rPr>
              <w:t>不同距离（</w:t>
            </w:r>
            <w:r>
              <w:rPr>
                <w:b/>
                <w:snapToGrid w:val="0"/>
                <w:kern w:val="0"/>
                <w:szCs w:val="21"/>
              </w:rPr>
              <w:t>m</w:t>
            </w:r>
            <w:r>
              <w:rPr>
                <w:b/>
                <w:caps/>
                <w:snapToGrid w:val="0"/>
                <w:kern w:val="0"/>
                <w:szCs w:val="21"/>
              </w:rPr>
              <w:t>）处噪声贡献值</w:t>
            </w:r>
          </w:p>
        </w:tc>
        <w:tc>
          <w:tcPr>
            <w:tcW w:w="1270" w:type="dxa"/>
            <w:gridSpan w:val="2"/>
            <w:shd w:val="clear" w:color="auto" w:fill="auto"/>
            <w:vAlign w:val="center"/>
          </w:tcPr>
          <w:p>
            <w:pPr>
              <w:jc w:val="center"/>
              <w:rPr>
                <w:b/>
                <w:caps/>
                <w:snapToGrid w:val="0"/>
                <w:kern w:val="0"/>
                <w:szCs w:val="21"/>
              </w:rPr>
            </w:pPr>
            <w:r>
              <w:rPr>
                <w:b/>
                <w:caps/>
                <w:snapToGrid w:val="0"/>
                <w:kern w:val="0"/>
                <w:szCs w:val="21"/>
              </w:rPr>
              <w:t>评价标准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06" w:type="dxa"/>
            <w:vMerge w:val="continue"/>
            <w:shd w:val="clear" w:color="auto" w:fill="auto"/>
            <w:vAlign w:val="center"/>
          </w:tcPr>
          <w:p>
            <w:pPr>
              <w:jc w:val="center"/>
              <w:rPr>
                <w:b/>
                <w:snapToGrid w:val="0"/>
                <w:kern w:val="0"/>
                <w:szCs w:val="21"/>
              </w:rPr>
            </w:pPr>
          </w:p>
        </w:tc>
        <w:tc>
          <w:tcPr>
            <w:tcW w:w="1125" w:type="dxa"/>
            <w:vMerge w:val="continue"/>
            <w:shd w:val="clear" w:color="auto" w:fill="auto"/>
            <w:vAlign w:val="center"/>
          </w:tcPr>
          <w:p>
            <w:pPr>
              <w:jc w:val="center"/>
              <w:rPr>
                <w:b/>
                <w:snapToGrid w:val="0"/>
                <w:kern w:val="0"/>
                <w:szCs w:val="21"/>
              </w:rPr>
            </w:pPr>
          </w:p>
        </w:tc>
        <w:tc>
          <w:tcPr>
            <w:tcW w:w="536" w:type="dxa"/>
            <w:vMerge w:val="continue"/>
            <w:shd w:val="clear" w:color="auto" w:fill="auto"/>
            <w:vAlign w:val="center"/>
          </w:tcPr>
          <w:p>
            <w:pPr>
              <w:jc w:val="center"/>
              <w:rPr>
                <w:b/>
                <w:snapToGrid w:val="0"/>
                <w:kern w:val="0"/>
                <w:szCs w:val="21"/>
              </w:rPr>
            </w:pPr>
          </w:p>
        </w:tc>
        <w:tc>
          <w:tcPr>
            <w:tcW w:w="592" w:type="dxa"/>
            <w:shd w:val="clear" w:color="auto" w:fill="auto"/>
            <w:vAlign w:val="center"/>
          </w:tcPr>
          <w:p>
            <w:pPr>
              <w:jc w:val="center"/>
              <w:rPr>
                <w:b/>
                <w:snapToGrid w:val="0"/>
                <w:kern w:val="0"/>
                <w:szCs w:val="21"/>
              </w:rPr>
            </w:pPr>
            <w:r>
              <w:rPr>
                <w:b/>
                <w:snapToGrid w:val="0"/>
                <w:kern w:val="0"/>
                <w:szCs w:val="21"/>
              </w:rPr>
              <w:t>10</w:t>
            </w:r>
          </w:p>
        </w:tc>
        <w:tc>
          <w:tcPr>
            <w:tcW w:w="593" w:type="dxa"/>
            <w:shd w:val="clear" w:color="auto" w:fill="auto"/>
            <w:vAlign w:val="center"/>
          </w:tcPr>
          <w:p>
            <w:pPr>
              <w:jc w:val="center"/>
              <w:rPr>
                <w:b/>
                <w:snapToGrid w:val="0"/>
                <w:kern w:val="0"/>
                <w:szCs w:val="21"/>
              </w:rPr>
            </w:pPr>
            <w:r>
              <w:rPr>
                <w:b/>
                <w:snapToGrid w:val="0"/>
                <w:kern w:val="0"/>
                <w:szCs w:val="21"/>
              </w:rPr>
              <w:t>2</w:t>
            </w:r>
            <w:r>
              <w:rPr>
                <w:rFonts w:hint="eastAsia"/>
                <w:b/>
                <w:snapToGrid w:val="0"/>
                <w:kern w:val="0"/>
                <w:szCs w:val="21"/>
              </w:rPr>
              <w:t>0</w:t>
            </w:r>
          </w:p>
        </w:tc>
        <w:tc>
          <w:tcPr>
            <w:tcW w:w="593" w:type="dxa"/>
            <w:shd w:val="clear" w:color="auto" w:fill="auto"/>
            <w:vAlign w:val="center"/>
          </w:tcPr>
          <w:p>
            <w:pPr>
              <w:jc w:val="center"/>
              <w:rPr>
                <w:b/>
                <w:snapToGrid w:val="0"/>
                <w:kern w:val="0"/>
                <w:szCs w:val="21"/>
              </w:rPr>
            </w:pPr>
            <w:r>
              <w:rPr>
                <w:rFonts w:hint="eastAsia"/>
                <w:b/>
                <w:snapToGrid w:val="0"/>
                <w:kern w:val="0"/>
                <w:szCs w:val="21"/>
              </w:rPr>
              <w:t>35</w:t>
            </w:r>
          </w:p>
        </w:tc>
        <w:tc>
          <w:tcPr>
            <w:tcW w:w="593" w:type="dxa"/>
            <w:shd w:val="clear" w:color="auto" w:fill="auto"/>
            <w:vAlign w:val="center"/>
          </w:tcPr>
          <w:p>
            <w:pPr>
              <w:jc w:val="center"/>
              <w:rPr>
                <w:b/>
                <w:snapToGrid w:val="0"/>
                <w:kern w:val="0"/>
                <w:szCs w:val="21"/>
              </w:rPr>
            </w:pPr>
            <w:r>
              <w:rPr>
                <w:rFonts w:hint="eastAsia"/>
                <w:b/>
                <w:snapToGrid w:val="0"/>
                <w:kern w:val="0"/>
                <w:szCs w:val="21"/>
              </w:rPr>
              <w:t>50</w:t>
            </w:r>
          </w:p>
        </w:tc>
        <w:tc>
          <w:tcPr>
            <w:tcW w:w="593" w:type="dxa"/>
            <w:shd w:val="clear" w:color="auto" w:fill="auto"/>
            <w:vAlign w:val="center"/>
          </w:tcPr>
          <w:p>
            <w:pPr>
              <w:jc w:val="center"/>
              <w:rPr>
                <w:b/>
                <w:snapToGrid w:val="0"/>
                <w:kern w:val="0"/>
                <w:szCs w:val="21"/>
              </w:rPr>
            </w:pPr>
            <w:r>
              <w:rPr>
                <w:rFonts w:hint="eastAsia"/>
                <w:b/>
                <w:snapToGrid w:val="0"/>
                <w:kern w:val="0"/>
                <w:szCs w:val="21"/>
              </w:rPr>
              <w:t>65</w:t>
            </w:r>
          </w:p>
        </w:tc>
        <w:tc>
          <w:tcPr>
            <w:tcW w:w="593" w:type="dxa"/>
            <w:shd w:val="clear" w:color="auto" w:fill="auto"/>
            <w:vAlign w:val="center"/>
          </w:tcPr>
          <w:p>
            <w:pPr>
              <w:jc w:val="center"/>
              <w:rPr>
                <w:b/>
                <w:snapToGrid w:val="0"/>
                <w:kern w:val="0"/>
                <w:szCs w:val="21"/>
              </w:rPr>
            </w:pPr>
            <w:r>
              <w:rPr>
                <w:rFonts w:hint="eastAsia"/>
                <w:b/>
                <w:snapToGrid w:val="0"/>
                <w:kern w:val="0"/>
                <w:szCs w:val="21"/>
              </w:rPr>
              <w:t>80</w:t>
            </w:r>
          </w:p>
        </w:tc>
        <w:tc>
          <w:tcPr>
            <w:tcW w:w="593" w:type="dxa"/>
            <w:shd w:val="clear" w:color="auto" w:fill="auto"/>
            <w:vAlign w:val="center"/>
          </w:tcPr>
          <w:p>
            <w:pPr>
              <w:jc w:val="center"/>
              <w:rPr>
                <w:b/>
                <w:snapToGrid w:val="0"/>
                <w:kern w:val="0"/>
                <w:szCs w:val="21"/>
              </w:rPr>
            </w:pPr>
            <w:r>
              <w:rPr>
                <w:rFonts w:hint="eastAsia"/>
                <w:b/>
                <w:snapToGrid w:val="0"/>
                <w:kern w:val="0"/>
                <w:szCs w:val="21"/>
              </w:rPr>
              <w:t>100</w:t>
            </w:r>
          </w:p>
        </w:tc>
        <w:tc>
          <w:tcPr>
            <w:tcW w:w="593" w:type="dxa"/>
            <w:shd w:val="clear" w:color="auto" w:fill="auto"/>
            <w:vAlign w:val="center"/>
          </w:tcPr>
          <w:p>
            <w:pPr>
              <w:jc w:val="center"/>
              <w:rPr>
                <w:b/>
                <w:snapToGrid w:val="0"/>
                <w:kern w:val="0"/>
                <w:szCs w:val="21"/>
              </w:rPr>
            </w:pPr>
            <w:r>
              <w:rPr>
                <w:rFonts w:hint="eastAsia"/>
                <w:b/>
                <w:snapToGrid w:val="0"/>
                <w:kern w:val="0"/>
                <w:szCs w:val="21"/>
              </w:rPr>
              <w:t>200</w:t>
            </w:r>
          </w:p>
        </w:tc>
        <w:tc>
          <w:tcPr>
            <w:tcW w:w="1270" w:type="dxa"/>
            <w:gridSpan w:val="2"/>
            <w:shd w:val="clear" w:color="auto" w:fill="auto"/>
            <w:vAlign w:val="center"/>
          </w:tcPr>
          <w:p>
            <w:pPr>
              <w:jc w:val="center"/>
              <w:rPr>
                <w:b/>
                <w:snapToGrid w:val="0"/>
                <w:kern w:val="0"/>
                <w:szCs w:val="21"/>
              </w:rPr>
            </w:pPr>
            <w:r>
              <w:rPr>
                <w:b/>
                <w:snapToGrid w:val="0"/>
                <w:kern w:val="0"/>
                <w:szCs w:val="21"/>
              </w:rPr>
              <w:t>厂界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06" w:type="dxa"/>
            <w:shd w:val="clear" w:color="auto" w:fill="auto"/>
            <w:vAlign w:val="center"/>
          </w:tcPr>
          <w:p>
            <w:pPr>
              <w:jc w:val="center"/>
              <w:rPr>
                <w:snapToGrid w:val="0"/>
                <w:kern w:val="0"/>
                <w:szCs w:val="21"/>
              </w:rPr>
            </w:pPr>
            <w:r>
              <w:rPr>
                <w:snapToGrid w:val="0"/>
                <w:kern w:val="0"/>
                <w:szCs w:val="21"/>
              </w:rPr>
              <w:t>1</w:t>
            </w:r>
          </w:p>
        </w:tc>
        <w:tc>
          <w:tcPr>
            <w:tcW w:w="1125" w:type="dxa"/>
            <w:shd w:val="clear" w:color="auto" w:fill="auto"/>
            <w:vAlign w:val="center"/>
          </w:tcPr>
          <w:p>
            <w:pPr>
              <w:jc w:val="center"/>
              <w:rPr>
                <w:snapToGrid w:val="0"/>
                <w:kern w:val="0"/>
                <w:szCs w:val="21"/>
              </w:rPr>
            </w:pPr>
            <w:r>
              <w:rPr>
                <w:snapToGrid w:val="0"/>
                <w:kern w:val="0"/>
                <w:szCs w:val="21"/>
              </w:rPr>
              <w:t>水泵</w:t>
            </w:r>
          </w:p>
        </w:tc>
        <w:tc>
          <w:tcPr>
            <w:tcW w:w="536" w:type="dxa"/>
            <w:shd w:val="clear" w:color="auto" w:fill="auto"/>
            <w:vAlign w:val="center"/>
          </w:tcPr>
          <w:p>
            <w:pPr>
              <w:spacing w:line="360" w:lineRule="auto"/>
              <w:jc w:val="center"/>
              <w:rPr>
                <w:szCs w:val="21"/>
              </w:rPr>
            </w:pPr>
            <w:r>
              <w:rPr>
                <w:rFonts w:hint="eastAsia"/>
                <w:szCs w:val="21"/>
              </w:rPr>
              <w:t>80</w:t>
            </w:r>
          </w:p>
        </w:tc>
        <w:tc>
          <w:tcPr>
            <w:tcW w:w="592" w:type="dxa"/>
            <w:shd w:val="clear" w:color="auto" w:fill="auto"/>
            <w:vAlign w:val="center"/>
          </w:tcPr>
          <w:p>
            <w:pPr>
              <w:jc w:val="center"/>
              <w:rPr>
                <w:szCs w:val="21"/>
              </w:rPr>
            </w:pPr>
            <w:r>
              <w:rPr>
                <w:szCs w:val="21"/>
              </w:rPr>
              <w:t>60</w:t>
            </w:r>
          </w:p>
        </w:tc>
        <w:tc>
          <w:tcPr>
            <w:tcW w:w="593" w:type="dxa"/>
            <w:shd w:val="clear" w:color="auto" w:fill="auto"/>
            <w:vAlign w:val="center"/>
          </w:tcPr>
          <w:p>
            <w:pPr>
              <w:jc w:val="center"/>
              <w:rPr>
                <w:szCs w:val="21"/>
              </w:rPr>
            </w:pPr>
            <w:r>
              <w:rPr>
                <w:szCs w:val="21"/>
              </w:rPr>
              <w:t>54</w:t>
            </w:r>
          </w:p>
        </w:tc>
        <w:tc>
          <w:tcPr>
            <w:tcW w:w="593" w:type="dxa"/>
            <w:shd w:val="clear" w:color="auto" w:fill="auto"/>
            <w:vAlign w:val="center"/>
          </w:tcPr>
          <w:p>
            <w:pPr>
              <w:jc w:val="center"/>
              <w:rPr>
                <w:szCs w:val="21"/>
              </w:rPr>
            </w:pPr>
            <w:r>
              <w:rPr>
                <w:szCs w:val="21"/>
              </w:rPr>
              <w:t>49.1</w:t>
            </w:r>
          </w:p>
        </w:tc>
        <w:tc>
          <w:tcPr>
            <w:tcW w:w="593" w:type="dxa"/>
            <w:shd w:val="clear" w:color="auto" w:fill="auto"/>
            <w:vAlign w:val="center"/>
          </w:tcPr>
          <w:p>
            <w:pPr>
              <w:jc w:val="center"/>
              <w:rPr>
                <w:szCs w:val="21"/>
              </w:rPr>
            </w:pPr>
            <w:r>
              <w:rPr>
                <w:szCs w:val="21"/>
              </w:rPr>
              <w:t>46</w:t>
            </w:r>
          </w:p>
        </w:tc>
        <w:tc>
          <w:tcPr>
            <w:tcW w:w="593" w:type="dxa"/>
            <w:shd w:val="clear" w:color="auto" w:fill="auto"/>
            <w:vAlign w:val="center"/>
          </w:tcPr>
          <w:p>
            <w:pPr>
              <w:jc w:val="center"/>
              <w:rPr>
                <w:szCs w:val="21"/>
              </w:rPr>
            </w:pPr>
            <w:r>
              <w:rPr>
                <w:szCs w:val="21"/>
              </w:rPr>
              <w:t>43.7</w:t>
            </w:r>
          </w:p>
        </w:tc>
        <w:tc>
          <w:tcPr>
            <w:tcW w:w="593" w:type="dxa"/>
            <w:shd w:val="clear" w:color="auto" w:fill="auto"/>
            <w:vAlign w:val="center"/>
          </w:tcPr>
          <w:p>
            <w:pPr>
              <w:jc w:val="center"/>
              <w:rPr>
                <w:szCs w:val="21"/>
              </w:rPr>
            </w:pPr>
            <w:r>
              <w:rPr>
                <w:szCs w:val="21"/>
              </w:rPr>
              <w:t>41.9</w:t>
            </w:r>
          </w:p>
        </w:tc>
        <w:tc>
          <w:tcPr>
            <w:tcW w:w="593" w:type="dxa"/>
            <w:shd w:val="clear" w:color="auto" w:fill="auto"/>
            <w:vAlign w:val="center"/>
          </w:tcPr>
          <w:p>
            <w:pPr>
              <w:jc w:val="center"/>
              <w:rPr>
                <w:szCs w:val="21"/>
              </w:rPr>
            </w:pPr>
            <w:r>
              <w:rPr>
                <w:szCs w:val="21"/>
              </w:rPr>
              <w:t>40</w:t>
            </w:r>
          </w:p>
        </w:tc>
        <w:tc>
          <w:tcPr>
            <w:tcW w:w="593" w:type="dxa"/>
            <w:shd w:val="clear" w:color="auto" w:fill="auto"/>
            <w:vAlign w:val="center"/>
          </w:tcPr>
          <w:p>
            <w:pPr>
              <w:jc w:val="center"/>
              <w:rPr>
                <w:szCs w:val="21"/>
              </w:rPr>
            </w:pPr>
            <w:r>
              <w:rPr>
                <w:szCs w:val="21"/>
              </w:rPr>
              <w:t>34</w:t>
            </w:r>
          </w:p>
        </w:tc>
        <w:tc>
          <w:tcPr>
            <w:tcW w:w="627" w:type="dxa"/>
            <w:shd w:val="clear" w:color="auto" w:fill="auto"/>
            <w:vAlign w:val="center"/>
          </w:tcPr>
          <w:p>
            <w:pPr>
              <w:jc w:val="center"/>
              <w:rPr>
                <w:snapToGrid w:val="0"/>
                <w:kern w:val="0"/>
                <w:szCs w:val="21"/>
              </w:rPr>
            </w:pPr>
            <w:r>
              <w:rPr>
                <w:snapToGrid w:val="0"/>
                <w:kern w:val="0"/>
                <w:szCs w:val="21"/>
              </w:rPr>
              <w:t>昼</w:t>
            </w:r>
          </w:p>
        </w:tc>
        <w:tc>
          <w:tcPr>
            <w:tcW w:w="643" w:type="dxa"/>
            <w:shd w:val="clear" w:color="auto" w:fill="auto"/>
            <w:vAlign w:val="center"/>
          </w:tcPr>
          <w:p>
            <w:pPr>
              <w:jc w:val="center"/>
              <w:rPr>
                <w:snapToGrid w:val="0"/>
                <w:kern w:val="0"/>
                <w:szCs w:val="21"/>
              </w:rPr>
            </w:pPr>
            <w:r>
              <w:rPr>
                <w:snapToGrid w:val="0"/>
                <w:kern w:val="0"/>
                <w:szCs w:val="21"/>
              </w:rPr>
              <w:t>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606" w:type="dxa"/>
            <w:shd w:val="clear" w:color="auto" w:fill="auto"/>
            <w:vAlign w:val="center"/>
          </w:tcPr>
          <w:p>
            <w:pPr>
              <w:jc w:val="center"/>
              <w:rPr>
                <w:snapToGrid w:val="0"/>
                <w:kern w:val="0"/>
                <w:szCs w:val="21"/>
              </w:rPr>
            </w:pPr>
            <w:r>
              <w:rPr>
                <w:snapToGrid w:val="0"/>
                <w:kern w:val="0"/>
                <w:szCs w:val="21"/>
              </w:rPr>
              <w:t>4</w:t>
            </w:r>
          </w:p>
        </w:tc>
        <w:tc>
          <w:tcPr>
            <w:tcW w:w="1125" w:type="dxa"/>
            <w:shd w:val="clear" w:color="auto" w:fill="auto"/>
            <w:vAlign w:val="center"/>
          </w:tcPr>
          <w:p>
            <w:pPr>
              <w:jc w:val="center"/>
              <w:rPr>
                <w:snapToGrid w:val="0"/>
                <w:kern w:val="0"/>
                <w:szCs w:val="21"/>
              </w:rPr>
            </w:pPr>
            <w:r>
              <w:rPr>
                <w:snapToGrid w:val="0"/>
                <w:kern w:val="0"/>
                <w:szCs w:val="21"/>
              </w:rPr>
              <w:t>汽车</w:t>
            </w:r>
          </w:p>
        </w:tc>
        <w:tc>
          <w:tcPr>
            <w:tcW w:w="536" w:type="dxa"/>
            <w:shd w:val="clear" w:color="auto" w:fill="auto"/>
            <w:vAlign w:val="center"/>
          </w:tcPr>
          <w:p>
            <w:pPr>
              <w:spacing w:line="360" w:lineRule="auto"/>
              <w:jc w:val="center"/>
              <w:rPr>
                <w:szCs w:val="21"/>
              </w:rPr>
            </w:pPr>
            <w:r>
              <w:rPr>
                <w:rFonts w:hint="eastAsia"/>
                <w:szCs w:val="21"/>
              </w:rPr>
              <w:t>7</w:t>
            </w:r>
            <w:r>
              <w:rPr>
                <w:szCs w:val="21"/>
              </w:rPr>
              <w:t>5</w:t>
            </w:r>
          </w:p>
        </w:tc>
        <w:tc>
          <w:tcPr>
            <w:tcW w:w="592" w:type="dxa"/>
            <w:shd w:val="clear" w:color="auto" w:fill="auto"/>
            <w:vAlign w:val="center"/>
          </w:tcPr>
          <w:p>
            <w:pPr>
              <w:jc w:val="center"/>
              <w:rPr>
                <w:szCs w:val="21"/>
              </w:rPr>
            </w:pPr>
            <w:r>
              <w:rPr>
                <w:szCs w:val="21"/>
              </w:rPr>
              <w:t>55</w:t>
            </w:r>
          </w:p>
        </w:tc>
        <w:tc>
          <w:tcPr>
            <w:tcW w:w="593" w:type="dxa"/>
            <w:shd w:val="clear" w:color="auto" w:fill="auto"/>
            <w:vAlign w:val="center"/>
          </w:tcPr>
          <w:p>
            <w:pPr>
              <w:jc w:val="center"/>
              <w:rPr>
                <w:szCs w:val="21"/>
              </w:rPr>
            </w:pPr>
            <w:r>
              <w:rPr>
                <w:szCs w:val="21"/>
              </w:rPr>
              <w:t>49</w:t>
            </w:r>
          </w:p>
        </w:tc>
        <w:tc>
          <w:tcPr>
            <w:tcW w:w="593" w:type="dxa"/>
            <w:shd w:val="clear" w:color="auto" w:fill="auto"/>
            <w:vAlign w:val="center"/>
          </w:tcPr>
          <w:p>
            <w:pPr>
              <w:jc w:val="center"/>
              <w:rPr>
                <w:szCs w:val="21"/>
              </w:rPr>
            </w:pPr>
            <w:r>
              <w:rPr>
                <w:szCs w:val="21"/>
              </w:rPr>
              <w:t>44.1</w:t>
            </w:r>
          </w:p>
        </w:tc>
        <w:tc>
          <w:tcPr>
            <w:tcW w:w="593" w:type="dxa"/>
            <w:shd w:val="clear" w:color="auto" w:fill="auto"/>
            <w:vAlign w:val="center"/>
          </w:tcPr>
          <w:p>
            <w:pPr>
              <w:jc w:val="center"/>
              <w:rPr>
                <w:szCs w:val="21"/>
              </w:rPr>
            </w:pPr>
            <w:r>
              <w:rPr>
                <w:szCs w:val="21"/>
              </w:rPr>
              <w:t>41</w:t>
            </w:r>
          </w:p>
        </w:tc>
        <w:tc>
          <w:tcPr>
            <w:tcW w:w="593" w:type="dxa"/>
            <w:shd w:val="clear" w:color="auto" w:fill="auto"/>
            <w:vAlign w:val="center"/>
          </w:tcPr>
          <w:p>
            <w:pPr>
              <w:jc w:val="center"/>
              <w:rPr>
                <w:szCs w:val="21"/>
              </w:rPr>
            </w:pPr>
            <w:r>
              <w:rPr>
                <w:szCs w:val="21"/>
              </w:rPr>
              <w:t>38.7</w:t>
            </w:r>
          </w:p>
        </w:tc>
        <w:tc>
          <w:tcPr>
            <w:tcW w:w="593" w:type="dxa"/>
            <w:shd w:val="clear" w:color="auto" w:fill="auto"/>
            <w:vAlign w:val="center"/>
          </w:tcPr>
          <w:p>
            <w:pPr>
              <w:jc w:val="center"/>
              <w:rPr>
                <w:szCs w:val="21"/>
              </w:rPr>
            </w:pPr>
            <w:r>
              <w:rPr>
                <w:szCs w:val="21"/>
              </w:rPr>
              <w:t>36.9</w:t>
            </w:r>
          </w:p>
        </w:tc>
        <w:tc>
          <w:tcPr>
            <w:tcW w:w="593" w:type="dxa"/>
            <w:shd w:val="clear" w:color="auto" w:fill="auto"/>
            <w:vAlign w:val="center"/>
          </w:tcPr>
          <w:p>
            <w:pPr>
              <w:jc w:val="center"/>
              <w:rPr>
                <w:szCs w:val="21"/>
              </w:rPr>
            </w:pPr>
            <w:r>
              <w:rPr>
                <w:szCs w:val="21"/>
              </w:rPr>
              <w:t>35</w:t>
            </w:r>
          </w:p>
        </w:tc>
        <w:tc>
          <w:tcPr>
            <w:tcW w:w="593" w:type="dxa"/>
            <w:shd w:val="clear" w:color="auto" w:fill="auto"/>
            <w:vAlign w:val="center"/>
          </w:tcPr>
          <w:p>
            <w:pPr>
              <w:jc w:val="center"/>
              <w:rPr>
                <w:szCs w:val="21"/>
              </w:rPr>
            </w:pPr>
            <w:r>
              <w:rPr>
                <w:szCs w:val="21"/>
              </w:rPr>
              <w:t>29</w:t>
            </w:r>
          </w:p>
        </w:tc>
        <w:tc>
          <w:tcPr>
            <w:tcW w:w="627" w:type="dxa"/>
            <w:shd w:val="clear" w:color="auto" w:fill="auto"/>
            <w:vAlign w:val="center"/>
          </w:tcPr>
          <w:p>
            <w:pPr>
              <w:jc w:val="center"/>
              <w:rPr>
                <w:snapToGrid w:val="0"/>
                <w:kern w:val="0"/>
                <w:szCs w:val="21"/>
              </w:rPr>
            </w:pPr>
            <w:r>
              <w:rPr>
                <w:rFonts w:hint="eastAsia"/>
                <w:snapToGrid w:val="0"/>
                <w:kern w:val="0"/>
                <w:szCs w:val="21"/>
              </w:rPr>
              <w:t>60</w:t>
            </w:r>
          </w:p>
        </w:tc>
        <w:tc>
          <w:tcPr>
            <w:tcW w:w="643" w:type="dxa"/>
            <w:shd w:val="clear" w:color="auto" w:fill="auto"/>
            <w:vAlign w:val="center"/>
          </w:tcPr>
          <w:p>
            <w:pPr>
              <w:jc w:val="center"/>
              <w:rPr>
                <w:snapToGrid w:val="0"/>
                <w:kern w:val="0"/>
                <w:szCs w:val="21"/>
              </w:rPr>
            </w:pPr>
            <w:r>
              <w:rPr>
                <w:rFonts w:hint="eastAsia"/>
                <w:snapToGrid w:val="0"/>
                <w:kern w:val="0"/>
                <w:szCs w:val="21"/>
              </w:rPr>
              <w:t>50</w:t>
            </w:r>
          </w:p>
        </w:tc>
      </w:tr>
    </w:tbl>
    <w:p>
      <w:pPr>
        <w:spacing w:before="100" w:beforeAutospacing="1" w:line="360" w:lineRule="auto"/>
        <w:ind w:firstLine="480" w:firstLineChars="200"/>
        <w:rPr>
          <w:rFonts w:ascii="宋体" w:hAnsi="宋体" w:cs="宋体"/>
          <w:sz w:val="24"/>
        </w:rPr>
      </w:pPr>
      <w:r>
        <w:rPr>
          <w:rFonts w:hint="eastAsia" w:ascii="宋体" w:hAnsi="宋体" w:cs="宋体"/>
          <w:sz w:val="24"/>
        </w:rPr>
        <w:t>水源管理站运行机械中噪声影响最大的是水泵，其原始源强为</w:t>
      </w:r>
      <w:r>
        <w:rPr>
          <w:rFonts w:hint="eastAsia"/>
        </w:rPr>
        <w:t>80</w:t>
      </w:r>
      <w:r>
        <w:t>d</w:t>
      </w:r>
      <w:r>
        <w:rPr>
          <w:b/>
          <w:szCs w:val="21"/>
        </w:rPr>
        <w:t>B(A)</w:t>
      </w:r>
      <w:r>
        <w:rPr>
          <w:rFonts w:hint="eastAsia" w:ascii="宋体" w:hAnsi="宋体" w:cs="宋体"/>
          <w:sz w:val="24"/>
        </w:rPr>
        <w:t>，对其进行叠加计算，计算结果见表</w:t>
      </w:r>
      <w:r>
        <w:rPr>
          <w:rFonts w:hint="eastAsia"/>
        </w:rPr>
        <w:t>6.3-2</w:t>
      </w:r>
      <w:r>
        <w:rPr>
          <w:rFonts w:hint="eastAsia" w:ascii="宋体" w:hAnsi="宋体" w:cs="宋体"/>
          <w:sz w:val="24"/>
        </w:rPr>
        <w:t>。</w:t>
      </w:r>
    </w:p>
    <w:p>
      <w:pPr>
        <w:pStyle w:val="65"/>
      </w:pPr>
      <w:r>
        <w:t>表</w:t>
      </w:r>
      <w:r>
        <w:rPr>
          <w:rFonts w:hint="eastAsia"/>
        </w:rPr>
        <w:t>6.3-2</w:t>
      </w:r>
      <w:r>
        <w:t xml:space="preserve">  运行期噪声</w:t>
      </w:r>
      <w:r>
        <w:rPr>
          <w:rFonts w:hint="eastAsia"/>
        </w:rPr>
        <w:t>叠加计算</w:t>
      </w:r>
      <w:r>
        <w:t>结果</w:t>
      </w:r>
      <w:r>
        <w:rPr>
          <w:rFonts w:hint="eastAsia"/>
        </w:rPr>
        <w:t xml:space="preserve"> </w:t>
      </w:r>
      <w:r>
        <w:t xml:space="preserve"> 单位：dB(A)</w:t>
      </w:r>
    </w:p>
    <w:tbl>
      <w:tblPr>
        <w:tblStyle w:val="24"/>
        <w:tblW w:w="828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7"/>
        <w:gridCol w:w="912"/>
        <w:gridCol w:w="691"/>
        <w:gridCol w:w="690"/>
        <w:gridCol w:w="690"/>
        <w:gridCol w:w="690"/>
        <w:gridCol w:w="690"/>
        <w:gridCol w:w="690"/>
        <w:gridCol w:w="690"/>
        <w:gridCol w:w="690"/>
        <w:gridCol w:w="11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dxa"/>
            <w:vMerge w:val="restart"/>
            <w:shd w:val="clear" w:color="auto" w:fill="auto"/>
            <w:vAlign w:val="center"/>
          </w:tcPr>
          <w:p>
            <w:pPr>
              <w:jc w:val="center"/>
              <w:rPr>
                <w:b/>
                <w:caps/>
                <w:snapToGrid w:val="0"/>
                <w:kern w:val="0"/>
                <w:szCs w:val="21"/>
              </w:rPr>
            </w:pPr>
            <w:r>
              <w:rPr>
                <w:rFonts w:hint="eastAsia"/>
                <w:b/>
                <w:caps/>
                <w:snapToGrid w:val="0"/>
                <w:kern w:val="0"/>
                <w:szCs w:val="21"/>
              </w:rPr>
              <w:t>时段</w:t>
            </w:r>
          </w:p>
        </w:tc>
        <w:tc>
          <w:tcPr>
            <w:tcW w:w="912" w:type="dxa"/>
            <w:vMerge w:val="restart"/>
            <w:shd w:val="clear" w:color="auto" w:fill="auto"/>
            <w:vAlign w:val="center"/>
          </w:tcPr>
          <w:p>
            <w:pPr>
              <w:jc w:val="center"/>
              <w:rPr>
                <w:b/>
                <w:caps/>
                <w:snapToGrid w:val="0"/>
                <w:kern w:val="0"/>
                <w:szCs w:val="21"/>
              </w:rPr>
            </w:pPr>
            <w:r>
              <w:rPr>
                <w:rFonts w:hint="eastAsia"/>
                <w:b/>
                <w:caps/>
                <w:snapToGrid w:val="0"/>
                <w:kern w:val="0"/>
                <w:szCs w:val="21"/>
              </w:rPr>
              <w:t>噪声背景值</w:t>
            </w:r>
            <w:r>
              <w:rPr>
                <w:b/>
                <w:caps/>
                <w:snapToGrid w:val="0"/>
                <w:kern w:val="0"/>
                <w:szCs w:val="21"/>
              </w:rPr>
              <w:t xml:space="preserve"> </w:t>
            </w:r>
          </w:p>
        </w:tc>
        <w:tc>
          <w:tcPr>
            <w:tcW w:w="5521" w:type="dxa"/>
            <w:gridSpan w:val="8"/>
            <w:shd w:val="clear" w:color="auto" w:fill="auto"/>
            <w:vAlign w:val="center"/>
          </w:tcPr>
          <w:p>
            <w:pPr>
              <w:jc w:val="center"/>
              <w:rPr>
                <w:b/>
                <w:caps/>
                <w:snapToGrid w:val="0"/>
                <w:kern w:val="0"/>
                <w:szCs w:val="21"/>
              </w:rPr>
            </w:pPr>
            <w:r>
              <w:rPr>
                <w:b/>
                <w:caps/>
                <w:snapToGrid w:val="0"/>
                <w:kern w:val="0"/>
                <w:szCs w:val="21"/>
              </w:rPr>
              <w:t>不同距离（</w:t>
            </w:r>
            <w:r>
              <w:rPr>
                <w:b/>
                <w:snapToGrid w:val="0"/>
                <w:kern w:val="0"/>
                <w:szCs w:val="21"/>
              </w:rPr>
              <w:t>m</w:t>
            </w:r>
            <w:r>
              <w:rPr>
                <w:b/>
                <w:caps/>
                <w:snapToGrid w:val="0"/>
                <w:kern w:val="0"/>
                <w:szCs w:val="21"/>
              </w:rPr>
              <w:t>）处噪声</w:t>
            </w:r>
            <w:r>
              <w:rPr>
                <w:rFonts w:hint="eastAsia"/>
                <w:b/>
                <w:caps/>
                <w:snapToGrid w:val="0"/>
                <w:kern w:val="0"/>
                <w:szCs w:val="21"/>
              </w:rPr>
              <w:t>叠加值</w:t>
            </w:r>
          </w:p>
        </w:tc>
        <w:tc>
          <w:tcPr>
            <w:tcW w:w="1140" w:type="dxa"/>
            <w:shd w:val="clear" w:color="auto" w:fill="auto"/>
            <w:vAlign w:val="center"/>
          </w:tcPr>
          <w:p>
            <w:pPr>
              <w:jc w:val="center"/>
              <w:rPr>
                <w:b/>
                <w:caps/>
                <w:snapToGrid w:val="0"/>
                <w:kern w:val="0"/>
                <w:szCs w:val="21"/>
              </w:rPr>
            </w:pPr>
            <w:r>
              <w:rPr>
                <w:b/>
                <w:caps/>
                <w:snapToGrid w:val="0"/>
                <w:kern w:val="0"/>
                <w:szCs w:val="21"/>
              </w:rPr>
              <w:t>评价标准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dxa"/>
            <w:vMerge w:val="continue"/>
            <w:shd w:val="clear" w:color="auto" w:fill="auto"/>
            <w:vAlign w:val="center"/>
          </w:tcPr>
          <w:p>
            <w:pPr>
              <w:jc w:val="center"/>
              <w:rPr>
                <w:b/>
                <w:snapToGrid w:val="0"/>
                <w:kern w:val="0"/>
                <w:szCs w:val="21"/>
              </w:rPr>
            </w:pPr>
          </w:p>
        </w:tc>
        <w:tc>
          <w:tcPr>
            <w:tcW w:w="912" w:type="dxa"/>
            <w:vMerge w:val="continue"/>
            <w:shd w:val="clear" w:color="auto" w:fill="auto"/>
            <w:vAlign w:val="center"/>
          </w:tcPr>
          <w:p>
            <w:pPr>
              <w:jc w:val="center"/>
              <w:rPr>
                <w:b/>
                <w:snapToGrid w:val="0"/>
                <w:kern w:val="0"/>
                <w:szCs w:val="21"/>
              </w:rPr>
            </w:pPr>
          </w:p>
        </w:tc>
        <w:tc>
          <w:tcPr>
            <w:tcW w:w="691" w:type="dxa"/>
            <w:shd w:val="clear" w:color="auto" w:fill="auto"/>
            <w:vAlign w:val="center"/>
          </w:tcPr>
          <w:p>
            <w:pPr>
              <w:jc w:val="center"/>
              <w:rPr>
                <w:b/>
                <w:snapToGrid w:val="0"/>
                <w:kern w:val="0"/>
                <w:szCs w:val="21"/>
              </w:rPr>
            </w:pPr>
            <w:r>
              <w:rPr>
                <w:b/>
                <w:snapToGrid w:val="0"/>
                <w:kern w:val="0"/>
                <w:szCs w:val="21"/>
              </w:rPr>
              <w:t>10</w:t>
            </w:r>
          </w:p>
        </w:tc>
        <w:tc>
          <w:tcPr>
            <w:tcW w:w="690" w:type="dxa"/>
            <w:shd w:val="clear" w:color="auto" w:fill="auto"/>
            <w:vAlign w:val="center"/>
          </w:tcPr>
          <w:p>
            <w:pPr>
              <w:jc w:val="center"/>
              <w:rPr>
                <w:b/>
                <w:snapToGrid w:val="0"/>
                <w:kern w:val="0"/>
                <w:szCs w:val="21"/>
              </w:rPr>
            </w:pPr>
            <w:r>
              <w:rPr>
                <w:b/>
                <w:snapToGrid w:val="0"/>
                <w:kern w:val="0"/>
                <w:szCs w:val="21"/>
              </w:rPr>
              <w:t>2</w:t>
            </w:r>
            <w:r>
              <w:rPr>
                <w:rFonts w:hint="eastAsia"/>
                <w:b/>
                <w:snapToGrid w:val="0"/>
                <w:kern w:val="0"/>
                <w:szCs w:val="21"/>
              </w:rPr>
              <w:t>0</w:t>
            </w:r>
          </w:p>
        </w:tc>
        <w:tc>
          <w:tcPr>
            <w:tcW w:w="690" w:type="dxa"/>
            <w:shd w:val="clear" w:color="auto" w:fill="auto"/>
            <w:vAlign w:val="center"/>
          </w:tcPr>
          <w:p>
            <w:pPr>
              <w:jc w:val="center"/>
              <w:rPr>
                <w:b/>
                <w:snapToGrid w:val="0"/>
                <w:kern w:val="0"/>
                <w:szCs w:val="21"/>
              </w:rPr>
            </w:pPr>
            <w:r>
              <w:rPr>
                <w:rFonts w:hint="eastAsia"/>
                <w:b/>
                <w:snapToGrid w:val="0"/>
                <w:kern w:val="0"/>
                <w:szCs w:val="21"/>
              </w:rPr>
              <w:t>35</w:t>
            </w:r>
          </w:p>
        </w:tc>
        <w:tc>
          <w:tcPr>
            <w:tcW w:w="690" w:type="dxa"/>
            <w:shd w:val="clear" w:color="auto" w:fill="auto"/>
            <w:vAlign w:val="center"/>
          </w:tcPr>
          <w:p>
            <w:pPr>
              <w:jc w:val="center"/>
              <w:rPr>
                <w:b/>
                <w:snapToGrid w:val="0"/>
                <w:kern w:val="0"/>
                <w:szCs w:val="21"/>
              </w:rPr>
            </w:pPr>
            <w:r>
              <w:rPr>
                <w:rFonts w:hint="eastAsia"/>
                <w:b/>
                <w:snapToGrid w:val="0"/>
                <w:kern w:val="0"/>
                <w:szCs w:val="21"/>
              </w:rPr>
              <w:t>50</w:t>
            </w:r>
          </w:p>
        </w:tc>
        <w:tc>
          <w:tcPr>
            <w:tcW w:w="690" w:type="dxa"/>
            <w:shd w:val="clear" w:color="auto" w:fill="auto"/>
            <w:vAlign w:val="center"/>
          </w:tcPr>
          <w:p>
            <w:pPr>
              <w:jc w:val="center"/>
              <w:rPr>
                <w:b/>
                <w:snapToGrid w:val="0"/>
                <w:kern w:val="0"/>
                <w:szCs w:val="21"/>
              </w:rPr>
            </w:pPr>
            <w:r>
              <w:rPr>
                <w:rFonts w:hint="eastAsia"/>
                <w:b/>
                <w:snapToGrid w:val="0"/>
                <w:kern w:val="0"/>
                <w:szCs w:val="21"/>
              </w:rPr>
              <w:t>65</w:t>
            </w:r>
          </w:p>
        </w:tc>
        <w:tc>
          <w:tcPr>
            <w:tcW w:w="690" w:type="dxa"/>
            <w:shd w:val="clear" w:color="auto" w:fill="auto"/>
            <w:vAlign w:val="center"/>
          </w:tcPr>
          <w:p>
            <w:pPr>
              <w:jc w:val="center"/>
              <w:rPr>
                <w:b/>
                <w:snapToGrid w:val="0"/>
                <w:kern w:val="0"/>
                <w:szCs w:val="21"/>
              </w:rPr>
            </w:pPr>
            <w:r>
              <w:rPr>
                <w:rFonts w:hint="eastAsia"/>
                <w:b/>
                <w:snapToGrid w:val="0"/>
                <w:kern w:val="0"/>
                <w:szCs w:val="21"/>
              </w:rPr>
              <w:t>80</w:t>
            </w:r>
          </w:p>
        </w:tc>
        <w:tc>
          <w:tcPr>
            <w:tcW w:w="690" w:type="dxa"/>
            <w:shd w:val="clear" w:color="auto" w:fill="auto"/>
            <w:vAlign w:val="center"/>
          </w:tcPr>
          <w:p>
            <w:pPr>
              <w:jc w:val="center"/>
              <w:rPr>
                <w:b/>
                <w:snapToGrid w:val="0"/>
                <w:kern w:val="0"/>
                <w:szCs w:val="21"/>
              </w:rPr>
            </w:pPr>
            <w:r>
              <w:rPr>
                <w:rFonts w:hint="eastAsia"/>
                <w:b/>
                <w:snapToGrid w:val="0"/>
                <w:kern w:val="0"/>
                <w:szCs w:val="21"/>
              </w:rPr>
              <w:t>100</w:t>
            </w:r>
          </w:p>
        </w:tc>
        <w:tc>
          <w:tcPr>
            <w:tcW w:w="690" w:type="dxa"/>
            <w:shd w:val="clear" w:color="auto" w:fill="auto"/>
            <w:vAlign w:val="center"/>
          </w:tcPr>
          <w:p>
            <w:pPr>
              <w:jc w:val="center"/>
              <w:rPr>
                <w:b/>
                <w:snapToGrid w:val="0"/>
                <w:kern w:val="0"/>
                <w:szCs w:val="21"/>
              </w:rPr>
            </w:pPr>
            <w:r>
              <w:rPr>
                <w:rFonts w:hint="eastAsia"/>
                <w:b/>
                <w:snapToGrid w:val="0"/>
                <w:kern w:val="0"/>
                <w:szCs w:val="21"/>
              </w:rPr>
              <w:t>200</w:t>
            </w:r>
          </w:p>
        </w:tc>
        <w:tc>
          <w:tcPr>
            <w:tcW w:w="1140" w:type="dxa"/>
            <w:shd w:val="clear" w:color="auto" w:fill="auto"/>
            <w:vAlign w:val="center"/>
          </w:tcPr>
          <w:p>
            <w:pPr>
              <w:jc w:val="center"/>
              <w:rPr>
                <w:b/>
                <w:snapToGrid w:val="0"/>
                <w:kern w:val="0"/>
                <w:szCs w:val="21"/>
              </w:rPr>
            </w:pPr>
            <w:r>
              <w:rPr>
                <w:b/>
                <w:snapToGrid w:val="0"/>
                <w:kern w:val="0"/>
                <w:szCs w:val="21"/>
              </w:rPr>
              <w:t>2类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dxa"/>
            <w:shd w:val="clear" w:color="auto" w:fill="auto"/>
            <w:vAlign w:val="center"/>
          </w:tcPr>
          <w:p>
            <w:pPr>
              <w:jc w:val="center"/>
              <w:rPr>
                <w:snapToGrid w:val="0"/>
                <w:kern w:val="0"/>
                <w:szCs w:val="21"/>
              </w:rPr>
            </w:pPr>
            <w:r>
              <w:rPr>
                <w:rFonts w:hint="eastAsia"/>
                <w:snapToGrid w:val="0"/>
                <w:kern w:val="0"/>
                <w:szCs w:val="21"/>
              </w:rPr>
              <w:t>昼间</w:t>
            </w:r>
          </w:p>
        </w:tc>
        <w:tc>
          <w:tcPr>
            <w:tcW w:w="912" w:type="dxa"/>
            <w:shd w:val="clear" w:color="auto" w:fill="auto"/>
            <w:vAlign w:val="center"/>
          </w:tcPr>
          <w:p>
            <w:pPr>
              <w:jc w:val="center"/>
              <w:rPr>
                <w:szCs w:val="21"/>
              </w:rPr>
            </w:pPr>
            <w:r>
              <w:rPr>
                <w:rFonts w:hint="eastAsia"/>
                <w:szCs w:val="21"/>
              </w:rPr>
              <w:t>53.3</w:t>
            </w:r>
          </w:p>
        </w:tc>
        <w:tc>
          <w:tcPr>
            <w:tcW w:w="691" w:type="dxa"/>
            <w:shd w:val="clear" w:color="auto" w:fill="auto"/>
            <w:vAlign w:val="center"/>
          </w:tcPr>
          <w:p>
            <w:pPr>
              <w:jc w:val="right"/>
              <w:rPr>
                <w:rFonts w:ascii="宋体" w:hAnsi="宋体" w:cs="宋体"/>
                <w:sz w:val="24"/>
              </w:rPr>
            </w:pPr>
            <w:r>
              <w:rPr>
                <w:rFonts w:hint="eastAsia"/>
              </w:rPr>
              <w:t xml:space="preserve">61.85 </w:t>
            </w:r>
          </w:p>
        </w:tc>
        <w:tc>
          <w:tcPr>
            <w:tcW w:w="690" w:type="dxa"/>
            <w:shd w:val="clear" w:color="auto" w:fill="auto"/>
            <w:vAlign w:val="center"/>
          </w:tcPr>
          <w:p>
            <w:pPr>
              <w:jc w:val="right"/>
              <w:rPr>
                <w:rFonts w:ascii="宋体" w:hAnsi="宋体" w:cs="宋体"/>
                <w:sz w:val="24"/>
              </w:rPr>
            </w:pPr>
            <w:r>
              <w:rPr>
                <w:rFonts w:hint="eastAsia"/>
              </w:rPr>
              <w:t xml:space="preserve">57.36 </w:t>
            </w:r>
          </w:p>
        </w:tc>
        <w:tc>
          <w:tcPr>
            <w:tcW w:w="690" w:type="dxa"/>
            <w:shd w:val="clear" w:color="auto" w:fill="auto"/>
            <w:vAlign w:val="center"/>
          </w:tcPr>
          <w:p>
            <w:pPr>
              <w:jc w:val="right"/>
              <w:rPr>
                <w:rFonts w:ascii="宋体" w:hAnsi="宋体" w:cs="宋体"/>
                <w:sz w:val="24"/>
              </w:rPr>
            </w:pPr>
            <w:r>
              <w:rPr>
                <w:rFonts w:hint="eastAsia"/>
              </w:rPr>
              <w:t xml:space="preserve">55.06 </w:t>
            </w:r>
          </w:p>
        </w:tc>
        <w:tc>
          <w:tcPr>
            <w:tcW w:w="690" w:type="dxa"/>
            <w:shd w:val="clear" w:color="auto" w:fill="auto"/>
            <w:vAlign w:val="center"/>
          </w:tcPr>
          <w:p>
            <w:pPr>
              <w:jc w:val="right"/>
              <w:rPr>
                <w:rFonts w:ascii="宋体" w:hAnsi="宋体" w:cs="宋体"/>
                <w:sz w:val="24"/>
              </w:rPr>
            </w:pPr>
            <w:r>
              <w:rPr>
                <w:rFonts w:hint="eastAsia"/>
              </w:rPr>
              <w:t xml:space="preserve">54.25 </w:t>
            </w:r>
          </w:p>
        </w:tc>
        <w:tc>
          <w:tcPr>
            <w:tcW w:w="690" w:type="dxa"/>
            <w:shd w:val="clear" w:color="auto" w:fill="auto"/>
            <w:vAlign w:val="center"/>
          </w:tcPr>
          <w:p>
            <w:pPr>
              <w:jc w:val="right"/>
              <w:rPr>
                <w:rFonts w:ascii="宋体" w:hAnsi="宋体" w:cs="宋体"/>
                <w:sz w:val="24"/>
              </w:rPr>
            </w:pPr>
            <w:r>
              <w:rPr>
                <w:rFonts w:hint="eastAsia"/>
              </w:rPr>
              <w:t xml:space="preserve">53.89 </w:t>
            </w:r>
          </w:p>
        </w:tc>
        <w:tc>
          <w:tcPr>
            <w:tcW w:w="690" w:type="dxa"/>
            <w:shd w:val="clear" w:color="auto" w:fill="auto"/>
            <w:vAlign w:val="center"/>
          </w:tcPr>
          <w:p>
            <w:pPr>
              <w:jc w:val="right"/>
              <w:rPr>
                <w:rFonts w:ascii="宋体" w:hAnsi="宋体" w:cs="宋体"/>
                <w:sz w:val="24"/>
              </w:rPr>
            </w:pPr>
            <w:r>
              <w:rPr>
                <w:rFonts w:hint="eastAsia"/>
              </w:rPr>
              <w:t xml:space="preserve">53.70 </w:t>
            </w:r>
          </w:p>
        </w:tc>
        <w:tc>
          <w:tcPr>
            <w:tcW w:w="690" w:type="dxa"/>
            <w:shd w:val="clear" w:color="auto" w:fill="auto"/>
            <w:vAlign w:val="center"/>
          </w:tcPr>
          <w:p>
            <w:pPr>
              <w:jc w:val="right"/>
              <w:rPr>
                <w:rFonts w:ascii="宋体" w:hAnsi="宋体" w:cs="宋体"/>
                <w:sz w:val="24"/>
              </w:rPr>
            </w:pPr>
            <w:r>
              <w:rPr>
                <w:rFonts w:hint="eastAsia"/>
              </w:rPr>
              <w:t xml:space="preserve">53.56 </w:t>
            </w:r>
          </w:p>
        </w:tc>
        <w:tc>
          <w:tcPr>
            <w:tcW w:w="690" w:type="dxa"/>
            <w:shd w:val="clear" w:color="auto" w:fill="auto"/>
            <w:vAlign w:val="center"/>
          </w:tcPr>
          <w:p>
            <w:pPr>
              <w:jc w:val="right"/>
              <w:rPr>
                <w:rFonts w:ascii="宋体" w:hAnsi="宋体" w:cs="宋体"/>
                <w:sz w:val="24"/>
              </w:rPr>
            </w:pPr>
            <w:r>
              <w:rPr>
                <w:rFonts w:hint="eastAsia"/>
              </w:rPr>
              <w:t xml:space="preserve">53.37 </w:t>
            </w:r>
          </w:p>
        </w:tc>
        <w:tc>
          <w:tcPr>
            <w:tcW w:w="1140" w:type="dxa"/>
            <w:shd w:val="clear" w:color="auto" w:fill="auto"/>
            <w:vAlign w:val="center"/>
          </w:tcPr>
          <w:p>
            <w:pPr>
              <w:jc w:val="center"/>
              <w:rPr>
                <w:snapToGrid w:val="0"/>
                <w:kern w:val="0"/>
                <w:szCs w:val="21"/>
              </w:rPr>
            </w:pPr>
            <w:r>
              <w:rPr>
                <w:snapToGrid w:val="0"/>
                <w:kern w:val="0"/>
                <w:szCs w:val="21"/>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7" w:type="dxa"/>
            <w:shd w:val="clear" w:color="auto" w:fill="auto"/>
            <w:vAlign w:val="center"/>
          </w:tcPr>
          <w:p>
            <w:pPr>
              <w:jc w:val="center"/>
              <w:rPr>
                <w:snapToGrid w:val="0"/>
                <w:kern w:val="0"/>
                <w:szCs w:val="21"/>
              </w:rPr>
            </w:pPr>
            <w:r>
              <w:rPr>
                <w:rFonts w:hint="eastAsia"/>
                <w:snapToGrid w:val="0"/>
                <w:kern w:val="0"/>
                <w:szCs w:val="21"/>
              </w:rPr>
              <w:t>夜间</w:t>
            </w:r>
          </w:p>
        </w:tc>
        <w:tc>
          <w:tcPr>
            <w:tcW w:w="912" w:type="dxa"/>
            <w:shd w:val="clear" w:color="auto" w:fill="auto"/>
            <w:vAlign w:val="center"/>
          </w:tcPr>
          <w:p>
            <w:pPr>
              <w:jc w:val="center"/>
              <w:rPr>
                <w:szCs w:val="21"/>
              </w:rPr>
            </w:pPr>
            <w:r>
              <w:rPr>
                <w:rFonts w:hint="eastAsia"/>
                <w:szCs w:val="21"/>
              </w:rPr>
              <w:t>49.3</w:t>
            </w:r>
          </w:p>
        </w:tc>
        <w:tc>
          <w:tcPr>
            <w:tcW w:w="691" w:type="dxa"/>
            <w:shd w:val="clear" w:color="auto" w:fill="auto"/>
            <w:vAlign w:val="center"/>
          </w:tcPr>
          <w:p>
            <w:pPr>
              <w:jc w:val="right"/>
              <w:rPr>
                <w:rFonts w:ascii="宋体" w:hAnsi="宋体" w:cs="宋体"/>
                <w:sz w:val="24"/>
              </w:rPr>
            </w:pPr>
            <w:r>
              <w:rPr>
                <w:rFonts w:hint="eastAsia"/>
              </w:rPr>
              <w:t xml:space="preserve">61.47 </w:t>
            </w:r>
          </w:p>
        </w:tc>
        <w:tc>
          <w:tcPr>
            <w:tcW w:w="690" w:type="dxa"/>
            <w:shd w:val="clear" w:color="auto" w:fill="auto"/>
            <w:vAlign w:val="center"/>
          </w:tcPr>
          <w:p>
            <w:pPr>
              <w:jc w:val="right"/>
              <w:rPr>
                <w:rFonts w:ascii="宋体" w:hAnsi="宋体" w:cs="宋体"/>
                <w:sz w:val="24"/>
              </w:rPr>
            </w:pPr>
            <w:r>
              <w:rPr>
                <w:rFonts w:hint="eastAsia"/>
              </w:rPr>
              <w:t xml:space="preserve">56.19 </w:t>
            </w:r>
          </w:p>
        </w:tc>
        <w:tc>
          <w:tcPr>
            <w:tcW w:w="690" w:type="dxa"/>
            <w:shd w:val="clear" w:color="auto" w:fill="auto"/>
            <w:vAlign w:val="center"/>
          </w:tcPr>
          <w:p>
            <w:pPr>
              <w:jc w:val="right"/>
              <w:rPr>
                <w:rFonts w:ascii="宋体" w:hAnsi="宋体" w:cs="宋体"/>
                <w:sz w:val="24"/>
              </w:rPr>
            </w:pPr>
            <w:r>
              <w:rPr>
                <w:rFonts w:hint="eastAsia"/>
              </w:rPr>
              <w:t xml:space="preserve">52.84 </w:t>
            </w:r>
          </w:p>
        </w:tc>
        <w:tc>
          <w:tcPr>
            <w:tcW w:w="690" w:type="dxa"/>
            <w:shd w:val="clear" w:color="auto" w:fill="auto"/>
            <w:vAlign w:val="center"/>
          </w:tcPr>
          <w:p>
            <w:pPr>
              <w:jc w:val="right"/>
              <w:rPr>
                <w:rFonts w:ascii="宋体" w:hAnsi="宋体" w:cs="宋体"/>
                <w:sz w:val="24"/>
              </w:rPr>
            </w:pPr>
            <w:r>
              <w:rPr>
                <w:rFonts w:hint="eastAsia"/>
              </w:rPr>
              <w:t xml:space="preserve">51.38 </w:t>
            </w:r>
          </w:p>
        </w:tc>
        <w:tc>
          <w:tcPr>
            <w:tcW w:w="690" w:type="dxa"/>
            <w:shd w:val="clear" w:color="auto" w:fill="auto"/>
            <w:vAlign w:val="center"/>
          </w:tcPr>
          <w:p>
            <w:pPr>
              <w:jc w:val="right"/>
              <w:rPr>
                <w:rFonts w:ascii="宋体" w:hAnsi="宋体" w:cs="宋体"/>
                <w:sz w:val="24"/>
              </w:rPr>
            </w:pPr>
            <w:r>
              <w:rPr>
                <w:rFonts w:hint="eastAsia"/>
              </w:rPr>
              <w:t xml:space="preserve">50.64 </w:t>
            </w:r>
          </w:p>
        </w:tc>
        <w:tc>
          <w:tcPr>
            <w:tcW w:w="690" w:type="dxa"/>
            <w:shd w:val="clear" w:color="auto" w:fill="auto"/>
            <w:vAlign w:val="center"/>
          </w:tcPr>
          <w:p>
            <w:pPr>
              <w:jc w:val="right"/>
              <w:rPr>
                <w:rFonts w:ascii="宋体" w:hAnsi="宋体" w:cs="宋体"/>
                <w:sz w:val="24"/>
              </w:rPr>
            </w:pPr>
            <w:r>
              <w:rPr>
                <w:rFonts w:hint="eastAsia"/>
              </w:rPr>
              <w:t xml:space="preserve">50.23 </w:t>
            </w:r>
          </w:p>
        </w:tc>
        <w:tc>
          <w:tcPr>
            <w:tcW w:w="690" w:type="dxa"/>
            <w:shd w:val="clear" w:color="auto" w:fill="auto"/>
            <w:vAlign w:val="center"/>
          </w:tcPr>
          <w:p>
            <w:pPr>
              <w:jc w:val="right"/>
              <w:rPr>
                <w:rFonts w:ascii="宋体" w:hAnsi="宋体" w:cs="宋体"/>
                <w:sz w:val="24"/>
              </w:rPr>
            </w:pPr>
            <w:r>
              <w:rPr>
                <w:rFonts w:hint="eastAsia"/>
              </w:rPr>
              <w:t xml:space="preserve">49.92 </w:t>
            </w:r>
          </w:p>
        </w:tc>
        <w:tc>
          <w:tcPr>
            <w:tcW w:w="690" w:type="dxa"/>
            <w:shd w:val="clear" w:color="auto" w:fill="auto"/>
            <w:vAlign w:val="center"/>
          </w:tcPr>
          <w:p>
            <w:pPr>
              <w:jc w:val="right"/>
              <w:rPr>
                <w:rFonts w:ascii="宋体" w:hAnsi="宋体" w:cs="宋体"/>
                <w:sz w:val="24"/>
              </w:rPr>
            </w:pPr>
            <w:r>
              <w:rPr>
                <w:rFonts w:hint="eastAsia"/>
              </w:rPr>
              <w:t xml:space="preserve">49.47 </w:t>
            </w:r>
          </w:p>
        </w:tc>
        <w:tc>
          <w:tcPr>
            <w:tcW w:w="1140" w:type="dxa"/>
            <w:shd w:val="clear" w:color="auto" w:fill="auto"/>
            <w:vAlign w:val="center"/>
          </w:tcPr>
          <w:p>
            <w:pPr>
              <w:jc w:val="center"/>
              <w:rPr>
                <w:snapToGrid w:val="0"/>
                <w:kern w:val="0"/>
                <w:szCs w:val="21"/>
              </w:rPr>
            </w:pPr>
            <w:r>
              <w:rPr>
                <w:rFonts w:hint="eastAsia"/>
                <w:snapToGrid w:val="0"/>
                <w:kern w:val="0"/>
                <w:szCs w:val="21"/>
              </w:rPr>
              <w:t>50</w:t>
            </w:r>
          </w:p>
        </w:tc>
      </w:tr>
    </w:tbl>
    <w:p>
      <w:pPr>
        <w:spacing w:line="360" w:lineRule="auto"/>
        <w:ind w:firstLine="420" w:firstLineChars="200"/>
        <w:rPr>
          <w:sz w:val="24"/>
        </w:rPr>
      </w:pPr>
      <w:r>
        <w:t>可见，</w:t>
      </w:r>
      <w:r>
        <w:rPr>
          <w:rFonts w:hint="eastAsia"/>
          <w:sz w:val="24"/>
        </w:rPr>
        <w:t>管理站</w:t>
      </w:r>
      <w:r>
        <w:rPr>
          <w:sz w:val="24"/>
        </w:rPr>
        <w:t>运行时产生噪声的</w:t>
      </w:r>
      <w:r>
        <w:rPr>
          <w:rFonts w:hint="eastAsia"/>
          <w:sz w:val="24"/>
        </w:rPr>
        <w:t>设备均</w:t>
      </w:r>
      <w:r>
        <w:rPr>
          <w:sz w:val="24"/>
        </w:rPr>
        <w:t>在地下井或者厂房内，产生噪声最大的设备为</w:t>
      </w:r>
      <w:r>
        <w:rPr>
          <w:rFonts w:hint="eastAsia"/>
          <w:sz w:val="24"/>
        </w:rPr>
        <w:t>水泵</w:t>
      </w:r>
      <w:r>
        <w:rPr>
          <w:sz w:val="24"/>
        </w:rPr>
        <w:t>，其源强为</w:t>
      </w:r>
      <w:r>
        <w:rPr>
          <w:rFonts w:hint="eastAsia"/>
          <w:sz w:val="24"/>
        </w:rPr>
        <w:t>80</w:t>
      </w:r>
      <w:r>
        <w:rPr>
          <w:sz w:val="24"/>
        </w:rPr>
        <w:t>dB(A)，昼、夜间分别在</w:t>
      </w:r>
      <w:r>
        <w:rPr>
          <w:rFonts w:hint="eastAsia"/>
          <w:sz w:val="24"/>
        </w:rPr>
        <w:t>10</w:t>
      </w:r>
      <w:r>
        <w:rPr>
          <w:sz w:val="24"/>
        </w:rPr>
        <w:t>m、</w:t>
      </w:r>
      <w:r>
        <w:rPr>
          <w:rFonts w:hint="eastAsia"/>
          <w:sz w:val="24"/>
        </w:rPr>
        <w:t>35</w:t>
      </w:r>
      <w:r>
        <w:rPr>
          <w:sz w:val="24"/>
        </w:rPr>
        <w:t>m处可达到《工业企业厂界噪声排放标准》，声</w:t>
      </w:r>
      <w:r>
        <w:rPr>
          <w:rFonts w:hint="eastAsia"/>
          <w:sz w:val="24"/>
        </w:rPr>
        <w:t>质量质量</w:t>
      </w:r>
      <w:r>
        <w:rPr>
          <w:sz w:val="24"/>
        </w:rPr>
        <w:t>昼、夜间分别在</w:t>
      </w:r>
      <w:r>
        <w:rPr>
          <w:rFonts w:hint="eastAsia"/>
          <w:sz w:val="24"/>
        </w:rPr>
        <w:t>2</w:t>
      </w:r>
      <w:r>
        <w:rPr>
          <w:sz w:val="24"/>
        </w:rPr>
        <w:t>0m、</w:t>
      </w:r>
      <w:r>
        <w:rPr>
          <w:rFonts w:hint="eastAsia"/>
          <w:sz w:val="24"/>
        </w:rPr>
        <w:t>100</w:t>
      </w:r>
      <w:r>
        <w:rPr>
          <w:sz w:val="24"/>
        </w:rPr>
        <w:t>m处可达2类标准要求。</w:t>
      </w:r>
    </w:p>
    <w:p>
      <w:pPr>
        <w:pStyle w:val="63"/>
        <w:ind w:firstLine="480"/>
        <w:rPr>
          <w:color w:val="auto"/>
        </w:rPr>
      </w:pPr>
      <w:r>
        <w:rPr>
          <w:rFonts w:hint="eastAsia"/>
          <w:color w:val="auto"/>
        </w:rPr>
        <w:t>管理站周边100m范围内无居民，管理站</w:t>
      </w:r>
      <w:r>
        <w:rPr>
          <w:color w:val="auto"/>
        </w:rPr>
        <w:t>水泵等设备基本都安装在地下井中，轴流风机位于水厂厂房内，隔音效果好。噪声经厂房降噪和距离衰减后，对附近居民点的贡献值小，</w:t>
      </w:r>
      <w:r>
        <w:rPr>
          <w:rFonts w:hint="eastAsia"/>
          <w:color w:val="auto"/>
        </w:rPr>
        <w:t>声环境质量可达2类标准，</w:t>
      </w:r>
      <w:r>
        <w:rPr>
          <w:color w:val="auto"/>
        </w:rPr>
        <w:t>对居民区的影响较小。</w:t>
      </w:r>
    </w:p>
    <w:p>
      <w:pPr>
        <w:pStyle w:val="63"/>
        <w:ind w:firstLine="480"/>
        <w:rPr>
          <w:color w:val="auto"/>
        </w:rPr>
      </w:pPr>
      <w:r>
        <w:rPr>
          <w:rFonts w:hint="eastAsia"/>
          <w:color w:val="auto"/>
        </w:rPr>
        <w:t>（3）保障房给水处理站</w:t>
      </w:r>
    </w:p>
    <w:p>
      <w:pPr>
        <w:pStyle w:val="63"/>
        <w:ind w:firstLine="480"/>
        <w:rPr>
          <w:color w:val="auto"/>
        </w:rPr>
      </w:pPr>
      <w:r>
        <w:rPr>
          <w:color w:val="auto"/>
        </w:rPr>
        <w:t>运行期间</w:t>
      </w:r>
      <w:r>
        <w:rPr>
          <w:rFonts w:hint="eastAsia"/>
          <w:color w:val="auto"/>
        </w:rPr>
        <w:t>保障房给水处理站</w:t>
      </w:r>
      <w:r>
        <w:rPr>
          <w:color w:val="auto"/>
        </w:rPr>
        <w:t>产生的噪声主要来水泵、加药间风机等运行产生的噪声。运行期水泵等设备噪声影响范围的预测结果见表</w:t>
      </w:r>
      <w:r>
        <w:rPr>
          <w:rFonts w:hint="eastAsia"/>
          <w:color w:val="auto"/>
        </w:rPr>
        <w:t>6.3-3</w:t>
      </w:r>
      <w:r>
        <w:rPr>
          <w:color w:val="auto"/>
        </w:rPr>
        <w:t>。</w:t>
      </w:r>
    </w:p>
    <w:p>
      <w:pPr>
        <w:pStyle w:val="65"/>
      </w:pPr>
      <w:r>
        <w:t>表</w:t>
      </w:r>
      <w:r>
        <w:rPr>
          <w:rFonts w:hint="eastAsia"/>
        </w:rPr>
        <w:t>6.3-3</w:t>
      </w:r>
      <w:r>
        <w:t xml:space="preserve">  运行期设备噪声预测结果 </w:t>
      </w:r>
      <w:r>
        <w:rPr>
          <w:rFonts w:hint="eastAsia"/>
        </w:rPr>
        <w:t xml:space="preserve"> </w:t>
      </w:r>
      <w:r>
        <w:t>单位：dB(A)</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1254"/>
        <w:gridCol w:w="598"/>
        <w:gridCol w:w="660"/>
        <w:gridCol w:w="662"/>
        <w:gridCol w:w="662"/>
        <w:gridCol w:w="662"/>
        <w:gridCol w:w="662"/>
        <w:gridCol w:w="662"/>
        <w:gridCol w:w="662"/>
        <w:gridCol w:w="664"/>
        <w:gridCol w:w="701"/>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366" w:type="pct"/>
            <w:vMerge w:val="restart"/>
            <w:shd w:val="clear" w:color="auto" w:fill="auto"/>
            <w:vAlign w:val="center"/>
          </w:tcPr>
          <w:p>
            <w:pPr>
              <w:jc w:val="center"/>
              <w:rPr>
                <w:b/>
                <w:caps/>
                <w:snapToGrid w:val="0"/>
                <w:kern w:val="0"/>
                <w:szCs w:val="21"/>
              </w:rPr>
            </w:pPr>
            <w:r>
              <w:rPr>
                <w:b/>
                <w:caps/>
                <w:snapToGrid w:val="0"/>
                <w:kern w:val="0"/>
                <w:szCs w:val="21"/>
              </w:rPr>
              <w:t>序号</w:t>
            </w:r>
          </w:p>
        </w:tc>
        <w:tc>
          <w:tcPr>
            <w:tcW w:w="679" w:type="pct"/>
            <w:vMerge w:val="restart"/>
            <w:shd w:val="clear" w:color="auto" w:fill="auto"/>
            <w:vAlign w:val="center"/>
          </w:tcPr>
          <w:p>
            <w:pPr>
              <w:jc w:val="center"/>
              <w:rPr>
                <w:b/>
                <w:caps/>
                <w:snapToGrid w:val="0"/>
                <w:kern w:val="0"/>
                <w:szCs w:val="21"/>
              </w:rPr>
            </w:pPr>
            <w:r>
              <w:rPr>
                <w:b/>
                <w:caps/>
                <w:snapToGrid w:val="0"/>
                <w:kern w:val="0"/>
                <w:szCs w:val="21"/>
              </w:rPr>
              <w:t>设备</w:t>
            </w:r>
          </w:p>
        </w:tc>
        <w:tc>
          <w:tcPr>
            <w:tcW w:w="324" w:type="pct"/>
            <w:vMerge w:val="restart"/>
            <w:shd w:val="clear" w:color="auto" w:fill="auto"/>
            <w:vAlign w:val="center"/>
          </w:tcPr>
          <w:p>
            <w:pPr>
              <w:jc w:val="center"/>
              <w:rPr>
                <w:b/>
                <w:caps/>
                <w:snapToGrid w:val="0"/>
                <w:kern w:val="0"/>
                <w:szCs w:val="21"/>
              </w:rPr>
            </w:pPr>
            <w:r>
              <w:rPr>
                <w:b/>
                <w:caps/>
                <w:snapToGrid w:val="0"/>
                <w:kern w:val="0"/>
                <w:szCs w:val="21"/>
              </w:rPr>
              <w:t xml:space="preserve">源强 </w:t>
            </w:r>
          </w:p>
        </w:tc>
        <w:tc>
          <w:tcPr>
            <w:tcW w:w="2864" w:type="pct"/>
            <w:gridSpan w:val="8"/>
            <w:shd w:val="clear" w:color="auto" w:fill="auto"/>
            <w:vAlign w:val="center"/>
          </w:tcPr>
          <w:p>
            <w:pPr>
              <w:jc w:val="center"/>
              <w:rPr>
                <w:b/>
                <w:caps/>
                <w:snapToGrid w:val="0"/>
                <w:kern w:val="0"/>
                <w:szCs w:val="21"/>
              </w:rPr>
            </w:pPr>
            <w:r>
              <w:rPr>
                <w:b/>
                <w:caps/>
                <w:snapToGrid w:val="0"/>
                <w:kern w:val="0"/>
                <w:szCs w:val="21"/>
              </w:rPr>
              <w:t>不同距离（</w:t>
            </w:r>
            <w:r>
              <w:rPr>
                <w:b/>
                <w:snapToGrid w:val="0"/>
                <w:kern w:val="0"/>
                <w:szCs w:val="21"/>
              </w:rPr>
              <w:t>m</w:t>
            </w:r>
            <w:r>
              <w:rPr>
                <w:b/>
                <w:caps/>
                <w:snapToGrid w:val="0"/>
                <w:kern w:val="0"/>
                <w:szCs w:val="21"/>
              </w:rPr>
              <w:t>）处噪声贡献值</w:t>
            </w:r>
          </w:p>
        </w:tc>
        <w:tc>
          <w:tcPr>
            <w:tcW w:w="767" w:type="pct"/>
            <w:gridSpan w:val="2"/>
            <w:shd w:val="clear" w:color="auto" w:fill="auto"/>
            <w:vAlign w:val="center"/>
          </w:tcPr>
          <w:p>
            <w:pPr>
              <w:jc w:val="center"/>
              <w:rPr>
                <w:b/>
                <w:caps/>
                <w:snapToGrid w:val="0"/>
                <w:kern w:val="0"/>
                <w:szCs w:val="21"/>
              </w:rPr>
            </w:pPr>
            <w:r>
              <w:rPr>
                <w:b/>
                <w:caps/>
                <w:snapToGrid w:val="0"/>
                <w:kern w:val="0"/>
                <w:szCs w:val="21"/>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366" w:type="pct"/>
            <w:vMerge w:val="continue"/>
            <w:shd w:val="clear" w:color="auto" w:fill="auto"/>
            <w:vAlign w:val="center"/>
          </w:tcPr>
          <w:p>
            <w:pPr>
              <w:jc w:val="center"/>
              <w:rPr>
                <w:b/>
                <w:snapToGrid w:val="0"/>
                <w:kern w:val="0"/>
                <w:szCs w:val="21"/>
              </w:rPr>
            </w:pPr>
          </w:p>
        </w:tc>
        <w:tc>
          <w:tcPr>
            <w:tcW w:w="679" w:type="pct"/>
            <w:vMerge w:val="continue"/>
            <w:shd w:val="clear" w:color="auto" w:fill="auto"/>
            <w:vAlign w:val="center"/>
          </w:tcPr>
          <w:p>
            <w:pPr>
              <w:jc w:val="center"/>
              <w:rPr>
                <w:b/>
                <w:snapToGrid w:val="0"/>
                <w:kern w:val="0"/>
                <w:szCs w:val="21"/>
              </w:rPr>
            </w:pPr>
          </w:p>
        </w:tc>
        <w:tc>
          <w:tcPr>
            <w:tcW w:w="324" w:type="pct"/>
            <w:vMerge w:val="continue"/>
            <w:shd w:val="clear" w:color="auto" w:fill="auto"/>
            <w:vAlign w:val="center"/>
          </w:tcPr>
          <w:p>
            <w:pPr>
              <w:jc w:val="center"/>
              <w:rPr>
                <w:b/>
                <w:snapToGrid w:val="0"/>
                <w:kern w:val="0"/>
                <w:szCs w:val="21"/>
              </w:rPr>
            </w:pPr>
          </w:p>
        </w:tc>
        <w:tc>
          <w:tcPr>
            <w:tcW w:w="357" w:type="pct"/>
            <w:shd w:val="clear" w:color="auto" w:fill="auto"/>
            <w:vAlign w:val="center"/>
          </w:tcPr>
          <w:p>
            <w:pPr>
              <w:jc w:val="center"/>
              <w:rPr>
                <w:b/>
                <w:snapToGrid w:val="0"/>
                <w:kern w:val="0"/>
                <w:szCs w:val="21"/>
              </w:rPr>
            </w:pPr>
            <w:r>
              <w:rPr>
                <w:b/>
                <w:snapToGrid w:val="0"/>
                <w:kern w:val="0"/>
                <w:szCs w:val="21"/>
              </w:rPr>
              <w:t>10</w:t>
            </w:r>
          </w:p>
        </w:tc>
        <w:tc>
          <w:tcPr>
            <w:tcW w:w="358" w:type="pct"/>
            <w:shd w:val="clear" w:color="auto" w:fill="auto"/>
            <w:vAlign w:val="center"/>
          </w:tcPr>
          <w:p>
            <w:pPr>
              <w:jc w:val="center"/>
              <w:rPr>
                <w:b/>
                <w:snapToGrid w:val="0"/>
                <w:kern w:val="0"/>
                <w:szCs w:val="21"/>
              </w:rPr>
            </w:pPr>
            <w:r>
              <w:rPr>
                <w:b/>
                <w:snapToGrid w:val="0"/>
                <w:kern w:val="0"/>
                <w:szCs w:val="21"/>
              </w:rPr>
              <w:t>2</w:t>
            </w:r>
            <w:r>
              <w:rPr>
                <w:rFonts w:hint="eastAsia"/>
                <w:b/>
                <w:snapToGrid w:val="0"/>
                <w:kern w:val="0"/>
                <w:szCs w:val="21"/>
              </w:rPr>
              <w:t>0</w:t>
            </w:r>
          </w:p>
        </w:tc>
        <w:tc>
          <w:tcPr>
            <w:tcW w:w="358" w:type="pct"/>
            <w:shd w:val="clear" w:color="auto" w:fill="auto"/>
            <w:vAlign w:val="center"/>
          </w:tcPr>
          <w:p>
            <w:pPr>
              <w:jc w:val="center"/>
              <w:rPr>
                <w:b/>
                <w:snapToGrid w:val="0"/>
                <w:kern w:val="0"/>
                <w:szCs w:val="21"/>
              </w:rPr>
            </w:pPr>
            <w:r>
              <w:rPr>
                <w:rFonts w:hint="eastAsia"/>
                <w:b/>
                <w:snapToGrid w:val="0"/>
                <w:kern w:val="0"/>
                <w:szCs w:val="21"/>
              </w:rPr>
              <w:t>35</w:t>
            </w:r>
          </w:p>
        </w:tc>
        <w:tc>
          <w:tcPr>
            <w:tcW w:w="358" w:type="pct"/>
            <w:shd w:val="clear" w:color="auto" w:fill="auto"/>
            <w:vAlign w:val="center"/>
          </w:tcPr>
          <w:p>
            <w:pPr>
              <w:jc w:val="center"/>
              <w:rPr>
                <w:b/>
                <w:snapToGrid w:val="0"/>
                <w:kern w:val="0"/>
                <w:szCs w:val="21"/>
              </w:rPr>
            </w:pPr>
            <w:r>
              <w:rPr>
                <w:rFonts w:hint="eastAsia"/>
                <w:b/>
                <w:snapToGrid w:val="0"/>
                <w:kern w:val="0"/>
                <w:szCs w:val="21"/>
              </w:rPr>
              <w:t>50</w:t>
            </w:r>
          </w:p>
        </w:tc>
        <w:tc>
          <w:tcPr>
            <w:tcW w:w="358" w:type="pct"/>
            <w:shd w:val="clear" w:color="auto" w:fill="auto"/>
            <w:vAlign w:val="center"/>
          </w:tcPr>
          <w:p>
            <w:pPr>
              <w:jc w:val="center"/>
              <w:rPr>
                <w:b/>
                <w:snapToGrid w:val="0"/>
                <w:kern w:val="0"/>
                <w:szCs w:val="21"/>
              </w:rPr>
            </w:pPr>
            <w:r>
              <w:rPr>
                <w:rFonts w:hint="eastAsia"/>
                <w:b/>
                <w:snapToGrid w:val="0"/>
                <w:kern w:val="0"/>
                <w:szCs w:val="21"/>
              </w:rPr>
              <w:t>65</w:t>
            </w:r>
          </w:p>
        </w:tc>
        <w:tc>
          <w:tcPr>
            <w:tcW w:w="358" w:type="pct"/>
            <w:shd w:val="clear" w:color="auto" w:fill="auto"/>
            <w:vAlign w:val="center"/>
          </w:tcPr>
          <w:p>
            <w:pPr>
              <w:jc w:val="center"/>
              <w:rPr>
                <w:b/>
                <w:snapToGrid w:val="0"/>
                <w:kern w:val="0"/>
                <w:szCs w:val="21"/>
              </w:rPr>
            </w:pPr>
            <w:r>
              <w:rPr>
                <w:rFonts w:hint="eastAsia"/>
                <w:b/>
                <w:snapToGrid w:val="0"/>
                <w:kern w:val="0"/>
                <w:szCs w:val="21"/>
              </w:rPr>
              <w:t>80</w:t>
            </w:r>
          </w:p>
        </w:tc>
        <w:tc>
          <w:tcPr>
            <w:tcW w:w="358" w:type="pct"/>
            <w:shd w:val="clear" w:color="auto" w:fill="auto"/>
            <w:vAlign w:val="center"/>
          </w:tcPr>
          <w:p>
            <w:pPr>
              <w:jc w:val="center"/>
              <w:rPr>
                <w:b/>
                <w:snapToGrid w:val="0"/>
                <w:kern w:val="0"/>
                <w:szCs w:val="21"/>
              </w:rPr>
            </w:pPr>
            <w:r>
              <w:rPr>
                <w:rFonts w:hint="eastAsia"/>
                <w:b/>
                <w:snapToGrid w:val="0"/>
                <w:kern w:val="0"/>
                <w:szCs w:val="21"/>
              </w:rPr>
              <w:t>100</w:t>
            </w:r>
          </w:p>
        </w:tc>
        <w:tc>
          <w:tcPr>
            <w:tcW w:w="358" w:type="pct"/>
            <w:shd w:val="clear" w:color="auto" w:fill="auto"/>
            <w:vAlign w:val="center"/>
          </w:tcPr>
          <w:p>
            <w:pPr>
              <w:jc w:val="center"/>
              <w:rPr>
                <w:b/>
                <w:snapToGrid w:val="0"/>
                <w:kern w:val="0"/>
                <w:szCs w:val="21"/>
              </w:rPr>
            </w:pPr>
            <w:r>
              <w:rPr>
                <w:rFonts w:hint="eastAsia"/>
                <w:b/>
                <w:snapToGrid w:val="0"/>
                <w:kern w:val="0"/>
                <w:szCs w:val="21"/>
              </w:rPr>
              <w:t>200</w:t>
            </w:r>
          </w:p>
        </w:tc>
        <w:tc>
          <w:tcPr>
            <w:tcW w:w="767" w:type="pct"/>
            <w:gridSpan w:val="2"/>
            <w:shd w:val="clear" w:color="auto" w:fill="auto"/>
            <w:vAlign w:val="center"/>
          </w:tcPr>
          <w:p>
            <w:pPr>
              <w:jc w:val="center"/>
              <w:rPr>
                <w:b/>
                <w:snapToGrid w:val="0"/>
                <w:kern w:val="0"/>
                <w:szCs w:val="21"/>
              </w:rPr>
            </w:pPr>
            <w:r>
              <w:rPr>
                <w:b/>
                <w:snapToGrid w:val="0"/>
                <w:kern w:val="0"/>
                <w:szCs w:val="21"/>
              </w:rPr>
              <w:t>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366" w:type="pct"/>
            <w:shd w:val="clear" w:color="auto" w:fill="auto"/>
            <w:vAlign w:val="center"/>
          </w:tcPr>
          <w:p>
            <w:pPr>
              <w:jc w:val="center"/>
              <w:rPr>
                <w:snapToGrid w:val="0"/>
                <w:kern w:val="0"/>
                <w:szCs w:val="21"/>
              </w:rPr>
            </w:pPr>
            <w:r>
              <w:rPr>
                <w:snapToGrid w:val="0"/>
                <w:kern w:val="0"/>
                <w:szCs w:val="21"/>
              </w:rPr>
              <w:t>1</w:t>
            </w:r>
          </w:p>
        </w:tc>
        <w:tc>
          <w:tcPr>
            <w:tcW w:w="679" w:type="pct"/>
            <w:shd w:val="clear" w:color="auto" w:fill="auto"/>
            <w:vAlign w:val="center"/>
          </w:tcPr>
          <w:p>
            <w:pPr>
              <w:jc w:val="center"/>
              <w:rPr>
                <w:snapToGrid w:val="0"/>
                <w:kern w:val="0"/>
                <w:szCs w:val="21"/>
              </w:rPr>
            </w:pPr>
            <w:r>
              <w:rPr>
                <w:snapToGrid w:val="0"/>
                <w:kern w:val="0"/>
                <w:szCs w:val="21"/>
              </w:rPr>
              <w:t>水泵</w:t>
            </w:r>
          </w:p>
        </w:tc>
        <w:tc>
          <w:tcPr>
            <w:tcW w:w="324" w:type="pct"/>
            <w:shd w:val="clear" w:color="auto" w:fill="auto"/>
            <w:vAlign w:val="center"/>
          </w:tcPr>
          <w:p>
            <w:pPr>
              <w:spacing w:line="360" w:lineRule="auto"/>
              <w:jc w:val="center"/>
              <w:rPr>
                <w:szCs w:val="21"/>
              </w:rPr>
            </w:pPr>
            <w:r>
              <w:rPr>
                <w:rFonts w:hint="eastAsia"/>
                <w:szCs w:val="21"/>
              </w:rPr>
              <w:t>80</w:t>
            </w:r>
          </w:p>
        </w:tc>
        <w:tc>
          <w:tcPr>
            <w:tcW w:w="357" w:type="pct"/>
            <w:shd w:val="clear" w:color="auto" w:fill="auto"/>
            <w:vAlign w:val="center"/>
          </w:tcPr>
          <w:p>
            <w:pPr>
              <w:jc w:val="center"/>
              <w:rPr>
                <w:szCs w:val="21"/>
              </w:rPr>
            </w:pPr>
            <w:r>
              <w:rPr>
                <w:szCs w:val="21"/>
              </w:rPr>
              <w:t>60</w:t>
            </w:r>
          </w:p>
        </w:tc>
        <w:tc>
          <w:tcPr>
            <w:tcW w:w="358" w:type="pct"/>
            <w:shd w:val="clear" w:color="auto" w:fill="auto"/>
            <w:vAlign w:val="center"/>
          </w:tcPr>
          <w:p>
            <w:pPr>
              <w:jc w:val="center"/>
              <w:rPr>
                <w:szCs w:val="21"/>
              </w:rPr>
            </w:pPr>
            <w:r>
              <w:rPr>
                <w:szCs w:val="21"/>
              </w:rPr>
              <w:t>54</w:t>
            </w:r>
          </w:p>
        </w:tc>
        <w:tc>
          <w:tcPr>
            <w:tcW w:w="358" w:type="pct"/>
            <w:shd w:val="clear" w:color="auto" w:fill="auto"/>
            <w:vAlign w:val="center"/>
          </w:tcPr>
          <w:p>
            <w:pPr>
              <w:jc w:val="center"/>
              <w:rPr>
                <w:szCs w:val="21"/>
              </w:rPr>
            </w:pPr>
            <w:r>
              <w:rPr>
                <w:szCs w:val="21"/>
              </w:rPr>
              <w:t>49.1</w:t>
            </w:r>
          </w:p>
        </w:tc>
        <w:tc>
          <w:tcPr>
            <w:tcW w:w="358" w:type="pct"/>
            <w:shd w:val="clear" w:color="auto" w:fill="auto"/>
            <w:vAlign w:val="center"/>
          </w:tcPr>
          <w:p>
            <w:pPr>
              <w:jc w:val="center"/>
              <w:rPr>
                <w:szCs w:val="21"/>
              </w:rPr>
            </w:pPr>
            <w:r>
              <w:rPr>
                <w:szCs w:val="21"/>
              </w:rPr>
              <w:t>46</w:t>
            </w:r>
          </w:p>
        </w:tc>
        <w:tc>
          <w:tcPr>
            <w:tcW w:w="358" w:type="pct"/>
            <w:shd w:val="clear" w:color="auto" w:fill="auto"/>
            <w:vAlign w:val="center"/>
          </w:tcPr>
          <w:p>
            <w:pPr>
              <w:jc w:val="center"/>
              <w:rPr>
                <w:szCs w:val="21"/>
              </w:rPr>
            </w:pPr>
            <w:r>
              <w:rPr>
                <w:szCs w:val="21"/>
              </w:rPr>
              <w:t>43.7</w:t>
            </w:r>
          </w:p>
        </w:tc>
        <w:tc>
          <w:tcPr>
            <w:tcW w:w="358" w:type="pct"/>
            <w:shd w:val="clear" w:color="auto" w:fill="auto"/>
            <w:vAlign w:val="center"/>
          </w:tcPr>
          <w:p>
            <w:pPr>
              <w:jc w:val="center"/>
              <w:rPr>
                <w:szCs w:val="21"/>
              </w:rPr>
            </w:pPr>
            <w:r>
              <w:rPr>
                <w:szCs w:val="21"/>
              </w:rPr>
              <w:t>41.9</w:t>
            </w:r>
          </w:p>
        </w:tc>
        <w:tc>
          <w:tcPr>
            <w:tcW w:w="358" w:type="pct"/>
            <w:shd w:val="clear" w:color="auto" w:fill="auto"/>
            <w:vAlign w:val="center"/>
          </w:tcPr>
          <w:p>
            <w:pPr>
              <w:jc w:val="center"/>
              <w:rPr>
                <w:szCs w:val="21"/>
              </w:rPr>
            </w:pPr>
            <w:r>
              <w:rPr>
                <w:szCs w:val="21"/>
              </w:rPr>
              <w:t>40</w:t>
            </w:r>
          </w:p>
        </w:tc>
        <w:tc>
          <w:tcPr>
            <w:tcW w:w="358" w:type="pct"/>
            <w:shd w:val="clear" w:color="auto" w:fill="auto"/>
            <w:vAlign w:val="center"/>
          </w:tcPr>
          <w:p>
            <w:pPr>
              <w:jc w:val="center"/>
              <w:rPr>
                <w:szCs w:val="21"/>
              </w:rPr>
            </w:pPr>
            <w:r>
              <w:rPr>
                <w:szCs w:val="21"/>
              </w:rPr>
              <w:t>34</w:t>
            </w:r>
          </w:p>
        </w:tc>
        <w:tc>
          <w:tcPr>
            <w:tcW w:w="379" w:type="pct"/>
            <w:shd w:val="clear" w:color="auto" w:fill="auto"/>
            <w:vAlign w:val="center"/>
          </w:tcPr>
          <w:p>
            <w:pPr>
              <w:jc w:val="center"/>
              <w:rPr>
                <w:snapToGrid w:val="0"/>
                <w:kern w:val="0"/>
                <w:szCs w:val="21"/>
              </w:rPr>
            </w:pPr>
            <w:r>
              <w:rPr>
                <w:snapToGrid w:val="0"/>
                <w:kern w:val="0"/>
                <w:szCs w:val="21"/>
              </w:rPr>
              <w:t>昼</w:t>
            </w:r>
          </w:p>
        </w:tc>
        <w:tc>
          <w:tcPr>
            <w:tcW w:w="388" w:type="pct"/>
            <w:shd w:val="clear" w:color="auto" w:fill="auto"/>
            <w:vAlign w:val="center"/>
          </w:tcPr>
          <w:p>
            <w:pPr>
              <w:jc w:val="center"/>
              <w:rPr>
                <w:snapToGrid w:val="0"/>
                <w:kern w:val="0"/>
                <w:szCs w:val="21"/>
              </w:rPr>
            </w:pPr>
            <w:r>
              <w:rPr>
                <w:snapToGrid w:val="0"/>
                <w:kern w:val="0"/>
                <w:szCs w:val="21"/>
              </w:rPr>
              <w:t>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366" w:type="pct"/>
            <w:shd w:val="clear" w:color="auto" w:fill="auto"/>
            <w:vAlign w:val="center"/>
          </w:tcPr>
          <w:p>
            <w:pPr>
              <w:jc w:val="center"/>
              <w:rPr>
                <w:snapToGrid w:val="0"/>
                <w:kern w:val="0"/>
                <w:szCs w:val="21"/>
              </w:rPr>
            </w:pPr>
            <w:r>
              <w:rPr>
                <w:snapToGrid w:val="0"/>
                <w:kern w:val="0"/>
                <w:szCs w:val="21"/>
              </w:rPr>
              <w:t>2</w:t>
            </w:r>
          </w:p>
        </w:tc>
        <w:tc>
          <w:tcPr>
            <w:tcW w:w="679" w:type="pct"/>
            <w:shd w:val="clear" w:color="auto" w:fill="auto"/>
            <w:vAlign w:val="center"/>
          </w:tcPr>
          <w:p>
            <w:pPr>
              <w:jc w:val="center"/>
              <w:rPr>
                <w:snapToGrid w:val="0"/>
                <w:kern w:val="0"/>
                <w:szCs w:val="21"/>
              </w:rPr>
            </w:pPr>
            <w:r>
              <w:rPr>
                <w:snapToGrid w:val="0"/>
                <w:kern w:val="0"/>
                <w:szCs w:val="21"/>
              </w:rPr>
              <w:t>轴流风机</w:t>
            </w:r>
          </w:p>
        </w:tc>
        <w:tc>
          <w:tcPr>
            <w:tcW w:w="324" w:type="pct"/>
            <w:shd w:val="clear" w:color="auto" w:fill="auto"/>
            <w:vAlign w:val="center"/>
          </w:tcPr>
          <w:p>
            <w:pPr>
              <w:spacing w:line="360" w:lineRule="auto"/>
              <w:jc w:val="center"/>
              <w:rPr>
                <w:szCs w:val="21"/>
              </w:rPr>
            </w:pPr>
            <w:r>
              <w:rPr>
                <w:rFonts w:hint="eastAsia"/>
                <w:szCs w:val="21"/>
              </w:rPr>
              <w:t>85</w:t>
            </w:r>
          </w:p>
        </w:tc>
        <w:tc>
          <w:tcPr>
            <w:tcW w:w="357" w:type="pct"/>
            <w:shd w:val="clear" w:color="auto" w:fill="auto"/>
            <w:vAlign w:val="center"/>
          </w:tcPr>
          <w:p>
            <w:pPr>
              <w:jc w:val="center"/>
              <w:rPr>
                <w:szCs w:val="21"/>
              </w:rPr>
            </w:pPr>
            <w:r>
              <w:rPr>
                <w:szCs w:val="21"/>
              </w:rPr>
              <w:t>65</w:t>
            </w:r>
          </w:p>
        </w:tc>
        <w:tc>
          <w:tcPr>
            <w:tcW w:w="358" w:type="pct"/>
            <w:shd w:val="clear" w:color="auto" w:fill="auto"/>
            <w:vAlign w:val="center"/>
          </w:tcPr>
          <w:p>
            <w:pPr>
              <w:jc w:val="center"/>
              <w:rPr>
                <w:szCs w:val="21"/>
              </w:rPr>
            </w:pPr>
            <w:r>
              <w:rPr>
                <w:szCs w:val="21"/>
              </w:rPr>
              <w:t>59</w:t>
            </w:r>
          </w:p>
        </w:tc>
        <w:tc>
          <w:tcPr>
            <w:tcW w:w="358" w:type="pct"/>
            <w:shd w:val="clear" w:color="auto" w:fill="auto"/>
            <w:vAlign w:val="center"/>
          </w:tcPr>
          <w:p>
            <w:pPr>
              <w:jc w:val="center"/>
              <w:rPr>
                <w:szCs w:val="21"/>
              </w:rPr>
            </w:pPr>
            <w:r>
              <w:rPr>
                <w:szCs w:val="21"/>
              </w:rPr>
              <w:t>54.1</w:t>
            </w:r>
          </w:p>
        </w:tc>
        <w:tc>
          <w:tcPr>
            <w:tcW w:w="358" w:type="pct"/>
            <w:shd w:val="clear" w:color="auto" w:fill="auto"/>
            <w:vAlign w:val="center"/>
          </w:tcPr>
          <w:p>
            <w:pPr>
              <w:jc w:val="center"/>
              <w:rPr>
                <w:szCs w:val="21"/>
              </w:rPr>
            </w:pPr>
            <w:r>
              <w:rPr>
                <w:szCs w:val="21"/>
              </w:rPr>
              <w:t>51</w:t>
            </w:r>
          </w:p>
        </w:tc>
        <w:tc>
          <w:tcPr>
            <w:tcW w:w="358" w:type="pct"/>
            <w:shd w:val="clear" w:color="auto" w:fill="auto"/>
            <w:vAlign w:val="center"/>
          </w:tcPr>
          <w:p>
            <w:pPr>
              <w:jc w:val="center"/>
              <w:rPr>
                <w:szCs w:val="21"/>
              </w:rPr>
            </w:pPr>
            <w:r>
              <w:rPr>
                <w:szCs w:val="21"/>
              </w:rPr>
              <w:t>48.7</w:t>
            </w:r>
          </w:p>
        </w:tc>
        <w:tc>
          <w:tcPr>
            <w:tcW w:w="358" w:type="pct"/>
            <w:shd w:val="clear" w:color="auto" w:fill="auto"/>
            <w:vAlign w:val="center"/>
          </w:tcPr>
          <w:p>
            <w:pPr>
              <w:jc w:val="center"/>
              <w:rPr>
                <w:szCs w:val="21"/>
              </w:rPr>
            </w:pPr>
            <w:r>
              <w:rPr>
                <w:szCs w:val="21"/>
              </w:rPr>
              <w:t>46.9</w:t>
            </w:r>
          </w:p>
        </w:tc>
        <w:tc>
          <w:tcPr>
            <w:tcW w:w="358" w:type="pct"/>
            <w:shd w:val="clear" w:color="auto" w:fill="auto"/>
            <w:vAlign w:val="center"/>
          </w:tcPr>
          <w:p>
            <w:pPr>
              <w:jc w:val="center"/>
              <w:rPr>
                <w:szCs w:val="21"/>
              </w:rPr>
            </w:pPr>
            <w:r>
              <w:rPr>
                <w:szCs w:val="21"/>
              </w:rPr>
              <w:t>45</w:t>
            </w:r>
          </w:p>
        </w:tc>
        <w:tc>
          <w:tcPr>
            <w:tcW w:w="358" w:type="pct"/>
            <w:shd w:val="clear" w:color="auto" w:fill="auto"/>
            <w:vAlign w:val="center"/>
          </w:tcPr>
          <w:p>
            <w:pPr>
              <w:jc w:val="center"/>
              <w:rPr>
                <w:szCs w:val="21"/>
              </w:rPr>
            </w:pPr>
            <w:r>
              <w:rPr>
                <w:szCs w:val="21"/>
              </w:rPr>
              <w:t>39</w:t>
            </w:r>
          </w:p>
        </w:tc>
        <w:tc>
          <w:tcPr>
            <w:tcW w:w="379" w:type="pct"/>
            <w:vMerge w:val="restart"/>
            <w:shd w:val="clear" w:color="auto" w:fill="auto"/>
            <w:vAlign w:val="center"/>
          </w:tcPr>
          <w:p>
            <w:pPr>
              <w:jc w:val="center"/>
              <w:rPr>
                <w:snapToGrid w:val="0"/>
                <w:kern w:val="0"/>
                <w:szCs w:val="21"/>
              </w:rPr>
            </w:pPr>
            <w:r>
              <w:rPr>
                <w:snapToGrid w:val="0"/>
                <w:kern w:val="0"/>
                <w:szCs w:val="21"/>
              </w:rPr>
              <w:t>60</w:t>
            </w:r>
          </w:p>
        </w:tc>
        <w:tc>
          <w:tcPr>
            <w:tcW w:w="388" w:type="pct"/>
            <w:vMerge w:val="restart"/>
            <w:shd w:val="clear" w:color="auto" w:fill="auto"/>
            <w:vAlign w:val="center"/>
          </w:tcPr>
          <w:p>
            <w:pPr>
              <w:jc w:val="center"/>
              <w:rPr>
                <w:snapToGrid w:val="0"/>
                <w:kern w:val="0"/>
                <w:szCs w:val="21"/>
              </w:rPr>
            </w:pPr>
            <w:r>
              <w:rPr>
                <w:snapToGrid w:val="0"/>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366" w:type="pct"/>
            <w:shd w:val="clear" w:color="auto" w:fill="auto"/>
            <w:vAlign w:val="center"/>
          </w:tcPr>
          <w:p>
            <w:pPr>
              <w:jc w:val="center"/>
              <w:rPr>
                <w:snapToGrid w:val="0"/>
                <w:kern w:val="0"/>
                <w:szCs w:val="21"/>
              </w:rPr>
            </w:pPr>
            <w:r>
              <w:rPr>
                <w:snapToGrid w:val="0"/>
                <w:kern w:val="0"/>
                <w:szCs w:val="21"/>
              </w:rPr>
              <w:t>3</w:t>
            </w:r>
          </w:p>
        </w:tc>
        <w:tc>
          <w:tcPr>
            <w:tcW w:w="679" w:type="pct"/>
            <w:shd w:val="clear" w:color="auto" w:fill="auto"/>
            <w:vAlign w:val="center"/>
          </w:tcPr>
          <w:p>
            <w:pPr>
              <w:jc w:val="center"/>
              <w:rPr>
                <w:snapToGrid w:val="0"/>
                <w:kern w:val="0"/>
                <w:szCs w:val="21"/>
              </w:rPr>
            </w:pPr>
            <w:r>
              <w:rPr>
                <w:snapToGrid w:val="0"/>
                <w:kern w:val="0"/>
                <w:szCs w:val="21"/>
              </w:rPr>
              <w:t>加药间</w:t>
            </w:r>
          </w:p>
        </w:tc>
        <w:tc>
          <w:tcPr>
            <w:tcW w:w="324" w:type="pct"/>
            <w:shd w:val="clear" w:color="auto" w:fill="auto"/>
            <w:vAlign w:val="center"/>
          </w:tcPr>
          <w:p>
            <w:pPr>
              <w:spacing w:line="360" w:lineRule="auto"/>
              <w:jc w:val="center"/>
              <w:rPr>
                <w:szCs w:val="21"/>
              </w:rPr>
            </w:pPr>
            <w:r>
              <w:rPr>
                <w:rFonts w:hint="eastAsia"/>
                <w:szCs w:val="21"/>
              </w:rPr>
              <w:t>75</w:t>
            </w:r>
          </w:p>
        </w:tc>
        <w:tc>
          <w:tcPr>
            <w:tcW w:w="357" w:type="pct"/>
            <w:shd w:val="clear" w:color="auto" w:fill="auto"/>
            <w:vAlign w:val="center"/>
          </w:tcPr>
          <w:p>
            <w:pPr>
              <w:jc w:val="center"/>
              <w:rPr>
                <w:szCs w:val="21"/>
              </w:rPr>
            </w:pPr>
            <w:r>
              <w:rPr>
                <w:szCs w:val="21"/>
              </w:rPr>
              <w:t>55</w:t>
            </w:r>
          </w:p>
        </w:tc>
        <w:tc>
          <w:tcPr>
            <w:tcW w:w="358" w:type="pct"/>
            <w:shd w:val="clear" w:color="auto" w:fill="auto"/>
            <w:vAlign w:val="center"/>
          </w:tcPr>
          <w:p>
            <w:pPr>
              <w:jc w:val="center"/>
              <w:rPr>
                <w:szCs w:val="21"/>
              </w:rPr>
            </w:pPr>
            <w:r>
              <w:rPr>
                <w:szCs w:val="21"/>
              </w:rPr>
              <w:t>49</w:t>
            </w:r>
          </w:p>
        </w:tc>
        <w:tc>
          <w:tcPr>
            <w:tcW w:w="358" w:type="pct"/>
            <w:shd w:val="clear" w:color="auto" w:fill="auto"/>
            <w:vAlign w:val="center"/>
          </w:tcPr>
          <w:p>
            <w:pPr>
              <w:jc w:val="center"/>
              <w:rPr>
                <w:szCs w:val="21"/>
              </w:rPr>
            </w:pPr>
            <w:r>
              <w:rPr>
                <w:szCs w:val="21"/>
              </w:rPr>
              <w:t>44.1</w:t>
            </w:r>
          </w:p>
        </w:tc>
        <w:tc>
          <w:tcPr>
            <w:tcW w:w="358" w:type="pct"/>
            <w:shd w:val="clear" w:color="auto" w:fill="auto"/>
            <w:vAlign w:val="center"/>
          </w:tcPr>
          <w:p>
            <w:pPr>
              <w:jc w:val="center"/>
              <w:rPr>
                <w:szCs w:val="21"/>
              </w:rPr>
            </w:pPr>
            <w:r>
              <w:rPr>
                <w:szCs w:val="21"/>
              </w:rPr>
              <w:t>41</w:t>
            </w:r>
          </w:p>
        </w:tc>
        <w:tc>
          <w:tcPr>
            <w:tcW w:w="358" w:type="pct"/>
            <w:shd w:val="clear" w:color="auto" w:fill="auto"/>
            <w:vAlign w:val="center"/>
          </w:tcPr>
          <w:p>
            <w:pPr>
              <w:jc w:val="center"/>
              <w:rPr>
                <w:szCs w:val="21"/>
              </w:rPr>
            </w:pPr>
            <w:r>
              <w:rPr>
                <w:szCs w:val="21"/>
              </w:rPr>
              <w:t>38.7</w:t>
            </w:r>
          </w:p>
        </w:tc>
        <w:tc>
          <w:tcPr>
            <w:tcW w:w="358" w:type="pct"/>
            <w:shd w:val="clear" w:color="auto" w:fill="auto"/>
            <w:vAlign w:val="center"/>
          </w:tcPr>
          <w:p>
            <w:pPr>
              <w:jc w:val="center"/>
              <w:rPr>
                <w:szCs w:val="21"/>
              </w:rPr>
            </w:pPr>
            <w:r>
              <w:rPr>
                <w:szCs w:val="21"/>
              </w:rPr>
              <w:t>36.9</w:t>
            </w:r>
          </w:p>
        </w:tc>
        <w:tc>
          <w:tcPr>
            <w:tcW w:w="358" w:type="pct"/>
            <w:shd w:val="clear" w:color="auto" w:fill="auto"/>
            <w:vAlign w:val="center"/>
          </w:tcPr>
          <w:p>
            <w:pPr>
              <w:jc w:val="center"/>
              <w:rPr>
                <w:szCs w:val="21"/>
              </w:rPr>
            </w:pPr>
            <w:r>
              <w:rPr>
                <w:szCs w:val="21"/>
              </w:rPr>
              <w:t>35</w:t>
            </w:r>
          </w:p>
        </w:tc>
        <w:tc>
          <w:tcPr>
            <w:tcW w:w="358" w:type="pct"/>
            <w:shd w:val="clear" w:color="auto" w:fill="auto"/>
            <w:vAlign w:val="center"/>
          </w:tcPr>
          <w:p>
            <w:pPr>
              <w:jc w:val="center"/>
              <w:rPr>
                <w:szCs w:val="21"/>
              </w:rPr>
            </w:pPr>
            <w:r>
              <w:rPr>
                <w:szCs w:val="21"/>
              </w:rPr>
              <w:t>29</w:t>
            </w:r>
          </w:p>
        </w:tc>
        <w:tc>
          <w:tcPr>
            <w:tcW w:w="379" w:type="pct"/>
            <w:vMerge w:val="continue"/>
            <w:shd w:val="clear" w:color="auto" w:fill="auto"/>
            <w:vAlign w:val="center"/>
          </w:tcPr>
          <w:p>
            <w:pPr>
              <w:jc w:val="center"/>
              <w:rPr>
                <w:snapToGrid w:val="0"/>
                <w:kern w:val="0"/>
                <w:szCs w:val="21"/>
              </w:rPr>
            </w:pPr>
          </w:p>
        </w:tc>
        <w:tc>
          <w:tcPr>
            <w:tcW w:w="388" w:type="pct"/>
            <w:vMerge w:val="continue"/>
            <w:shd w:val="clear" w:color="auto" w:fill="auto"/>
            <w:vAlign w:val="center"/>
          </w:tcPr>
          <w:p>
            <w:pPr>
              <w:jc w:val="center"/>
              <w:rPr>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366" w:type="pct"/>
            <w:shd w:val="clear" w:color="auto" w:fill="auto"/>
            <w:vAlign w:val="center"/>
          </w:tcPr>
          <w:p>
            <w:pPr>
              <w:jc w:val="center"/>
              <w:rPr>
                <w:snapToGrid w:val="0"/>
                <w:kern w:val="0"/>
                <w:szCs w:val="21"/>
              </w:rPr>
            </w:pPr>
            <w:r>
              <w:rPr>
                <w:snapToGrid w:val="0"/>
                <w:kern w:val="0"/>
                <w:szCs w:val="21"/>
              </w:rPr>
              <w:t>4</w:t>
            </w:r>
          </w:p>
        </w:tc>
        <w:tc>
          <w:tcPr>
            <w:tcW w:w="679" w:type="pct"/>
            <w:shd w:val="clear" w:color="auto" w:fill="auto"/>
            <w:vAlign w:val="center"/>
          </w:tcPr>
          <w:p>
            <w:pPr>
              <w:jc w:val="center"/>
              <w:rPr>
                <w:snapToGrid w:val="0"/>
                <w:kern w:val="0"/>
                <w:szCs w:val="21"/>
              </w:rPr>
            </w:pPr>
            <w:r>
              <w:rPr>
                <w:snapToGrid w:val="0"/>
                <w:kern w:val="0"/>
                <w:szCs w:val="21"/>
              </w:rPr>
              <w:t>汽车</w:t>
            </w:r>
          </w:p>
        </w:tc>
        <w:tc>
          <w:tcPr>
            <w:tcW w:w="324" w:type="pct"/>
            <w:shd w:val="clear" w:color="auto" w:fill="auto"/>
            <w:vAlign w:val="center"/>
          </w:tcPr>
          <w:p>
            <w:pPr>
              <w:spacing w:line="360" w:lineRule="auto"/>
              <w:jc w:val="center"/>
              <w:rPr>
                <w:szCs w:val="21"/>
              </w:rPr>
            </w:pPr>
            <w:r>
              <w:rPr>
                <w:rFonts w:hint="eastAsia"/>
                <w:szCs w:val="21"/>
              </w:rPr>
              <w:t>7</w:t>
            </w:r>
            <w:r>
              <w:rPr>
                <w:szCs w:val="21"/>
              </w:rPr>
              <w:t>5</w:t>
            </w:r>
          </w:p>
        </w:tc>
        <w:tc>
          <w:tcPr>
            <w:tcW w:w="357" w:type="pct"/>
            <w:shd w:val="clear" w:color="auto" w:fill="auto"/>
            <w:vAlign w:val="center"/>
          </w:tcPr>
          <w:p>
            <w:pPr>
              <w:jc w:val="center"/>
              <w:rPr>
                <w:szCs w:val="21"/>
              </w:rPr>
            </w:pPr>
            <w:r>
              <w:rPr>
                <w:szCs w:val="21"/>
              </w:rPr>
              <w:t>55</w:t>
            </w:r>
          </w:p>
        </w:tc>
        <w:tc>
          <w:tcPr>
            <w:tcW w:w="358" w:type="pct"/>
            <w:shd w:val="clear" w:color="auto" w:fill="auto"/>
            <w:vAlign w:val="center"/>
          </w:tcPr>
          <w:p>
            <w:pPr>
              <w:jc w:val="center"/>
              <w:rPr>
                <w:szCs w:val="21"/>
              </w:rPr>
            </w:pPr>
            <w:r>
              <w:rPr>
                <w:szCs w:val="21"/>
              </w:rPr>
              <w:t>49</w:t>
            </w:r>
          </w:p>
        </w:tc>
        <w:tc>
          <w:tcPr>
            <w:tcW w:w="358" w:type="pct"/>
            <w:shd w:val="clear" w:color="auto" w:fill="auto"/>
            <w:vAlign w:val="center"/>
          </w:tcPr>
          <w:p>
            <w:pPr>
              <w:jc w:val="center"/>
              <w:rPr>
                <w:szCs w:val="21"/>
              </w:rPr>
            </w:pPr>
            <w:r>
              <w:rPr>
                <w:szCs w:val="21"/>
              </w:rPr>
              <w:t>44.1</w:t>
            </w:r>
          </w:p>
        </w:tc>
        <w:tc>
          <w:tcPr>
            <w:tcW w:w="358" w:type="pct"/>
            <w:shd w:val="clear" w:color="auto" w:fill="auto"/>
            <w:vAlign w:val="center"/>
          </w:tcPr>
          <w:p>
            <w:pPr>
              <w:jc w:val="center"/>
              <w:rPr>
                <w:szCs w:val="21"/>
              </w:rPr>
            </w:pPr>
            <w:r>
              <w:rPr>
                <w:szCs w:val="21"/>
              </w:rPr>
              <w:t>41</w:t>
            </w:r>
          </w:p>
        </w:tc>
        <w:tc>
          <w:tcPr>
            <w:tcW w:w="358" w:type="pct"/>
            <w:shd w:val="clear" w:color="auto" w:fill="auto"/>
            <w:vAlign w:val="center"/>
          </w:tcPr>
          <w:p>
            <w:pPr>
              <w:jc w:val="center"/>
              <w:rPr>
                <w:szCs w:val="21"/>
              </w:rPr>
            </w:pPr>
            <w:r>
              <w:rPr>
                <w:szCs w:val="21"/>
              </w:rPr>
              <w:t>38.7</w:t>
            </w:r>
          </w:p>
        </w:tc>
        <w:tc>
          <w:tcPr>
            <w:tcW w:w="358" w:type="pct"/>
            <w:shd w:val="clear" w:color="auto" w:fill="auto"/>
            <w:vAlign w:val="center"/>
          </w:tcPr>
          <w:p>
            <w:pPr>
              <w:jc w:val="center"/>
              <w:rPr>
                <w:szCs w:val="21"/>
              </w:rPr>
            </w:pPr>
            <w:r>
              <w:rPr>
                <w:szCs w:val="21"/>
              </w:rPr>
              <w:t>36.9</w:t>
            </w:r>
          </w:p>
        </w:tc>
        <w:tc>
          <w:tcPr>
            <w:tcW w:w="358" w:type="pct"/>
            <w:shd w:val="clear" w:color="auto" w:fill="auto"/>
            <w:vAlign w:val="center"/>
          </w:tcPr>
          <w:p>
            <w:pPr>
              <w:jc w:val="center"/>
              <w:rPr>
                <w:szCs w:val="21"/>
              </w:rPr>
            </w:pPr>
            <w:r>
              <w:rPr>
                <w:szCs w:val="21"/>
              </w:rPr>
              <w:t>35</w:t>
            </w:r>
          </w:p>
        </w:tc>
        <w:tc>
          <w:tcPr>
            <w:tcW w:w="358" w:type="pct"/>
            <w:shd w:val="clear" w:color="auto" w:fill="auto"/>
            <w:vAlign w:val="center"/>
          </w:tcPr>
          <w:p>
            <w:pPr>
              <w:jc w:val="center"/>
              <w:rPr>
                <w:szCs w:val="21"/>
              </w:rPr>
            </w:pPr>
            <w:r>
              <w:rPr>
                <w:szCs w:val="21"/>
              </w:rPr>
              <w:t>29</w:t>
            </w:r>
          </w:p>
        </w:tc>
        <w:tc>
          <w:tcPr>
            <w:tcW w:w="379" w:type="pct"/>
            <w:vMerge w:val="continue"/>
            <w:shd w:val="clear" w:color="auto" w:fill="auto"/>
            <w:vAlign w:val="center"/>
          </w:tcPr>
          <w:p>
            <w:pPr>
              <w:jc w:val="center"/>
              <w:rPr>
                <w:snapToGrid w:val="0"/>
                <w:kern w:val="0"/>
                <w:szCs w:val="21"/>
              </w:rPr>
            </w:pPr>
          </w:p>
        </w:tc>
        <w:tc>
          <w:tcPr>
            <w:tcW w:w="388" w:type="pct"/>
            <w:vMerge w:val="continue"/>
            <w:shd w:val="clear" w:color="auto" w:fill="auto"/>
            <w:vAlign w:val="center"/>
          </w:tcPr>
          <w:p>
            <w:pPr>
              <w:jc w:val="center"/>
              <w:rPr>
                <w:snapToGrid w:val="0"/>
                <w:kern w:val="0"/>
                <w:szCs w:val="21"/>
              </w:rPr>
            </w:pPr>
          </w:p>
        </w:tc>
      </w:tr>
    </w:tbl>
    <w:p>
      <w:pPr>
        <w:pStyle w:val="63"/>
        <w:ind w:firstLine="480"/>
        <w:rPr>
          <w:color w:val="auto"/>
        </w:rPr>
      </w:pPr>
      <w:r>
        <w:rPr>
          <w:rFonts w:hint="eastAsia"/>
          <w:color w:val="auto"/>
        </w:rPr>
        <w:t>水厂运行机械中噪声影响最大的是轴流风机，其原始源强为85</w:t>
      </w:r>
      <w:r>
        <w:rPr>
          <w:color w:val="auto"/>
        </w:rPr>
        <w:t>dB(A)</w:t>
      </w:r>
      <w:r>
        <w:rPr>
          <w:rFonts w:hint="eastAsia"/>
          <w:color w:val="auto"/>
        </w:rPr>
        <w:t>，对其进行叠加计算，计算结果见表6.3-4。</w:t>
      </w:r>
    </w:p>
    <w:p>
      <w:pPr>
        <w:pStyle w:val="65"/>
      </w:pPr>
      <w:r>
        <w:t>表</w:t>
      </w:r>
      <w:r>
        <w:rPr>
          <w:rFonts w:hint="eastAsia"/>
        </w:rPr>
        <w:t>6.3-4</w:t>
      </w:r>
      <w:r>
        <w:t xml:space="preserve">  运行期噪声</w:t>
      </w:r>
      <w:r>
        <w:rPr>
          <w:rFonts w:hint="eastAsia"/>
        </w:rPr>
        <w:t>叠加计算</w:t>
      </w:r>
      <w:r>
        <w:t>结果</w:t>
      </w:r>
      <w:r>
        <w:rPr>
          <w:rFonts w:hint="eastAsia"/>
        </w:rPr>
        <w:t xml:space="preserve"> </w:t>
      </w:r>
      <w:r>
        <w:t xml:space="preserve"> 单位：dB(A)</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017"/>
        <w:gridCol w:w="771"/>
        <w:gridCol w:w="769"/>
        <w:gridCol w:w="769"/>
        <w:gridCol w:w="769"/>
        <w:gridCol w:w="769"/>
        <w:gridCol w:w="769"/>
        <w:gridCol w:w="769"/>
        <w:gridCol w:w="773"/>
        <w:gridCol w:w="647"/>
        <w:gridCol w:w="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restart"/>
            <w:shd w:val="clear" w:color="auto" w:fill="auto"/>
            <w:vAlign w:val="center"/>
          </w:tcPr>
          <w:p>
            <w:pPr>
              <w:jc w:val="center"/>
              <w:rPr>
                <w:b/>
                <w:caps/>
                <w:snapToGrid w:val="0"/>
                <w:kern w:val="0"/>
                <w:szCs w:val="21"/>
              </w:rPr>
            </w:pPr>
            <w:r>
              <w:rPr>
                <w:rFonts w:hint="eastAsia"/>
                <w:b/>
                <w:caps/>
                <w:snapToGrid w:val="0"/>
                <w:kern w:val="0"/>
                <w:szCs w:val="21"/>
              </w:rPr>
              <w:t>时段</w:t>
            </w:r>
          </w:p>
        </w:tc>
        <w:tc>
          <w:tcPr>
            <w:tcW w:w="550" w:type="pct"/>
            <w:vMerge w:val="restart"/>
            <w:shd w:val="clear" w:color="auto" w:fill="auto"/>
            <w:vAlign w:val="center"/>
          </w:tcPr>
          <w:p>
            <w:pPr>
              <w:jc w:val="center"/>
              <w:rPr>
                <w:b/>
                <w:caps/>
                <w:snapToGrid w:val="0"/>
                <w:kern w:val="0"/>
                <w:szCs w:val="21"/>
              </w:rPr>
            </w:pPr>
            <w:r>
              <w:rPr>
                <w:rFonts w:hint="eastAsia"/>
                <w:b/>
                <w:caps/>
                <w:snapToGrid w:val="0"/>
                <w:kern w:val="0"/>
                <w:szCs w:val="21"/>
              </w:rPr>
              <w:t>噪声背景值</w:t>
            </w:r>
            <w:r>
              <w:rPr>
                <w:b/>
                <w:caps/>
                <w:snapToGrid w:val="0"/>
                <w:kern w:val="0"/>
                <w:szCs w:val="21"/>
              </w:rPr>
              <w:t xml:space="preserve"> </w:t>
            </w:r>
          </w:p>
        </w:tc>
        <w:tc>
          <w:tcPr>
            <w:tcW w:w="3331" w:type="pct"/>
            <w:gridSpan w:val="8"/>
            <w:shd w:val="clear" w:color="auto" w:fill="auto"/>
            <w:vAlign w:val="center"/>
          </w:tcPr>
          <w:p>
            <w:pPr>
              <w:jc w:val="center"/>
              <w:rPr>
                <w:b/>
                <w:caps/>
                <w:snapToGrid w:val="0"/>
                <w:kern w:val="0"/>
                <w:szCs w:val="21"/>
              </w:rPr>
            </w:pPr>
            <w:r>
              <w:rPr>
                <w:b/>
                <w:caps/>
                <w:snapToGrid w:val="0"/>
                <w:kern w:val="0"/>
                <w:szCs w:val="21"/>
              </w:rPr>
              <w:t>不同距离（</w:t>
            </w:r>
            <w:r>
              <w:rPr>
                <w:b/>
                <w:snapToGrid w:val="0"/>
                <w:kern w:val="0"/>
                <w:szCs w:val="21"/>
              </w:rPr>
              <w:t>m</w:t>
            </w:r>
            <w:r>
              <w:rPr>
                <w:b/>
                <w:caps/>
                <w:snapToGrid w:val="0"/>
                <w:kern w:val="0"/>
                <w:szCs w:val="21"/>
              </w:rPr>
              <w:t>）处噪声</w:t>
            </w:r>
            <w:r>
              <w:rPr>
                <w:rFonts w:hint="eastAsia"/>
                <w:b/>
                <w:caps/>
                <w:snapToGrid w:val="0"/>
                <w:kern w:val="0"/>
                <w:szCs w:val="21"/>
              </w:rPr>
              <w:t>叠加值</w:t>
            </w:r>
          </w:p>
        </w:tc>
        <w:tc>
          <w:tcPr>
            <w:tcW w:w="692" w:type="pct"/>
            <w:gridSpan w:val="2"/>
            <w:shd w:val="clear" w:color="auto" w:fill="auto"/>
            <w:vAlign w:val="center"/>
          </w:tcPr>
          <w:p>
            <w:pPr>
              <w:jc w:val="center"/>
              <w:rPr>
                <w:b/>
                <w:caps/>
                <w:snapToGrid w:val="0"/>
                <w:kern w:val="0"/>
                <w:szCs w:val="21"/>
              </w:rPr>
            </w:pPr>
            <w:r>
              <w:rPr>
                <w:b/>
                <w:caps/>
                <w:snapToGrid w:val="0"/>
                <w:kern w:val="0"/>
                <w:szCs w:val="21"/>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continue"/>
            <w:shd w:val="clear" w:color="auto" w:fill="auto"/>
            <w:vAlign w:val="center"/>
          </w:tcPr>
          <w:p>
            <w:pPr>
              <w:jc w:val="center"/>
              <w:rPr>
                <w:b/>
                <w:snapToGrid w:val="0"/>
                <w:kern w:val="0"/>
                <w:szCs w:val="21"/>
              </w:rPr>
            </w:pPr>
          </w:p>
        </w:tc>
        <w:tc>
          <w:tcPr>
            <w:tcW w:w="550" w:type="pct"/>
            <w:vMerge w:val="continue"/>
            <w:shd w:val="clear" w:color="auto" w:fill="auto"/>
            <w:vAlign w:val="center"/>
          </w:tcPr>
          <w:p>
            <w:pPr>
              <w:jc w:val="center"/>
              <w:rPr>
                <w:b/>
                <w:snapToGrid w:val="0"/>
                <w:kern w:val="0"/>
                <w:szCs w:val="21"/>
              </w:rPr>
            </w:pPr>
          </w:p>
        </w:tc>
        <w:tc>
          <w:tcPr>
            <w:tcW w:w="417" w:type="pct"/>
            <w:shd w:val="clear" w:color="auto" w:fill="auto"/>
            <w:vAlign w:val="center"/>
          </w:tcPr>
          <w:p>
            <w:pPr>
              <w:jc w:val="center"/>
              <w:rPr>
                <w:b/>
                <w:snapToGrid w:val="0"/>
                <w:kern w:val="0"/>
                <w:szCs w:val="21"/>
              </w:rPr>
            </w:pPr>
            <w:r>
              <w:rPr>
                <w:b/>
                <w:snapToGrid w:val="0"/>
                <w:kern w:val="0"/>
                <w:szCs w:val="21"/>
              </w:rPr>
              <w:t>10</w:t>
            </w:r>
          </w:p>
        </w:tc>
        <w:tc>
          <w:tcPr>
            <w:tcW w:w="416" w:type="pct"/>
            <w:shd w:val="clear" w:color="auto" w:fill="auto"/>
            <w:vAlign w:val="center"/>
          </w:tcPr>
          <w:p>
            <w:pPr>
              <w:jc w:val="center"/>
              <w:rPr>
                <w:b/>
                <w:snapToGrid w:val="0"/>
                <w:kern w:val="0"/>
                <w:szCs w:val="21"/>
              </w:rPr>
            </w:pPr>
            <w:r>
              <w:rPr>
                <w:b/>
                <w:snapToGrid w:val="0"/>
                <w:kern w:val="0"/>
                <w:szCs w:val="21"/>
              </w:rPr>
              <w:t>2</w:t>
            </w:r>
            <w:r>
              <w:rPr>
                <w:rFonts w:hint="eastAsia"/>
                <w:b/>
                <w:snapToGrid w:val="0"/>
                <w:kern w:val="0"/>
                <w:szCs w:val="21"/>
              </w:rPr>
              <w:t>0</w:t>
            </w:r>
          </w:p>
        </w:tc>
        <w:tc>
          <w:tcPr>
            <w:tcW w:w="416" w:type="pct"/>
            <w:shd w:val="clear" w:color="auto" w:fill="auto"/>
            <w:vAlign w:val="center"/>
          </w:tcPr>
          <w:p>
            <w:pPr>
              <w:jc w:val="center"/>
              <w:rPr>
                <w:b/>
                <w:snapToGrid w:val="0"/>
                <w:kern w:val="0"/>
                <w:szCs w:val="21"/>
              </w:rPr>
            </w:pPr>
            <w:r>
              <w:rPr>
                <w:rFonts w:hint="eastAsia"/>
                <w:b/>
                <w:snapToGrid w:val="0"/>
                <w:kern w:val="0"/>
                <w:szCs w:val="21"/>
              </w:rPr>
              <w:t>35</w:t>
            </w:r>
          </w:p>
        </w:tc>
        <w:tc>
          <w:tcPr>
            <w:tcW w:w="416" w:type="pct"/>
            <w:shd w:val="clear" w:color="auto" w:fill="auto"/>
            <w:vAlign w:val="center"/>
          </w:tcPr>
          <w:p>
            <w:pPr>
              <w:jc w:val="center"/>
              <w:rPr>
                <w:b/>
                <w:snapToGrid w:val="0"/>
                <w:kern w:val="0"/>
                <w:szCs w:val="21"/>
              </w:rPr>
            </w:pPr>
            <w:r>
              <w:rPr>
                <w:rFonts w:hint="eastAsia"/>
                <w:b/>
                <w:snapToGrid w:val="0"/>
                <w:kern w:val="0"/>
                <w:szCs w:val="21"/>
              </w:rPr>
              <w:t>50</w:t>
            </w:r>
          </w:p>
        </w:tc>
        <w:tc>
          <w:tcPr>
            <w:tcW w:w="416" w:type="pct"/>
            <w:shd w:val="clear" w:color="auto" w:fill="auto"/>
            <w:vAlign w:val="center"/>
          </w:tcPr>
          <w:p>
            <w:pPr>
              <w:jc w:val="center"/>
              <w:rPr>
                <w:b/>
                <w:snapToGrid w:val="0"/>
                <w:kern w:val="0"/>
                <w:szCs w:val="21"/>
              </w:rPr>
            </w:pPr>
            <w:r>
              <w:rPr>
                <w:rFonts w:hint="eastAsia"/>
                <w:b/>
                <w:snapToGrid w:val="0"/>
                <w:kern w:val="0"/>
                <w:szCs w:val="21"/>
              </w:rPr>
              <w:t>65</w:t>
            </w:r>
          </w:p>
        </w:tc>
        <w:tc>
          <w:tcPr>
            <w:tcW w:w="416" w:type="pct"/>
            <w:shd w:val="clear" w:color="auto" w:fill="auto"/>
            <w:vAlign w:val="center"/>
          </w:tcPr>
          <w:p>
            <w:pPr>
              <w:jc w:val="center"/>
              <w:rPr>
                <w:b/>
                <w:snapToGrid w:val="0"/>
                <w:kern w:val="0"/>
                <w:szCs w:val="21"/>
              </w:rPr>
            </w:pPr>
            <w:r>
              <w:rPr>
                <w:rFonts w:hint="eastAsia"/>
                <w:b/>
                <w:snapToGrid w:val="0"/>
                <w:kern w:val="0"/>
                <w:szCs w:val="21"/>
              </w:rPr>
              <w:t>80</w:t>
            </w:r>
          </w:p>
        </w:tc>
        <w:tc>
          <w:tcPr>
            <w:tcW w:w="416" w:type="pct"/>
            <w:shd w:val="clear" w:color="auto" w:fill="auto"/>
            <w:vAlign w:val="center"/>
          </w:tcPr>
          <w:p>
            <w:pPr>
              <w:jc w:val="center"/>
              <w:rPr>
                <w:b/>
                <w:snapToGrid w:val="0"/>
                <w:kern w:val="0"/>
                <w:szCs w:val="21"/>
              </w:rPr>
            </w:pPr>
            <w:r>
              <w:rPr>
                <w:rFonts w:hint="eastAsia"/>
                <w:b/>
                <w:snapToGrid w:val="0"/>
                <w:kern w:val="0"/>
                <w:szCs w:val="21"/>
              </w:rPr>
              <w:t>100</w:t>
            </w:r>
          </w:p>
        </w:tc>
        <w:tc>
          <w:tcPr>
            <w:tcW w:w="416" w:type="pct"/>
            <w:shd w:val="clear" w:color="auto" w:fill="auto"/>
            <w:vAlign w:val="center"/>
          </w:tcPr>
          <w:p>
            <w:pPr>
              <w:jc w:val="center"/>
              <w:rPr>
                <w:b/>
                <w:snapToGrid w:val="0"/>
                <w:kern w:val="0"/>
                <w:szCs w:val="21"/>
              </w:rPr>
            </w:pPr>
            <w:r>
              <w:rPr>
                <w:rFonts w:hint="eastAsia"/>
                <w:b/>
                <w:snapToGrid w:val="0"/>
                <w:kern w:val="0"/>
                <w:szCs w:val="21"/>
              </w:rPr>
              <w:t>200</w:t>
            </w:r>
          </w:p>
        </w:tc>
        <w:tc>
          <w:tcPr>
            <w:tcW w:w="350" w:type="pct"/>
            <w:shd w:val="clear" w:color="auto" w:fill="auto"/>
            <w:vAlign w:val="center"/>
          </w:tcPr>
          <w:p>
            <w:pPr>
              <w:jc w:val="center"/>
              <w:rPr>
                <w:b/>
                <w:snapToGrid w:val="0"/>
                <w:kern w:val="0"/>
                <w:szCs w:val="21"/>
              </w:rPr>
            </w:pPr>
            <w:r>
              <w:rPr>
                <w:b/>
                <w:snapToGrid w:val="0"/>
                <w:kern w:val="0"/>
                <w:szCs w:val="21"/>
              </w:rPr>
              <w:t>2类</w:t>
            </w:r>
          </w:p>
        </w:tc>
        <w:tc>
          <w:tcPr>
            <w:tcW w:w="342" w:type="pct"/>
            <w:shd w:val="clear" w:color="auto" w:fill="auto"/>
            <w:vAlign w:val="center"/>
          </w:tcPr>
          <w:p>
            <w:pPr>
              <w:jc w:val="center"/>
              <w:rPr>
                <w:b/>
                <w:snapToGrid w:val="0"/>
                <w:kern w:val="0"/>
                <w:szCs w:val="21"/>
              </w:rPr>
            </w:pPr>
            <w:r>
              <w:rPr>
                <w:rFonts w:hint="eastAsia"/>
                <w:b/>
                <w:snapToGrid w:val="0"/>
                <w:kern w:val="0"/>
                <w:szCs w:val="21"/>
              </w:rPr>
              <w:t>4a类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shd w:val="clear" w:color="auto" w:fill="auto"/>
            <w:vAlign w:val="center"/>
          </w:tcPr>
          <w:p>
            <w:pPr>
              <w:jc w:val="center"/>
              <w:rPr>
                <w:snapToGrid w:val="0"/>
                <w:kern w:val="0"/>
                <w:szCs w:val="21"/>
              </w:rPr>
            </w:pPr>
            <w:r>
              <w:rPr>
                <w:rFonts w:hint="eastAsia"/>
                <w:snapToGrid w:val="0"/>
                <w:kern w:val="0"/>
                <w:szCs w:val="21"/>
              </w:rPr>
              <w:t>昼间</w:t>
            </w:r>
          </w:p>
        </w:tc>
        <w:tc>
          <w:tcPr>
            <w:tcW w:w="550" w:type="pct"/>
            <w:shd w:val="clear" w:color="auto" w:fill="auto"/>
            <w:vAlign w:val="center"/>
          </w:tcPr>
          <w:p>
            <w:pPr>
              <w:jc w:val="center"/>
              <w:rPr>
                <w:szCs w:val="21"/>
              </w:rPr>
            </w:pPr>
            <w:r>
              <w:rPr>
                <w:rFonts w:hint="eastAsia"/>
                <w:szCs w:val="21"/>
              </w:rPr>
              <w:t>53.3</w:t>
            </w:r>
          </w:p>
        </w:tc>
        <w:tc>
          <w:tcPr>
            <w:tcW w:w="417" w:type="pct"/>
            <w:shd w:val="clear" w:color="auto" w:fill="auto"/>
            <w:vAlign w:val="center"/>
          </w:tcPr>
          <w:p>
            <w:pPr>
              <w:jc w:val="right"/>
              <w:rPr>
                <w:rFonts w:ascii="宋体" w:hAnsi="宋体" w:cs="宋体"/>
                <w:sz w:val="24"/>
              </w:rPr>
            </w:pPr>
            <w:r>
              <w:rPr>
                <w:rFonts w:hint="eastAsia"/>
              </w:rPr>
              <w:t xml:space="preserve">65.28 </w:t>
            </w:r>
          </w:p>
        </w:tc>
        <w:tc>
          <w:tcPr>
            <w:tcW w:w="416" w:type="pct"/>
            <w:shd w:val="clear" w:color="auto" w:fill="auto"/>
            <w:vAlign w:val="center"/>
          </w:tcPr>
          <w:p>
            <w:pPr>
              <w:jc w:val="right"/>
              <w:rPr>
                <w:rFonts w:ascii="宋体" w:hAnsi="宋体" w:cs="宋体"/>
                <w:sz w:val="24"/>
              </w:rPr>
            </w:pPr>
            <w:r>
              <w:rPr>
                <w:rFonts w:hint="eastAsia"/>
              </w:rPr>
              <w:t xml:space="preserve">60.04 </w:t>
            </w:r>
          </w:p>
        </w:tc>
        <w:tc>
          <w:tcPr>
            <w:tcW w:w="416" w:type="pct"/>
            <w:shd w:val="clear" w:color="auto" w:fill="auto"/>
            <w:vAlign w:val="center"/>
          </w:tcPr>
          <w:p>
            <w:pPr>
              <w:jc w:val="right"/>
              <w:rPr>
                <w:rFonts w:ascii="宋体" w:hAnsi="宋体" w:cs="宋体"/>
                <w:sz w:val="24"/>
              </w:rPr>
            </w:pPr>
            <w:r>
              <w:rPr>
                <w:rFonts w:hint="eastAsia"/>
              </w:rPr>
              <w:t xml:space="preserve">56.73 </w:t>
            </w:r>
          </w:p>
        </w:tc>
        <w:tc>
          <w:tcPr>
            <w:tcW w:w="416" w:type="pct"/>
            <w:shd w:val="clear" w:color="auto" w:fill="auto"/>
            <w:vAlign w:val="center"/>
          </w:tcPr>
          <w:p>
            <w:pPr>
              <w:jc w:val="right"/>
              <w:rPr>
                <w:rFonts w:ascii="宋体" w:hAnsi="宋体" w:cs="宋体"/>
                <w:sz w:val="24"/>
              </w:rPr>
            </w:pPr>
            <w:r>
              <w:rPr>
                <w:rFonts w:hint="eastAsia"/>
              </w:rPr>
              <w:t xml:space="preserve">55.31 </w:t>
            </w:r>
          </w:p>
        </w:tc>
        <w:tc>
          <w:tcPr>
            <w:tcW w:w="416" w:type="pct"/>
            <w:shd w:val="clear" w:color="auto" w:fill="auto"/>
            <w:vAlign w:val="center"/>
          </w:tcPr>
          <w:p>
            <w:pPr>
              <w:jc w:val="right"/>
              <w:rPr>
                <w:rFonts w:ascii="宋体" w:hAnsi="宋体" w:cs="宋体"/>
                <w:sz w:val="24"/>
              </w:rPr>
            </w:pPr>
            <w:r>
              <w:rPr>
                <w:rFonts w:hint="eastAsia"/>
              </w:rPr>
              <w:t xml:space="preserve">54.59 </w:t>
            </w:r>
          </w:p>
        </w:tc>
        <w:tc>
          <w:tcPr>
            <w:tcW w:w="416" w:type="pct"/>
            <w:shd w:val="clear" w:color="auto" w:fill="auto"/>
            <w:vAlign w:val="center"/>
          </w:tcPr>
          <w:p>
            <w:pPr>
              <w:jc w:val="right"/>
              <w:rPr>
                <w:rFonts w:ascii="宋体" w:hAnsi="宋体" w:cs="宋体"/>
                <w:sz w:val="24"/>
              </w:rPr>
            </w:pPr>
            <w:r>
              <w:rPr>
                <w:rFonts w:hint="eastAsia"/>
              </w:rPr>
              <w:t xml:space="preserve">54.20 </w:t>
            </w:r>
          </w:p>
        </w:tc>
        <w:tc>
          <w:tcPr>
            <w:tcW w:w="416" w:type="pct"/>
            <w:shd w:val="clear" w:color="auto" w:fill="auto"/>
            <w:vAlign w:val="center"/>
          </w:tcPr>
          <w:p>
            <w:pPr>
              <w:jc w:val="right"/>
              <w:rPr>
                <w:rFonts w:ascii="宋体" w:hAnsi="宋体" w:cs="宋体"/>
                <w:sz w:val="24"/>
              </w:rPr>
            </w:pPr>
            <w:r>
              <w:rPr>
                <w:rFonts w:hint="eastAsia"/>
              </w:rPr>
              <w:t xml:space="preserve">53.90 </w:t>
            </w:r>
          </w:p>
        </w:tc>
        <w:tc>
          <w:tcPr>
            <w:tcW w:w="416" w:type="pct"/>
            <w:shd w:val="clear" w:color="auto" w:fill="auto"/>
            <w:vAlign w:val="center"/>
          </w:tcPr>
          <w:p>
            <w:pPr>
              <w:jc w:val="right"/>
              <w:rPr>
                <w:rFonts w:ascii="宋体" w:hAnsi="宋体" w:cs="宋体"/>
                <w:sz w:val="24"/>
              </w:rPr>
            </w:pPr>
            <w:r>
              <w:rPr>
                <w:rFonts w:hint="eastAsia"/>
              </w:rPr>
              <w:t xml:space="preserve">53.46 </w:t>
            </w:r>
          </w:p>
        </w:tc>
        <w:tc>
          <w:tcPr>
            <w:tcW w:w="350" w:type="pct"/>
            <w:shd w:val="clear" w:color="auto" w:fill="auto"/>
            <w:vAlign w:val="center"/>
          </w:tcPr>
          <w:p>
            <w:pPr>
              <w:jc w:val="center"/>
              <w:rPr>
                <w:snapToGrid w:val="0"/>
                <w:kern w:val="0"/>
                <w:szCs w:val="21"/>
              </w:rPr>
            </w:pPr>
            <w:r>
              <w:rPr>
                <w:snapToGrid w:val="0"/>
                <w:kern w:val="0"/>
                <w:szCs w:val="21"/>
              </w:rPr>
              <w:t>60</w:t>
            </w:r>
          </w:p>
        </w:tc>
        <w:tc>
          <w:tcPr>
            <w:tcW w:w="342" w:type="pct"/>
            <w:shd w:val="clear" w:color="auto" w:fill="auto"/>
            <w:vAlign w:val="center"/>
          </w:tcPr>
          <w:p>
            <w:pPr>
              <w:jc w:val="center"/>
              <w:rPr>
                <w:snapToGrid w:val="0"/>
                <w:kern w:val="0"/>
                <w:szCs w:val="21"/>
              </w:rPr>
            </w:pPr>
            <w:r>
              <w:rPr>
                <w:rFonts w:hint="eastAsia"/>
                <w:snapToGrid w:val="0"/>
                <w:kern w:val="0"/>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shd w:val="clear" w:color="auto" w:fill="auto"/>
            <w:vAlign w:val="center"/>
          </w:tcPr>
          <w:p>
            <w:pPr>
              <w:jc w:val="center"/>
              <w:rPr>
                <w:snapToGrid w:val="0"/>
                <w:kern w:val="0"/>
                <w:szCs w:val="21"/>
              </w:rPr>
            </w:pPr>
            <w:r>
              <w:rPr>
                <w:rFonts w:hint="eastAsia"/>
                <w:snapToGrid w:val="0"/>
                <w:kern w:val="0"/>
                <w:szCs w:val="21"/>
              </w:rPr>
              <w:t>夜间</w:t>
            </w:r>
          </w:p>
        </w:tc>
        <w:tc>
          <w:tcPr>
            <w:tcW w:w="550" w:type="pct"/>
            <w:shd w:val="clear" w:color="auto" w:fill="auto"/>
            <w:vAlign w:val="center"/>
          </w:tcPr>
          <w:p>
            <w:pPr>
              <w:jc w:val="center"/>
              <w:rPr>
                <w:szCs w:val="21"/>
              </w:rPr>
            </w:pPr>
            <w:r>
              <w:rPr>
                <w:rFonts w:hint="eastAsia"/>
                <w:szCs w:val="21"/>
              </w:rPr>
              <w:t>49.3</w:t>
            </w:r>
          </w:p>
        </w:tc>
        <w:tc>
          <w:tcPr>
            <w:tcW w:w="417" w:type="pct"/>
            <w:shd w:val="clear" w:color="auto" w:fill="auto"/>
            <w:vAlign w:val="center"/>
          </w:tcPr>
          <w:p>
            <w:pPr>
              <w:jc w:val="right"/>
              <w:rPr>
                <w:rFonts w:ascii="宋体" w:hAnsi="宋体" w:cs="宋体"/>
                <w:sz w:val="24"/>
              </w:rPr>
            </w:pPr>
            <w:r>
              <w:rPr>
                <w:rFonts w:hint="eastAsia"/>
              </w:rPr>
              <w:t xml:space="preserve">65.12 </w:t>
            </w:r>
          </w:p>
        </w:tc>
        <w:tc>
          <w:tcPr>
            <w:tcW w:w="416" w:type="pct"/>
            <w:shd w:val="clear" w:color="auto" w:fill="auto"/>
            <w:vAlign w:val="center"/>
          </w:tcPr>
          <w:p>
            <w:pPr>
              <w:jc w:val="right"/>
              <w:rPr>
                <w:rFonts w:ascii="宋体" w:hAnsi="宋体" w:cs="宋体"/>
                <w:sz w:val="24"/>
              </w:rPr>
            </w:pPr>
            <w:r>
              <w:rPr>
                <w:rFonts w:hint="eastAsia"/>
              </w:rPr>
              <w:t xml:space="preserve">59.44 </w:t>
            </w:r>
          </w:p>
        </w:tc>
        <w:tc>
          <w:tcPr>
            <w:tcW w:w="416" w:type="pct"/>
            <w:shd w:val="clear" w:color="auto" w:fill="auto"/>
            <w:vAlign w:val="center"/>
          </w:tcPr>
          <w:p>
            <w:pPr>
              <w:jc w:val="right"/>
              <w:rPr>
                <w:rFonts w:ascii="宋体" w:hAnsi="宋体" w:cs="宋体"/>
                <w:sz w:val="24"/>
              </w:rPr>
            </w:pPr>
            <w:r>
              <w:rPr>
                <w:rFonts w:hint="eastAsia"/>
              </w:rPr>
              <w:t xml:space="preserve">55.34 </w:t>
            </w:r>
          </w:p>
        </w:tc>
        <w:tc>
          <w:tcPr>
            <w:tcW w:w="416" w:type="pct"/>
            <w:shd w:val="clear" w:color="auto" w:fill="auto"/>
            <w:vAlign w:val="center"/>
          </w:tcPr>
          <w:p>
            <w:pPr>
              <w:jc w:val="right"/>
              <w:rPr>
                <w:rFonts w:ascii="宋体" w:hAnsi="宋体" w:cs="宋体"/>
                <w:sz w:val="24"/>
              </w:rPr>
            </w:pPr>
            <w:r>
              <w:rPr>
                <w:rFonts w:hint="eastAsia"/>
              </w:rPr>
              <w:t xml:space="preserve">53.24 </w:t>
            </w:r>
          </w:p>
        </w:tc>
        <w:tc>
          <w:tcPr>
            <w:tcW w:w="416" w:type="pct"/>
            <w:shd w:val="clear" w:color="auto" w:fill="auto"/>
            <w:vAlign w:val="center"/>
          </w:tcPr>
          <w:p>
            <w:pPr>
              <w:jc w:val="right"/>
              <w:rPr>
                <w:rFonts w:ascii="宋体" w:hAnsi="宋体" w:cs="宋体"/>
                <w:sz w:val="24"/>
              </w:rPr>
            </w:pPr>
            <w:r>
              <w:rPr>
                <w:rFonts w:hint="eastAsia"/>
              </w:rPr>
              <w:t xml:space="preserve">52.02 </w:t>
            </w:r>
          </w:p>
        </w:tc>
        <w:tc>
          <w:tcPr>
            <w:tcW w:w="416" w:type="pct"/>
            <w:shd w:val="clear" w:color="auto" w:fill="auto"/>
            <w:vAlign w:val="center"/>
          </w:tcPr>
          <w:p>
            <w:pPr>
              <w:jc w:val="right"/>
              <w:rPr>
                <w:rFonts w:ascii="宋体" w:hAnsi="宋体" w:cs="宋体"/>
                <w:sz w:val="24"/>
              </w:rPr>
            </w:pPr>
            <w:r>
              <w:rPr>
                <w:rFonts w:hint="eastAsia"/>
              </w:rPr>
              <w:t xml:space="preserve">51.27 </w:t>
            </w:r>
          </w:p>
        </w:tc>
        <w:tc>
          <w:tcPr>
            <w:tcW w:w="416" w:type="pct"/>
            <w:shd w:val="clear" w:color="auto" w:fill="auto"/>
            <w:vAlign w:val="center"/>
          </w:tcPr>
          <w:p>
            <w:pPr>
              <w:jc w:val="right"/>
              <w:rPr>
                <w:rFonts w:ascii="宋体" w:hAnsi="宋体" w:cs="宋体"/>
                <w:sz w:val="24"/>
              </w:rPr>
            </w:pPr>
            <w:r>
              <w:rPr>
                <w:rFonts w:hint="eastAsia"/>
              </w:rPr>
              <w:t xml:space="preserve">50.67 </w:t>
            </w:r>
          </w:p>
        </w:tc>
        <w:tc>
          <w:tcPr>
            <w:tcW w:w="416" w:type="pct"/>
            <w:shd w:val="clear" w:color="auto" w:fill="auto"/>
            <w:vAlign w:val="center"/>
          </w:tcPr>
          <w:p>
            <w:pPr>
              <w:jc w:val="right"/>
              <w:rPr>
                <w:rFonts w:ascii="宋体" w:hAnsi="宋体" w:cs="宋体"/>
                <w:sz w:val="24"/>
              </w:rPr>
            </w:pPr>
            <w:r>
              <w:rPr>
                <w:rFonts w:hint="eastAsia"/>
              </w:rPr>
              <w:t xml:space="preserve">49.69 </w:t>
            </w:r>
          </w:p>
        </w:tc>
        <w:tc>
          <w:tcPr>
            <w:tcW w:w="350" w:type="pct"/>
            <w:shd w:val="clear" w:color="auto" w:fill="auto"/>
            <w:vAlign w:val="center"/>
          </w:tcPr>
          <w:p>
            <w:pPr>
              <w:jc w:val="center"/>
              <w:rPr>
                <w:snapToGrid w:val="0"/>
                <w:kern w:val="0"/>
                <w:szCs w:val="21"/>
              </w:rPr>
            </w:pPr>
            <w:r>
              <w:rPr>
                <w:rFonts w:hint="eastAsia"/>
                <w:snapToGrid w:val="0"/>
                <w:kern w:val="0"/>
                <w:szCs w:val="21"/>
              </w:rPr>
              <w:t>50</w:t>
            </w:r>
          </w:p>
        </w:tc>
        <w:tc>
          <w:tcPr>
            <w:tcW w:w="342" w:type="pct"/>
            <w:shd w:val="clear" w:color="auto" w:fill="auto"/>
            <w:vAlign w:val="center"/>
          </w:tcPr>
          <w:p>
            <w:pPr>
              <w:jc w:val="center"/>
              <w:rPr>
                <w:snapToGrid w:val="0"/>
                <w:kern w:val="0"/>
                <w:szCs w:val="21"/>
              </w:rPr>
            </w:pPr>
            <w:r>
              <w:rPr>
                <w:rFonts w:hint="eastAsia"/>
                <w:snapToGrid w:val="0"/>
                <w:kern w:val="0"/>
                <w:szCs w:val="21"/>
              </w:rPr>
              <w:t>55</w:t>
            </w:r>
          </w:p>
        </w:tc>
      </w:tr>
    </w:tbl>
    <w:p>
      <w:pPr>
        <w:spacing w:line="360" w:lineRule="auto"/>
        <w:ind w:firstLine="480" w:firstLineChars="200"/>
        <w:rPr>
          <w:sz w:val="24"/>
        </w:rPr>
      </w:pPr>
      <w:r>
        <w:rPr>
          <w:rFonts w:hint="eastAsia"/>
          <w:sz w:val="24"/>
        </w:rPr>
        <w:t>给水处理站</w:t>
      </w:r>
      <w:r>
        <w:rPr>
          <w:sz w:val="24"/>
        </w:rPr>
        <w:t>运行时产生噪声的</w:t>
      </w:r>
      <w:r>
        <w:rPr>
          <w:rFonts w:hint="eastAsia"/>
          <w:sz w:val="24"/>
        </w:rPr>
        <w:t>设备均</w:t>
      </w:r>
      <w:r>
        <w:rPr>
          <w:sz w:val="24"/>
        </w:rPr>
        <w:t>在地下井或者厂房内，产生噪声最大的设备为风机，其源强为</w:t>
      </w:r>
      <w:r>
        <w:rPr>
          <w:rFonts w:hint="eastAsia"/>
          <w:sz w:val="24"/>
        </w:rPr>
        <w:t>85</w:t>
      </w:r>
      <w:r>
        <w:rPr>
          <w:sz w:val="24"/>
        </w:rPr>
        <w:t>dB(A)，昼、夜间分别在</w:t>
      </w:r>
      <w:r>
        <w:rPr>
          <w:rFonts w:hint="eastAsia"/>
          <w:sz w:val="24"/>
        </w:rPr>
        <w:t>10</w:t>
      </w:r>
      <w:r>
        <w:rPr>
          <w:sz w:val="24"/>
        </w:rPr>
        <w:t>m、</w:t>
      </w:r>
      <w:r>
        <w:rPr>
          <w:rFonts w:hint="eastAsia"/>
          <w:sz w:val="24"/>
        </w:rPr>
        <w:t>50</w:t>
      </w:r>
      <w:r>
        <w:rPr>
          <w:sz w:val="24"/>
        </w:rPr>
        <w:t>m处可达到《工业企业厂界噪声排放标准》，声</w:t>
      </w:r>
      <w:r>
        <w:rPr>
          <w:rFonts w:hint="eastAsia"/>
          <w:sz w:val="24"/>
        </w:rPr>
        <w:t>质量质量</w:t>
      </w:r>
      <w:r>
        <w:rPr>
          <w:sz w:val="24"/>
        </w:rPr>
        <w:t>昼、夜间分别在</w:t>
      </w:r>
      <w:r>
        <w:rPr>
          <w:rFonts w:hint="eastAsia"/>
          <w:sz w:val="24"/>
        </w:rPr>
        <w:t>10</w:t>
      </w:r>
      <w:r>
        <w:rPr>
          <w:sz w:val="24"/>
        </w:rPr>
        <w:t>m、</w:t>
      </w:r>
      <w:r>
        <w:rPr>
          <w:rFonts w:hint="eastAsia"/>
          <w:sz w:val="24"/>
        </w:rPr>
        <w:t>50</w:t>
      </w:r>
      <w:r>
        <w:rPr>
          <w:sz w:val="24"/>
        </w:rPr>
        <w:t>m处可达</w:t>
      </w:r>
      <w:r>
        <w:rPr>
          <w:rFonts w:hint="eastAsia"/>
          <w:sz w:val="24"/>
        </w:rPr>
        <w:t>4a</w:t>
      </w:r>
      <w:r>
        <w:rPr>
          <w:sz w:val="24"/>
        </w:rPr>
        <w:t>类标准要求。</w:t>
      </w:r>
    </w:p>
    <w:p>
      <w:pPr>
        <w:pStyle w:val="63"/>
        <w:ind w:firstLine="480"/>
        <w:rPr>
          <w:color w:val="auto"/>
        </w:rPr>
      </w:pPr>
      <w:r>
        <w:rPr>
          <w:color w:val="auto"/>
        </w:rPr>
        <w:t>本项目</w:t>
      </w:r>
      <w:r>
        <w:rPr>
          <w:rFonts w:hint="eastAsia"/>
          <w:color w:val="auto"/>
        </w:rPr>
        <w:t>给水处理站</w:t>
      </w:r>
      <w:r>
        <w:rPr>
          <w:color w:val="auto"/>
        </w:rPr>
        <w:t>附近</w:t>
      </w:r>
      <w:r>
        <w:rPr>
          <w:rFonts w:hint="eastAsia"/>
          <w:color w:val="auto"/>
        </w:rPr>
        <w:t>50m无</w:t>
      </w:r>
      <w:r>
        <w:rPr>
          <w:color w:val="auto"/>
        </w:rPr>
        <w:t>敏感目标</w:t>
      </w:r>
      <w:r>
        <w:rPr>
          <w:rFonts w:hint="eastAsia"/>
          <w:color w:val="auto"/>
        </w:rPr>
        <w:t>，</w:t>
      </w:r>
      <w:r>
        <w:rPr>
          <w:color w:val="auto"/>
        </w:rPr>
        <w:t>噪声对</w:t>
      </w:r>
      <w:r>
        <w:rPr>
          <w:rFonts w:hint="eastAsia"/>
          <w:color w:val="auto"/>
        </w:rPr>
        <w:t>附件</w:t>
      </w:r>
      <w:r>
        <w:rPr>
          <w:color w:val="auto"/>
        </w:rPr>
        <w:t>居民日常生活影响</w:t>
      </w:r>
      <w:r>
        <w:rPr>
          <w:rFonts w:hint="eastAsia"/>
          <w:color w:val="auto"/>
        </w:rPr>
        <w:t>较小</w:t>
      </w:r>
      <w:r>
        <w:rPr>
          <w:color w:val="auto"/>
        </w:rPr>
        <w:t>。采取一定的防护措施</w:t>
      </w:r>
      <w:r>
        <w:rPr>
          <w:rFonts w:hint="eastAsia"/>
          <w:color w:val="auto"/>
        </w:rPr>
        <w:t>后噪声不会对</w:t>
      </w:r>
      <w:r>
        <w:rPr>
          <w:color w:val="auto"/>
        </w:rPr>
        <w:t>居民</w:t>
      </w:r>
      <w:r>
        <w:rPr>
          <w:rFonts w:hint="eastAsia"/>
          <w:color w:val="auto"/>
        </w:rPr>
        <w:t>生活产生较大影响</w:t>
      </w:r>
      <w:r>
        <w:rPr>
          <w:color w:val="auto"/>
        </w:rPr>
        <w:t>。水厂水泵等设备基本都安装在地下井中，风机位于水厂厂房内，隔音效果好。噪声经厂房降噪和距离衰减后，对附近居民点的贡献值小，</w:t>
      </w:r>
      <w:r>
        <w:rPr>
          <w:rFonts w:hint="eastAsia"/>
          <w:color w:val="auto"/>
        </w:rPr>
        <w:t>声环境质量可达2类标准，</w:t>
      </w:r>
      <w:r>
        <w:rPr>
          <w:color w:val="auto"/>
        </w:rPr>
        <w:t>对居民区的影响较小。</w:t>
      </w:r>
    </w:p>
    <w:p>
      <w:pPr>
        <w:pStyle w:val="61"/>
        <w:rPr>
          <w:color w:val="auto"/>
        </w:rPr>
      </w:pPr>
      <w:bookmarkStart w:id="51" w:name="_Toc436902167"/>
      <w:r>
        <w:rPr>
          <w:bCs/>
          <w:color w:val="auto"/>
        </w:rPr>
        <w:t>6.4</w:t>
      </w:r>
      <w:r>
        <w:rPr>
          <w:color w:val="auto"/>
        </w:rPr>
        <w:t>水环境影响预测与评价</w:t>
      </w:r>
      <w:bookmarkEnd w:id="51"/>
    </w:p>
    <w:p>
      <w:pPr>
        <w:pStyle w:val="62"/>
        <w:rPr>
          <w:color w:val="auto"/>
        </w:rPr>
      </w:pPr>
      <w:r>
        <w:rPr>
          <w:bCs/>
          <w:color w:val="auto"/>
        </w:rPr>
        <w:t>6.4.1</w:t>
      </w:r>
      <w:r>
        <w:rPr>
          <w:color w:val="auto"/>
        </w:rPr>
        <w:t>地表水环境影响分析</w:t>
      </w:r>
    </w:p>
    <w:p>
      <w:pPr>
        <w:pStyle w:val="63"/>
        <w:ind w:firstLine="480"/>
        <w:rPr>
          <w:color w:val="auto"/>
        </w:rPr>
      </w:pPr>
      <w:r>
        <w:rPr>
          <w:rFonts w:hint="eastAsia"/>
          <w:color w:val="auto"/>
        </w:rPr>
        <w:t>本项目产生的废水类型为生产废水和生活污水。</w:t>
      </w:r>
    </w:p>
    <w:p>
      <w:pPr>
        <w:pStyle w:val="63"/>
        <w:ind w:firstLine="480"/>
        <w:rPr>
          <w:color w:val="auto"/>
        </w:rPr>
      </w:pPr>
      <w:r>
        <w:rPr>
          <w:rFonts w:hint="eastAsia"/>
          <w:color w:val="auto"/>
        </w:rPr>
        <w:t>（1）生活废水</w:t>
      </w:r>
    </w:p>
    <w:p>
      <w:pPr>
        <w:pStyle w:val="63"/>
        <w:ind w:firstLine="480"/>
        <w:rPr>
          <w:rFonts w:hAnsi="宋体"/>
          <w:color w:val="auto"/>
          <w:szCs w:val="24"/>
        </w:rPr>
      </w:pPr>
      <w:r>
        <w:rPr>
          <w:rFonts w:hint="eastAsia"/>
          <w:color w:val="auto"/>
        </w:rPr>
        <w:t>项目生活</w:t>
      </w:r>
      <w:r>
        <w:rPr>
          <w:color w:val="auto"/>
        </w:rPr>
        <w:t>产生量约</w:t>
      </w:r>
      <w:r>
        <w:rPr>
          <w:rFonts w:hint="eastAsia"/>
          <w:color w:val="auto"/>
        </w:rPr>
        <w:t>1.12</w:t>
      </w:r>
      <w:r>
        <w:rPr>
          <w:color w:val="auto"/>
        </w:rPr>
        <w:t>m</w:t>
      </w:r>
      <w:r>
        <w:rPr>
          <w:color w:val="auto"/>
          <w:vertAlign w:val="superscript"/>
        </w:rPr>
        <w:t>3</w:t>
      </w:r>
      <w:r>
        <w:rPr>
          <w:color w:val="auto"/>
        </w:rPr>
        <w:t>/d（</w:t>
      </w:r>
      <w:r>
        <w:rPr>
          <w:rFonts w:hint="eastAsia"/>
          <w:color w:val="auto"/>
        </w:rPr>
        <w:t>235.2</w:t>
      </w:r>
      <w:r>
        <w:rPr>
          <w:color w:val="auto"/>
        </w:rPr>
        <w:t>m</w:t>
      </w:r>
      <w:r>
        <w:rPr>
          <w:color w:val="auto"/>
          <w:vertAlign w:val="superscript"/>
        </w:rPr>
        <w:t>3</w:t>
      </w:r>
      <w:r>
        <w:rPr>
          <w:color w:val="auto"/>
        </w:rPr>
        <w:t>/a）</w:t>
      </w:r>
      <w:r>
        <w:rPr>
          <w:rFonts w:hint="eastAsia"/>
          <w:color w:val="auto"/>
        </w:rPr>
        <w:t>，保障房给水处理站周边市政污水管网已到达，污水直接进入市政污水管网；水源管理站厂址周边无市政排水系统，环评建议在水源管理站建设一套处理工艺为“A/O生物接触氧化工艺”的地埋式污水处理装置和一座2m</w:t>
      </w:r>
      <w:r>
        <w:rPr>
          <w:rFonts w:hint="eastAsia"/>
          <w:color w:val="auto"/>
          <w:vertAlign w:val="superscript"/>
        </w:rPr>
        <w:t>3</w:t>
      </w:r>
      <w:r>
        <w:rPr>
          <w:rFonts w:hint="eastAsia"/>
          <w:color w:val="auto"/>
        </w:rPr>
        <w:t>的化粪池，餐饮废水经油水分离器处理后和其他污水一起进入化粪池，处理的水质满足《城市杂用水水质标准》（GB/T18920-2002）绿化水质达标后回用于水源管理站厂区内绿化，废水无外排。</w:t>
      </w:r>
    </w:p>
    <w:p>
      <w:pPr>
        <w:spacing w:line="360" w:lineRule="auto"/>
        <w:ind w:firstLine="480" w:firstLineChars="200"/>
        <w:rPr>
          <w:sz w:val="24"/>
        </w:rPr>
      </w:pPr>
      <w:r>
        <w:rPr>
          <w:snapToGrid w:val="0"/>
          <w:kern w:val="0"/>
          <w:sz w:val="24"/>
        </w:rPr>
        <w:t>（2）</w:t>
      </w:r>
      <w:r>
        <w:rPr>
          <w:sz w:val="24"/>
        </w:rPr>
        <w:t>生产废水</w:t>
      </w:r>
    </w:p>
    <w:p>
      <w:pPr>
        <w:pStyle w:val="63"/>
        <w:ind w:firstLine="480"/>
        <w:jc w:val="both"/>
        <w:rPr>
          <w:color w:val="auto"/>
        </w:rPr>
      </w:pPr>
      <w:r>
        <w:rPr>
          <w:color w:val="auto"/>
        </w:rPr>
        <w:t>生产废水主要为</w:t>
      </w:r>
      <w:r>
        <w:rPr>
          <w:rFonts w:hint="eastAsia"/>
          <w:color w:val="auto"/>
        </w:rPr>
        <w:t>保障房给水处理站多介质过滤器、活性炭过滤器、除氟交换器反冲洗废水和反渗透产生的浓水。反渗透浓水经浓水池回用作为多介质过滤器的反冲洗水，反冲洗</w:t>
      </w:r>
      <w:r>
        <w:rPr>
          <w:color w:val="auto"/>
        </w:rPr>
        <w:t>废水中的物质以无机物为主，废水与原水相比无其它外加有害物质，唯泥沙含量较高</w:t>
      </w:r>
      <w:r>
        <w:rPr>
          <w:rFonts w:hint="eastAsia"/>
          <w:color w:val="auto"/>
        </w:rPr>
        <w:t>，废水经沉淀池沉淀后，上清液回流至原水池，再次进入净化过程。</w:t>
      </w:r>
    </w:p>
    <w:p>
      <w:pPr>
        <w:pStyle w:val="63"/>
        <w:ind w:firstLine="480"/>
        <w:jc w:val="both"/>
        <w:rPr>
          <w:color w:val="auto"/>
        </w:rPr>
      </w:pPr>
      <w:r>
        <w:rPr>
          <w:color w:val="auto"/>
        </w:rPr>
        <w:t>污泥脱水设备对沉淀池排泥进行进一步脱水处理，将排泥含水率从95%左右降至80%左右</w:t>
      </w:r>
      <w:r>
        <w:rPr>
          <w:rFonts w:hint="eastAsia"/>
          <w:color w:val="auto"/>
        </w:rPr>
        <w:t>，</w:t>
      </w:r>
      <w:r>
        <w:rPr>
          <w:color w:val="auto"/>
        </w:rPr>
        <w:t>脱水液进入</w:t>
      </w:r>
      <w:r>
        <w:rPr>
          <w:rFonts w:hint="eastAsia"/>
          <w:color w:val="auto"/>
        </w:rPr>
        <w:t>沉淀池</w:t>
      </w:r>
      <w:r>
        <w:rPr>
          <w:color w:val="auto"/>
        </w:rPr>
        <w:t>，最终进入原水池再次进行处理</w:t>
      </w:r>
      <w:r>
        <w:rPr>
          <w:rFonts w:hint="eastAsia"/>
          <w:color w:val="auto"/>
        </w:rPr>
        <w:t>，</w:t>
      </w:r>
      <w:r>
        <w:rPr>
          <w:color w:val="auto"/>
        </w:rPr>
        <w:t>最终生产废水随污泥排出。</w:t>
      </w:r>
    </w:p>
    <w:p>
      <w:pPr>
        <w:pStyle w:val="63"/>
        <w:ind w:firstLine="480"/>
        <w:rPr>
          <w:color w:val="auto"/>
        </w:rPr>
      </w:pPr>
      <w:r>
        <w:rPr>
          <w:rFonts w:hint="eastAsia"/>
          <w:color w:val="auto"/>
        </w:rPr>
        <w:t>综上所述，本项目废水产生量较小，且经处理后不直接排入地表水体，对地表水环境影响不大。</w:t>
      </w:r>
    </w:p>
    <w:p>
      <w:pPr>
        <w:pStyle w:val="61"/>
        <w:rPr>
          <w:color w:val="auto"/>
        </w:rPr>
      </w:pPr>
      <w:bookmarkStart w:id="52" w:name="_Toc436902168"/>
      <w:r>
        <w:rPr>
          <w:rFonts w:hint="eastAsia"/>
          <w:color w:val="auto"/>
        </w:rPr>
        <w:t>6.5固体废弃物影响分析</w:t>
      </w:r>
      <w:bookmarkEnd w:id="52"/>
    </w:p>
    <w:p>
      <w:pPr>
        <w:pStyle w:val="63"/>
        <w:ind w:firstLine="480"/>
        <w:rPr>
          <w:color w:val="auto"/>
        </w:rPr>
      </w:pPr>
      <w:r>
        <w:rPr>
          <w:color w:val="auto"/>
        </w:rPr>
        <w:t>项目营运期固体废弃物</w:t>
      </w:r>
      <w:r>
        <w:rPr>
          <w:rFonts w:hint="eastAsia"/>
          <w:color w:val="auto"/>
        </w:rPr>
        <w:t>产生量，其中一般固废3.906t/a，主要为</w:t>
      </w:r>
      <w:r>
        <w:rPr>
          <w:color w:val="auto"/>
        </w:rPr>
        <w:t>沉淀池和滤池产生的泥沙</w:t>
      </w:r>
      <w:r>
        <w:rPr>
          <w:rFonts w:hint="eastAsia"/>
          <w:color w:val="auto"/>
        </w:rPr>
        <w:t>及生活垃圾，生活垃圾集中收集后由环卫部门统一处理，</w:t>
      </w:r>
      <w:r>
        <w:rPr>
          <w:color w:val="auto"/>
        </w:rPr>
        <w:t>沉淀池和滤池产生的泥沙</w:t>
      </w:r>
      <w:r>
        <w:rPr>
          <w:rFonts w:hint="eastAsia"/>
          <w:color w:val="auto"/>
        </w:rPr>
        <w:t>脱水后定期运至附近垃圾填埋场处置；餐厨垃圾14.7kg/a，主要为废油脂，收集后交由有资质单位统一处理；危险废物1.96t/a，主要为活性氧化铝吸附法除氟罐清洗废液和</w:t>
      </w:r>
      <w:r>
        <w:rPr>
          <w:color w:val="auto"/>
        </w:rPr>
        <w:t>化验室</w:t>
      </w:r>
      <w:r>
        <w:rPr>
          <w:rFonts w:hint="eastAsia"/>
          <w:color w:val="auto"/>
        </w:rPr>
        <w:t>废液，交由有资质的单位处理。固废处置一览表见表6.5-1。</w:t>
      </w:r>
    </w:p>
    <w:p>
      <w:pPr>
        <w:pStyle w:val="63"/>
        <w:ind w:firstLine="480"/>
        <w:rPr>
          <w:color w:val="auto"/>
        </w:rPr>
      </w:pPr>
      <w:r>
        <w:rPr>
          <w:rFonts w:hint="eastAsia"/>
          <w:color w:val="auto"/>
        </w:rPr>
        <w:t>环评建议，在管理站及保障房给水处理站内应设置危废防渗收集桶，最终送有资质的危险废物处置中心处置，危险废物应按照《危险废物转移联单管理办法》进行管理，转移危险废物前，须按照国家有关规定报批危险废物转移计划；经批准后，产生单位应当向移出地环境保护行政主管部门申请领取联单。产生单位应当在危险废物转移前三日内报告移出地环境保护行政主管部门，并同时将预期到达时间报告接受地环境保护行政主管部门。</w:t>
      </w:r>
    </w:p>
    <w:p>
      <w:pPr>
        <w:pStyle w:val="65"/>
      </w:pPr>
      <w:r>
        <w:rPr>
          <w:rFonts w:hint="eastAsia"/>
        </w:rPr>
        <w:t>表6.5-1 运营期固废处置措施</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818"/>
        <w:gridCol w:w="2883"/>
        <w:gridCol w:w="1512"/>
        <w:gridCol w:w="1275"/>
        <w:gridCol w:w="2754"/>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2" w:type="pct"/>
            <w:vAlign w:val="center"/>
          </w:tcPr>
          <w:p>
            <w:pPr>
              <w:pStyle w:val="63"/>
              <w:ind w:firstLine="0" w:firstLineChars="0"/>
              <w:jc w:val="center"/>
              <w:rPr>
                <w:rFonts w:cs="Times New Roman"/>
                <w:color w:val="auto"/>
                <w:sz w:val="21"/>
                <w:szCs w:val="21"/>
              </w:rPr>
            </w:pPr>
            <w:r>
              <w:rPr>
                <w:rFonts w:hAnsi="宋体" w:cs="Times New Roman"/>
                <w:color w:val="auto"/>
                <w:sz w:val="21"/>
                <w:szCs w:val="21"/>
              </w:rPr>
              <w:t>序号</w:t>
            </w:r>
          </w:p>
        </w:tc>
        <w:tc>
          <w:tcPr>
            <w:tcW w:w="1559" w:type="pct"/>
            <w:vAlign w:val="center"/>
          </w:tcPr>
          <w:p>
            <w:pPr>
              <w:pStyle w:val="63"/>
              <w:ind w:firstLine="0" w:firstLineChars="0"/>
              <w:jc w:val="center"/>
              <w:rPr>
                <w:rFonts w:cs="Times New Roman"/>
                <w:color w:val="auto"/>
                <w:sz w:val="21"/>
                <w:szCs w:val="21"/>
              </w:rPr>
            </w:pPr>
            <w:r>
              <w:rPr>
                <w:rFonts w:hAnsi="宋体" w:cs="Times New Roman"/>
                <w:color w:val="auto"/>
                <w:sz w:val="21"/>
                <w:szCs w:val="21"/>
              </w:rPr>
              <w:t>固废名称</w:t>
            </w:r>
          </w:p>
        </w:tc>
        <w:tc>
          <w:tcPr>
            <w:tcW w:w="818" w:type="pct"/>
            <w:vAlign w:val="center"/>
          </w:tcPr>
          <w:p>
            <w:pPr>
              <w:pStyle w:val="63"/>
              <w:ind w:firstLine="0" w:firstLineChars="0"/>
              <w:jc w:val="center"/>
              <w:rPr>
                <w:rFonts w:cs="Times New Roman"/>
                <w:color w:val="auto"/>
                <w:sz w:val="21"/>
                <w:szCs w:val="21"/>
              </w:rPr>
            </w:pPr>
            <w:r>
              <w:rPr>
                <w:rFonts w:hAnsi="宋体" w:cs="Times New Roman"/>
                <w:color w:val="auto"/>
                <w:sz w:val="21"/>
                <w:szCs w:val="21"/>
              </w:rPr>
              <w:t>性质</w:t>
            </w:r>
          </w:p>
        </w:tc>
        <w:tc>
          <w:tcPr>
            <w:tcW w:w="690" w:type="pct"/>
            <w:vAlign w:val="center"/>
          </w:tcPr>
          <w:p>
            <w:pPr>
              <w:pStyle w:val="63"/>
              <w:ind w:firstLine="0" w:firstLineChars="0"/>
              <w:jc w:val="center"/>
              <w:rPr>
                <w:rFonts w:cs="Times New Roman"/>
                <w:color w:val="auto"/>
                <w:sz w:val="21"/>
                <w:szCs w:val="21"/>
              </w:rPr>
            </w:pPr>
            <w:r>
              <w:rPr>
                <w:rFonts w:hAnsi="宋体" w:cs="Times New Roman"/>
                <w:color w:val="auto"/>
                <w:sz w:val="21"/>
                <w:szCs w:val="21"/>
              </w:rPr>
              <w:t>产生量</w:t>
            </w:r>
          </w:p>
        </w:tc>
        <w:tc>
          <w:tcPr>
            <w:tcW w:w="1490" w:type="pct"/>
            <w:vAlign w:val="center"/>
          </w:tcPr>
          <w:p>
            <w:pPr>
              <w:pStyle w:val="63"/>
              <w:ind w:firstLine="0" w:firstLineChars="0"/>
              <w:jc w:val="center"/>
              <w:rPr>
                <w:rFonts w:cs="Times New Roman"/>
                <w:color w:val="auto"/>
                <w:sz w:val="21"/>
                <w:szCs w:val="21"/>
              </w:rPr>
            </w:pPr>
            <w:r>
              <w:rPr>
                <w:rFonts w:hAnsi="宋体" w:cs="Times New Roman"/>
                <w:color w:val="auto"/>
                <w:sz w:val="21"/>
                <w:szCs w:val="21"/>
              </w:rPr>
              <w:t>处置去向</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2" w:type="pct"/>
            <w:vAlign w:val="center"/>
          </w:tcPr>
          <w:p>
            <w:pPr>
              <w:pStyle w:val="63"/>
              <w:ind w:firstLine="0" w:firstLineChars="0"/>
              <w:jc w:val="center"/>
              <w:rPr>
                <w:rFonts w:cs="Times New Roman"/>
                <w:color w:val="auto"/>
                <w:sz w:val="21"/>
                <w:szCs w:val="21"/>
              </w:rPr>
            </w:pPr>
            <w:r>
              <w:rPr>
                <w:rFonts w:cs="Times New Roman"/>
                <w:color w:val="auto"/>
                <w:sz w:val="21"/>
                <w:szCs w:val="21"/>
              </w:rPr>
              <w:t>1</w:t>
            </w:r>
          </w:p>
        </w:tc>
        <w:tc>
          <w:tcPr>
            <w:tcW w:w="1559" w:type="pct"/>
            <w:vAlign w:val="center"/>
          </w:tcPr>
          <w:p>
            <w:pPr>
              <w:pStyle w:val="63"/>
              <w:ind w:firstLine="0" w:firstLineChars="0"/>
              <w:jc w:val="center"/>
              <w:rPr>
                <w:rFonts w:cs="Times New Roman"/>
                <w:color w:val="auto"/>
                <w:sz w:val="21"/>
                <w:szCs w:val="21"/>
              </w:rPr>
            </w:pPr>
            <w:r>
              <w:rPr>
                <w:rFonts w:hAnsi="宋体" w:cs="Times New Roman"/>
                <w:color w:val="auto"/>
                <w:sz w:val="21"/>
                <w:szCs w:val="21"/>
              </w:rPr>
              <w:t>生活垃圾</w:t>
            </w:r>
          </w:p>
        </w:tc>
        <w:tc>
          <w:tcPr>
            <w:tcW w:w="818" w:type="pct"/>
            <w:vMerge w:val="restart"/>
            <w:vAlign w:val="center"/>
          </w:tcPr>
          <w:p>
            <w:pPr>
              <w:pStyle w:val="63"/>
              <w:ind w:firstLine="0" w:firstLineChars="0"/>
              <w:jc w:val="center"/>
              <w:rPr>
                <w:rFonts w:cs="Times New Roman"/>
                <w:color w:val="auto"/>
                <w:sz w:val="21"/>
                <w:szCs w:val="21"/>
              </w:rPr>
            </w:pPr>
            <w:r>
              <w:rPr>
                <w:rFonts w:hAnsi="宋体" w:cs="Times New Roman"/>
                <w:color w:val="auto"/>
                <w:sz w:val="21"/>
                <w:szCs w:val="21"/>
              </w:rPr>
              <w:t>一般固废</w:t>
            </w:r>
          </w:p>
        </w:tc>
        <w:tc>
          <w:tcPr>
            <w:tcW w:w="690" w:type="pct"/>
            <w:vAlign w:val="center"/>
          </w:tcPr>
          <w:p>
            <w:pPr>
              <w:pStyle w:val="63"/>
              <w:ind w:firstLine="0" w:firstLineChars="0"/>
              <w:jc w:val="center"/>
              <w:rPr>
                <w:rFonts w:cs="Times New Roman"/>
                <w:color w:val="auto"/>
                <w:sz w:val="21"/>
                <w:szCs w:val="21"/>
              </w:rPr>
            </w:pPr>
            <w:r>
              <w:rPr>
                <w:rFonts w:cs="Times New Roman"/>
                <w:color w:val="auto"/>
                <w:sz w:val="21"/>
                <w:szCs w:val="21"/>
              </w:rPr>
              <w:t>2.94t/a</w:t>
            </w:r>
          </w:p>
        </w:tc>
        <w:tc>
          <w:tcPr>
            <w:tcW w:w="1490" w:type="pct"/>
            <w:vAlign w:val="center"/>
          </w:tcPr>
          <w:p>
            <w:pPr>
              <w:pStyle w:val="63"/>
              <w:ind w:firstLine="0" w:firstLineChars="0"/>
              <w:jc w:val="center"/>
              <w:rPr>
                <w:rFonts w:cs="Times New Roman"/>
                <w:color w:val="auto"/>
                <w:sz w:val="21"/>
                <w:szCs w:val="21"/>
              </w:rPr>
            </w:pPr>
            <w:r>
              <w:rPr>
                <w:rFonts w:hint="eastAsia"/>
                <w:color w:val="auto"/>
                <w:sz w:val="21"/>
                <w:szCs w:val="21"/>
              </w:rPr>
              <w:t>由环卫部门统一处理</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2" w:type="pct"/>
            <w:vAlign w:val="center"/>
          </w:tcPr>
          <w:p>
            <w:pPr>
              <w:pStyle w:val="63"/>
              <w:ind w:firstLine="0" w:firstLineChars="0"/>
              <w:jc w:val="center"/>
              <w:rPr>
                <w:rFonts w:cs="Times New Roman"/>
                <w:color w:val="auto"/>
                <w:sz w:val="21"/>
                <w:szCs w:val="21"/>
              </w:rPr>
            </w:pPr>
            <w:r>
              <w:rPr>
                <w:rFonts w:cs="Times New Roman"/>
                <w:color w:val="auto"/>
                <w:sz w:val="21"/>
                <w:szCs w:val="21"/>
              </w:rPr>
              <w:t>2</w:t>
            </w:r>
          </w:p>
        </w:tc>
        <w:tc>
          <w:tcPr>
            <w:tcW w:w="1559" w:type="pct"/>
            <w:vAlign w:val="center"/>
          </w:tcPr>
          <w:p>
            <w:pPr>
              <w:pStyle w:val="63"/>
              <w:ind w:firstLine="0" w:firstLineChars="0"/>
              <w:jc w:val="center"/>
              <w:rPr>
                <w:rFonts w:cs="Times New Roman"/>
                <w:color w:val="auto"/>
                <w:sz w:val="21"/>
                <w:szCs w:val="21"/>
              </w:rPr>
            </w:pPr>
            <w:r>
              <w:rPr>
                <w:rFonts w:hAnsi="宋体" w:cs="Times New Roman"/>
                <w:color w:val="auto"/>
                <w:sz w:val="21"/>
                <w:szCs w:val="21"/>
              </w:rPr>
              <w:t>沉淀池和滤池产生的泥沙</w:t>
            </w:r>
          </w:p>
        </w:tc>
        <w:tc>
          <w:tcPr>
            <w:tcW w:w="818" w:type="pct"/>
            <w:vMerge w:val="continue"/>
            <w:vAlign w:val="center"/>
          </w:tcPr>
          <w:p>
            <w:pPr>
              <w:pStyle w:val="63"/>
              <w:ind w:firstLine="0" w:firstLineChars="0"/>
              <w:jc w:val="center"/>
              <w:rPr>
                <w:rFonts w:cs="Times New Roman"/>
                <w:color w:val="auto"/>
                <w:sz w:val="21"/>
                <w:szCs w:val="21"/>
              </w:rPr>
            </w:pPr>
          </w:p>
        </w:tc>
        <w:tc>
          <w:tcPr>
            <w:tcW w:w="690" w:type="pct"/>
            <w:vAlign w:val="center"/>
          </w:tcPr>
          <w:p>
            <w:pPr>
              <w:pStyle w:val="63"/>
              <w:ind w:firstLine="0" w:firstLineChars="0"/>
              <w:jc w:val="center"/>
              <w:rPr>
                <w:rFonts w:cs="Times New Roman"/>
                <w:color w:val="auto"/>
                <w:sz w:val="21"/>
                <w:szCs w:val="21"/>
              </w:rPr>
            </w:pPr>
            <w:r>
              <w:rPr>
                <w:rFonts w:cs="Times New Roman"/>
                <w:color w:val="auto"/>
                <w:sz w:val="21"/>
                <w:szCs w:val="21"/>
              </w:rPr>
              <w:t>0.966t/a</w:t>
            </w:r>
          </w:p>
        </w:tc>
        <w:tc>
          <w:tcPr>
            <w:tcW w:w="1490" w:type="pct"/>
            <w:vAlign w:val="center"/>
          </w:tcPr>
          <w:p>
            <w:pPr>
              <w:pStyle w:val="63"/>
              <w:spacing w:line="240" w:lineRule="auto"/>
              <w:ind w:firstLine="0" w:firstLineChars="0"/>
              <w:jc w:val="center"/>
              <w:rPr>
                <w:rFonts w:cs="Times New Roman"/>
                <w:color w:val="auto"/>
                <w:sz w:val="21"/>
                <w:szCs w:val="21"/>
              </w:rPr>
            </w:pPr>
            <w:r>
              <w:rPr>
                <w:rFonts w:hint="eastAsia"/>
                <w:color w:val="auto"/>
                <w:sz w:val="21"/>
                <w:szCs w:val="21"/>
              </w:rPr>
              <w:t>脱水后定期运至附近垃圾填埋场处置</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2" w:type="pct"/>
            <w:vAlign w:val="center"/>
          </w:tcPr>
          <w:p>
            <w:pPr>
              <w:pStyle w:val="63"/>
              <w:ind w:firstLine="0" w:firstLineChars="0"/>
              <w:jc w:val="center"/>
              <w:rPr>
                <w:rFonts w:cs="Times New Roman"/>
                <w:color w:val="auto"/>
                <w:sz w:val="21"/>
                <w:szCs w:val="21"/>
              </w:rPr>
            </w:pPr>
            <w:r>
              <w:rPr>
                <w:rFonts w:cs="Times New Roman"/>
                <w:color w:val="auto"/>
                <w:sz w:val="21"/>
                <w:szCs w:val="21"/>
              </w:rPr>
              <w:t>3</w:t>
            </w:r>
          </w:p>
        </w:tc>
        <w:tc>
          <w:tcPr>
            <w:tcW w:w="1559"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废油脂</w:t>
            </w:r>
          </w:p>
        </w:tc>
        <w:tc>
          <w:tcPr>
            <w:tcW w:w="818"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餐厨垃圾</w:t>
            </w:r>
          </w:p>
        </w:tc>
        <w:tc>
          <w:tcPr>
            <w:tcW w:w="690"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14.7kg/a</w:t>
            </w:r>
          </w:p>
        </w:tc>
        <w:tc>
          <w:tcPr>
            <w:tcW w:w="1490"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交由有资质单位统一处理</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2" w:type="pct"/>
            <w:vAlign w:val="center"/>
          </w:tcPr>
          <w:p>
            <w:pPr>
              <w:pStyle w:val="63"/>
              <w:ind w:firstLine="0" w:firstLineChars="0"/>
              <w:jc w:val="center"/>
              <w:rPr>
                <w:rFonts w:cs="Times New Roman"/>
                <w:color w:val="auto"/>
                <w:sz w:val="21"/>
                <w:szCs w:val="21"/>
              </w:rPr>
            </w:pPr>
            <w:r>
              <w:rPr>
                <w:rFonts w:cs="Times New Roman"/>
                <w:color w:val="auto"/>
                <w:sz w:val="21"/>
                <w:szCs w:val="21"/>
              </w:rPr>
              <w:t>4</w:t>
            </w:r>
          </w:p>
        </w:tc>
        <w:tc>
          <w:tcPr>
            <w:tcW w:w="1559" w:type="pct"/>
            <w:vAlign w:val="center"/>
          </w:tcPr>
          <w:p>
            <w:pPr>
              <w:pStyle w:val="63"/>
              <w:spacing w:line="240" w:lineRule="auto"/>
              <w:ind w:firstLine="0" w:firstLineChars="0"/>
              <w:jc w:val="center"/>
              <w:rPr>
                <w:rFonts w:cs="Times New Roman"/>
                <w:color w:val="auto"/>
                <w:sz w:val="21"/>
                <w:szCs w:val="21"/>
              </w:rPr>
            </w:pPr>
            <w:r>
              <w:rPr>
                <w:rFonts w:hint="eastAsia" w:cs="Times New Roman"/>
                <w:color w:val="auto"/>
                <w:sz w:val="21"/>
                <w:szCs w:val="21"/>
              </w:rPr>
              <w:t>活性氧化铝吸附法除氟罐清洗废液</w:t>
            </w:r>
          </w:p>
        </w:tc>
        <w:tc>
          <w:tcPr>
            <w:tcW w:w="818" w:type="pct"/>
            <w:vMerge w:val="restart"/>
            <w:vAlign w:val="center"/>
          </w:tcPr>
          <w:p>
            <w:pPr>
              <w:pStyle w:val="63"/>
              <w:ind w:firstLine="0" w:firstLineChars="0"/>
              <w:jc w:val="center"/>
              <w:rPr>
                <w:rFonts w:cs="Times New Roman"/>
                <w:color w:val="auto"/>
                <w:sz w:val="21"/>
                <w:szCs w:val="21"/>
              </w:rPr>
            </w:pPr>
            <w:r>
              <w:rPr>
                <w:rFonts w:hint="eastAsia" w:cs="Times New Roman"/>
                <w:color w:val="auto"/>
                <w:sz w:val="21"/>
                <w:szCs w:val="21"/>
              </w:rPr>
              <w:t>危险废物</w:t>
            </w:r>
          </w:p>
        </w:tc>
        <w:tc>
          <w:tcPr>
            <w:tcW w:w="690"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1t/a</w:t>
            </w:r>
          </w:p>
        </w:tc>
        <w:tc>
          <w:tcPr>
            <w:tcW w:w="1490" w:type="pct"/>
            <w:vAlign w:val="center"/>
          </w:tcPr>
          <w:p>
            <w:pPr>
              <w:spacing w:line="360" w:lineRule="auto"/>
              <w:jc w:val="center"/>
              <w:rPr>
                <w:szCs w:val="21"/>
              </w:rPr>
            </w:pPr>
            <w:r>
              <w:rPr>
                <w:rFonts w:hint="eastAsia"/>
                <w:szCs w:val="21"/>
              </w:rPr>
              <w:t>交由有资质单位统一处理</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c>
          <w:tcPr>
            <w:tcW w:w="442" w:type="pct"/>
            <w:vAlign w:val="center"/>
          </w:tcPr>
          <w:p>
            <w:pPr>
              <w:pStyle w:val="63"/>
              <w:ind w:firstLine="0" w:firstLineChars="0"/>
              <w:jc w:val="center"/>
              <w:rPr>
                <w:rFonts w:cs="Times New Roman"/>
                <w:color w:val="auto"/>
                <w:sz w:val="21"/>
                <w:szCs w:val="21"/>
              </w:rPr>
            </w:pPr>
            <w:r>
              <w:rPr>
                <w:rFonts w:cs="Times New Roman"/>
                <w:color w:val="auto"/>
                <w:sz w:val="21"/>
                <w:szCs w:val="21"/>
              </w:rPr>
              <w:t>5</w:t>
            </w:r>
          </w:p>
        </w:tc>
        <w:tc>
          <w:tcPr>
            <w:tcW w:w="1559" w:type="pct"/>
            <w:vAlign w:val="center"/>
          </w:tcPr>
          <w:p>
            <w:pPr>
              <w:pStyle w:val="63"/>
              <w:ind w:firstLine="0" w:firstLineChars="0"/>
              <w:jc w:val="center"/>
              <w:rPr>
                <w:rFonts w:cs="Times New Roman"/>
                <w:color w:val="auto"/>
                <w:sz w:val="21"/>
                <w:szCs w:val="21"/>
              </w:rPr>
            </w:pPr>
            <w:r>
              <w:rPr>
                <w:rFonts w:cs="Times New Roman"/>
                <w:color w:val="auto"/>
                <w:sz w:val="21"/>
                <w:szCs w:val="21"/>
              </w:rPr>
              <w:t>化验室</w:t>
            </w:r>
            <w:r>
              <w:rPr>
                <w:rFonts w:hint="eastAsia" w:cs="Times New Roman"/>
                <w:color w:val="auto"/>
                <w:sz w:val="21"/>
                <w:szCs w:val="21"/>
              </w:rPr>
              <w:t>废液</w:t>
            </w:r>
          </w:p>
        </w:tc>
        <w:tc>
          <w:tcPr>
            <w:tcW w:w="818" w:type="pct"/>
            <w:vMerge w:val="continue"/>
            <w:vAlign w:val="center"/>
          </w:tcPr>
          <w:p>
            <w:pPr>
              <w:pStyle w:val="63"/>
              <w:ind w:firstLine="0" w:firstLineChars="0"/>
              <w:jc w:val="center"/>
              <w:rPr>
                <w:rFonts w:cs="Times New Roman"/>
                <w:color w:val="auto"/>
                <w:sz w:val="21"/>
                <w:szCs w:val="21"/>
              </w:rPr>
            </w:pPr>
          </w:p>
        </w:tc>
        <w:tc>
          <w:tcPr>
            <w:tcW w:w="690" w:type="pct"/>
            <w:vAlign w:val="center"/>
          </w:tcPr>
          <w:p>
            <w:pPr>
              <w:pStyle w:val="63"/>
              <w:ind w:firstLine="0" w:firstLineChars="0"/>
              <w:jc w:val="center"/>
              <w:rPr>
                <w:rFonts w:cs="Times New Roman"/>
                <w:color w:val="auto"/>
                <w:sz w:val="21"/>
                <w:szCs w:val="21"/>
              </w:rPr>
            </w:pPr>
            <w:r>
              <w:rPr>
                <w:rFonts w:hint="eastAsia" w:cs="Times New Roman"/>
                <w:color w:val="auto"/>
                <w:sz w:val="21"/>
                <w:szCs w:val="21"/>
              </w:rPr>
              <w:t>0.96t/a</w:t>
            </w:r>
          </w:p>
        </w:tc>
        <w:tc>
          <w:tcPr>
            <w:tcW w:w="1490" w:type="pct"/>
            <w:vAlign w:val="center"/>
          </w:tcPr>
          <w:p>
            <w:pPr>
              <w:spacing w:line="360" w:lineRule="auto"/>
              <w:jc w:val="center"/>
              <w:rPr>
                <w:szCs w:val="21"/>
              </w:rPr>
            </w:pPr>
            <w:r>
              <w:rPr>
                <w:rFonts w:hint="eastAsia"/>
                <w:szCs w:val="21"/>
              </w:rPr>
              <w:t>交由有资质单位统一处理</w:t>
            </w:r>
          </w:p>
        </w:tc>
      </w:tr>
    </w:tbl>
    <w:p>
      <w:pPr>
        <w:pStyle w:val="63"/>
        <w:ind w:firstLine="480"/>
        <w:rPr>
          <w:color w:val="auto"/>
        </w:rPr>
      </w:pPr>
      <w:r>
        <w:rPr>
          <w:rFonts w:hint="eastAsia"/>
          <w:color w:val="auto"/>
        </w:rPr>
        <w:t>环评建议，在管理站及保障房给水处理站内应设置危废防渗收集桶，最终送有资质的危险废物处置中心处置，危险废物应按照《危险废物转移联单管理办法》进行管理，转移危险废物前，须按照国家有关规定报批危险废物转移计划；经批准后，产生单位应当向移出地环境保护行政主管部门申请领取联单。产生单位应当在危险废物转移前三日内报告移出地环境保护行政主管部门，并同时将预期到达时间报告接受地环境保护行政主管部门。</w:t>
      </w:r>
    </w:p>
    <w:p>
      <w:pPr>
        <w:pStyle w:val="63"/>
        <w:ind w:firstLine="480"/>
        <w:rPr>
          <w:color w:val="auto"/>
        </w:rPr>
      </w:pPr>
      <w:r>
        <w:rPr>
          <w:rFonts w:hint="eastAsia"/>
          <w:color w:val="auto"/>
        </w:rPr>
        <w:t>由此分析，本工程产生的各类固体废弃物得到有效的处理或处置，对环境产生的影响较小。</w:t>
      </w:r>
    </w:p>
    <w:p>
      <w:pPr>
        <w:pStyle w:val="61"/>
        <w:rPr>
          <w:color w:val="auto"/>
        </w:rPr>
      </w:pPr>
      <w:bookmarkStart w:id="53" w:name="_Toc436902169"/>
      <w:r>
        <w:rPr>
          <w:bCs/>
          <w:color w:val="auto"/>
        </w:rPr>
        <w:t>6.6</w:t>
      </w:r>
      <w:r>
        <w:rPr>
          <w:color w:val="auto"/>
        </w:rPr>
        <w:t>生态环境影响分析</w:t>
      </w:r>
      <w:bookmarkEnd w:id="53"/>
    </w:p>
    <w:p>
      <w:pPr>
        <w:pStyle w:val="63"/>
        <w:ind w:firstLine="480"/>
        <w:jc w:val="both"/>
        <w:rPr>
          <w:color w:val="auto"/>
        </w:rPr>
      </w:pPr>
      <w:r>
        <w:rPr>
          <w:color w:val="auto"/>
        </w:rPr>
        <w:t>拟建工程永久性占地总面积为</w:t>
      </w:r>
      <w:r>
        <w:rPr>
          <w:rFonts w:hint="eastAsia"/>
          <w:color w:val="auto"/>
        </w:rPr>
        <w:t>20</w:t>
      </w:r>
      <w:r>
        <w:rPr>
          <w:color w:val="auto"/>
        </w:rPr>
        <w:t>亩，项目基建施工开挖、回填土石方使厂区地表形态有明显的改变、局部生态环境受到影响，但就整体生态环境而言影响范围有限。</w:t>
      </w:r>
    </w:p>
    <w:p>
      <w:pPr>
        <w:pStyle w:val="63"/>
        <w:ind w:firstLine="480"/>
        <w:jc w:val="both"/>
        <w:rPr>
          <w:color w:val="auto"/>
        </w:rPr>
      </w:pPr>
      <w:r>
        <w:rPr>
          <w:color w:val="auto"/>
        </w:rPr>
        <w:t>拟建工程建成运营后，工程装置区内的各种活动仅限于工程场区/厂区内。同时，由于工程建成后，绿化工作不断深入和完善，天然植被将逐渐被人工植被绿化树木等所代替，建设过程中遭受破坏的植被将得到逐步恢复。</w:t>
      </w:r>
    </w:p>
    <w:p>
      <w:pPr>
        <w:pStyle w:val="61"/>
        <w:rPr>
          <w:color w:val="auto"/>
        </w:rPr>
      </w:pPr>
      <w:bookmarkStart w:id="54" w:name="_Toc436902170"/>
      <w:r>
        <w:rPr>
          <w:bCs/>
          <w:color w:val="auto"/>
        </w:rPr>
        <w:t>6.7</w:t>
      </w:r>
      <w:r>
        <w:rPr>
          <w:color w:val="auto"/>
        </w:rPr>
        <w:t>外环境对本项目的影响分析</w:t>
      </w:r>
      <w:bookmarkEnd w:id="54"/>
    </w:p>
    <w:p>
      <w:pPr>
        <w:pStyle w:val="63"/>
        <w:ind w:firstLine="460"/>
        <w:rPr>
          <w:color w:val="auto"/>
          <w:sz w:val="23"/>
        </w:rPr>
      </w:pPr>
      <w:r>
        <w:rPr>
          <w:color w:val="auto"/>
          <w:sz w:val="23"/>
        </w:rPr>
        <w:t>本项目潜水补给来源</w:t>
      </w:r>
      <w:r>
        <w:rPr>
          <w:color w:val="auto"/>
        </w:rPr>
        <w:t>潜水的补给来源主要有</w:t>
      </w:r>
      <w:r>
        <w:rPr>
          <w:rFonts w:hint="eastAsia" w:cs="Times New Roman"/>
          <w:color w:val="auto"/>
          <w:szCs w:val="24"/>
        </w:rPr>
        <w:t>大气降水入渗、农灌回归及渠系渗漏、地下径流补给；</w:t>
      </w:r>
      <w:r>
        <w:rPr>
          <w:color w:val="auto"/>
          <w:sz w:val="23"/>
        </w:rPr>
        <w:t>浅层承压水主要补给</w:t>
      </w:r>
      <w:r>
        <w:rPr>
          <w:rFonts w:cs="Times New Roman"/>
          <w:color w:val="auto"/>
          <w:szCs w:val="24"/>
        </w:rPr>
        <w:t>来源为上覆潜水越流补给</w:t>
      </w:r>
      <w:r>
        <w:rPr>
          <w:rFonts w:hint="eastAsia" w:cs="Times New Roman"/>
          <w:color w:val="auto"/>
          <w:szCs w:val="24"/>
        </w:rPr>
        <w:t>；</w:t>
      </w:r>
      <w:r>
        <w:rPr>
          <w:color w:val="auto"/>
        </w:rPr>
        <w:t>深层承压水主要补给来源是上覆浅层承压水(泾河一级阶地)越流下渗补给</w:t>
      </w:r>
      <w:r>
        <w:rPr>
          <w:rFonts w:hint="eastAsia"/>
          <w:color w:val="auto"/>
        </w:rPr>
        <w:t>。</w:t>
      </w:r>
    </w:p>
    <w:p>
      <w:pPr>
        <w:pStyle w:val="63"/>
        <w:ind w:firstLine="480"/>
        <w:rPr>
          <w:color w:val="auto"/>
        </w:rPr>
      </w:pPr>
      <w:r>
        <w:rPr>
          <w:color w:val="auto"/>
        </w:rPr>
        <w:t>根据调查，评价范围内农田灌溉以地下水为主，对地下水质影响较小；但长期施用化肥对地下水质存在不利影响，尤其施入土壤的肥料氮，在降雨和灌溉水的作用下，部分直接以化合物形式淋洗到土壤下层，大部分最终以可溶解的硝酸盐氮、亚硝酸盐氮、氨氮形式淋洗到土壤下层，尽管土壤能够吸附一部分，但大部分还是随水流渗入地下水，对地下水造成污染。</w:t>
      </w:r>
    </w:p>
    <w:p>
      <w:pPr>
        <w:pStyle w:val="63"/>
        <w:ind w:firstLine="480"/>
        <w:rPr>
          <w:color w:val="auto"/>
        </w:rPr>
      </w:pPr>
      <w:r>
        <w:rPr>
          <w:color w:val="auto"/>
        </w:rPr>
        <w:t>鉴于此，项目建成后应及时划定水源地保护区，并严格落实水源保护区管理措施，具体要求见</w:t>
      </w:r>
      <w:r>
        <w:rPr>
          <w:rFonts w:hint="eastAsia"/>
          <w:color w:val="auto"/>
        </w:rPr>
        <w:t>7.9</w:t>
      </w:r>
      <w:r>
        <w:rPr>
          <w:color w:val="auto"/>
        </w:rPr>
        <w:t>节。</w:t>
      </w:r>
    </w:p>
    <w:p>
      <w:pPr>
        <w:pStyle w:val="65"/>
      </w:pPr>
    </w:p>
    <w:p>
      <w:pPr>
        <w:pStyle w:val="65"/>
      </w:pPr>
    </w:p>
    <w:p>
      <w:pPr>
        <w:pStyle w:val="63"/>
        <w:ind w:firstLine="460"/>
        <w:rPr>
          <w:color w:val="auto"/>
          <w:sz w:val="23"/>
        </w:rPr>
      </w:pPr>
    </w:p>
    <w:p>
      <w:pPr>
        <w:pStyle w:val="63"/>
        <w:ind w:firstLine="480"/>
        <w:rPr>
          <w:color w:val="auto"/>
        </w:rPr>
        <w:sectPr>
          <w:pgSz w:w="11906" w:h="16838"/>
          <w:pgMar w:top="1440" w:right="1440" w:bottom="1440" w:left="1440" w:header="851" w:footer="992" w:gutter="0"/>
          <w:cols w:space="720" w:num="1"/>
          <w:titlePg/>
          <w:docGrid w:type="linesAndChars" w:linePitch="312" w:charSpace="0"/>
        </w:sectPr>
      </w:pPr>
    </w:p>
    <w:p>
      <w:pPr>
        <w:pStyle w:val="60"/>
        <w:spacing w:before="156" w:after="156"/>
      </w:pPr>
      <w:bookmarkStart w:id="55" w:name="_Toc341287979"/>
      <w:bookmarkStart w:id="56" w:name="_Toc436902171"/>
      <w:bookmarkStart w:id="57" w:name="_Toc323551390"/>
      <w:bookmarkStart w:id="58" w:name="_Toc249511232"/>
      <w:bookmarkStart w:id="59" w:name="_Toc309921672"/>
      <w:bookmarkStart w:id="60" w:name="_Toc346003143"/>
      <w:bookmarkStart w:id="61" w:name="_Toc354235751"/>
      <w:bookmarkStart w:id="62" w:name="_Toc354236356"/>
      <w:bookmarkStart w:id="63" w:name="_Toc419709911"/>
      <w:bookmarkStart w:id="64" w:name="_Toc354237367"/>
      <w:bookmarkStart w:id="65" w:name="_Toc402185549"/>
      <w:bookmarkStart w:id="66" w:name="_Toc402185293"/>
      <w:bookmarkStart w:id="67" w:name="_Toc354384323"/>
      <w:bookmarkStart w:id="68" w:name="_Toc354237769"/>
      <w:bookmarkStart w:id="69" w:name="_Toc354236563"/>
      <w:r>
        <w:rPr>
          <w:rFonts w:hint="eastAsia"/>
        </w:rPr>
        <w:t>7 地下水环境影响评价</w:t>
      </w:r>
      <w:bookmarkEnd w:id="55"/>
      <w:bookmarkEnd w:id="56"/>
      <w:bookmarkEnd w:id="57"/>
    </w:p>
    <w:p>
      <w:pPr>
        <w:pStyle w:val="61"/>
        <w:rPr>
          <w:color w:val="auto"/>
        </w:rPr>
      </w:pPr>
      <w:bookmarkStart w:id="70" w:name="_Toc436902172"/>
      <w:r>
        <w:rPr>
          <w:rFonts w:hint="eastAsia"/>
          <w:color w:val="auto"/>
        </w:rPr>
        <w:t>7.1地下水评价等级及范围</w:t>
      </w:r>
      <w:bookmarkEnd w:id="70"/>
    </w:p>
    <w:p>
      <w:pPr>
        <w:pStyle w:val="62"/>
        <w:rPr>
          <w:color w:val="auto"/>
          <w:lang w:val="zh-CN"/>
        </w:rPr>
      </w:pPr>
      <w:r>
        <w:rPr>
          <w:rFonts w:hint="eastAsia"/>
          <w:color w:val="auto"/>
          <w:lang w:val="zh-CN"/>
        </w:rPr>
        <w:t>7.1.1建设项目分类</w:t>
      </w:r>
    </w:p>
    <w:p>
      <w:pPr>
        <w:pStyle w:val="63"/>
        <w:ind w:firstLine="480"/>
        <w:rPr>
          <w:rFonts w:ascii="宋体" w:hAnsi="宋体"/>
          <w:color w:val="auto"/>
        </w:rPr>
      </w:pPr>
      <w:r>
        <w:rPr>
          <w:color w:val="auto"/>
        </w:rPr>
        <w:t>根据《环境影响评价技术导则地下水环境》（HJ 610-2011）</w:t>
      </w:r>
      <w:r>
        <w:rPr>
          <w:rFonts w:hint="eastAsia"/>
          <w:color w:val="auto"/>
        </w:rPr>
        <w:t>中的分类：</w:t>
      </w:r>
    </w:p>
    <w:p>
      <w:pPr>
        <w:pStyle w:val="63"/>
        <w:ind w:firstLine="480"/>
        <w:rPr>
          <w:color w:val="auto"/>
        </w:rPr>
      </w:pPr>
      <w:r>
        <w:rPr>
          <w:rFonts w:hint="eastAsia" w:ascii="宋体" w:hAnsi="宋体"/>
          <w:color w:val="auto"/>
        </w:rPr>
        <w:t>Ⅰ</w:t>
      </w:r>
      <w:r>
        <w:rPr>
          <w:color w:val="auto"/>
        </w:rPr>
        <w:t>类：指在项目建设、生产运行和服务期满后的各个过程中，可能造成地下水水质污染的建设项目；</w:t>
      </w:r>
    </w:p>
    <w:p>
      <w:pPr>
        <w:pStyle w:val="63"/>
        <w:ind w:firstLine="480"/>
        <w:rPr>
          <w:color w:val="auto"/>
        </w:rPr>
      </w:pPr>
      <w:r>
        <w:rPr>
          <w:rFonts w:hint="eastAsia" w:ascii="宋体" w:hAnsi="宋体"/>
          <w:color w:val="auto"/>
        </w:rPr>
        <w:t>Ⅱ</w:t>
      </w:r>
      <w:r>
        <w:rPr>
          <w:color w:val="auto"/>
        </w:rPr>
        <w:t>类：指在项目建设、生产运行和服务期满后的各个过程中，可能引起地下水流场或地下水水位变化，并导致环境水文地质问题的建设项目；</w:t>
      </w:r>
    </w:p>
    <w:p>
      <w:pPr>
        <w:pStyle w:val="63"/>
        <w:ind w:firstLine="480"/>
        <w:rPr>
          <w:color w:val="auto"/>
        </w:rPr>
      </w:pPr>
      <w:r>
        <w:rPr>
          <w:rFonts w:hint="eastAsia" w:ascii="宋体" w:hAnsi="宋体"/>
          <w:color w:val="auto"/>
        </w:rPr>
        <w:t>Ⅲ</w:t>
      </w:r>
      <w:r>
        <w:rPr>
          <w:color w:val="auto"/>
        </w:rPr>
        <w:t>类：指同时具备</w:t>
      </w:r>
      <w:r>
        <w:rPr>
          <w:rFonts w:hint="eastAsia" w:ascii="宋体" w:hAnsi="宋体"/>
          <w:color w:val="auto"/>
        </w:rPr>
        <w:t>Ⅰ</w:t>
      </w:r>
      <w:r>
        <w:rPr>
          <w:color w:val="auto"/>
        </w:rPr>
        <w:t>类和</w:t>
      </w:r>
      <w:r>
        <w:rPr>
          <w:rFonts w:hint="eastAsia" w:ascii="宋体" w:hAnsi="宋体"/>
          <w:color w:val="auto"/>
        </w:rPr>
        <w:t>Ⅱ</w:t>
      </w:r>
      <w:r>
        <w:rPr>
          <w:color w:val="auto"/>
        </w:rPr>
        <w:t>类建设项目环境影响特征的建设项目。</w:t>
      </w:r>
    </w:p>
    <w:p>
      <w:pPr>
        <w:pStyle w:val="63"/>
        <w:ind w:firstLine="480"/>
        <w:rPr>
          <w:color w:val="auto"/>
        </w:rPr>
      </w:pPr>
      <w:r>
        <w:rPr>
          <w:snapToGrid w:val="0"/>
          <w:color w:val="auto"/>
        </w:rPr>
        <w:t>本项目为地下水源地项目，</w:t>
      </w:r>
      <w:r>
        <w:rPr>
          <w:rFonts w:hint="eastAsia"/>
          <w:snapToGrid w:val="0"/>
          <w:color w:val="auto"/>
        </w:rPr>
        <w:t>取用</w:t>
      </w:r>
      <w:r>
        <w:rPr>
          <w:snapToGrid w:val="0"/>
          <w:color w:val="auto"/>
        </w:rPr>
        <w:t>地下水，</w:t>
      </w:r>
      <w:r>
        <w:rPr>
          <w:color w:val="auto"/>
        </w:rPr>
        <w:t>会对地下水流场或地下水位造成</w:t>
      </w:r>
      <w:r>
        <w:rPr>
          <w:rFonts w:hint="eastAsia"/>
          <w:color w:val="auto"/>
        </w:rPr>
        <w:t>影响，运营期对地下水水质几乎无影响</w:t>
      </w:r>
      <w:r>
        <w:rPr>
          <w:color w:val="auto"/>
        </w:rPr>
        <w:t>。</w:t>
      </w:r>
      <w:r>
        <w:rPr>
          <w:rFonts w:hint="eastAsia"/>
          <w:color w:val="auto"/>
        </w:rPr>
        <w:t>因此</w:t>
      </w:r>
      <w:r>
        <w:rPr>
          <w:color w:val="auto"/>
        </w:rPr>
        <w:t>根据</w:t>
      </w:r>
      <w:r>
        <w:rPr>
          <w:rFonts w:hint="eastAsia"/>
          <w:color w:val="auto"/>
        </w:rPr>
        <w:t>上述</w:t>
      </w:r>
      <w:r>
        <w:rPr>
          <w:color w:val="auto"/>
        </w:rPr>
        <w:t>分类，该项目属于</w:t>
      </w:r>
      <w:r>
        <w:rPr>
          <w:rFonts w:hint="eastAsia" w:ascii="宋体" w:hAnsi="宋体"/>
          <w:color w:val="auto"/>
        </w:rPr>
        <w:t>Ⅱ</w:t>
      </w:r>
      <w:r>
        <w:rPr>
          <w:color w:val="auto"/>
        </w:rPr>
        <w:t>类建设项目。</w:t>
      </w:r>
    </w:p>
    <w:bookmarkEnd w:id="58"/>
    <w:bookmarkEnd w:id="59"/>
    <w:bookmarkEnd w:id="60"/>
    <w:bookmarkEnd w:id="61"/>
    <w:bookmarkEnd w:id="62"/>
    <w:bookmarkEnd w:id="63"/>
    <w:bookmarkEnd w:id="64"/>
    <w:bookmarkEnd w:id="65"/>
    <w:bookmarkEnd w:id="66"/>
    <w:bookmarkEnd w:id="67"/>
    <w:bookmarkEnd w:id="68"/>
    <w:bookmarkEnd w:id="69"/>
    <w:p>
      <w:pPr>
        <w:pStyle w:val="62"/>
        <w:rPr>
          <w:color w:val="auto"/>
          <w:szCs w:val="20"/>
        </w:rPr>
      </w:pPr>
      <w:r>
        <w:rPr>
          <w:rFonts w:hint="eastAsia"/>
          <w:color w:val="auto"/>
          <w:lang w:val="zh-CN"/>
        </w:rPr>
        <w:t>7.1.2</w:t>
      </w:r>
      <w:r>
        <w:rPr>
          <w:color w:val="auto"/>
          <w:lang w:val="zh-CN"/>
        </w:rPr>
        <w:t>评价工作等级确定</w:t>
      </w:r>
    </w:p>
    <w:p>
      <w:pPr>
        <w:pStyle w:val="63"/>
        <w:ind w:firstLine="480"/>
        <w:rPr>
          <w:color w:val="auto"/>
          <w:szCs w:val="20"/>
        </w:rPr>
      </w:pPr>
      <w:r>
        <w:rPr>
          <w:color w:val="auto"/>
          <w:szCs w:val="20"/>
        </w:rPr>
        <w:t>根据</w:t>
      </w:r>
      <w:r>
        <w:rPr>
          <w:rFonts w:hint="eastAsia"/>
          <w:color w:val="auto"/>
          <w:szCs w:val="20"/>
        </w:rPr>
        <w:t>Ⅱ</w:t>
      </w:r>
      <w:r>
        <w:rPr>
          <w:color w:val="auto"/>
          <w:szCs w:val="20"/>
        </w:rPr>
        <w:t>类项目评价工作等级的确定原则</w:t>
      </w:r>
      <w:r>
        <w:rPr>
          <w:rFonts w:hint="eastAsia"/>
          <w:color w:val="auto"/>
          <w:szCs w:val="20"/>
        </w:rPr>
        <w:t>，结合本项目所在地的水文地质条件，最终</w:t>
      </w:r>
      <w:r>
        <w:rPr>
          <w:color w:val="auto"/>
          <w:szCs w:val="20"/>
        </w:rPr>
        <w:t>确定本项目</w:t>
      </w:r>
      <w:r>
        <w:rPr>
          <w:rFonts w:hint="eastAsia"/>
          <w:color w:val="auto"/>
          <w:szCs w:val="20"/>
        </w:rPr>
        <w:t>地下水等级判定结果为二级</w:t>
      </w:r>
      <w:r>
        <w:rPr>
          <w:color w:val="auto"/>
          <w:szCs w:val="20"/>
        </w:rPr>
        <w:t>见表</w:t>
      </w:r>
      <w:r>
        <w:rPr>
          <w:rFonts w:hint="eastAsia"/>
          <w:color w:val="auto"/>
          <w:szCs w:val="20"/>
        </w:rPr>
        <w:t>7.1</w:t>
      </w:r>
      <w:r>
        <w:rPr>
          <w:color w:val="auto"/>
          <w:szCs w:val="20"/>
        </w:rPr>
        <w:t>-1。</w:t>
      </w:r>
    </w:p>
    <w:p>
      <w:pPr>
        <w:pStyle w:val="65"/>
        <w:rPr>
          <w:kern w:val="0"/>
        </w:rPr>
      </w:pPr>
      <w:r>
        <w:rPr>
          <w:kern w:val="0"/>
        </w:rPr>
        <w:t>表</w:t>
      </w:r>
      <w:r>
        <w:rPr>
          <w:rFonts w:hint="eastAsia"/>
          <w:kern w:val="0"/>
        </w:rPr>
        <w:t>7.1</w:t>
      </w:r>
      <w:r>
        <w:rPr>
          <w:kern w:val="0"/>
        </w:rPr>
        <w:t xml:space="preserve">-1   </w:t>
      </w:r>
      <w:r>
        <w:rPr>
          <w:rFonts w:hint="eastAsia" w:ascii="宋体" w:hAnsi="宋体" w:cs="宋体"/>
        </w:rPr>
        <w:t>Ⅱ</w:t>
      </w:r>
      <w:r>
        <w:rPr>
          <w:kern w:val="0"/>
        </w:rPr>
        <w:t>类建设项目地下水评价等级判据对照表</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1780"/>
        <w:gridCol w:w="5316"/>
        <w:gridCol w:w="713"/>
        <w:gridCol w:w="7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Align w:val="center"/>
          </w:tcPr>
          <w:p>
            <w:pPr>
              <w:jc w:val="center"/>
              <w:rPr>
                <w:b/>
                <w:szCs w:val="21"/>
              </w:rPr>
            </w:pPr>
            <w:r>
              <w:rPr>
                <w:rFonts w:hint="eastAsia"/>
                <w:b/>
                <w:szCs w:val="21"/>
              </w:rPr>
              <w:t>项目类型</w:t>
            </w:r>
          </w:p>
        </w:tc>
        <w:tc>
          <w:tcPr>
            <w:tcW w:w="963" w:type="pct"/>
            <w:vAlign w:val="center"/>
          </w:tcPr>
          <w:p>
            <w:pPr>
              <w:jc w:val="center"/>
              <w:rPr>
                <w:b/>
                <w:szCs w:val="21"/>
              </w:rPr>
            </w:pPr>
            <w:r>
              <w:rPr>
                <w:rFonts w:hint="eastAsia"/>
                <w:b/>
                <w:szCs w:val="21"/>
              </w:rPr>
              <w:t>划分依据</w:t>
            </w:r>
          </w:p>
        </w:tc>
        <w:tc>
          <w:tcPr>
            <w:tcW w:w="2876" w:type="pct"/>
            <w:vAlign w:val="center"/>
          </w:tcPr>
          <w:p>
            <w:pPr>
              <w:jc w:val="center"/>
              <w:rPr>
                <w:b/>
              </w:rPr>
            </w:pPr>
            <w:r>
              <w:rPr>
                <w:rFonts w:hint="eastAsia"/>
                <w:b/>
              </w:rPr>
              <w:t>本项目情况</w:t>
            </w:r>
          </w:p>
        </w:tc>
        <w:tc>
          <w:tcPr>
            <w:tcW w:w="386" w:type="pct"/>
            <w:vAlign w:val="center"/>
          </w:tcPr>
          <w:p>
            <w:pPr>
              <w:jc w:val="center"/>
              <w:rPr>
                <w:b/>
              </w:rPr>
            </w:pPr>
            <w:r>
              <w:rPr>
                <w:rFonts w:hint="eastAsia"/>
                <w:b/>
              </w:rPr>
              <w:t>分级情况</w:t>
            </w:r>
          </w:p>
        </w:tc>
        <w:tc>
          <w:tcPr>
            <w:tcW w:w="387" w:type="pct"/>
            <w:vAlign w:val="center"/>
          </w:tcPr>
          <w:p>
            <w:pPr>
              <w:jc w:val="center"/>
              <w:rPr>
                <w:b/>
                <w:szCs w:val="21"/>
              </w:rPr>
            </w:pPr>
            <w:r>
              <w:rPr>
                <w:rFonts w:hint="eastAsia"/>
                <w:b/>
                <w:szCs w:val="21"/>
              </w:rPr>
              <w:t>评价等级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Merge w:val="restart"/>
            <w:vAlign w:val="center"/>
          </w:tcPr>
          <w:p>
            <w:pPr>
              <w:jc w:val="center"/>
              <w:rPr>
                <w:szCs w:val="20"/>
              </w:rPr>
            </w:pPr>
            <w:r>
              <w:rPr>
                <w:rFonts w:hint="eastAsia"/>
                <w:szCs w:val="20"/>
              </w:rPr>
              <w:t>Ⅱ类</w:t>
            </w:r>
          </w:p>
        </w:tc>
        <w:tc>
          <w:tcPr>
            <w:tcW w:w="963" w:type="pct"/>
            <w:vAlign w:val="center"/>
          </w:tcPr>
          <w:p>
            <w:pPr>
              <w:jc w:val="center"/>
              <w:rPr>
                <w:szCs w:val="21"/>
              </w:rPr>
            </w:pPr>
            <w:r>
              <w:rPr>
                <w:szCs w:val="20"/>
              </w:rPr>
              <w:t>地下水供水、排水（或注水）规模</w:t>
            </w:r>
          </w:p>
        </w:tc>
        <w:tc>
          <w:tcPr>
            <w:tcW w:w="2876" w:type="pct"/>
            <w:vAlign w:val="center"/>
          </w:tcPr>
          <w:p>
            <w:pPr>
              <w:jc w:val="center"/>
              <w:rPr>
                <w:szCs w:val="21"/>
              </w:rPr>
            </w:pPr>
            <w:r>
              <w:rPr>
                <w:szCs w:val="21"/>
              </w:rPr>
              <w:t>本项目取水量为19750m</w:t>
            </w:r>
            <w:r>
              <w:rPr>
                <w:szCs w:val="21"/>
                <w:vertAlign w:val="superscript"/>
              </w:rPr>
              <w:t xml:space="preserve"> 3</w:t>
            </w:r>
            <w:r>
              <w:rPr>
                <w:szCs w:val="21"/>
              </w:rPr>
              <w:t>/d</w:t>
            </w:r>
          </w:p>
        </w:tc>
        <w:tc>
          <w:tcPr>
            <w:tcW w:w="386" w:type="pct"/>
            <w:vAlign w:val="center"/>
          </w:tcPr>
          <w:p>
            <w:pPr>
              <w:jc w:val="center"/>
              <w:rPr>
                <w:szCs w:val="21"/>
              </w:rPr>
            </w:pPr>
            <w:r>
              <w:rPr>
                <w:szCs w:val="21"/>
              </w:rPr>
              <w:t>大</w:t>
            </w:r>
          </w:p>
        </w:tc>
        <w:tc>
          <w:tcPr>
            <w:tcW w:w="387" w:type="pct"/>
            <w:vMerge w:val="restart"/>
            <w:vAlign w:val="center"/>
          </w:tcPr>
          <w:p>
            <w:pPr>
              <w:jc w:val="center"/>
              <w:rPr>
                <w:szCs w:val="21"/>
              </w:rPr>
            </w:pPr>
            <w:r>
              <w:rPr>
                <w:rFonts w:hint="eastAsia"/>
                <w:szCs w:val="21"/>
              </w:rPr>
              <w:t>二级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Merge w:val="continue"/>
            <w:vAlign w:val="center"/>
          </w:tcPr>
          <w:p>
            <w:pPr>
              <w:jc w:val="center"/>
              <w:rPr>
                <w:szCs w:val="20"/>
              </w:rPr>
            </w:pPr>
          </w:p>
        </w:tc>
        <w:tc>
          <w:tcPr>
            <w:tcW w:w="963" w:type="pct"/>
            <w:vAlign w:val="center"/>
          </w:tcPr>
          <w:p>
            <w:pPr>
              <w:jc w:val="center"/>
              <w:rPr>
                <w:szCs w:val="21"/>
              </w:rPr>
            </w:pPr>
            <w:r>
              <w:rPr>
                <w:szCs w:val="20"/>
              </w:rPr>
              <w:t>地下水水位变化区域范围</w:t>
            </w:r>
          </w:p>
        </w:tc>
        <w:tc>
          <w:tcPr>
            <w:tcW w:w="2876" w:type="pct"/>
            <w:vAlign w:val="center"/>
          </w:tcPr>
          <w:p>
            <w:pPr>
              <w:jc w:val="center"/>
              <w:rPr>
                <w:szCs w:val="21"/>
              </w:rPr>
            </w:pPr>
            <w:r>
              <w:rPr>
                <w:rFonts w:hint="eastAsia"/>
                <w:szCs w:val="21"/>
              </w:rPr>
              <w:t>根据本项目地下水勘查报告：单孔抽水井的影响半径约为40.65~137.99m，</w:t>
            </w:r>
            <w:r>
              <w:rPr>
                <w:rFonts w:hint="eastAsia" w:ascii="宋体" w:hAnsi="宋体"/>
                <w:szCs w:val="21"/>
              </w:rPr>
              <w:t>井群的引用影响半径约为</w:t>
            </w:r>
            <w:r>
              <w:rPr>
                <w:rFonts w:hint="eastAsia"/>
                <w:szCs w:val="21"/>
              </w:rPr>
              <w:t>3121.65</w:t>
            </w:r>
            <w:r>
              <w:rPr>
                <w:szCs w:val="21"/>
              </w:rPr>
              <w:t>~</w:t>
            </w:r>
            <w:r>
              <w:rPr>
                <w:rFonts w:hint="eastAsia"/>
                <w:szCs w:val="21"/>
              </w:rPr>
              <w:t>3218.99</w:t>
            </w:r>
            <w:r>
              <w:rPr>
                <w:szCs w:val="21"/>
              </w:rPr>
              <w:t>m</w:t>
            </w:r>
          </w:p>
        </w:tc>
        <w:tc>
          <w:tcPr>
            <w:tcW w:w="386" w:type="pct"/>
            <w:vAlign w:val="center"/>
          </w:tcPr>
          <w:p>
            <w:pPr>
              <w:jc w:val="center"/>
              <w:rPr>
                <w:szCs w:val="21"/>
              </w:rPr>
            </w:pPr>
            <w:r>
              <w:rPr>
                <w:rFonts w:hint="eastAsia"/>
                <w:szCs w:val="21"/>
              </w:rPr>
              <w:t>大</w:t>
            </w:r>
          </w:p>
        </w:tc>
        <w:tc>
          <w:tcPr>
            <w:tcW w:w="387" w:type="pct"/>
            <w:vMerge w:val="continue"/>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Merge w:val="continue"/>
            <w:vAlign w:val="center"/>
          </w:tcPr>
          <w:p>
            <w:pPr>
              <w:jc w:val="center"/>
              <w:rPr>
                <w:szCs w:val="21"/>
              </w:rPr>
            </w:pPr>
          </w:p>
        </w:tc>
        <w:tc>
          <w:tcPr>
            <w:tcW w:w="963" w:type="pct"/>
            <w:vAlign w:val="center"/>
          </w:tcPr>
          <w:p>
            <w:pPr>
              <w:jc w:val="center"/>
              <w:rPr>
                <w:szCs w:val="21"/>
              </w:rPr>
            </w:pPr>
            <w:r>
              <w:rPr>
                <w:szCs w:val="21"/>
              </w:rPr>
              <w:t>地下水环境敏感程度</w:t>
            </w:r>
          </w:p>
        </w:tc>
        <w:tc>
          <w:tcPr>
            <w:tcW w:w="2876" w:type="pct"/>
            <w:vAlign w:val="center"/>
          </w:tcPr>
          <w:p>
            <w:pPr>
              <w:jc w:val="center"/>
              <w:rPr>
                <w:szCs w:val="21"/>
              </w:rPr>
            </w:pPr>
            <w:r>
              <w:rPr>
                <w:rFonts w:hint="eastAsia"/>
                <w:szCs w:val="21"/>
              </w:rPr>
              <w:t>本项目位于泾河河漫滩，</w:t>
            </w:r>
            <w:r>
              <w:rPr>
                <w:szCs w:val="21"/>
              </w:rPr>
              <w:t>无集中式饮用水源地及保护区</w:t>
            </w:r>
          </w:p>
        </w:tc>
        <w:tc>
          <w:tcPr>
            <w:tcW w:w="386" w:type="pct"/>
            <w:vAlign w:val="center"/>
          </w:tcPr>
          <w:p>
            <w:pPr>
              <w:jc w:val="center"/>
              <w:rPr>
                <w:szCs w:val="21"/>
              </w:rPr>
            </w:pPr>
            <w:r>
              <w:rPr>
                <w:szCs w:val="21"/>
              </w:rPr>
              <w:t>不敏感</w:t>
            </w:r>
          </w:p>
        </w:tc>
        <w:tc>
          <w:tcPr>
            <w:tcW w:w="387" w:type="pct"/>
            <w:vMerge w:val="continue"/>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vMerge w:val="continue"/>
            <w:vAlign w:val="center"/>
          </w:tcPr>
          <w:p>
            <w:pPr>
              <w:jc w:val="center"/>
              <w:rPr>
                <w:szCs w:val="21"/>
              </w:rPr>
            </w:pPr>
          </w:p>
        </w:tc>
        <w:tc>
          <w:tcPr>
            <w:tcW w:w="963" w:type="pct"/>
            <w:vAlign w:val="center"/>
          </w:tcPr>
          <w:p>
            <w:pPr>
              <w:jc w:val="center"/>
              <w:rPr>
                <w:szCs w:val="21"/>
              </w:rPr>
            </w:pPr>
            <w:r>
              <w:rPr>
                <w:szCs w:val="21"/>
              </w:rPr>
              <w:t>环境水文地质问题</w:t>
            </w:r>
          </w:p>
        </w:tc>
        <w:tc>
          <w:tcPr>
            <w:tcW w:w="2876" w:type="pct"/>
            <w:vAlign w:val="center"/>
          </w:tcPr>
          <w:p>
            <w:pPr>
              <w:adjustRightInd w:val="0"/>
              <w:snapToGrid w:val="0"/>
              <w:jc w:val="center"/>
              <w:rPr>
                <w:szCs w:val="21"/>
              </w:rPr>
            </w:pPr>
            <w:r>
              <w:rPr>
                <w:rFonts w:hint="eastAsia"/>
                <w:szCs w:val="21"/>
              </w:rPr>
              <w:t>根据项目水资源论证报告：项目取水井基本不会产生地面沉降、地裂缝，无土壤盐渍化，沼泽化、荒漠化迹象</w:t>
            </w:r>
          </w:p>
        </w:tc>
        <w:tc>
          <w:tcPr>
            <w:tcW w:w="386" w:type="pct"/>
            <w:vAlign w:val="center"/>
          </w:tcPr>
          <w:p>
            <w:pPr>
              <w:jc w:val="center"/>
              <w:rPr>
                <w:szCs w:val="21"/>
              </w:rPr>
            </w:pPr>
            <w:r>
              <w:rPr>
                <w:szCs w:val="21"/>
              </w:rPr>
              <w:t>弱</w:t>
            </w:r>
          </w:p>
        </w:tc>
        <w:tc>
          <w:tcPr>
            <w:tcW w:w="387" w:type="pct"/>
            <w:vMerge w:val="continue"/>
            <w:vAlign w:val="center"/>
          </w:tcPr>
          <w:p>
            <w:pPr>
              <w:jc w:val="center"/>
              <w:rPr>
                <w:szCs w:val="21"/>
              </w:rPr>
            </w:pPr>
          </w:p>
        </w:tc>
      </w:tr>
    </w:tbl>
    <w:p>
      <w:pPr>
        <w:ind w:firstLine="420" w:firstLineChars="200"/>
        <w:rPr>
          <w:b/>
          <w:szCs w:val="21"/>
        </w:rPr>
      </w:pPr>
      <w:r>
        <w:rPr>
          <w:rFonts w:hint="eastAsia"/>
          <w:b/>
          <w:szCs w:val="21"/>
        </w:rPr>
        <w:t>注：井群的引用影响半径计算过程详见7.7.3节。</w:t>
      </w:r>
    </w:p>
    <w:p>
      <w:pPr>
        <w:pStyle w:val="62"/>
        <w:rPr>
          <w:color w:val="auto"/>
          <w:lang w:val="zh-CN"/>
        </w:rPr>
      </w:pPr>
      <w:r>
        <w:rPr>
          <w:rFonts w:hint="eastAsia"/>
          <w:color w:val="auto"/>
          <w:lang w:val="zh-CN"/>
        </w:rPr>
        <w:t>7.1.3</w:t>
      </w:r>
      <w:r>
        <w:rPr>
          <w:color w:val="auto"/>
          <w:lang w:val="zh-CN"/>
        </w:rPr>
        <w:t>评价</w:t>
      </w:r>
      <w:r>
        <w:rPr>
          <w:rFonts w:hint="eastAsia"/>
          <w:color w:val="auto"/>
          <w:lang w:val="zh-CN"/>
        </w:rPr>
        <w:t>范围</w:t>
      </w:r>
    </w:p>
    <w:p>
      <w:pPr>
        <w:pStyle w:val="63"/>
        <w:ind w:firstLine="480"/>
        <w:rPr>
          <w:color w:val="auto"/>
        </w:rPr>
      </w:pPr>
      <w:r>
        <w:rPr>
          <w:color w:val="auto"/>
        </w:rPr>
        <w:t>根据《环境影响评价技术导则地下水环境》（HJ 610-2011）的要求，</w:t>
      </w:r>
      <w:r>
        <w:rPr>
          <w:rFonts w:hint="eastAsia"/>
          <w:color w:val="auto"/>
        </w:rPr>
        <w:t>Ⅱ类建设项目地下水环境现状调查与评价的范围应包括建设项目建设、生产运行和服务期满后三个阶段的地下水水位变化的影响区域，其中应特别关注相关的环境保护目标和敏感区域，必要时应扩展至完整的水文地质单元，以及可能与建设项目所在的水文地质单元存在直接补排关系的区域。</w:t>
      </w:r>
    </w:p>
    <w:p>
      <w:pPr>
        <w:pStyle w:val="63"/>
        <w:ind w:firstLine="480"/>
        <w:rPr>
          <w:color w:val="auto"/>
        </w:rPr>
      </w:pPr>
      <w:r>
        <w:rPr>
          <w:rFonts w:hint="eastAsia"/>
          <w:color w:val="auto"/>
        </w:rPr>
        <w:t>根据水文地质单元和补排关系，本次地下水资源评价的范围综合考虑了区域水文地质特征和水文地质单元的相对完整性，最终确定本项目的</w:t>
      </w:r>
      <w:r>
        <w:rPr>
          <w:color w:val="auto"/>
        </w:rPr>
        <w:t>地下水评价范围</w:t>
      </w:r>
      <w:r>
        <w:rPr>
          <w:rFonts w:hint="eastAsia"/>
          <w:color w:val="auto"/>
        </w:rPr>
        <w:t>同泾河新城项目区地下水资源论证范围，总面积为1033.33km</w:t>
      </w:r>
      <w:r>
        <w:rPr>
          <w:rFonts w:hint="eastAsia"/>
          <w:color w:val="auto"/>
          <w:vertAlign w:val="superscript"/>
        </w:rPr>
        <w:t>2</w:t>
      </w:r>
      <w:r>
        <w:rPr>
          <w:rFonts w:hint="eastAsia"/>
          <w:color w:val="auto"/>
        </w:rPr>
        <w:t>。详见图7.1-1所示。</w:t>
      </w:r>
    </w:p>
    <w:p>
      <w:pPr>
        <w:spacing w:line="360" w:lineRule="auto"/>
        <w:ind w:firstLine="480" w:firstLineChars="200"/>
        <w:rPr>
          <w:sz w:val="24"/>
          <w:szCs w:val="20"/>
        </w:rPr>
      </w:pPr>
      <w:r>
        <w:rPr>
          <w:sz w:val="24"/>
          <w:szCs w:val="20"/>
        </w:rPr>
        <mc:AlternateContent>
          <mc:Choice Requires="wpg">
            <w:drawing>
              <wp:inline distT="0" distB="0" distL="114300" distR="114300">
                <wp:extent cx="5115560" cy="2961640"/>
                <wp:effectExtent l="9525" t="9525" r="18415" b="19685"/>
                <wp:docPr id="57" name="组合 124"/>
                <wp:cNvGraphicFramePr/>
                <a:graphic xmlns:a="http://schemas.openxmlformats.org/drawingml/2006/main">
                  <a:graphicData uri="http://schemas.microsoft.com/office/word/2010/wordprocessingGroup">
                    <wpg:wgp>
                      <wpg:cNvGrpSpPr/>
                      <wpg:grpSpPr>
                        <a:xfrm>
                          <a:off x="0" y="0"/>
                          <a:ext cx="5115560" cy="2961640"/>
                          <a:chOff x="0" y="0"/>
                          <a:chExt cx="8305" cy="5385"/>
                        </a:xfrm>
                      </wpg:grpSpPr>
                      <pic:pic xmlns:pic="http://schemas.openxmlformats.org/drawingml/2006/picture">
                        <pic:nvPicPr>
                          <pic:cNvPr id="7" name="图片 61" descr="西安市地形图"/>
                          <pic:cNvPicPr>
                            <a:picLocks noChangeAspect="1"/>
                          </pic:cNvPicPr>
                        </pic:nvPicPr>
                        <pic:blipFill>
                          <a:blip r:embed="rId28"/>
                          <a:stretch>
                            <a:fillRect/>
                          </a:stretch>
                        </pic:blipFill>
                        <pic:spPr>
                          <a:xfrm>
                            <a:off x="0" y="0"/>
                            <a:ext cx="8305" cy="5385"/>
                          </a:xfrm>
                          <a:prstGeom prst="rect">
                            <a:avLst/>
                          </a:prstGeom>
                          <a:noFill/>
                          <a:ln w="9525" cap="flat" cmpd="sng">
                            <a:solidFill>
                              <a:srgbClr val="000000"/>
                            </a:solidFill>
                            <a:prstDash val="solid"/>
                            <a:miter/>
                            <a:headEnd type="none" w="med" len="med"/>
                            <a:tailEnd type="none" w="med" len="med"/>
                          </a:ln>
                        </pic:spPr>
                      </pic:pic>
                      <wps:wsp>
                        <wps:cNvPr id="14" name="矩形标注 88"/>
                        <wps:cNvSpPr/>
                        <wps:spPr>
                          <a:xfrm flipV="1">
                            <a:off x="3036" y="2618"/>
                            <a:ext cx="1923" cy="368"/>
                          </a:xfrm>
                          <a:prstGeom prst="wedgeRectCallout">
                            <a:avLst>
                              <a:gd name="adj1" fmla="val -57472"/>
                              <a:gd name="adj2" fmla="val 103250"/>
                            </a:avLst>
                          </a:prstGeom>
                          <a:solidFill>
                            <a:srgbClr val="FFFFFF">
                              <a:alpha val="81960"/>
                            </a:srgbClr>
                          </a:solidFill>
                          <a:ln w="15875" cap="flat" cmpd="sng">
                            <a:solidFill>
                              <a:srgbClr val="0000FF"/>
                            </a:solidFill>
                            <a:prstDash val="solid"/>
                            <a:miter/>
                            <a:headEnd type="none" w="med" len="med"/>
                            <a:tailEnd type="none" w="med" len="med"/>
                          </a:ln>
                        </wps:spPr>
                        <wps:txbx>
                          <w:txbxContent>
                            <w:p>
                              <w:pPr>
                                <w:jc w:val="center"/>
                                <w:rPr>
                                  <w:b/>
                                  <w:bCs/>
                                  <w:sz w:val="18"/>
                                  <w:szCs w:val="18"/>
                                </w:rPr>
                              </w:pPr>
                              <w:r>
                                <w:rPr>
                                  <w:rFonts w:hint="eastAsia"/>
                                  <w:b/>
                                  <w:bCs/>
                                  <w:sz w:val="18"/>
                                  <w:szCs w:val="18"/>
                                </w:rPr>
                                <w:t>项目区范围</w:t>
                              </w:r>
                            </w:p>
                          </w:txbxContent>
                        </wps:txbx>
                        <wps:bodyPr lIns="14398" tIns="0" rIns="14398" bIns="0" upright="1"/>
                      </wps:wsp>
                      <wps:wsp>
                        <wps:cNvPr id="15" name="曲线 69"/>
                        <wps:cNvSpPr/>
                        <wps:spPr>
                          <a:xfrm>
                            <a:off x="242" y="39"/>
                            <a:ext cx="1841" cy="1197"/>
                          </a:xfrm>
                          <a:custGeom>
                            <a:avLst/>
                            <a:gdLst/>
                            <a:ahLst/>
                            <a:cxnLst>
                              <a:cxn ang="0">
                                <a:pos x="0" y="0"/>
                              </a:cxn>
                              <a:cxn ang="0">
                                <a:pos x="58" y="16"/>
                              </a:cxn>
                              <a:cxn ang="0">
                                <a:pos x="108" y="66"/>
                              </a:cxn>
                              <a:cxn ang="0">
                                <a:pos x="133" y="116"/>
                              </a:cxn>
                              <a:cxn ang="0">
                                <a:pos x="175" y="191"/>
                              </a:cxn>
                              <a:cxn ang="0">
                                <a:pos x="166" y="266"/>
                              </a:cxn>
                              <a:cxn ang="0">
                                <a:pos x="141" y="432"/>
                              </a:cxn>
                              <a:cxn ang="0">
                                <a:pos x="175" y="532"/>
                              </a:cxn>
                              <a:cxn ang="0">
                                <a:pos x="208" y="651"/>
                              </a:cxn>
                              <a:cxn ang="0">
                                <a:pos x="216" y="708"/>
                              </a:cxn>
                              <a:cxn ang="0">
                                <a:pos x="283" y="708"/>
                              </a:cxn>
                              <a:cxn ang="0">
                                <a:pos x="333" y="742"/>
                              </a:cxn>
                              <a:cxn ang="0">
                                <a:pos x="375" y="758"/>
                              </a:cxn>
                              <a:cxn ang="0">
                                <a:pos x="408" y="758"/>
                              </a:cxn>
                              <a:cxn ang="0">
                                <a:pos x="458" y="833"/>
                              </a:cxn>
                              <a:cxn ang="0">
                                <a:pos x="500" y="901"/>
                              </a:cxn>
                              <a:cxn ang="0">
                                <a:pos x="541" y="901"/>
                              </a:cxn>
                              <a:cxn ang="0">
                                <a:pos x="558" y="901"/>
                              </a:cxn>
                              <a:cxn ang="0">
                                <a:pos x="558" y="917"/>
                              </a:cxn>
                              <a:cxn ang="0">
                                <a:pos x="550" y="951"/>
                              </a:cxn>
                              <a:cxn ang="0">
                                <a:pos x="616" y="992"/>
                              </a:cxn>
                              <a:cxn ang="0">
                                <a:pos x="716" y="1033"/>
                              </a:cxn>
                              <a:cxn ang="0">
                                <a:pos x="783" y="1026"/>
                              </a:cxn>
                              <a:cxn ang="0">
                                <a:pos x="858" y="1067"/>
                              </a:cxn>
                              <a:cxn ang="0">
                                <a:pos x="1016" y="1117"/>
                              </a:cxn>
                              <a:cxn ang="0">
                                <a:pos x="1208" y="1142"/>
                              </a:cxn>
                              <a:cxn ang="0">
                                <a:pos x="1283" y="1151"/>
                              </a:cxn>
                              <a:cxn ang="0">
                                <a:pos x="1308" y="1176"/>
                              </a:cxn>
                              <a:cxn ang="0">
                                <a:pos x="1333" y="1167"/>
                              </a:cxn>
                              <a:cxn ang="0">
                                <a:pos x="1333" y="1142"/>
                              </a:cxn>
                              <a:cxn ang="0">
                                <a:pos x="1366" y="1176"/>
                              </a:cxn>
                              <a:cxn ang="0">
                                <a:pos x="1400" y="1183"/>
                              </a:cxn>
                              <a:cxn ang="0">
                                <a:pos x="1433" y="1158"/>
                              </a:cxn>
                              <a:cxn ang="0">
                                <a:pos x="1466" y="1151"/>
                              </a:cxn>
                              <a:cxn ang="0">
                                <a:pos x="1508" y="1158"/>
                              </a:cxn>
                              <a:cxn ang="0">
                                <a:pos x="1550" y="1192"/>
                              </a:cxn>
                              <a:cxn ang="0">
                                <a:pos x="1558" y="1158"/>
                              </a:cxn>
                              <a:cxn ang="0">
                                <a:pos x="1591" y="1167"/>
                              </a:cxn>
                              <a:cxn ang="0">
                                <a:pos x="1608" y="1192"/>
                              </a:cxn>
                              <a:cxn ang="0">
                                <a:pos x="1633" y="1192"/>
                              </a:cxn>
                              <a:cxn ang="0">
                                <a:pos x="1633" y="1167"/>
                              </a:cxn>
                              <a:cxn ang="0">
                                <a:pos x="1658" y="1192"/>
                              </a:cxn>
                              <a:cxn ang="0">
                                <a:pos x="1666" y="1192"/>
                              </a:cxn>
                              <a:cxn ang="0">
                                <a:pos x="1666" y="1167"/>
                              </a:cxn>
                              <a:cxn ang="0">
                                <a:pos x="1666" y="1151"/>
                              </a:cxn>
                              <a:cxn ang="0">
                                <a:pos x="1691" y="1158"/>
                              </a:cxn>
                              <a:cxn ang="0">
                                <a:pos x="1725" y="1183"/>
                              </a:cxn>
                              <a:cxn ang="0">
                                <a:pos x="1783" y="1183"/>
                              </a:cxn>
                              <a:cxn ang="0">
                                <a:pos x="1825" y="1183"/>
                              </a:cxn>
                              <a:cxn ang="0">
                                <a:pos x="1841" y="1183"/>
                              </a:cxn>
                            </a:cxnLst>
                            <a:pathLst>
                              <a:path w="21600" h="21600">
                                <a:moveTo>
                                  <a:pt x="0" y="0"/>
                                </a:moveTo>
                                <a:cubicBezTo>
                                  <a:pt x="129" y="36"/>
                                  <a:pt x="422" y="54"/>
                                  <a:pt x="680" y="288"/>
                                </a:cubicBezTo>
                                <a:cubicBezTo>
                                  <a:pt x="938" y="523"/>
                                  <a:pt x="1091" y="830"/>
                                  <a:pt x="1267" y="1191"/>
                                </a:cubicBezTo>
                                <a:cubicBezTo>
                                  <a:pt x="1443" y="1553"/>
                                  <a:pt x="1407" y="1643"/>
                                  <a:pt x="1560" y="2094"/>
                                </a:cubicBezTo>
                                <a:cubicBezTo>
                                  <a:pt x="1712" y="2546"/>
                                  <a:pt x="1971" y="2907"/>
                                  <a:pt x="2053" y="3449"/>
                                </a:cubicBezTo>
                                <a:cubicBezTo>
                                  <a:pt x="2135" y="3991"/>
                                  <a:pt x="2029" y="3937"/>
                                  <a:pt x="1947" y="4804"/>
                                </a:cubicBezTo>
                                <a:cubicBezTo>
                                  <a:pt x="1865" y="5670"/>
                                  <a:pt x="1630" y="6844"/>
                                  <a:pt x="1654" y="7802"/>
                                </a:cubicBezTo>
                                <a:cubicBezTo>
                                  <a:pt x="1677" y="8759"/>
                                  <a:pt x="1900" y="8813"/>
                                  <a:pt x="2053" y="9608"/>
                                </a:cubicBezTo>
                                <a:cubicBezTo>
                                  <a:pt x="2205" y="10402"/>
                                  <a:pt x="2346" y="11107"/>
                                  <a:pt x="2440" y="11739"/>
                                </a:cubicBezTo>
                                <a:cubicBezTo>
                                  <a:pt x="2534" y="12371"/>
                                  <a:pt x="2358" y="12569"/>
                                  <a:pt x="2534" y="12768"/>
                                </a:cubicBezTo>
                                <a:cubicBezTo>
                                  <a:pt x="2710" y="12967"/>
                                  <a:pt x="3050" y="12642"/>
                                  <a:pt x="3320" y="12768"/>
                                </a:cubicBezTo>
                                <a:cubicBezTo>
                                  <a:pt x="3590" y="12894"/>
                                  <a:pt x="3695" y="13202"/>
                                  <a:pt x="3907" y="13382"/>
                                </a:cubicBezTo>
                                <a:cubicBezTo>
                                  <a:pt x="4118" y="13563"/>
                                  <a:pt x="4223" y="13617"/>
                                  <a:pt x="4399" y="13671"/>
                                </a:cubicBezTo>
                                <a:cubicBezTo>
                                  <a:pt x="4575" y="13725"/>
                                  <a:pt x="4587" y="13400"/>
                                  <a:pt x="4786" y="13671"/>
                                </a:cubicBezTo>
                                <a:cubicBezTo>
                                  <a:pt x="4986" y="13942"/>
                                  <a:pt x="5162" y="14502"/>
                                  <a:pt x="5373" y="15026"/>
                                </a:cubicBezTo>
                                <a:cubicBezTo>
                                  <a:pt x="5584" y="15549"/>
                                  <a:pt x="5666" y="16001"/>
                                  <a:pt x="5866" y="16254"/>
                                </a:cubicBezTo>
                                <a:cubicBezTo>
                                  <a:pt x="6065" y="16507"/>
                                  <a:pt x="6206" y="16254"/>
                                  <a:pt x="6347" y="16254"/>
                                </a:cubicBezTo>
                                <a:cubicBezTo>
                                  <a:pt x="6488" y="16254"/>
                                  <a:pt x="6511" y="16200"/>
                                  <a:pt x="6546" y="16254"/>
                                </a:cubicBezTo>
                                <a:cubicBezTo>
                                  <a:pt x="6582" y="16308"/>
                                  <a:pt x="6570" y="16362"/>
                                  <a:pt x="6546" y="16543"/>
                                </a:cubicBezTo>
                                <a:cubicBezTo>
                                  <a:pt x="6523" y="16723"/>
                                  <a:pt x="6312" y="16886"/>
                                  <a:pt x="6453" y="17157"/>
                                </a:cubicBezTo>
                                <a:cubicBezTo>
                                  <a:pt x="6593" y="17428"/>
                                  <a:pt x="6840" y="17608"/>
                                  <a:pt x="7227" y="17897"/>
                                </a:cubicBezTo>
                                <a:cubicBezTo>
                                  <a:pt x="7614" y="18186"/>
                                  <a:pt x="8013" y="18511"/>
                                  <a:pt x="8400" y="18638"/>
                                </a:cubicBezTo>
                                <a:cubicBezTo>
                                  <a:pt x="8787" y="18764"/>
                                  <a:pt x="8858" y="18385"/>
                                  <a:pt x="9186" y="18511"/>
                                </a:cubicBezTo>
                                <a:cubicBezTo>
                                  <a:pt x="9515" y="18638"/>
                                  <a:pt x="9515" y="18927"/>
                                  <a:pt x="10066" y="19252"/>
                                </a:cubicBezTo>
                                <a:cubicBezTo>
                                  <a:pt x="10618" y="19577"/>
                                  <a:pt x="11099" y="19884"/>
                                  <a:pt x="11920" y="20155"/>
                                </a:cubicBezTo>
                                <a:cubicBezTo>
                                  <a:pt x="12741" y="20426"/>
                                  <a:pt x="13551" y="20480"/>
                                  <a:pt x="14173" y="20606"/>
                                </a:cubicBezTo>
                                <a:cubicBezTo>
                                  <a:pt x="14795" y="20733"/>
                                  <a:pt x="14818" y="20642"/>
                                  <a:pt x="15053" y="20769"/>
                                </a:cubicBezTo>
                                <a:cubicBezTo>
                                  <a:pt x="15287" y="20895"/>
                                  <a:pt x="15229" y="21166"/>
                                  <a:pt x="15346" y="21220"/>
                                </a:cubicBezTo>
                                <a:cubicBezTo>
                                  <a:pt x="15463" y="21274"/>
                                  <a:pt x="15581" y="21184"/>
                                  <a:pt x="15639" y="21058"/>
                                </a:cubicBezTo>
                                <a:cubicBezTo>
                                  <a:pt x="15698" y="20931"/>
                                  <a:pt x="15557" y="20570"/>
                                  <a:pt x="15639" y="20606"/>
                                </a:cubicBezTo>
                                <a:cubicBezTo>
                                  <a:pt x="15721" y="20642"/>
                                  <a:pt x="15874" y="21076"/>
                                  <a:pt x="16026" y="21220"/>
                                </a:cubicBezTo>
                                <a:cubicBezTo>
                                  <a:pt x="16179" y="21365"/>
                                  <a:pt x="16273" y="21419"/>
                                  <a:pt x="16425" y="21347"/>
                                </a:cubicBezTo>
                                <a:cubicBezTo>
                                  <a:pt x="16578" y="21274"/>
                                  <a:pt x="16660" y="21004"/>
                                  <a:pt x="16813" y="20895"/>
                                </a:cubicBezTo>
                                <a:cubicBezTo>
                                  <a:pt x="16965" y="20787"/>
                                  <a:pt x="17024" y="20769"/>
                                  <a:pt x="17200" y="20769"/>
                                </a:cubicBezTo>
                                <a:cubicBezTo>
                                  <a:pt x="17376" y="20769"/>
                                  <a:pt x="17493" y="20751"/>
                                  <a:pt x="17692" y="20895"/>
                                </a:cubicBezTo>
                                <a:cubicBezTo>
                                  <a:pt x="17892" y="21040"/>
                                  <a:pt x="18068" y="21509"/>
                                  <a:pt x="18185" y="21509"/>
                                </a:cubicBezTo>
                                <a:cubicBezTo>
                                  <a:pt x="18303" y="21509"/>
                                  <a:pt x="18185" y="20985"/>
                                  <a:pt x="18279" y="20895"/>
                                </a:cubicBezTo>
                                <a:cubicBezTo>
                                  <a:pt x="18373" y="20805"/>
                                  <a:pt x="18549" y="20931"/>
                                  <a:pt x="18666" y="21058"/>
                                </a:cubicBezTo>
                                <a:cubicBezTo>
                                  <a:pt x="18784" y="21184"/>
                                  <a:pt x="18772" y="21419"/>
                                  <a:pt x="18866" y="21509"/>
                                </a:cubicBezTo>
                                <a:cubicBezTo>
                                  <a:pt x="18960" y="21600"/>
                                  <a:pt x="19100" y="21600"/>
                                  <a:pt x="19159" y="21509"/>
                                </a:cubicBezTo>
                                <a:cubicBezTo>
                                  <a:pt x="19218" y="21419"/>
                                  <a:pt x="19100" y="21058"/>
                                  <a:pt x="19159" y="21058"/>
                                </a:cubicBezTo>
                                <a:cubicBezTo>
                                  <a:pt x="19218" y="21058"/>
                                  <a:pt x="19370" y="21419"/>
                                  <a:pt x="19452" y="21509"/>
                                </a:cubicBezTo>
                                <a:cubicBezTo>
                                  <a:pt x="19535" y="21600"/>
                                  <a:pt x="19523" y="21600"/>
                                  <a:pt x="19546" y="21509"/>
                                </a:cubicBezTo>
                                <a:cubicBezTo>
                                  <a:pt x="19570" y="21419"/>
                                  <a:pt x="19546" y="21202"/>
                                  <a:pt x="19546" y="21058"/>
                                </a:cubicBezTo>
                                <a:cubicBezTo>
                                  <a:pt x="19546" y="20913"/>
                                  <a:pt x="19488" y="20805"/>
                                  <a:pt x="19546" y="20769"/>
                                </a:cubicBezTo>
                                <a:cubicBezTo>
                                  <a:pt x="19605" y="20733"/>
                                  <a:pt x="19699" y="20787"/>
                                  <a:pt x="19840" y="20895"/>
                                </a:cubicBezTo>
                                <a:cubicBezTo>
                                  <a:pt x="19980" y="21004"/>
                                  <a:pt x="20027" y="21256"/>
                                  <a:pt x="20239" y="21347"/>
                                </a:cubicBezTo>
                                <a:cubicBezTo>
                                  <a:pt x="20450" y="21437"/>
                                  <a:pt x="20684" y="21347"/>
                                  <a:pt x="20919" y="21347"/>
                                </a:cubicBezTo>
                                <a:cubicBezTo>
                                  <a:pt x="21154" y="21347"/>
                                  <a:pt x="21271" y="21347"/>
                                  <a:pt x="21412" y="21347"/>
                                </a:cubicBezTo>
                                <a:cubicBezTo>
                                  <a:pt x="21553" y="21347"/>
                                  <a:pt x="21330" y="21256"/>
                                  <a:pt x="21600" y="21347"/>
                                </a:cubicBezTo>
                              </a:path>
                            </a:pathLst>
                          </a:custGeom>
                          <a:noFill/>
                          <a:ln w="15875" cap="flat" cmpd="sng">
                            <a:solidFill>
                              <a:srgbClr val="0000FF"/>
                            </a:solidFill>
                            <a:prstDash val="solid"/>
                            <a:headEnd type="none" w="med" len="med"/>
                            <a:tailEnd type="none" w="med" len="med"/>
                          </a:ln>
                        </wps:spPr>
                        <wps:bodyPr wrap="square" anchor="t" anchorCtr="0" upright="1"/>
                      </wps:wsp>
                      <wps:wsp>
                        <wps:cNvPr id="16" name="曲线 71"/>
                        <wps:cNvSpPr/>
                        <wps:spPr>
                          <a:xfrm>
                            <a:off x="1883" y="55"/>
                            <a:ext cx="4525" cy="1818"/>
                          </a:xfrm>
                          <a:custGeom>
                            <a:avLst/>
                            <a:gdLst/>
                            <a:ahLst/>
                            <a:cxnLst>
                              <a:cxn ang="0">
                                <a:pos x="41" y="41"/>
                              </a:cxn>
                              <a:cxn ang="0">
                                <a:pos x="108" y="157"/>
                              </a:cxn>
                              <a:cxn ang="0">
                                <a:pos x="184" y="191"/>
                              </a:cxn>
                              <a:cxn ang="0">
                                <a:pos x="258" y="241"/>
                              </a:cxn>
                              <a:cxn ang="0">
                                <a:pos x="341" y="225"/>
                              </a:cxn>
                              <a:cxn ang="0">
                                <a:pos x="450" y="450"/>
                              </a:cxn>
                              <a:cxn ang="0">
                                <a:pos x="508" y="650"/>
                              </a:cxn>
                              <a:cxn ang="0">
                                <a:pos x="508" y="816"/>
                              </a:cxn>
                              <a:cxn ang="0">
                                <a:pos x="466" y="941"/>
                              </a:cxn>
                              <a:cxn ang="0">
                                <a:pos x="375" y="950"/>
                              </a:cxn>
                              <a:cxn ang="0">
                                <a:pos x="291" y="925"/>
                              </a:cxn>
                              <a:cxn ang="0">
                                <a:pos x="208" y="900"/>
                              </a:cxn>
                              <a:cxn ang="0">
                                <a:pos x="184" y="941"/>
                              </a:cxn>
                              <a:cxn ang="0">
                                <a:pos x="166" y="1067"/>
                              </a:cxn>
                              <a:cxn ang="0">
                                <a:pos x="208" y="1176"/>
                              </a:cxn>
                              <a:cxn ang="0">
                                <a:pos x="184" y="1251"/>
                              </a:cxn>
                              <a:cxn ang="0">
                                <a:pos x="191" y="1301"/>
                              </a:cxn>
                              <a:cxn ang="0">
                                <a:pos x="225" y="1401"/>
                              </a:cxn>
                              <a:cxn ang="0">
                                <a:pos x="383" y="1383"/>
                              </a:cxn>
                              <a:cxn ang="0">
                                <a:pos x="625" y="1408"/>
                              </a:cxn>
                              <a:cxn ang="0">
                                <a:pos x="791" y="1317"/>
                              </a:cxn>
                              <a:cxn ang="0">
                                <a:pos x="983" y="1283"/>
                              </a:cxn>
                              <a:cxn ang="0">
                                <a:pos x="1083" y="1276"/>
                              </a:cxn>
                              <a:cxn ang="0">
                                <a:pos x="1200" y="1283"/>
                              </a:cxn>
                              <a:cxn ang="0">
                                <a:pos x="1333" y="1217"/>
                              </a:cxn>
                              <a:cxn ang="0">
                                <a:pos x="1483" y="1158"/>
                              </a:cxn>
                              <a:cxn ang="0">
                                <a:pos x="1650" y="1176"/>
                              </a:cxn>
                              <a:cxn ang="0">
                                <a:pos x="1950" y="1108"/>
                              </a:cxn>
                              <a:cxn ang="0">
                                <a:pos x="2034" y="1133"/>
                              </a:cxn>
                              <a:cxn ang="0">
                                <a:pos x="2191" y="1158"/>
                              </a:cxn>
                              <a:cxn ang="0">
                                <a:pos x="2416" y="1108"/>
                              </a:cxn>
                              <a:cxn ang="0">
                                <a:pos x="2525" y="1158"/>
                              </a:cxn>
                              <a:cxn ang="0">
                                <a:pos x="2675" y="1176"/>
                              </a:cxn>
                              <a:cxn ang="0">
                                <a:pos x="2850" y="1251"/>
                              </a:cxn>
                              <a:cxn ang="0">
                                <a:pos x="2966" y="1408"/>
                              </a:cxn>
                              <a:cxn ang="0">
                                <a:pos x="3050" y="1592"/>
                              </a:cxn>
                              <a:cxn ang="0">
                                <a:pos x="3183" y="1767"/>
                              </a:cxn>
                              <a:cxn ang="0">
                                <a:pos x="3333" y="1808"/>
                              </a:cxn>
                              <a:cxn ang="0">
                                <a:pos x="3583" y="1783"/>
                              </a:cxn>
                              <a:cxn ang="0">
                                <a:pos x="3775" y="1792"/>
                              </a:cxn>
                              <a:cxn ang="0">
                                <a:pos x="3983" y="1767"/>
                              </a:cxn>
                              <a:cxn ang="0">
                                <a:pos x="4133" y="1726"/>
                              </a:cxn>
                              <a:cxn ang="0">
                                <a:pos x="4375" y="1658"/>
                              </a:cxn>
                              <a:cxn ang="0">
                                <a:pos x="4471" y="1645"/>
                              </a:cxn>
                              <a:cxn ang="0">
                                <a:pos x="4525" y="1674"/>
                              </a:cxn>
                            </a:cxnLst>
                            <a:pathLst>
                              <a:path w="21600" h="21600">
                                <a:moveTo>
                                  <a:pt x="0" y="0"/>
                                </a:moveTo>
                                <a:cubicBezTo>
                                  <a:pt x="0" y="0"/>
                                  <a:pt x="28" y="71"/>
                                  <a:pt x="76" y="190"/>
                                </a:cubicBezTo>
                                <a:cubicBezTo>
                                  <a:pt x="124" y="309"/>
                                  <a:pt x="138" y="309"/>
                                  <a:pt x="195" y="487"/>
                                </a:cubicBezTo>
                                <a:cubicBezTo>
                                  <a:pt x="252" y="665"/>
                                  <a:pt x="300" y="903"/>
                                  <a:pt x="358" y="1081"/>
                                </a:cubicBezTo>
                                <a:cubicBezTo>
                                  <a:pt x="415" y="1260"/>
                                  <a:pt x="443" y="1224"/>
                                  <a:pt x="477" y="1378"/>
                                </a:cubicBezTo>
                                <a:cubicBezTo>
                                  <a:pt x="510" y="1533"/>
                                  <a:pt x="482" y="1723"/>
                                  <a:pt x="515" y="1866"/>
                                </a:cubicBezTo>
                                <a:cubicBezTo>
                                  <a:pt x="548" y="2009"/>
                                  <a:pt x="596" y="2139"/>
                                  <a:pt x="634" y="2080"/>
                                </a:cubicBezTo>
                                <a:cubicBezTo>
                                  <a:pt x="673" y="2020"/>
                                  <a:pt x="668" y="1533"/>
                                  <a:pt x="716" y="1569"/>
                                </a:cubicBezTo>
                                <a:cubicBezTo>
                                  <a:pt x="763" y="1604"/>
                                  <a:pt x="816" y="2151"/>
                                  <a:pt x="878" y="2270"/>
                                </a:cubicBezTo>
                                <a:cubicBezTo>
                                  <a:pt x="930" y="2389"/>
                                  <a:pt x="945" y="2199"/>
                                  <a:pt x="992" y="2163"/>
                                </a:cubicBezTo>
                                <a:cubicBezTo>
                                  <a:pt x="1040" y="2127"/>
                                  <a:pt x="1064" y="1937"/>
                                  <a:pt x="1112" y="2080"/>
                                </a:cubicBezTo>
                                <a:cubicBezTo>
                                  <a:pt x="1159" y="2223"/>
                                  <a:pt x="1183" y="2686"/>
                                  <a:pt x="1231" y="2864"/>
                                </a:cubicBezTo>
                                <a:cubicBezTo>
                                  <a:pt x="1279" y="3043"/>
                                  <a:pt x="1293" y="3007"/>
                                  <a:pt x="1350" y="2971"/>
                                </a:cubicBezTo>
                                <a:cubicBezTo>
                                  <a:pt x="1408" y="2936"/>
                                  <a:pt x="1451" y="2734"/>
                                  <a:pt x="1508" y="2674"/>
                                </a:cubicBezTo>
                                <a:cubicBezTo>
                                  <a:pt x="1565" y="2615"/>
                                  <a:pt x="1580" y="2555"/>
                                  <a:pt x="1627" y="2674"/>
                                </a:cubicBezTo>
                                <a:cubicBezTo>
                                  <a:pt x="1675" y="2793"/>
                                  <a:pt x="1699" y="2971"/>
                                  <a:pt x="1761" y="3269"/>
                                </a:cubicBezTo>
                                <a:cubicBezTo>
                                  <a:pt x="1794" y="3566"/>
                                  <a:pt x="1785" y="3744"/>
                                  <a:pt x="1866" y="4160"/>
                                </a:cubicBezTo>
                                <a:cubicBezTo>
                                  <a:pt x="1947" y="4576"/>
                                  <a:pt x="2062" y="4980"/>
                                  <a:pt x="2148" y="5349"/>
                                </a:cubicBezTo>
                                <a:cubicBezTo>
                                  <a:pt x="2233" y="5717"/>
                                  <a:pt x="2281" y="5753"/>
                                  <a:pt x="2305" y="6027"/>
                                </a:cubicBezTo>
                                <a:cubicBezTo>
                                  <a:pt x="2329" y="6300"/>
                                  <a:pt x="2243" y="6383"/>
                                  <a:pt x="2267" y="6728"/>
                                </a:cubicBezTo>
                                <a:cubicBezTo>
                                  <a:pt x="2291" y="7073"/>
                                  <a:pt x="2439" y="7394"/>
                                  <a:pt x="2424" y="7727"/>
                                </a:cubicBezTo>
                                <a:cubicBezTo>
                                  <a:pt x="2410" y="8059"/>
                                  <a:pt x="2243" y="8190"/>
                                  <a:pt x="2186" y="8404"/>
                                </a:cubicBezTo>
                                <a:cubicBezTo>
                                  <a:pt x="2128" y="8618"/>
                                  <a:pt x="2100" y="8547"/>
                                  <a:pt x="2148" y="8808"/>
                                </a:cubicBezTo>
                                <a:cubicBezTo>
                                  <a:pt x="2195" y="9094"/>
                                  <a:pt x="2377" y="9403"/>
                                  <a:pt x="2424" y="9700"/>
                                </a:cubicBezTo>
                                <a:cubicBezTo>
                                  <a:pt x="2472" y="9997"/>
                                  <a:pt x="2410" y="10092"/>
                                  <a:pt x="2386" y="10294"/>
                                </a:cubicBezTo>
                                <a:cubicBezTo>
                                  <a:pt x="2362" y="10496"/>
                                  <a:pt x="2339" y="10520"/>
                                  <a:pt x="2305" y="10698"/>
                                </a:cubicBezTo>
                                <a:cubicBezTo>
                                  <a:pt x="2272" y="10877"/>
                                  <a:pt x="2286" y="11055"/>
                                  <a:pt x="2224" y="11186"/>
                                </a:cubicBezTo>
                                <a:cubicBezTo>
                                  <a:pt x="2162" y="11317"/>
                                  <a:pt x="2066" y="11412"/>
                                  <a:pt x="1985" y="11376"/>
                                </a:cubicBezTo>
                                <a:cubicBezTo>
                                  <a:pt x="1904" y="11340"/>
                                  <a:pt x="1866" y="11008"/>
                                  <a:pt x="1828" y="10996"/>
                                </a:cubicBezTo>
                                <a:cubicBezTo>
                                  <a:pt x="1790" y="10984"/>
                                  <a:pt x="1847" y="11293"/>
                                  <a:pt x="1790" y="11293"/>
                                </a:cubicBezTo>
                                <a:cubicBezTo>
                                  <a:pt x="1737" y="11293"/>
                                  <a:pt x="1632" y="11138"/>
                                  <a:pt x="1551" y="10996"/>
                                </a:cubicBezTo>
                                <a:cubicBezTo>
                                  <a:pt x="1470" y="10853"/>
                                  <a:pt x="1422" y="10591"/>
                                  <a:pt x="1389" y="10591"/>
                                </a:cubicBezTo>
                                <a:cubicBezTo>
                                  <a:pt x="1355" y="10591"/>
                                  <a:pt x="1403" y="10901"/>
                                  <a:pt x="1389" y="10996"/>
                                </a:cubicBezTo>
                                <a:cubicBezTo>
                                  <a:pt x="1374" y="11091"/>
                                  <a:pt x="1374" y="11103"/>
                                  <a:pt x="1312" y="11079"/>
                                </a:cubicBezTo>
                                <a:cubicBezTo>
                                  <a:pt x="1250" y="11055"/>
                                  <a:pt x="1136" y="10960"/>
                                  <a:pt x="1074" y="10889"/>
                                </a:cubicBezTo>
                                <a:cubicBezTo>
                                  <a:pt x="1011" y="10817"/>
                                  <a:pt x="1040" y="10782"/>
                                  <a:pt x="992" y="10698"/>
                                </a:cubicBezTo>
                                <a:cubicBezTo>
                                  <a:pt x="945" y="10615"/>
                                  <a:pt x="878" y="10473"/>
                                  <a:pt x="835" y="10484"/>
                                </a:cubicBezTo>
                                <a:cubicBezTo>
                                  <a:pt x="811" y="10496"/>
                                  <a:pt x="878" y="10639"/>
                                  <a:pt x="878" y="10782"/>
                                </a:cubicBezTo>
                                <a:cubicBezTo>
                                  <a:pt x="883" y="10924"/>
                                  <a:pt x="887" y="10948"/>
                                  <a:pt x="878" y="11186"/>
                                </a:cubicBezTo>
                                <a:cubicBezTo>
                                  <a:pt x="878" y="11424"/>
                                  <a:pt x="792" y="11792"/>
                                  <a:pt x="792" y="11970"/>
                                </a:cubicBezTo>
                                <a:cubicBezTo>
                                  <a:pt x="792" y="12149"/>
                                  <a:pt x="878" y="11935"/>
                                  <a:pt x="878" y="12077"/>
                                </a:cubicBezTo>
                                <a:cubicBezTo>
                                  <a:pt x="878" y="12220"/>
                                  <a:pt x="806" y="12470"/>
                                  <a:pt x="792" y="12672"/>
                                </a:cubicBezTo>
                                <a:cubicBezTo>
                                  <a:pt x="778" y="12874"/>
                                  <a:pt x="758" y="12838"/>
                                  <a:pt x="792" y="13076"/>
                                </a:cubicBezTo>
                                <a:cubicBezTo>
                                  <a:pt x="825" y="13314"/>
                                  <a:pt x="916" y="13682"/>
                                  <a:pt x="954" y="13861"/>
                                </a:cubicBezTo>
                                <a:cubicBezTo>
                                  <a:pt x="992" y="14039"/>
                                  <a:pt x="1016" y="13872"/>
                                  <a:pt x="992" y="13968"/>
                                </a:cubicBezTo>
                                <a:cubicBezTo>
                                  <a:pt x="969" y="14063"/>
                                  <a:pt x="878" y="14229"/>
                                  <a:pt x="835" y="14348"/>
                                </a:cubicBezTo>
                                <a:cubicBezTo>
                                  <a:pt x="797" y="14467"/>
                                  <a:pt x="782" y="14455"/>
                                  <a:pt x="792" y="14562"/>
                                </a:cubicBezTo>
                                <a:cubicBezTo>
                                  <a:pt x="801" y="14669"/>
                                  <a:pt x="883" y="14740"/>
                                  <a:pt x="878" y="14859"/>
                                </a:cubicBezTo>
                                <a:cubicBezTo>
                                  <a:pt x="878" y="14978"/>
                                  <a:pt x="763" y="15037"/>
                                  <a:pt x="754" y="15156"/>
                                </a:cubicBezTo>
                                <a:cubicBezTo>
                                  <a:pt x="744" y="15275"/>
                                  <a:pt x="801" y="15394"/>
                                  <a:pt x="835" y="15454"/>
                                </a:cubicBezTo>
                                <a:cubicBezTo>
                                  <a:pt x="878" y="15513"/>
                                  <a:pt x="911" y="15394"/>
                                  <a:pt x="911" y="15454"/>
                                </a:cubicBezTo>
                                <a:cubicBezTo>
                                  <a:pt x="911" y="15513"/>
                                  <a:pt x="835" y="15596"/>
                                  <a:pt x="835" y="15751"/>
                                </a:cubicBezTo>
                                <a:cubicBezTo>
                                  <a:pt x="835" y="15905"/>
                                  <a:pt x="878" y="16060"/>
                                  <a:pt x="911" y="16238"/>
                                </a:cubicBezTo>
                                <a:cubicBezTo>
                                  <a:pt x="959" y="16416"/>
                                  <a:pt x="978" y="16547"/>
                                  <a:pt x="1074" y="16642"/>
                                </a:cubicBezTo>
                                <a:cubicBezTo>
                                  <a:pt x="1169" y="16737"/>
                                  <a:pt x="1303" y="16714"/>
                                  <a:pt x="1389" y="16726"/>
                                </a:cubicBezTo>
                                <a:cubicBezTo>
                                  <a:pt x="1475" y="16737"/>
                                  <a:pt x="1422" y="16785"/>
                                  <a:pt x="1508" y="16726"/>
                                </a:cubicBezTo>
                                <a:cubicBezTo>
                                  <a:pt x="1594" y="16666"/>
                                  <a:pt x="1613" y="16369"/>
                                  <a:pt x="1828" y="16428"/>
                                </a:cubicBezTo>
                                <a:cubicBezTo>
                                  <a:pt x="2043" y="16488"/>
                                  <a:pt x="2381" y="16904"/>
                                  <a:pt x="2582" y="17023"/>
                                </a:cubicBezTo>
                                <a:cubicBezTo>
                                  <a:pt x="2782" y="17142"/>
                                  <a:pt x="2739" y="17082"/>
                                  <a:pt x="2821" y="17023"/>
                                </a:cubicBezTo>
                                <a:cubicBezTo>
                                  <a:pt x="2902" y="16963"/>
                                  <a:pt x="2911" y="16821"/>
                                  <a:pt x="2983" y="16726"/>
                                </a:cubicBezTo>
                                <a:cubicBezTo>
                                  <a:pt x="3055" y="16630"/>
                                  <a:pt x="3083" y="16654"/>
                                  <a:pt x="3179" y="16535"/>
                                </a:cubicBezTo>
                                <a:cubicBezTo>
                                  <a:pt x="3274" y="16416"/>
                                  <a:pt x="3341" y="16309"/>
                                  <a:pt x="3460" y="16131"/>
                                </a:cubicBezTo>
                                <a:cubicBezTo>
                                  <a:pt x="3580" y="15953"/>
                                  <a:pt x="3666" y="15775"/>
                                  <a:pt x="3775" y="15644"/>
                                </a:cubicBezTo>
                                <a:cubicBezTo>
                                  <a:pt x="3885" y="15513"/>
                                  <a:pt x="3871" y="15477"/>
                                  <a:pt x="4014" y="15454"/>
                                </a:cubicBezTo>
                                <a:cubicBezTo>
                                  <a:pt x="4157" y="15430"/>
                                  <a:pt x="4358" y="15596"/>
                                  <a:pt x="4491" y="15537"/>
                                </a:cubicBezTo>
                                <a:cubicBezTo>
                                  <a:pt x="4625" y="15489"/>
                                  <a:pt x="4596" y="15251"/>
                                  <a:pt x="4692" y="15240"/>
                                </a:cubicBezTo>
                                <a:cubicBezTo>
                                  <a:pt x="4787" y="15228"/>
                                  <a:pt x="4888" y="15406"/>
                                  <a:pt x="4969" y="15454"/>
                                </a:cubicBezTo>
                                <a:cubicBezTo>
                                  <a:pt x="5050" y="15501"/>
                                  <a:pt x="5050" y="15513"/>
                                  <a:pt x="5088" y="15454"/>
                                </a:cubicBezTo>
                                <a:cubicBezTo>
                                  <a:pt x="5126" y="15394"/>
                                  <a:pt x="5155" y="15240"/>
                                  <a:pt x="5169" y="15156"/>
                                </a:cubicBezTo>
                                <a:cubicBezTo>
                                  <a:pt x="5184" y="15073"/>
                                  <a:pt x="5112" y="15037"/>
                                  <a:pt x="5169" y="15049"/>
                                </a:cubicBezTo>
                                <a:cubicBezTo>
                                  <a:pt x="5226" y="15061"/>
                                  <a:pt x="5336" y="15204"/>
                                  <a:pt x="5446" y="15240"/>
                                </a:cubicBezTo>
                                <a:cubicBezTo>
                                  <a:pt x="5556" y="15275"/>
                                  <a:pt x="5666" y="15299"/>
                                  <a:pt x="5728" y="15240"/>
                                </a:cubicBezTo>
                                <a:cubicBezTo>
                                  <a:pt x="5790" y="15180"/>
                                  <a:pt x="5694" y="15037"/>
                                  <a:pt x="5766" y="14942"/>
                                </a:cubicBezTo>
                                <a:cubicBezTo>
                                  <a:pt x="5837" y="14847"/>
                                  <a:pt x="5966" y="14847"/>
                                  <a:pt x="6086" y="14752"/>
                                </a:cubicBezTo>
                                <a:cubicBezTo>
                                  <a:pt x="6205" y="14657"/>
                                  <a:pt x="6277" y="14538"/>
                                  <a:pt x="6363" y="14455"/>
                                </a:cubicBezTo>
                                <a:cubicBezTo>
                                  <a:pt x="6448" y="14372"/>
                                  <a:pt x="6482" y="14443"/>
                                  <a:pt x="6520" y="14348"/>
                                </a:cubicBezTo>
                                <a:cubicBezTo>
                                  <a:pt x="6558" y="14253"/>
                                  <a:pt x="6453" y="14086"/>
                                  <a:pt x="6563" y="13968"/>
                                </a:cubicBezTo>
                                <a:cubicBezTo>
                                  <a:pt x="6673" y="13849"/>
                                  <a:pt x="6935" y="13801"/>
                                  <a:pt x="7079" y="13754"/>
                                </a:cubicBezTo>
                                <a:cubicBezTo>
                                  <a:pt x="7222" y="13706"/>
                                  <a:pt x="7184" y="13754"/>
                                  <a:pt x="7279" y="13754"/>
                                </a:cubicBezTo>
                                <a:cubicBezTo>
                                  <a:pt x="7375" y="13754"/>
                                  <a:pt x="7437" y="13706"/>
                                  <a:pt x="7556" y="13754"/>
                                </a:cubicBezTo>
                                <a:cubicBezTo>
                                  <a:pt x="7675" y="13801"/>
                                  <a:pt x="7723" y="13944"/>
                                  <a:pt x="7876" y="13968"/>
                                </a:cubicBezTo>
                                <a:cubicBezTo>
                                  <a:pt x="8028" y="13991"/>
                                  <a:pt x="8110" y="13968"/>
                                  <a:pt x="8310" y="13861"/>
                                </a:cubicBezTo>
                                <a:cubicBezTo>
                                  <a:pt x="8511" y="13754"/>
                                  <a:pt x="8668" y="13647"/>
                                  <a:pt x="8869" y="13456"/>
                                </a:cubicBezTo>
                                <a:cubicBezTo>
                                  <a:pt x="9069" y="13314"/>
                                  <a:pt x="9188" y="13135"/>
                                  <a:pt x="9308" y="13159"/>
                                </a:cubicBezTo>
                                <a:cubicBezTo>
                                  <a:pt x="9427" y="13183"/>
                                  <a:pt x="9418" y="13456"/>
                                  <a:pt x="9465" y="13563"/>
                                </a:cubicBezTo>
                                <a:cubicBezTo>
                                  <a:pt x="9513" y="13670"/>
                                  <a:pt x="9499" y="13694"/>
                                  <a:pt x="9546" y="13670"/>
                                </a:cubicBezTo>
                                <a:cubicBezTo>
                                  <a:pt x="9594" y="13647"/>
                                  <a:pt x="9647" y="13575"/>
                                  <a:pt x="9709" y="13456"/>
                                </a:cubicBezTo>
                                <a:cubicBezTo>
                                  <a:pt x="9761" y="13338"/>
                                  <a:pt x="9714" y="13135"/>
                                  <a:pt x="9823" y="13076"/>
                                </a:cubicBezTo>
                                <a:cubicBezTo>
                                  <a:pt x="9933" y="13017"/>
                                  <a:pt x="10134" y="13028"/>
                                  <a:pt x="10262" y="13159"/>
                                </a:cubicBezTo>
                                <a:cubicBezTo>
                                  <a:pt x="10391" y="13290"/>
                                  <a:pt x="10372" y="13694"/>
                                  <a:pt x="10458" y="13754"/>
                                </a:cubicBezTo>
                                <a:cubicBezTo>
                                  <a:pt x="10544" y="13813"/>
                                  <a:pt x="10563" y="13575"/>
                                  <a:pt x="10697" y="13456"/>
                                </a:cubicBezTo>
                                <a:cubicBezTo>
                                  <a:pt x="10831" y="13338"/>
                                  <a:pt x="10969" y="13219"/>
                                  <a:pt x="11136" y="13159"/>
                                </a:cubicBezTo>
                                <a:cubicBezTo>
                                  <a:pt x="11303" y="13100"/>
                                  <a:pt x="11375" y="13195"/>
                                  <a:pt x="11532" y="13159"/>
                                </a:cubicBezTo>
                                <a:cubicBezTo>
                                  <a:pt x="11690" y="13124"/>
                                  <a:pt x="11828" y="12969"/>
                                  <a:pt x="11933" y="12969"/>
                                </a:cubicBezTo>
                                <a:cubicBezTo>
                                  <a:pt x="12038" y="12969"/>
                                  <a:pt x="12029" y="13005"/>
                                  <a:pt x="12053" y="13159"/>
                                </a:cubicBezTo>
                                <a:cubicBezTo>
                                  <a:pt x="12076" y="13314"/>
                                  <a:pt x="12014" y="13575"/>
                                  <a:pt x="12053" y="13754"/>
                                </a:cubicBezTo>
                                <a:cubicBezTo>
                                  <a:pt x="12091" y="13932"/>
                                  <a:pt x="12143" y="13991"/>
                                  <a:pt x="12248" y="14051"/>
                                </a:cubicBezTo>
                                <a:cubicBezTo>
                                  <a:pt x="12358" y="14110"/>
                                  <a:pt x="12463" y="14063"/>
                                  <a:pt x="12568" y="14051"/>
                                </a:cubicBezTo>
                                <a:cubicBezTo>
                                  <a:pt x="12673" y="14039"/>
                                  <a:pt x="12659" y="14003"/>
                                  <a:pt x="12769" y="13968"/>
                                </a:cubicBezTo>
                                <a:cubicBezTo>
                                  <a:pt x="12878" y="13932"/>
                                  <a:pt x="13007" y="13789"/>
                                  <a:pt x="13127" y="13861"/>
                                </a:cubicBezTo>
                                <a:cubicBezTo>
                                  <a:pt x="13246" y="13932"/>
                                  <a:pt x="13270" y="14146"/>
                                  <a:pt x="13365" y="14348"/>
                                </a:cubicBezTo>
                                <a:cubicBezTo>
                                  <a:pt x="13465" y="14550"/>
                                  <a:pt x="13494" y="14621"/>
                                  <a:pt x="13604" y="14859"/>
                                </a:cubicBezTo>
                                <a:cubicBezTo>
                                  <a:pt x="13714" y="15097"/>
                                  <a:pt x="13847" y="15240"/>
                                  <a:pt x="13919" y="15537"/>
                                </a:cubicBezTo>
                                <a:cubicBezTo>
                                  <a:pt x="13991" y="15834"/>
                                  <a:pt x="13914" y="16107"/>
                                  <a:pt x="13962" y="16345"/>
                                </a:cubicBezTo>
                                <a:cubicBezTo>
                                  <a:pt x="14010" y="16583"/>
                                  <a:pt x="14076" y="16607"/>
                                  <a:pt x="14158" y="16726"/>
                                </a:cubicBezTo>
                                <a:cubicBezTo>
                                  <a:pt x="14239" y="16844"/>
                                  <a:pt x="14277" y="16702"/>
                                  <a:pt x="14358" y="16940"/>
                                </a:cubicBezTo>
                                <a:cubicBezTo>
                                  <a:pt x="14439" y="17177"/>
                                  <a:pt x="14520" y="17522"/>
                                  <a:pt x="14559" y="17914"/>
                                </a:cubicBezTo>
                                <a:cubicBezTo>
                                  <a:pt x="14597" y="18307"/>
                                  <a:pt x="14544" y="18651"/>
                                  <a:pt x="14559" y="18913"/>
                                </a:cubicBezTo>
                                <a:cubicBezTo>
                                  <a:pt x="14573" y="19174"/>
                                  <a:pt x="14554" y="18972"/>
                                  <a:pt x="14635" y="19210"/>
                                </a:cubicBezTo>
                                <a:cubicBezTo>
                                  <a:pt x="14716" y="19448"/>
                                  <a:pt x="14845" y="19745"/>
                                  <a:pt x="14955" y="20102"/>
                                </a:cubicBezTo>
                                <a:cubicBezTo>
                                  <a:pt x="15065" y="20458"/>
                                  <a:pt x="15108" y="20815"/>
                                  <a:pt x="15193" y="20993"/>
                                </a:cubicBezTo>
                                <a:cubicBezTo>
                                  <a:pt x="15279" y="21172"/>
                                  <a:pt x="15313" y="20969"/>
                                  <a:pt x="15394" y="20993"/>
                                </a:cubicBezTo>
                                <a:cubicBezTo>
                                  <a:pt x="15475" y="21017"/>
                                  <a:pt x="15485" y="21005"/>
                                  <a:pt x="15590" y="21100"/>
                                </a:cubicBezTo>
                                <a:cubicBezTo>
                                  <a:pt x="15695" y="21195"/>
                                  <a:pt x="15757" y="21409"/>
                                  <a:pt x="15910" y="21481"/>
                                </a:cubicBezTo>
                                <a:cubicBezTo>
                                  <a:pt x="16062" y="21600"/>
                                  <a:pt x="16158" y="21481"/>
                                  <a:pt x="16349" y="21481"/>
                                </a:cubicBezTo>
                                <a:cubicBezTo>
                                  <a:pt x="16540" y="21481"/>
                                  <a:pt x="16711" y="21540"/>
                                  <a:pt x="16864" y="21481"/>
                                </a:cubicBezTo>
                                <a:cubicBezTo>
                                  <a:pt x="17017" y="21421"/>
                                  <a:pt x="16941" y="21302"/>
                                  <a:pt x="17103" y="21183"/>
                                </a:cubicBezTo>
                                <a:cubicBezTo>
                                  <a:pt x="17270" y="21065"/>
                                  <a:pt x="17556" y="20886"/>
                                  <a:pt x="17700" y="20886"/>
                                </a:cubicBezTo>
                                <a:cubicBezTo>
                                  <a:pt x="17843" y="20886"/>
                                  <a:pt x="17757" y="21100"/>
                                  <a:pt x="17819" y="21183"/>
                                </a:cubicBezTo>
                                <a:cubicBezTo>
                                  <a:pt x="17881" y="21267"/>
                                  <a:pt x="17933" y="21267"/>
                                  <a:pt x="18019" y="21290"/>
                                </a:cubicBezTo>
                                <a:cubicBezTo>
                                  <a:pt x="18105" y="21314"/>
                                  <a:pt x="18101" y="21326"/>
                                  <a:pt x="18258" y="21290"/>
                                </a:cubicBezTo>
                                <a:cubicBezTo>
                                  <a:pt x="18416" y="21255"/>
                                  <a:pt x="18659" y="21160"/>
                                  <a:pt x="18812" y="21100"/>
                                </a:cubicBezTo>
                                <a:cubicBezTo>
                                  <a:pt x="18965" y="21041"/>
                                  <a:pt x="18879" y="21053"/>
                                  <a:pt x="19012" y="20993"/>
                                </a:cubicBezTo>
                                <a:cubicBezTo>
                                  <a:pt x="19146" y="20934"/>
                                  <a:pt x="19370" y="20862"/>
                                  <a:pt x="19490" y="20803"/>
                                </a:cubicBezTo>
                                <a:cubicBezTo>
                                  <a:pt x="19609" y="20744"/>
                                  <a:pt x="19561" y="20755"/>
                                  <a:pt x="19609" y="20696"/>
                                </a:cubicBezTo>
                                <a:cubicBezTo>
                                  <a:pt x="19657" y="20637"/>
                                  <a:pt x="19671" y="20565"/>
                                  <a:pt x="19728" y="20506"/>
                                </a:cubicBezTo>
                                <a:cubicBezTo>
                                  <a:pt x="19786" y="20446"/>
                                  <a:pt x="19719" y="20518"/>
                                  <a:pt x="19886" y="20399"/>
                                </a:cubicBezTo>
                                <a:cubicBezTo>
                                  <a:pt x="20053" y="20280"/>
                                  <a:pt x="20363" y="20054"/>
                                  <a:pt x="20564" y="19911"/>
                                </a:cubicBezTo>
                                <a:cubicBezTo>
                                  <a:pt x="20764" y="19769"/>
                                  <a:pt x="20788" y="19816"/>
                                  <a:pt x="20883" y="19697"/>
                                </a:cubicBezTo>
                                <a:cubicBezTo>
                                  <a:pt x="20979" y="19579"/>
                                  <a:pt x="20960" y="19353"/>
                                  <a:pt x="21041" y="19317"/>
                                </a:cubicBezTo>
                                <a:cubicBezTo>
                                  <a:pt x="21122" y="19281"/>
                                  <a:pt x="21208" y="19388"/>
                                  <a:pt x="21284" y="19507"/>
                                </a:cubicBezTo>
                                <a:cubicBezTo>
                                  <a:pt x="21351" y="19626"/>
                                  <a:pt x="21251" y="19305"/>
                                  <a:pt x="21342" y="19543"/>
                                </a:cubicBezTo>
                                <a:cubicBezTo>
                                  <a:pt x="21432" y="19781"/>
                                  <a:pt x="21442" y="19614"/>
                                  <a:pt x="21466" y="19757"/>
                                </a:cubicBezTo>
                                <a:cubicBezTo>
                                  <a:pt x="21494" y="19911"/>
                                  <a:pt x="21552" y="19911"/>
                                  <a:pt x="21552" y="19971"/>
                                </a:cubicBezTo>
                                <a:cubicBezTo>
                                  <a:pt x="21552" y="20030"/>
                                  <a:pt x="21051" y="18889"/>
                                  <a:pt x="21600" y="19888"/>
                                </a:cubicBezTo>
                              </a:path>
                            </a:pathLst>
                          </a:custGeom>
                          <a:noFill/>
                          <a:ln w="15875" cap="flat" cmpd="sng">
                            <a:solidFill>
                              <a:srgbClr val="0000FF"/>
                            </a:solidFill>
                            <a:prstDash val="solid"/>
                            <a:headEnd type="none" w="med" len="med"/>
                            <a:tailEnd type="none" w="med" len="med"/>
                          </a:ln>
                        </wps:spPr>
                        <wps:bodyPr wrap="square" anchor="t" anchorCtr="0" upright="1"/>
                      </wps:wsp>
                      <wps:wsp>
                        <wps:cNvPr id="28" name="曲线 73"/>
                        <wps:cNvSpPr/>
                        <wps:spPr>
                          <a:xfrm>
                            <a:off x="3583" y="26"/>
                            <a:ext cx="2966" cy="2343"/>
                          </a:xfrm>
                          <a:custGeom>
                            <a:avLst/>
                            <a:gdLst/>
                            <a:ahLst/>
                            <a:cxnLst>
                              <a:cxn ang="0">
                                <a:pos x="59" y="50"/>
                              </a:cxn>
                              <a:cxn ang="0">
                                <a:pos x="150" y="16"/>
                              </a:cxn>
                              <a:cxn ang="0">
                                <a:pos x="309" y="59"/>
                              </a:cxn>
                              <a:cxn ang="0">
                                <a:pos x="367" y="16"/>
                              </a:cxn>
                              <a:cxn ang="0">
                                <a:pos x="434" y="59"/>
                              </a:cxn>
                              <a:cxn ang="0">
                                <a:pos x="650" y="100"/>
                              </a:cxn>
                              <a:cxn ang="0">
                                <a:pos x="859" y="234"/>
                              </a:cxn>
                              <a:cxn ang="0">
                                <a:pos x="1000" y="259"/>
                              </a:cxn>
                              <a:cxn ang="0">
                                <a:pos x="1242" y="359"/>
                              </a:cxn>
                              <a:cxn ang="0">
                                <a:pos x="1509" y="391"/>
                              </a:cxn>
                              <a:cxn ang="0">
                                <a:pos x="1600" y="500"/>
                              </a:cxn>
                              <a:cxn ang="0">
                                <a:pos x="1667" y="591"/>
                              </a:cxn>
                              <a:cxn ang="0">
                                <a:pos x="1725" y="701"/>
                              </a:cxn>
                              <a:cxn ang="0">
                                <a:pos x="1842" y="751"/>
                              </a:cxn>
                              <a:cxn ang="0">
                                <a:pos x="1917" y="735"/>
                              </a:cxn>
                              <a:cxn ang="0">
                                <a:pos x="2100" y="776"/>
                              </a:cxn>
                              <a:cxn ang="0">
                                <a:pos x="2284" y="835"/>
                              </a:cxn>
                              <a:cxn ang="0">
                                <a:pos x="2442" y="851"/>
                              </a:cxn>
                              <a:cxn ang="0">
                                <a:pos x="2567" y="935"/>
                              </a:cxn>
                              <a:cxn ang="0">
                                <a:pos x="2625" y="976"/>
                              </a:cxn>
                              <a:cxn ang="0">
                                <a:pos x="2709" y="1110"/>
                              </a:cxn>
                              <a:cxn ang="0">
                                <a:pos x="2759" y="1176"/>
                              </a:cxn>
                              <a:cxn ang="0">
                                <a:pos x="2750" y="1226"/>
                              </a:cxn>
                              <a:cxn ang="0">
                                <a:pos x="2767" y="1267"/>
                              </a:cxn>
                              <a:cxn ang="0">
                                <a:pos x="2767" y="1301"/>
                              </a:cxn>
                              <a:cxn ang="0">
                                <a:pos x="2775" y="1385"/>
                              </a:cxn>
                              <a:cxn ang="0">
                                <a:pos x="2834" y="1410"/>
                              </a:cxn>
                              <a:cxn ang="0">
                                <a:pos x="2859" y="1451"/>
                              </a:cxn>
                              <a:cxn ang="0">
                                <a:pos x="2892" y="1542"/>
                              </a:cxn>
                              <a:cxn ang="0">
                                <a:pos x="2959" y="1576"/>
                              </a:cxn>
                              <a:cxn ang="0">
                                <a:pos x="2884" y="1617"/>
                              </a:cxn>
                              <a:cxn ang="0">
                                <a:pos x="2842" y="1667"/>
                              </a:cxn>
                              <a:cxn ang="0">
                                <a:pos x="2734" y="1817"/>
                              </a:cxn>
                              <a:cxn ang="0">
                                <a:pos x="2709" y="1886"/>
                              </a:cxn>
                              <a:cxn ang="0">
                                <a:pos x="2625" y="1993"/>
                              </a:cxn>
                              <a:cxn ang="0">
                                <a:pos x="2567" y="2043"/>
                              </a:cxn>
                              <a:cxn ang="0">
                                <a:pos x="2509" y="2036"/>
                              </a:cxn>
                              <a:cxn ang="0">
                                <a:pos x="2484" y="2077"/>
                              </a:cxn>
                              <a:cxn ang="0">
                                <a:pos x="2492" y="2136"/>
                              </a:cxn>
                              <a:cxn ang="0">
                                <a:pos x="2359" y="2343"/>
                              </a:cxn>
                            </a:cxnLst>
                            <a:pathLst>
                              <a:path w="21600" h="21600">
                                <a:moveTo>
                                  <a:pt x="0" y="0"/>
                                </a:moveTo>
                                <a:cubicBezTo>
                                  <a:pt x="80" y="92"/>
                                  <a:pt x="269" y="369"/>
                                  <a:pt x="429" y="461"/>
                                </a:cubicBezTo>
                                <a:cubicBezTo>
                                  <a:pt x="589" y="553"/>
                                  <a:pt x="662" y="525"/>
                                  <a:pt x="793" y="461"/>
                                </a:cubicBezTo>
                                <a:cubicBezTo>
                                  <a:pt x="924" y="396"/>
                                  <a:pt x="873" y="175"/>
                                  <a:pt x="1092" y="147"/>
                                </a:cubicBezTo>
                                <a:cubicBezTo>
                                  <a:pt x="1310" y="119"/>
                                  <a:pt x="1653" y="230"/>
                                  <a:pt x="1886" y="313"/>
                                </a:cubicBezTo>
                                <a:cubicBezTo>
                                  <a:pt x="2119" y="396"/>
                                  <a:pt x="2126" y="516"/>
                                  <a:pt x="2250" y="544"/>
                                </a:cubicBezTo>
                                <a:cubicBezTo>
                                  <a:pt x="2374" y="572"/>
                                  <a:pt x="2403" y="544"/>
                                  <a:pt x="2490" y="461"/>
                                </a:cubicBezTo>
                                <a:cubicBezTo>
                                  <a:pt x="2578" y="378"/>
                                  <a:pt x="2621" y="212"/>
                                  <a:pt x="2672" y="147"/>
                                </a:cubicBezTo>
                                <a:cubicBezTo>
                                  <a:pt x="2723" y="83"/>
                                  <a:pt x="2636" y="64"/>
                                  <a:pt x="2730" y="147"/>
                                </a:cubicBezTo>
                                <a:cubicBezTo>
                                  <a:pt x="2825" y="230"/>
                                  <a:pt x="2920" y="461"/>
                                  <a:pt x="3160" y="544"/>
                                </a:cubicBezTo>
                                <a:cubicBezTo>
                                  <a:pt x="3400" y="627"/>
                                  <a:pt x="3633" y="470"/>
                                  <a:pt x="3947" y="544"/>
                                </a:cubicBezTo>
                                <a:cubicBezTo>
                                  <a:pt x="4260" y="618"/>
                                  <a:pt x="4384" y="692"/>
                                  <a:pt x="4733" y="922"/>
                                </a:cubicBezTo>
                                <a:cubicBezTo>
                                  <a:pt x="5083" y="1153"/>
                                  <a:pt x="5403" y="1448"/>
                                  <a:pt x="5709" y="1697"/>
                                </a:cubicBezTo>
                                <a:cubicBezTo>
                                  <a:pt x="6015" y="1946"/>
                                  <a:pt x="6059" y="2011"/>
                                  <a:pt x="6255" y="2159"/>
                                </a:cubicBezTo>
                                <a:cubicBezTo>
                                  <a:pt x="6452" y="2306"/>
                                  <a:pt x="6474" y="2408"/>
                                  <a:pt x="6678" y="2454"/>
                                </a:cubicBezTo>
                                <a:cubicBezTo>
                                  <a:pt x="6881" y="2500"/>
                                  <a:pt x="6940" y="2251"/>
                                  <a:pt x="7282" y="2389"/>
                                </a:cubicBezTo>
                                <a:cubicBezTo>
                                  <a:pt x="7624" y="2528"/>
                                  <a:pt x="8025" y="2961"/>
                                  <a:pt x="8374" y="3146"/>
                                </a:cubicBezTo>
                                <a:cubicBezTo>
                                  <a:pt x="8724" y="3330"/>
                                  <a:pt x="8680" y="3266"/>
                                  <a:pt x="9044" y="3312"/>
                                </a:cubicBezTo>
                                <a:cubicBezTo>
                                  <a:pt x="9409" y="3358"/>
                                  <a:pt x="9809" y="3321"/>
                                  <a:pt x="10195" y="3377"/>
                                </a:cubicBezTo>
                                <a:cubicBezTo>
                                  <a:pt x="10581" y="3432"/>
                                  <a:pt x="10785" y="3432"/>
                                  <a:pt x="10989" y="3607"/>
                                </a:cubicBezTo>
                                <a:cubicBezTo>
                                  <a:pt x="11193" y="3782"/>
                                  <a:pt x="11098" y="4032"/>
                                  <a:pt x="11229" y="4235"/>
                                </a:cubicBezTo>
                                <a:cubicBezTo>
                                  <a:pt x="11360" y="4438"/>
                                  <a:pt x="11528" y="4465"/>
                                  <a:pt x="11652" y="4613"/>
                                </a:cubicBezTo>
                                <a:cubicBezTo>
                                  <a:pt x="11775" y="4761"/>
                                  <a:pt x="11739" y="4825"/>
                                  <a:pt x="11834" y="4991"/>
                                </a:cubicBezTo>
                                <a:cubicBezTo>
                                  <a:pt x="11928" y="5157"/>
                                  <a:pt x="12052" y="5314"/>
                                  <a:pt x="12139" y="5453"/>
                                </a:cubicBezTo>
                                <a:cubicBezTo>
                                  <a:pt x="12227" y="5591"/>
                                  <a:pt x="12176" y="5480"/>
                                  <a:pt x="12263" y="5683"/>
                                </a:cubicBezTo>
                                <a:cubicBezTo>
                                  <a:pt x="12351" y="5886"/>
                                  <a:pt x="12394" y="6228"/>
                                  <a:pt x="12562" y="6458"/>
                                </a:cubicBezTo>
                                <a:cubicBezTo>
                                  <a:pt x="12729" y="6689"/>
                                  <a:pt x="12941" y="6744"/>
                                  <a:pt x="13108" y="6837"/>
                                </a:cubicBezTo>
                                <a:cubicBezTo>
                                  <a:pt x="13276" y="6929"/>
                                  <a:pt x="13290" y="6901"/>
                                  <a:pt x="13414" y="6920"/>
                                </a:cubicBezTo>
                                <a:cubicBezTo>
                                  <a:pt x="13538" y="6938"/>
                                  <a:pt x="13611" y="6947"/>
                                  <a:pt x="13720" y="6920"/>
                                </a:cubicBezTo>
                                <a:cubicBezTo>
                                  <a:pt x="13829" y="6892"/>
                                  <a:pt x="13814" y="6652"/>
                                  <a:pt x="13960" y="6772"/>
                                </a:cubicBezTo>
                                <a:cubicBezTo>
                                  <a:pt x="14106" y="6892"/>
                                  <a:pt x="14179" y="7455"/>
                                  <a:pt x="14448" y="7529"/>
                                </a:cubicBezTo>
                                <a:cubicBezTo>
                                  <a:pt x="14718" y="7602"/>
                                  <a:pt x="15023" y="7196"/>
                                  <a:pt x="15293" y="7150"/>
                                </a:cubicBezTo>
                                <a:cubicBezTo>
                                  <a:pt x="15562" y="7104"/>
                                  <a:pt x="15511" y="7187"/>
                                  <a:pt x="15781" y="7298"/>
                                </a:cubicBezTo>
                                <a:cubicBezTo>
                                  <a:pt x="16050" y="7409"/>
                                  <a:pt x="16320" y="7612"/>
                                  <a:pt x="16633" y="7695"/>
                                </a:cubicBezTo>
                                <a:cubicBezTo>
                                  <a:pt x="16946" y="7778"/>
                                  <a:pt x="17128" y="7667"/>
                                  <a:pt x="17361" y="7695"/>
                                </a:cubicBezTo>
                                <a:cubicBezTo>
                                  <a:pt x="17594" y="7722"/>
                                  <a:pt x="17616" y="7704"/>
                                  <a:pt x="17783" y="7842"/>
                                </a:cubicBezTo>
                                <a:cubicBezTo>
                                  <a:pt x="17951" y="7981"/>
                                  <a:pt x="18024" y="8230"/>
                                  <a:pt x="18206" y="8387"/>
                                </a:cubicBezTo>
                                <a:cubicBezTo>
                                  <a:pt x="18388" y="8544"/>
                                  <a:pt x="18534" y="8571"/>
                                  <a:pt x="18694" y="8617"/>
                                </a:cubicBezTo>
                                <a:cubicBezTo>
                                  <a:pt x="18854" y="8663"/>
                                  <a:pt x="18912" y="8544"/>
                                  <a:pt x="19000" y="8617"/>
                                </a:cubicBezTo>
                                <a:cubicBezTo>
                                  <a:pt x="19087" y="8691"/>
                                  <a:pt x="19065" y="8802"/>
                                  <a:pt x="19116" y="8996"/>
                                </a:cubicBezTo>
                                <a:cubicBezTo>
                                  <a:pt x="19167" y="9189"/>
                                  <a:pt x="19116" y="9356"/>
                                  <a:pt x="19240" y="9605"/>
                                </a:cubicBezTo>
                                <a:cubicBezTo>
                                  <a:pt x="19364" y="9854"/>
                                  <a:pt x="19560" y="10048"/>
                                  <a:pt x="19728" y="10232"/>
                                </a:cubicBezTo>
                                <a:cubicBezTo>
                                  <a:pt x="19895" y="10417"/>
                                  <a:pt x="20019" y="10407"/>
                                  <a:pt x="20092" y="10527"/>
                                </a:cubicBezTo>
                                <a:cubicBezTo>
                                  <a:pt x="20165" y="10647"/>
                                  <a:pt x="20034" y="10749"/>
                                  <a:pt x="20092" y="10841"/>
                                </a:cubicBezTo>
                                <a:cubicBezTo>
                                  <a:pt x="20150" y="10933"/>
                                  <a:pt x="20405" y="10896"/>
                                  <a:pt x="20391" y="10989"/>
                                </a:cubicBezTo>
                                <a:cubicBezTo>
                                  <a:pt x="20376" y="11081"/>
                                  <a:pt x="20121" y="11192"/>
                                  <a:pt x="20026" y="11302"/>
                                </a:cubicBezTo>
                                <a:cubicBezTo>
                                  <a:pt x="19932" y="11413"/>
                                  <a:pt x="19888" y="11459"/>
                                  <a:pt x="19910" y="11533"/>
                                </a:cubicBezTo>
                                <a:cubicBezTo>
                                  <a:pt x="19932" y="11607"/>
                                  <a:pt x="20063" y="11635"/>
                                  <a:pt x="20150" y="11681"/>
                                </a:cubicBezTo>
                                <a:cubicBezTo>
                                  <a:pt x="20238" y="11727"/>
                                  <a:pt x="20332" y="11699"/>
                                  <a:pt x="20332" y="11764"/>
                                </a:cubicBezTo>
                                <a:cubicBezTo>
                                  <a:pt x="20332" y="11828"/>
                                  <a:pt x="20209" y="11884"/>
                                  <a:pt x="20150" y="11994"/>
                                </a:cubicBezTo>
                                <a:cubicBezTo>
                                  <a:pt x="20092" y="12105"/>
                                  <a:pt x="20012" y="12151"/>
                                  <a:pt x="20026" y="12308"/>
                                </a:cubicBezTo>
                                <a:cubicBezTo>
                                  <a:pt x="20041" y="12465"/>
                                  <a:pt x="20063" y="12742"/>
                                  <a:pt x="20209" y="12769"/>
                                </a:cubicBezTo>
                                <a:cubicBezTo>
                                  <a:pt x="20354" y="12797"/>
                                  <a:pt x="20667" y="12410"/>
                                  <a:pt x="20755" y="12456"/>
                                </a:cubicBezTo>
                                <a:cubicBezTo>
                                  <a:pt x="20842" y="12502"/>
                                  <a:pt x="20689" y="12816"/>
                                  <a:pt x="20638" y="13000"/>
                                </a:cubicBezTo>
                                <a:cubicBezTo>
                                  <a:pt x="20587" y="13185"/>
                                  <a:pt x="20478" y="13305"/>
                                  <a:pt x="20514" y="13378"/>
                                </a:cubicBezTo>
                                <a:cubicBezTo>
                                  <a:pt x="20551" y="13452"/>
                                  <a:pt x="20769" y="13258"/>
                                  <a:pt x="20820" y="13378"/>
                                </a:cubicBezTo>
                                <a:cubicBezTo>
                                  <a:pt x="20871" y="13498"/>
                                  <a:pt x="20704" y="13821"/>
                                  <a:pt x="20755" y="13987"/>
                                </a:cubicBezTo>
                                <a:cubicBezTo>
                                  <a:pt x="20806" y="14153"/>
                                  <a:pt x="20930" y="14172"/>
                                  <a:pt x="21061" y="14218"/>
                                </a:cubicBezTo>
                                <a:cubicBezTo>
                                  <a:pt x="21192" y="14264"/>
                                  <a:pt x="21330" y="14153"/>
                                  <a:pt x="21425" y="14218"/>
                                </a:cubicBezTo>
                                <a:cubicBezTo>
                                  <a:pt x="21519" y="14283"/>
                                  <a:pt x="21600" y="14421"/>
                                  <a:pt x="21549" y="14532"/>
                                </a:cubicBezTo>
                                <a:cubicBezTo>
                                  <a:pt x="21498" y="14642"/>
                                  <a:pt x="21294" y="14689"/>
                                  <a:pt x="21184" y="14762"/>
                                </a:cubicBezTo>
                                <a:cubicBezTo>
                                  <a:pt x="21075" y="14836"/>
                                  <a:pt x="21090" y="14864"/>
                                  <a:pt x="21002" y="14910"/>
                                </a:cubicBezTo>
                                <a:cubicBezTo>
                                  <a:pt x="20915" y="14956"/>
                                  <a:pt x="20813" y="14901"/>
                                  <a:pt x="20755" y="14993"/>
                                </a:cubicBezTo>
                                <a:cubicBezTo>
                                  <a:pt x="20696" y="15085"/>
                                  <a:pt x="20747" y="15215"/>
                                  <a:pt x="20696" y="15371"/>
                                </a:cubicBezTo>
                                <a:cubicBezTo>
                                  <a:pt x="20645" y="15528"/>
                                  <a:pt x="20675" y="15491"/>
                                  <a:pt x="20514" y="15768"/>
                                </a:cubicBezTo>
                                <a:cubicBezTo>
                                  <a:pt x="20354" y="16045"/>
                                  <a:pt x="20070" y="16497"/>
                                  <a:pt x="19910" y="16755"/>
                                </a:cubicBezTo>
                                <a:cubicBezTo>
                                  <a:pt x="19750" y="17014"/>
                                  <a:pt x="19764" y="16940"/>
                                  <a:pt x="19728" y="17069"/>
                                </a:cubicBezTo>
                                <a:cubicBezTo>
                                  <a:pt x="19691" y="17198"/>
                                  <a:pt x="19764" y="17263"/>
                                  <a:pt x="19728" y="17383"/>
                                </a:cubicBezTo>
                                <a:cubicBezTo>
                                  <a:pt x="19691" y="17503"/>
                                  <a:pt x="19670" y="17484"/>
                                  <a:pt x="19546" y="17678"/>
                                </a:cubicBezTo>
                                <a:cubicBezTo>
                                  <a:pt x="19422" y="17872"/>
                                  <a:pt x="19276" y="18167"/>
                                  <a:pt x="19116" y="18370"/>
                                </a:cubicBezTo>
                                <a:cubicBezTo>
                                  <a:pt x="18956" y="18573"/>
                                  <a:pt x="18839" y="18592"/>
                                  <a:pt x="18752" y="18684"/>
                                </a:cubicBezTo>
                                <a:cubicBezTo>
                                  <a:pt x="18665" y="18776"/>
                                  <a:pt x="18745" y="18804"/>
                                  <a:pt x="18694" y="18831"/>
                                </a:cubicBezTo>
                                <a:cubicBezTo>
                                  <a:pt x="18643" y="18859"/>
                                  <a:pt x="18599" y="18841"/>
                                  <a:pt x="18512" y="18831"/>
                                </a:cubicBezTo>
                                <a:cubicBezTo>
                                  <a:pt x="18424" y="18822"/>
                                  <a:pt x="18330" y="18776"/>
                                  <a:pt x="18271" y="18767"/>
                                </a:cubicBezTo>
                                <a:cubicBezTo>
                                  <a:pt x="18213" y="18758"/>
                                  <a:pt x="18242" y="18693"/>
                                  <a:pt x="18206" y="18767"/>
                                </a:cubicBezTo>
                                <a:cubicBezTo>
                                  <a:pt x="18169" y="18841"/>
                                  <a:pt x="18075" y="19025"/>
                                  <a:pt x="18089" y="19145"/>
                                </a:cubicBezTo>
                                <a:cubicBezTo>
                                  <a:pt x="18104" y="19265"/>
                                  <a:pt x="18257" y="19265"/>
                                  <a:pt x="18271" y="19376"/>
                                </a:cubicBezTo>
                                <a:cubicBezTo>
                                  <a:pt x="18286" y="19487"/>
                                  <a:pt x="18308" y="19367"/>
                                  <a:pt x="18148" y="19690"/>
                                </a:cubicBezTo>
                                <a:cubicBezTo>
                                  <a:pt x="17987" y="20012"/>
                                  <a:pt x="17674" y="20612"/>
                                  <a:pt x="17478" y="20991"/>
                                </a:cubicBezTo>
                                <a:cubicBezTo>
                                  <a:pt x="17281" y="21369"/>
                                  <a:pt x="17266" y="21433"/>
                                  <a:pt x="17179" y="21600"/>
                                </a:cubicBezTo>
                              </a:path>
                            </a:pathLst>
                          </a:custGeom>
                          <a:noFill/>
                          <a:ln w="15875" cap="flat" cmpd="sng">
                            <a:solidFill>
                              <a:srgbClr val="0000FF"/>
                            </a:solidFill>
                            <a:prstDash val="solid"/>
                            <a:headEnd type="none" w="med" len="med"/>
                            <a:tailEnd type="none" w="med" len="med"/>
                          </a:ln>
                        </wps:spPr>
                        <wps:bodyPr wrap="square" anchor="t" anchorCtr="0" upright="1"/>
                      </wps:wsp>
                      <wps:wsp>
                        <wps:cNvPr id="29" name="曲线 83"/>
                        <wps:cNvSpPr/>
                        <wps:spPr>
                          <a:xfrm>
                            <a:off x="31" y="1815"/>
                            <a:ext cx="3664" cy="1556"/>
                          </a:xfrm>
                          <a:custGeom>
                            <a:avLst/>
                            <a:gdLst/>
                            <a:ahLst/>
                            <a:cxnLst>
                              <a:cxn ang="0">
                                <a:pos x="43" y="48"/>
                              </a:cxn>
                              <a:cxn ang="0">
                                <a:pos x="139" y="6"/>
                              </a:cxn>
                              <a:cxn ang="0">
                                <a:pos x="235" y="16"/>
                              </a:cxn>
                              <a:cxn ang="0">
                                <a:pos x="268" y="102"/>
                              </a:cxn>
                              <a:cxn ang="0">
                                <a:pos x="289" y="208"/>
                              </a:cxn>
                              <a:cxn ang="0">
                                <a:pos x="235" y="283"/>
                              </a:cxn>
                              <a:cxn ang="0">
                                <a:pos x="332" y="381"/>
                              </a:cxn>
                              <a:cxn ang="0">
                                <a:pos x="450" y="433"/>
                              </a:cxn>
                              <a:cxn ang="0">
                                <a:pos x="525" y="456"/>
                              </a:cxn>
                              <a:cxn ang="0">
                                <a:pos x="600" y="444"/>
                              </a:cxn>
                              <a:cxn ang="0">
                                <a:pos x="643" y="583"/>
                              </a:cxn>
                              <a:cxn ang="0">
                                <a:pos x="707" y="681"/>
                              </a:cxn>
                              <a:cxn ang="0">
                                <a:pos x="825" y="616"/>
                              </a:cxn>
                              <a:cxn ang="0">
                                <a:pos x="900" y="766"/>
                              </a:cxn>
                              <a:cxn ang="0">
                                <a:pos x="953" y="873"/>
                              </a:cxn>
                              <a:cxn ang="0">
                                <a:pos x="1093" y="863"/>
                              </a:cxn>
                              <a:cxn ang="0">
                                <a:pos x="1210" y="927"/>
                              </a:cxn>
                              <a:cxn ang="0">
                                <a:pos x="1350" y="1002"/>
                              </a:cxn>
                              <a:cxn ang="0">
                                <a:pos x="1478" y="1044"/>
                              </a:cxn>
                              <a:cxn ang="0">
                                <a:pos x="1575" y="1013"/>
                              </a:cxn>
                              <a:cxn ang="0">
                                <a:pos x="1746" y="1056"/>
                              </a:cxn>
                              <a:cxn ang="0">
                                <a:pos x="1918" y="1108"/>
                              </a:cxn>
                              <a:cxn ang="0">
                                <a:pos x="1971" y="1108"/>
                              </a:cxn>
                              <a:cxn ang="0">
                                <a:pos x="2068" y="1088"/>
                              </a:cxn>
                              <a:cxn ang="0">
                                <a:pos x="2100" y="1098"/>
                              </a:cxn>
                              <a:cxn ang="0">
                                <a:pos x="2282" y="1077"/>
                              </a:cxn>
                              <a:cxn ang="0">
                                <a:pos x="2410" y="1248"/>
                              </a:cxn>
                              <a:cxn ang="0">
                                <a:pos x="2507" y="1281"/>
                              </a:cxn>
                              <a:cxn ang="0">
                                <a:pos x="2635" y="1269"/>
                              </a:cxn>
                              <a:cxn ang="0">
                                <a:pos x="2668" y="1206"/>
                              </a:cxn>
                              <a:cxn ang="0">
                                <a:pos x="2743" y="1281"/>
                              </a:cxn>
                              <a:cxn ang="0">
                                <a:pos x="2764" y="1356"/>
                              </a:cxn>
                              <a:cxn ang="0">
                                <a:pos x="2850" y="1473"/>
                              </a:cxn>
                              <a:cxn ang="0">
                                <a:pos x="2935" y="1506"/>
                              </a:cxn>
                              <a:cxn ang="0">
                                <a:pos x="3032" y="1463"/>
                              </a:cxn>
                              <a:cxn ang="0">
                                <a:pos x="3053" y="1527"/>
                              </a:cxn>
                              <a:cxn ang="0">
                                <a:pos x="3118" y="1548"/>
                              </a:cxn>
                              <a:cxn ang="0">
                                <a:pos x="3246" y="1441"/>
                              </a:cxn>
                              <a:cxn ang="0">
                                <a:pos x="3450" y="1463"/>
                              </a:cxn>
                              <a:cxn ang="0">
                                <a:pos x="3557" y="1441"/>
                              </a:cxn>
                            </a:cxnLst>
                            <a:pathLst>
                              <a:path w="21600" h="21600">
                                <a:moveTo>
                                  <a:pt x="0" y="666"/>
                                </a:moveTo>
                                <a:cubicBezTo>
                                  <a:pt x="47" y="666"/>
                                  <a:pt x="153" y="694"/>
                                  <a:pt x="253" y="666"/>
                                </a:cubicBezTo>
                                <a:cubicBezTo>
                                  <a:pt x="353" y="638"/>
                                  <a:pt x="389" y="638"/>
                                  <a:pt x="501" y="527"/>
                                </a:cubicBezTo>
                                <a:cubicBezTo>
                                  <a:pt x="613" y="416"/>
                                  <a:pt x="654" y="166"/>
                                  <a:pt x="819" y="83"/>
                                </a:cubicBezTo>
                                <a:cubicBezTo>
                                  <a:pt x="984" y="0"/>
                                  <a:pt x="1214" y="55"/>
                                  <a:pt x="1326" y="83"/>
                                </a:cubicBezTo>
                                <a:cubicBezTo>
                                  <a:pt x="1438" y="111"/>
                                  <a:pt x="1350" y="41"/>
                                  <a:pt x="1385" y="222"/>
                                </a:cubicBezTo>
                                <a:cubicBezTo>
                                  <a:pt x="1420" y="402"/>
                                  <a:pt x="1473" y="721"/>
                                  <a:pt x="1515" y="957"/>
                                </a:cubicBezTo>
                                <a:cubicBezTo>
                                  <a:pt x="1556" y="1193"/>
                                  <a:pt x="1544" y="1235"/>
                                  <a:pt x="1579" y="1415"/>
                                </a:cubicBezTo>
                                <a:cubicBezTo>
                                  <a:pt x="1615" y="1596"/>
                                  <a:pt x="1680" y="1554"/>
                                  <a:pt x="1703" y="1846"/>
                                </a:cubicBezTo>
                                <a:cubicBezTo>
                                  <a:pt x="1727" y="2137"/>
                                  <a:pt x="1768" y="2554"/>
                                  <a:pt x="1703" y="2887"/>
                                </a:cubicBezTo>
                                <a:cubicBezTo>
                                  <a:pt x="1638" y="3220"/>
                                  <a:pt x="1450" y="3289"/>
                                  <a:pt x="1385" y="3498"/>
                                </a:cubicBezTo>
                                <a:cubicBezTo>
                                  <a:pt x="1320" y="3706"/>
                                  <a:pt x="1332" y="3692"/>
                                  <a:pt x="1385" y="3928"/>
                                </a:cubicBezTo>
                                <a:cubicBezTo>
                                  <a:pt x="1438" y="4164"/>
                                  <a:pt x="1526" y="4414"/>
                                  <a:pt x="1638" y="4692"/>
                                </a:cubicBezTo>
                                <a:cubicBezTo>
                                  <a:pt x="1750" y="4969"/>
                                  <a:pt x="1803" y="5108"/>
                                  <a:pt x="1957" y="5288"/>
                                </a:cubicBezTo>
                                <a:cubicBezTo>
                                  <a:pt x="2110" y="5469"/>
                                  <a:pt x="2257" y="5441"/>
                                  <a:pt x="2399" y="5580"/>
                                </a:cubicBezTo>
                                <a:cubicBezTo>
                                  <a:pt x="2540" y="5719"/>
                                  <a:pt x="2576" y="5802"/>
                                  <a:pt x="2652" y="6010"/>
                                </a:cubicBezTo>
                                <a:cubicBezTo>
                                  <a:pt x="2729" y="6219"/>
                                  <a:pt x="2688" y="6552"/>
                                  <a:pt x="2776" y="6621"/>
                                </a:cubicBezTo>
                                <a:cubicBezTo>
                                  <a:pt x="2865" y="6691"/>
                                  <a:pt x="2994" y="6455"/>
                                  <a:pt x="3094" y="6330"/>
                                </a:cubicBezTo>
                                <a:cubicBezTo>
                                  <a:pt x="3195" y="6205"/>
                                  <a:pt x="3195" y="6038"/>
                                  <a:pt x="3283" y="6010"/>
                                </a:cubicBezTo>
                                <a:cubicBezTo>
                                  <a:pt x="3372" y="5983"/>
                                  <a:pt x="3425" y="5885"/>
                                  <a:pt x="3537" y="6163"/>
                                </a:cubicBezTo>
                                <a:cubicBezTo>
                                  <a:pt x="3649" y="6441"/>
                                  <a:pt x="3796" y="6982"/>
                                  <a:pt x="3849" y="7371"/>
                                </a:cubicBezTo>
                                <a:cubicBezTo>
                                  <a:pt x="3902" y="7759"/>
                                  <a:pt x="3767" y="7704"/>
                                  <a:pt x="3790" y="8093"/>
                                </a:cubicBezTo>
                                <a:cubicBezTo>
                                  <a:pt x="3814" y="8481"/>
                                  <a:pt x="3902" y="9009"/>
                                  <a:pt x="3979" y="9286"/>
                                </a:cubicBezTo>
                                <a:cubicBezTo>
                                  <a:pt x="4055" y="9564"/>
                                  <a:pt x="4079" y="9481"/>
                                  <a:pt x="4167" y="9453"/>
                                </a:cubicBezTo>
                                <a:cubicBezTo>
                                  <a:pt x="4256" y="9425"/>
                                  <a:pt x="4279" y="9314"/>
                                  <a:pt x="4421" y="9134"/>
                                </a:cubicBezTo>
                                <a:cubicBezTo>
                                  <a:pt x="4562" y="8953"/>
                                  <a:pt x="4739" y="8481"/>
                                  <a:pt x="4863" y="8551"/>
                                </a:cubicBezTo>
                                <a:cubicBezTo>
                                  <a:pt x="4987" y="8620"/>
                                  <a:pt x="4963" y="9037"/>
                                  <a:pt x="5052" y="9453"/>
                                </a:cubicBezTo>
                                <a:cubicBezTo>
                                  <a:pt x="5140" y="9869"/>
                                  <a:pt x="5217" y="10216"/>
                                  <a:pt x="5305" y="10633"/>
                                </a:cubicBezTo>
                                <a:cubicBezTo>
                                  <a:pt x="5394" y="11049"/>
                                  <a:pt x="5429" y="11244"/>
                                  <a:pt x="5494" y="11535"/>
                                </a:cubicBezTo>
                                <a:cubicBezTo>
                                  <a:pt x="5559" y="11827"/>
                                  <a:pt x="5506" y="12035"/>
                                  <a:pt x="5618" y="12118"/>
                                </a:cubicBezTo>
                                <a:cubicBezTo>
                                  <a:pt x="5730" y="12202"/>
                                  <a:pt x="5895" y="12007"/>
                                  <a:pt x="6060" y="11979"/>
                                </a:cubicBezTo>
                                <a:cubicBezTo>
                                  <a:pt x="6225" y="11952"/>
                                  <a:pt x="6278" y="11924"/>
                                  <a:pt x="6443" y="11979"/>
                                </a:cubicBezTo>
                                <a:cubicBezTo>
                                  <a:pt x="6608" y="12035"/>
                                  <a:pt x="6750" y="12077"/>
                                  <a:pt x="6885" y="12257"/>
                                </a:cubicBezTo>
                                <a:cubicBezTo>
                                  <a:pt x="7021" y="12438"/>
                                  <a:pt x="7032" y="12687"/>
                                  <a:pt x="7133" y="12868"/>
                                </a:cubicBezTo>
                                <a:cubicBezTo>
                                  <a:pt x="7233" y="13048"/>
                                  <a:pt x="7221" y="12951"/>
                                  <a:pt x="7386" y="13159"/>
                                </a:cubicBezTo>
                                <a:cubicBezTo>
                                  <a:pt x="7551" y="13368"/>
                                  <a:pt x="7805" y="13548"/>
                                  <a:pt x="7958" y="13909"/>
                                </a:cubicBezTo>
                                <a:cubicBezTo>
                                  <a:pt x="8111" y="14270"/>
                                  <a:pt x="7993" y="14839"/>
                                  <a:pt x="8147" y="14950"/>
                                </a:cubicBezTo>
                                <a:cubicBezTo>
                                  <a:pt x="8300" y="15061"/>
                                  <a:pt x="8559" y="14617"/>
                                  <a:pt x="8713" y="14492"/>
                                </a:cubicBezTo>
                                <a:cubicBezTo>
                                  <a:pt x="8866" y="14367"/>
                                  <a:pt x="8789" y="14423"/>
                                  <a:pt x="8901" y="14339"/>
                                </a:cubicBezTo>
                                <a:cubicBezTo>
                                  <a:pt x="9013" y="14256"/>
                                  <a:pt x="9119" y="13992"/>
                                  <a:pt x="9284" y="14062"/>
                                </a:cubicBezTo>
                                <a:cubicBezTo>
                                  <a:pt x="9450" y="14131"/>
                                  <a:pt x="9526" y="14534"/>
                                  <a:pt x="9727" y="14659"/>
                                </a:cubicBezTo>
                                <a:cubicBezTo>
                                  <a:pt x="9927" y="14784"/>
                                  <a:pt x="10092" y="14631"/>
                                  <a:pt x="10293" y="14659"/>
                                </a:cubicBezTo>
                                <a:cubicBezTo>
                                  <a:pt x="10493" y="14686"/>
                                  <a:pt x="10534" y="14659"/>
                                  <a:pt x="10735" y="14797"/>
                                </a:cubicBezTo>
                                <a:cubicBezTo>
                                  <a:pt x="10935" y="14936"/>
                                  <a:pt x="11183" y="15269"/>
                                  <a:pt x="11306" y="15380"/>
                                </a:cubicBezTo>
                                <a:cubicBezTo>
                                  <a:pt x="11430" y="15492"/>
                                  <a:pt x="11301" y="15380"/>
                                  <a:pt x="11365" y="15380"/>
                                </a:cubicBezTo>
                                <a:cubicBezTo>
                                  <a:pt x="11430" y="15380"/>
                                  <a:pt x="11542" y="15436"/>
                                  <a:pt x="11619" y="15380"/>
                                </a:cubicBezTo>
                                <a:cubicBezTo>
                                  <a:pt x="11696" y="15325"/>
                                  <a:pt x="11637" y="15158"/>
                                  <a:pt x="11749" y="15103"/>
                                </a:cubicBezTo>
                                <a:cubicBezTo>
                                  <a:pt x="11861" y="15047"/>
                                  <a:pt x="12067" y="15075"/>
                                  <a:pt x="12191" y="15103"/>
                                </a:cubicBezTo>
                                <a:cubicBezTo>
                                  <a:pt x="12315" y="15131"/>
                                  <a:pt x="12344" y="15214"/>
                                  <a:pt x="12379" y="15242"/>
                                </a:cubicBezTo>
                                <a:cubicBezTo>
                                  <a:pt x="12415" y="15269"/>
                                  <a:pt x="12315" y="15269"/>
                                  <a:pt x="12379" y="15242"/>
                                </a:cubicBezTo>
                                <a:cubicBezTo>
                                  <a:pt x="12444" y="15214"/>
                                  <a:pt x="12480" y="15158"/>
                                  <a:pt x="12692" y="15103"/>
                                </a:cubicBezTo>
                                <a:cubicBezTo>
                                  <a:pt x="12904" y="15047"/>
                                  <a:pt x="13199" y="14714"/>
                                  <a:pt x="13452" y="14950"/>
                                </a:cubicBezTo>
                                <a:cubicBezTo>
                                  <a:pt x="13706" y="15186"/>
                                  <a:pt x="13806" y="15811"/>
                                  <a:pt x="13959" y="16283"/>
                                </a:cubicBezTo>
                                <a:cubicBezTo>
                                  <a:pt x="14113" y="16755"/>
                                  <a:pt x="14095" y="17019"/>
                                  <a:pt x="14207" y="17324"/>
                                </a:cubicBezTo>
                                <a:cubicBezTo>
                                  <a:pt x="14319" y="17629"/>
                                  <a:pt x="14413" y="17685"/>
                                  <a:pt x="14525" y="17782"/>
                                </a:cubicBezTo>
                                <a:cubicBezTo>
                                  <a:pt x="14637" y="17879"/>
                                  <a:pt x="14637" y="17851"/>
                                  <a:pt x="14779" y="17782"/>
                                </a:cubicBezTo>
                                <a:cubicBezTo>
                                  <a:pt x="14920" y="17713"/>
                                  <a:pt x="15068" y="17491"/>
                                  <a:pt x="15221" y="17463"/>
                                </a:cubicBezTo>
                                <a:cubicBezTo>
                                  <a:pt x="15374" y="17435"/>
                                  <a:pt x="15468" y="17671"/>
                                  <a:pt x="15533" y="17615"/>
                                </a:cubicBezTo>
                                <a:cubicBezTo>
                                  <a:pt x="15598" y="17560"/>
                                  <a:pt x="15492" y="17366"/>
                                  <a:pt x="15533" y="17185"/>
                                </a:cubicBezTo>
                                <a:cubicBezTo>
                                  <a:pt x="15575" y="17005"/>
                                  <a:pt x="15616" y="16741"/>
                                  <a:pt x="15728" y="16741"/>
                                </a:cubicBezTo>
                                <a:cubicBezTo>
                                  <a:pt x="15840" y="16741"/>
                                  <a:pt x="16017" y="16977"/>
                                  <a:pt x="16105" y="17185"/>
                                </a:cubicBezTo>
                                <a:cubicBezTo>
                                  <a:pt x="16194" y="17393"/>
                                  <a:pt x="16170" y="17546"/>
                                  <a:pt x="16170" y="17782"/>
                                </a:cubicBezTo>
                                <a:cubicBezTo>
                                  <a:pt x="16170" y="18018"/>
                                  <a:pt x="16082" y="18157"/>
                                  <a:pt x="16105" y="18365"/>
                                </a:cubicBezTo>
                                <a:cubicBezTo>
                                  <a:pt x="16129" y="18573"/>
                                  <a:pt x="16205" y="18587"/>
                                  <a:pt x="16294" y="18823"/>
                                </a:cubicBezTo>
                                <a:cubicBezTo>
                                  <a:pt x="16382" y="19059"/>
                                  <a:pt x="16447" y="19226"/>
                                  <a:pt x="16547" y="19545"/>
                                </a:cubicBezTo>
                                <a:cubicBezTo>
                                  <a:pt x="16648" y="19864"/>
                                  <a:pt x="16689" y="20114"/>
                                  <a:pt x="16801" y="20447"/>
                                </a:cubicBezTo>
                                <a:cubicBezTo>
                                  <a:pt x="16913" y="20780"/>
                                  <a:pt x="17013" y="21100"/>
                                  <a:pt x="17113" y="21197"/>
                                </a:cubicBezTo>
                                <a:cubicBezTo>
                                  <a:pt x="17213" y="21294"/>
                                  <a:pt x="17202" y="21030"/>
                                  <a:pt x="17302" y="20905"/>
                                </a:cubicBezTo>
                                <a:cubicBezTo>
                                  <a:pt x="17402" y="20780"/>
                                  <a:pt x="17508" y="20711"/>
                                  <a:pt x="17620" y="20586"/>
                                </a:cubicBezTo>
                                <a:cubicBezTo>
                                  <a:pt x="17732" y="20461"/>
                                  <a:pt x="17797" y="20336"/>
                                  <a:pt x="17874" y="20308"/>
                                </a:cubicBezTo>
                                <a:cubicBezTo>
                                  <a:pt x="17950" y="20281"/>
                                  <a:pt x="17974" y="20267"/>
                                  <a:pt x="17998" y="20447"/>
                                </a:cubicBezTo>
                                <a:cubicBezTo>
                                  <a:pt x="18021" y="20628"/>
                                  <a:pt x="17974" y="20989"/>
                                  <a:pt x="17998" y="21197"/>
                                </a:cubicBezTo>
                                <a:cubicBezTo>
                                  <a:pt x="18021" y="21405"/>
                                  <a:pt x="18051" y="21433"/>
                                  <a:pt x="18127" y="21488"/>
                                </a:cubicBezTo>
                                <a:cubicBezTo>
                                  <a:pt x="18204" y="21544"/>
                                  <a:pt x="18257" y="21600"/>
                                  <a:pt x="18381" y="21488"/>
                                </a:cubicBezTo>
                                <a:cubicBezTo>
                                  <a:pt x="18505" y="21377"/>
                                  <a:pt x="18605" y="21197"/>
                                  <a:pt x="18758" y="20905"/>
                                </a:cubicBezTo>
                                <a:cubicBezTo>
                                  <a:pt x="18911" y="20614"/>
                                  <a:pt x="18894" y="20128"/>
                                  <a:pt x="19135" y="20003"/>
                                </a:cubicBezTo>
                                <a:cubicBezTo>
                                  <a:pt x="19377" y="19878"/>
                                  <a:pt x="19713" y="20253"/>
                                  <a:pt x="19955" y="20308"/>
                                </a:cubicBezTo>
                                <a:cubicBezTo>
                                  <a:pt x="20196" y="20364"/>
                                  <a:pt x="20185" y="20308"/>
                                  <a:pt x="20338" y="20308"/>
                                </a:cubicBezTo>
                                <a:cubicBezTo>
                                  <a:pt x="20491" y="20308"/>
                                  <a:pt x="20591" y="20364"/>
                                  <a:pt x="20715" y="20308"/>
                                </a:cubicBezTo>
                                <a:cubicBezTo>
                                  <a:pt x="20839" y="20253"/>
                                  <a:pt x="20792" y="20295"/>
                                  <a:pt x="20969" y="20003"/>
                                </a:cubicBezTo>
                                <a:cubicBezTo>
                                  <a:pt x="21146" y="19712"/>
                                  <a:pt x="21476" y="19129"/>
                                  <a:pt x="21600" y="18823"/>
                                </a:cubicBezTo>
                              </a:path>
                            </a:pathLst>
                          </a:custGeom>
                          <a:noFill/>
                          <a:ln w="15875" cap="flat" cmpd="sng">
                            <a:solidFill>
                              <a:srgbClr val="0000FF"/>
                            </a:solidFill>
                            <a:prstDash val="solid"/>
                            <a:headEnd type="none" w="med" len="med"/>
                            <a:tailEnd type="none" w="med" len="med"/>
                          </a:ln>
                        </wps:spPr>
                        <wps:bodyPr wrap="square" anchor="t" anchorCtr="0" upright="1"/>
                      </wps:wsp>
                      <wps:wsp>
                        <wps:cNvPr id="30" name="曲线 80"/>
                        <wps:cNvSpPr/>
                        <wps:spPr>
                          <a:xfrm>
                            <a:off x="9" y="2180"/>
                            <a:ext cx="8293" cy="3068"/>
                          </a:xfrm>
                          <a:custGeom>
                            <a:avLst/>
                            <a:gdLst/>
                            <a:ahLst/>
                            <a:cxnLst>
                              <a:cxn ang="0">
                                <a:pos x="72" y="3023"/>
                              </a:cxn>
                              <a:cxn ang="0">
                                <a:pos x="94" y="2895"/>
                              </a:cxn>
                              <a:cxn ang="0">
                                <a:pos x="179" y="2690"/>
                              </a:cxn>
                              <a:cxn ang="0">
                                <a:pos x="372" y="2540"/>
                              </a:cxn>
                              <a:cxn ang="0">
                                <a:pos x="672" y="2413"/>
                              </a:cxn>
                              <a:cxn ang="0">
                                <a:pos x="833" y="2370"/>
                              </a:cxn>
                              <a:cxn ang="0">
                                <a:pos x="1112" y="2209"/>
                              </a:cxn>
                              <a:cxn ang="0">
                                <a:pos x="1369" y="2080"/>
                              </a:cxn>
                              <a:cxn ang="0">
                                <a:pos x="1679" y="1951"/>
                              </a:cxn>
                              <a:cxn ang="0">
                                <a:pos x="2119" y="1834"/>
                              </a:cxn>
                              <a:cxn ang="0">
                                <a:pos x="2269" y="1684"/>
                              </a:cxn>
                              <a:cxn ang="0">
                                <a:pos x="2419" y="1695"/>
                              </a:cxn>
                              <a:cxn ang="0">
                                <a:pos x="2558" y="1588"/>
                              </a:cxn>
                              <a:cxn ang="0">
                                <a:pos x="2740" y="1480"/>
                              </a:cxn>
                              <a:cxn ang="0">
                                <a:pos x="2879" y="1384"/>
                              </a:cxn>
                              <a:cxn ang="0">
                                <a:pos x="3137" y="1309"/>
                              </a:cxn>
                              <a:cxn ang="0">
                                <a:pos x="3319" y="1309"/>
                              </a:cxn>
                              <a:cxn ang="0">
                                <a:pos x="3565" y="1223"/>
                              </a:cxn>
                              <a:cxn ang="0">
                                <a:pos x="3640" y="1180"/>
                              </a:cxn>
                              <a:cxn ang="0">
                                <a:pos x="3694" y="1009"/>
                              </a:cxn>
                              <a:cxn ang="0">
                                <a:pos x="3758" y="998"/>
                              </a:cxn>
                              <a:cxn ang="0">
                                <a:pos x="3929" y="1040"/>
                              </a:cxn>
                              <a:cxn ang="0">
                                <a:pos x="4197" y="1063"/>
                              </a:cxn>
                              <a:cxn ang="0">
                                <a:pos x="4444" y="1190"/>
                              </a:cxn>
                              <a:cxn ang="0">
                                <a:pos x="4669" y="1395"/>
                              </a:cxn>
                              <a:cxn ang="0">
                                <a:pos x="4819" y="1565"/>
                              </a:cxn>
                              <a:cxn ang="0">
                                <a:pos x="4979" y="1501"/>
                              </a:cxn>
                              <a:cxn ang="0">
                                <a:pos x="5162" y="1395"/>
                              </a:cxn>
                              <a:cxn ang="0">
                                <a:pos x="5387" y="1363"/>
                              </a:cxn>
                              <a:cxn ang="0">
                                <a:pos x="5526" y="1276"/>
                              </a:cxn>
                              <a:cxn ang="0">
                                <a:pos x="5601" y="1105"/>
                              </a:cxn>
                              <a:cxn ang="0">
                                <a:pos x="5601" y="880"/>
                              </a:cxn>
                              <a:cxn ang="0">
                                <a:pos x="5762" y="763"/>
                              </a:cxn>
                              <a:cxn ang="0">
                                <a:pos x="5837" y="590"/>
                              </a:cxn>
                              <a:cxn ang="0">
                                <a:pos x="5772" y="505"/>
                              </a:cxn>
                              <a:cxn ang="0">
                                <a:pos x="5665" y="398"/>
                              </a:cxn>
                              <a:cxn ang="0">
                                <a:pos x="5644" y="280"/>
                              </a:cxn>
                              <a:cxn ang="0">
                                <a:pos x="5804" y="248"/>
                              </a:cxn>
                              <a:cxn ang="0">
                                <a:pos x="5944" y="173"/>
                              </a:cxn>
                              <a:cxn ang="0">
                                <a:pos x="6072" y="205"/>
                              </a:cxn>
                              <a:cxn ang="0">
                                <a:pos x="6179" y="109"/>
                              </a:cxn>
                              <a:cxn ang="0">
                                <a:pos x="6437" y="195"/>
                              </a:cxn>
                              <a:cxn ang="0">
                                <a:pos x="6672" y="270"/>
                              </a:cxn>
                              <a:cxn ang="0">
                                <a:pos x="6865" y="301"/>
                              </a:cxn>
                              <a:cxn ang="0">
                                <a:pos x="7026" y="215"/>
                              </a:cxn>
                              <a:cxn ang="0">
                                <a:pos x="7176" y="130"/>
                              </a:cxn>
                              <a:cxn ang="0">
                                <a:pos x="7315" y="76"/>
                              </a:cxn>
                              <a:cxn ang="0">
                                <a:pos x="7401" y="1"/>
                              </a:cxn>
                              <a:cxn ang="0">
                                <a:pos x="7454" y="98"/>
                              </a:cxn>
                              <a:cxn ang="0">
                                <a:pos x="7529" y="151"/>
                              </a:cxn>
                              <a:cxn ang="0">
                                <a:pos x="7658" y="88"/>
                              </a:cxn>
                              <a:cxn ang="0">
                                <a:pos x="7808" y="76"/>
                              </a:cxn>
                              <a:cxn ang="0">
                                <a:pos x="7915" y="270"/>
                              </a:cxn>
                              <a:cxn ang="0">
                                <a:pos x="8012" y="440"/>
                              </a:cxn>
                              <a:cxn ang="0">
                                <a:pos x="8163" y="431"/>
                              </a:cxn>
                              <a:cxn ang="0">
                                <a:pos x="8229" y="423"/>
                              </a:cxn>
                            </a:cxnLst>
                            <a:pathLst>
                              <a:path w="21600" h="21600">
                                <a:moveTo>
                                  <a:pt x="0" y="21600"/>
                                </a:moveTo>
                                <a:cubicBezTo>
                                  <a:pt x="28" y="21529"/>
                                  <a:pt x="132" y="21416"/>
                                  <a:pt x="187" y="21283"/>
                                </a:cubicBezTo>
                                <a:cubicBezTo>
                                  <a:pt x="242" y="21149"/>
                                  <a:pt x="260" y="21093"/>
                                  <a:pt x="270" y="20910"/>
                                </a:cubicBezTo>
                                <a:cubicBezTo>
                                  <a:pt x="281" y="20726"/>
                                  <a:pt x="250" y="20607"/>
                                  <a:pt x="244" y="20382"/>
                                </a:cubicBezTo>
                                <a:cubicBezTo>
                                  <a:pt x="239" y="20156"/>
                                  <a:pt x="200" y="20065"/>
                                  <a:pt x="244" y="19776"/>
                                </a:cubicBezTo>
                                <a:cubicBezTo>
                                  <a:pt x="289" y="19487"/>
                                  <a:pt x="388" y="19241"/>
                                  <a:pt x="466" y="18938"/>
                                </a:cubicBezTo>
                                <a:cubicBezTo>
                                  <a:pt x="544" y="18635"/>
                                  <a:pt x="533" y="18481"/>
                                  <a:pt x="635" y="18269"/>
                                </a:cubicBezTo>
                                <a:cubicBezTo>
                                  <a:pt x="737" y="18058"/>
                                  <a:pt x="802" y="18065"/>
                                  <a:pt x="968" y="17882"/>
                                </a:cubicBezTo>
                                <a:cubicBezTo>
                                  <a:pt x="1135" y="17699"/>
                                  <a:pt x="1315" y="17530"/>
                                  <a:pt x="1471" y="17354"/>
                                </a:cubicBezTo>
                                <a:cubicBezTo>
                                  <a:pt x="1627" y="17178"/>
                                  <a:pt x="1677" y="17030"/>
                                  <a:pt x="1750" y="16988"/>
                                </a:cubicBezTo>
                                <a:cubicBezTo>
                                  <a:pt x="1823" y="16946"/>
                                  <a:pt x="1750" y="17199"/>
                                  <a:pt x="1833" y="17136"/>
                                </a:cubicBezTo>
                                <a:cubicBezTo>
                                  <a:pt x="1916" y="17073"/>
                                  <a:pt x="2018" y="16946"/>
                                  <a:pt x="2169" y="16685"/>
                                </a:cubicBezTo>
                                <a:cubicBezTo>
                                  <a:pt x="2320" y="16425"/>
                                  <a:pt x="2443" y="16073"/>
                                  <a:pt x="2588" y="15847"/>
                                </a:cubicBezTo>
                                <a:cubicBezTo>
                                  <a:pt x="2734" y="15622"/>
                                  <a:pt x="2789" y="15643"/>
                                  <a:pt x="2896" y="15552"/>
                                </a:cubicBezTo>
                                <a:cubicBezTo>
                                  <a:pt x="3003" y="15460"/>
                                  <a:pt x="2984" y="15587"/>
                                  <a:pt x="3117" y="15404"/>
                                </a:cubicBezTo>
                                <a:cubicBezTo>
                                  <a:pt x="3250" y="15221"/>
                                  <a:pt x="3393" y="14798"/>
                                  <a:pt x="3565" y="14644"/>
                                </a:cubicBezTo>
                                <a:cubicBezTo>
                                  <a:pt x="3737" y="14489"/>
                                  <a:pt x="3820" y="14827"/>
                                  <a:pt x="3982" y="14644"/>
                                </a:cubicBezTo>
                                <a:cubicBezTo>
                                  <a:pt x="4143" y="14461"/>
                                  <a:pt x="4159" y="14052"/>
                                  <a:pt x="4373" y="13735"/>
                                </a:cubicBezTo>
                                <a:cubicBezTo>
                                  <a:pt x="4586" y="13419"/>
                                  <a:pt x="4815" y="13221"/>
                                  <a:pt x="5045" y="13059"/>
                                </a:cubicBezTo>
                                <a:cubicBezTo>
                                  <a:pt x="5274" y="12898"/>
                                  <a:pt x="5386" y="13031"/>
                                  <a:pt x="5519" y="12912"/>
                                </a:cubicBezTo>
                                <a:cubicBezTo>
                                  <a:pt x="5651" y="12792"/>
                                  <a:pt x="5636" y="12672"/>
                                  <a:pt x="5714" y="12461"/>
                                </a:cubicBezTo>
                                <a:cubicBezTo>
                                  <a:pt x="5792" y="12250"/>
                                  <a:pt x="5821" y="11989"/>
                                  <a:pt x="5909" y="11856"/>
                                </a:cubicBezTo>
                                <a:cubicBezTo>
                                  <a:pt x="5998" y="11722"/>
                                  <a:pt x="6081" y="11764"/>
                                  <a:pt x="6159" y="11778"/>
                                </a:cubicBezTo>
                                <a:cubicBezTo>
                                  <a:pt x="6238" y="11792"/>
                                  <a:pt x="6232" y="11933"/>
                                  <a:pt x="6300" y="11933"/>
                                </a:cubicBezTo>
                                <a:cubicBezTo>
                                  <a:pt x="6368" y="11933"/>
                                  <a:pt x="6422" y="11926"/>
                                  <a:pt x="6495" y="11778"/>
                                </a:cubicBezTo>
                                <a:cubicBezTo>
                                  <a:pt x="6568" y="11630"/>
                                  <a:pt x="6568" y="11363"/>
                                  <a:pt x="6662" y="11180"/>
                                </a:cubicBezTo>
                                <a:cubicBezTo>
                                  <a:pt x="6756" y="10997"/>
                                  <a:pt x="6876" y="11032"/>
                                  <a:pt x="6969" y="10877"/>
                                </a:cubicBezTo>
                                <a:cubicBezTo>
                                  <a:pt x="7063" y="10722"/>
                                  <a:pt x="7063" y="10588"/>
                                  <a:pt x="7136" y="10419"/>
                                </a:cubicBezTo>
                                <a:cubicBezTo>
                                  <a:pt x="7209" y="10250"/>
                                  <a:pt x="7259" y="10173"/>
                                  <a:pt x="7331" y="10039"/>
                                </a:cubicBezTo>
                                <a:cubicBezTo>
                                  <a:pt x="7404" y="9905"/>
                                  <a:pt x="7404" y="9849"/>
                                  <a:pt x="7498" y="9743"/>
                                </a:cubicBezTo>
                                <a:cubicBezTo>
                                  <a:pt x="7592" y="9638"/>
                                  <a:pt x="7670" y="9617"/>
                                  <a:pt x="7806" y="9511"/>
                                </a:cubicBezTo>
                                <a:cubicBezTo>
                                  <a:pt x="7941" y="9405"/>
                                  <a:pt x="8048" y="9272"/>
                                  <a:pt x="8170" y="9215"/>
                                </a:cubicBezTo>
                                <a:cubicBezTo>
                                  <a:pt x="8293" y="9159"/>
                                  <a:pt x="8326" y="9215"/>
                                  <a:pt x="8420" y="9215"/>
                                </a:cubicBezTo>
                                <a:cubicBezTo>
                                  <a:pt x="8514" y="9215"/>
                                  <a:pt x="8532" y="9244"/>
                                  <a:pt x="8644" y="9215"/>
                                </a:cubicBezTo>
                                <a:cubicBezTo>
                                  <a:pt x="8756" y="9187"/>
                                  <a:pt x="8850" y="9187"/>
                                  <a:pt x="8978" y="9068"/>
                                </a:cubicBezTo>
                                <a:cubicBezTo>
                                  <a:pt x="9105" y="8948"/>
                                  <a:pt x="9202" y="8716"/>
                                  <a:pt x="9285" y="8610"/>
                                </a:cubicBezTo>
                                <a:cubicBezTo>
                                  <a:pt x="9368" y="8504"/>
                                  <a:pt x="9358" y="8603"/>
                                  <a:pt x="9397" y="8540"/>
                                </a:cubicBezTo>
                                <a:cubicBezTo>
                                  <a:pt x="9436" y="8476"/>
                                  <a:pt x="9446" y="8476"/>
                                  <a:pt x="9480" y="8307"/>
                                </a:cubicBezTo>
                                <a:cubicBezTo>
                                  <a:pt x="9514" y="8138"/>
                                  <a:pt x="9535" y="7948"/>
                                  <a:pt x="9564" y="7709"/>
                                </a:cubicBezTo>
                                <a:cubicBezTo>
                                  <a:pt x="9592" y="7469"/>
                                  <a:pt x="9597" y="7251"/>
                                  <a:pt x="9621" y="7103"/>
                                </a:cubicBezTo>
                                <a:cubicBezTo>
                                  <a:pt x="9644" y="6955"/>
                                  <a:pt x="9642" y="6970"/>
                                  <a:pt x="9676" y="6955"/>
                                </a:cubicBezTo>
                                <a:cubicBezTo>
                                  <a:pt x="9709" y="6941"/>
                                  <a:pt x="9733" y="6984"/>
                                  <a:pt x="9788" y="7026"/>
                                </a:cubicBezTo>
                                <a:cubicBezTo>
                                  <a:pt x="9842" y="7068"/>
                                  <a:pt x="9866" y="7124"/>
                                  <a:pt x="9954" y="7181"/>
                                </a:cubicBezTo>
                                <a:cubicBezTo>
                                  <a:pt x="10043" y="7237"/>
                                  <a:pt x="10121" y="7322"/>
                                  <a:pt x="10233" y="7322"/>
                                </a:cubicBezTo>
                                <a:cubicBezTo>
                                  <a:pt x="10345" y="7322"/>
                                  <a:pt x="10374" y="7146"/>
                                  <a:pt x="10514" y="7181"/>
                                </a:cubicBezTo>
                                <a:cubicBezTo>
                                  <a:pt x="10655" y="7216"/>
                                  <a:pt x="10803" y="7378"/>
                                  <a:pt x="10931" y="7483"/>
                                </a:cubicBezTo>
                                <a:cubicBezTo>
                                  <a:pt x="11059" y="7589"/>
                                  <a:pt x="11027" y="7533"/>
                                  <a:pt x="11155" y="7709"/>
                                </a:cubicBezTo>
                                <a:cubicBezTo>
                                  <a:pt x="11283" y="7885"/>
                                  <a:pt x="11423" y="8061"/>
                                  <a:pt x="11574" y="8378"/>
                                </a:cubicBezTo>
                                <a:cubicBezTo>
                                  <a:pt x="11725" y="8694"/>
                                  <a:pt x="11791" y="9004"/>
                                  <a:pt x="11908" y="9293"/>
                                </a:cubicBezTo>
                                <a:cubicBezTo>
                                  <a:pt x="12025" y="9582"/>
                                  <a:pt x="12077" y="9546"/>
                                  <a:pt x="12160" y="9821"/>
                                </a:cubicBezTo>
                                <a:cubicBezTo>
                                  <a:pt x="12244" y="10095"/>
                                  <a:pt x="12249" y="10412"/>
                                  <a:pt x="12327" y="10652"/>
                                </a:cubicBezTo>
                                <a:cubicBezTo>
                                  <a:pt x="12405" y="10891"/>
                                  <a:pt x="12457" y="10976"/>
                                  <a:pt x="12551" y="11018"/>
                                </a:cubicBezTo>
                                <a:cubicBezTo>
                                  <a:pt x="12645" y="11060"/>
                                  <a:pt x="12718" y="10968"/>
                                  <a:pt x="12801" y="10877"/>
                                </a:cubicBezTo>
                                <a:cubicBezTo>
                                  <a:pt x="12884" y="10800"/>
                                  <a:pt x="12879" y="10687"/>
                                  <a:pt x="12968" y="10567"/>
                                </a:cubicBezTo>
                                <a:cubicBezTo>
                                  <a:pt x="13056" y="10447"/>
                                  <a:pt x="13153" y="10419"/>
                                  <a:pt x="13249" y="10271"/>
                                </a:cubicBezTo>
                                <a:cubicBezTo>
                                  <a:pt x="13346" y="10124"/>
                                  <a:pt x="13351" y="9976"/>
                                  <a:pt x="13444" y="9821"/>
                                </a:cubicBezTo>
                                <a:cubicBezTo>
                                  <a:pt x="13538" y="9666"/>
                                  <a:pt x="13606" y="9553"/>
                                  <a:pt x="13723" y="9511"/>
                                </a:cubicBezTo>
                                <a:cubicBezTo>
                                  <a:pt x="13840" y="9469"/>
                                  <a:pt x="13942" y="9610"/>
                                  <a:pt x="14031" y="9596"/>
                                </a:cubicBezTo>
                                <a:cubicBezTo>
                                  <a:pt x="14119" y="9582"/>
                                  <a:pt x="14096" y="9553"/>
                                  <a:pt x="14169" y="9434"/>
                                </a:cubicBezTo>
                                <a:cubicBezTo>
                                  <a:pt x="14241" y="9314"/>
                                  <a:pt x="14314" y="9208"/>
                                  <a:pt x="14393" y="8983"/>
                                </a:cubicBezTo>
                                <a:cubicBezTo>
                                  <a:pt x="14471" y="8758"/>
                                  <a:pt x="14520" y="8547"/>
                                  <a:pt x="14559" y="8307"/>
                                </a:cubicBezTo>
                                <a:cubicBezTo>
                                  <a:pt x="14598" y="8068"/>
                                  <a:pt x="14583" y="8082"/>
                                  <a:pt x="14588" y="7779"/>
                                </a:cubicBezTo>
                                <a:cubicBezTo>
                                  <a:pt x="14593" y="7476"/>
                                  <a:pt x="14588" y="7110"/>
                                  <a:pt x="14588" y="6794"/>
                                </a:cubicBezTo>
                                <a:cubicBezTo>
                                  <a:pt x="14588" y="6477"/>
                                  <a:pt x="14538" y="6434"/>
                                  <a:pt x="14588" y="6195"/>
                                </a:cubicBezTo>
                                <a:cubicBezTo>
                                  <a:pt x="14637" y="5956"/>
                                  <a:pt x="14755" y="5759"/>
                                  <a:pt x="14838" y="5597"/>
                                </a:cubicBezTo>
                                <a:cubicBezTo>
                                  <a:pt x="14921" y="5435"/>
                                  <a:pt x="14968" y="5611"/>
                                  <a:pt x="15007" y="5371"/>
                                </a:cubicBezTo>
                                <a:cubicBezTo>
                                  <a:pt x="15046" y="5132"/>
                                  <a:pt x="14994" y="4632"/>
                                  <a:pt x="15033" y="4386"/>
                                </a:cubicBezTo>
                                <a:cubicBezTo>
                                  <a:pt x="15072" y="4139"/>
                                  <a:pt x="15169" y="4259"/>
                                  <a:pt x="15203" y="4153"/>
                                </a:cubicBezTo>
                                <a:cubicBezTo>
                                  <a:pt x="15236" y="4048"/>
                                  <a:pt x="15236" y="3977"/>
                                  <a:pt x="15203" y="3858"/>
                                </a:cubicBezTo>
                                <a:cubicBezTo>
                                  <a:pt x="15169" y="3738"/>
                                  <a:pt x="15096" y="3710"/>
                                  <a:pt x="15033" y="3555"/>
                                </a:cubicBezTo>
                                <a:cubicBezTo>
                                  <a:pt x="14971" y="3400"/>
                                  <a:pt x="14950" y="3245"/>
                                  <a:pt x="14895" y="3097"/>
                                </a:cubicBezTo>
                                <a:cubicBezTo>
                                  <a:pt x="14841" y="2949"/>
                                  <a:pt x="14817" y="2949"/>
                                  <a:pt x="14755" y="2802"/>
                                </a:cubicBezTo>
                                <a:cubicBezTo>
                                  <a:pt x="14692" y="2654"/>
                                  <a:pt x="14598" y="2520"/>
                                  <a:pt x="14588" y="2351"/>
                                </a:cubicBezTo>
                                <a:cubicBezTo>
                                  <a:pt x="14577" y="2182"/>
                                  <a:pt x="14637" y="2062"/>
                                  <a:pt x="14700" y="1971"/>
                                </a:cubicBezTo>
                                <a:cubicBezTo>
                                  <a:pt x="14762" y="1879"/>
                                  <a:pt x="14812" y="1943"/>
                                  <a:pt x="14895" y="1900"/>
                                </a:cubicBezTo>
                                <a:cubicBezTo>
                                  <a:pt x="14979" y="1858"/>
                                  <a:pt x="15023" y="1865"/>
                                  <a:pt x="15117" y="1746"/>
                                </a:cubicBezTo>
                                <a:cubicBezTo>
                                  <a:pt x="15210" y="1626"/>
                                  <a:pt x="15296" y="1401"/>
                                  <a:pt x="15369" y="1295"/>
                                </a:cubicBezTo>
                                <a:cubicBezTo>
                                  <a:pt x="15442" y="1189"/>
                                  <a:pt x="15414" y="1161"/>
                                  <a:pt x="15481" y="1217"/>
                                </a:cubicBezTo>
                                <a:cubicBezTo>
                                  <a:pt x="15549" y="1274"/>
                                  <a:pt x="15635" y="1548"/>
                                  <a:pt x="15703" y="1591"/>
                                </a:cubicBezTo>
                                <a:cubicBezTo>
                                  <a:pt x="15770" y="1633"/>
                                  <a:pt x="15765" y="1562"/>
                                  <a:pt x="15815" y="1443"/>
                                </a:cubicBezTo>
                                <a:cubicBezTo>
                                  <a:pt x="15864" y="1323"/>
                                  <a:pt x="15901" y="1119"/>
                                  <a:pt x="15955" y="985"/>
                                </a:cubicBezTo>
                                <a:cubicBezTo>
                                  <a:pt x="16010" y="851"/>
                                  <a:pt x="16005" y="718"/>
                                  <a:pt x="16093" y="767"/>
                                </a:cubicBezTo>
                                <a:cubicBezTo>
                                  <a:pt x="16182" y="816"/>
                                  <a:pt x="16265" y="1098"/>
                                  <a:pt x="16401" y="1217"/>
                                </a:cubicBezTo>
                                <a:cubicBezTo>
                                  <a:pt x="16536" y="1337"/>
                                  <a:pt x="16643" y="1267"/>
                                  <a:pt x="16765" y="1372"/>
                                </a:cubicBezTo>
                                <a:cubicBezTo>
                                  <a:pt x="16888" y="1478"/>
                                  <a:pt x="16893" y="1640"/>
                                  <a:pt x="17015" y="1746"/>
                                </a:cubicBezTo>
                                <a:cubicBezTo>
                                  <a:pt x="17138" y="1851"/>
                                  <a:pt x="17271" y="1823"/>
                                  <a:pt x="17377" y="1900"/>
                                </a:cubicBezTo>
                                <a:cubicBezTo>
                                  <a:pt x="17484" y="1978"/>
                                  <a:pt x="17445" y="2076"/>
                                  <a:pt x="17547" y="2119"/>
                                </a:cubicBezTo>
                                <a:cubicBezTo>
                                  <a:pt x="17648" y="2161"/>
                                  <a:pt x="17763" y="2147"/>
                                  <a:pt x="17880" y="2119"/>
                                </a:cubicBezTo>
                                <a:cubicBezTo>
                                  <a:pt x="17997" y="2091"/>
                                  <a:pt x="18049" y="2091"/>
                                  <a:pt x="18133" y="1971"/>
                                </a:cubicBezTo>
                                <a:cubicBezTo>
                                  <a:pt x="18216" y="1851"/>
                                  <a:pt x="18216" y="1696"/>
                                  <a:pt x="18299" y="1513"/>
                                </a:cubicBezTo>
                                <a:cubicBezTo>
                                  <a:pt x="18383" y="1330"/>
                                  <a:pt x="18471" y="1182"/>
                                  <a:pt x="18550" y="1063"/>
                                </a:cubicBezTo>
                                <a:cubicBezTo>
                                  <a:pt x="18628" y="943"/>
                                  <a:pt x="18628" y="1049"/>
                                  <a:pt x="18690" y="915"/>
                                </a:cubicBezTo>
                                <a:cubicBezTo>
                                  <a:pt x="18753" y="781"/>
                                  <a:pt x="18784" y="464"/>
                                  <a:pt x="18857" y="387"/>
                                </a:cubicBezTo>
                                <a:cubicBezTo>
                                  <a:pt x="18930" y="309"/>
                                  <a:pt x="18997" y="535"/>
                                  <a:pt x="19052" y="535"/>
                                </a:cubicBezTo>
                                <a:cubicBezTo>
                                  <a:pt x="19107" y="535"/>
                                  <a:pt x="19091" y="492"/>
                                  <a:pt x="19136" y="387"/>
                                </a:cubicBezTo>
                                <a:cubicBezTo>
                                  <a:pt x="19180" y="281"/>
                                  <a:pt x="19208" y="35"/>
                                  <a:pt x="19276" y="7"/>
                                </a:cubicBezTo>
                                <a:cubicBezTo>
                                  <a:pt x="19344" y="0"/>
                                  <a:pt x="19443" y="105"/>
                                  <a:pt x="19472" y="239"/>
                                </a:cubicBezTo>
                                <a:cubicBezTo>
                                  <a:pt x="19500" y="373"/>
                                  <a:pt x="19419" y="528"/>
                                  <a:pt x="19414" y="689"/>
                                </a:cubicBezTo>
                                <a:cubicBezTo>
                                  <a:pt x="19409" y="851"/>
                                  <a:pt x="19404" y="985"/>
                                  <a:pt x="19443" y="1063"/>
                                </a:cubicBezTo>
                                <a:cubicBezTo>
                                  <a:pt x="19482" y="1140"/>
                                  <a:pt x="19555" y="1034"/>
                                  <a:pt x="19610" y="1063"/>
                                </a:cubicBezTo>
                                <a:cubicBezTo>
                                  <a:pt x="19664" y="1091"/>
                                  <a:pt x="19654" y="1309"/>
                                  <a:pt x="19722" y="1217"/>
                                </a:cubicBezTo>
                                <a:cubicBezTo>
                                  <a:pt x="19789" y="1126"/>
                                  <a:pt x="19862" y="753"/>
                                  <a:pt x="19946" y="619"/>
                                </a:cubicBezTo>
                                <a:cubicBezTo>
                                  <a:pt x="20029" y="485"/>
                                  <a:pt x="20063" y="549"/>
                                  <a:pt x="20141" y="535"/>
                                </a:cubicBezTo>
                                <a:cubicBezTo>
                                  <a:pt x="20219" y="520"/>
                                  <a:pt x="20282" y="415"/>
                                  <a:pt x="20336" y="535"/>
                                </a:cubicBezTo>
                                <a:cubicBezTo>
                                  <a:pt x="20391" y="654"/>
                                  <a:pt x="20365" y="873"/>
                                  <a:pt x="20420" y="1147"/>
                                </a:cubicBezTo>
                                <a:cubicBezTo>
                                  <a:pt x="20474" y="1422"/>
                                  <a:pt x="20537" y="1570"/>
                                  <a:pt x="20615" y="1900"/>
                                </a:cubicBezTo>
                                <a:cubicBezTo>
                                  <a:pt x="20693" y="2231"/>
                                  <a:pt x="20761" y="2562"/>
                                  <a:pt x="20810" y="2802"/>
                                </a:cubicBezTo>
                                <a:cubicBezTo>
                                  <a:pt x="20860" y="3041"/>
                                  <a:pt x="20813" y="3041"/>
                                  <a:pt x="20868" y="3097"/>
                                </a:cubicBezTo>
                                <a:cubicBezTo>
                                  <a:pt x="20922" y="3154"/>
                                  <a:pt x="20977" y="3097"/>
                                  <a:pt x="21089" y="3097"/>
                                </a:cubicBezTo>
                                <a:cubicBezTo>
                                  <a:pt x="21201" y="3097"/>
                                  <a:pt x="21178" y="3034"/>
                                  <a:pt x="21261" y="3034"/>
                                </a:cubicBezTo>
                                <a:cubicBezTo>
                                  <a:pt x="21344" y="3034"/>
                                  <a:pt x="21339" y="3041"/>
                                  <a:pt x="21373" y="3041"/>
                                </a:cubicBezTo>
                                <a:cubicBezTo>
                                  <a:pt x="21407" y="3041"/>
                                  <a:pt x="21389" y="2964"/>
                                  <a:pt x="21433" y="2978"/>
                                </a:cubicBezTo>
                                <a:cubicBezTo>
                                  <a:pt x="21477" y="2992"/>
                                  <a:pt x="21133" y="2464"/>
                                  <a:pt x="21600" y="3097"/>
                                </a:cubicBezTo>
                              </a:path>
                            </a:pathLst>
                          </a:custGeom>
                          <a:noFill/>
                          <a:ln w="15875" cap="flat" cmpd="sng">
                            <a:solidFill>
                              <a:srgbClr val="0000FF"/>
                            </a:solidFill>
                            <a:prstDash val="solid"/>
                            <a:headEnd type="none" w="med" len="med"/>
                            <a:tailEnd type="none" w="med" len="med"/>
                          </a:ln>
                        </wps:spPr>
                        <wps:bodyPr wrap="square" anchor="t" anchorCtr="0" upright="1"/>
                      </wps:wsp>
                      <wpg:grpSp>
                        <wpg:cNvPr id="45" name="组合 63"/>
                        <wpg:cNvGrpSpPr/>
                        <wpg:grpSpPr>
                          <a:xfrm>
                            <a:off x="1186" y="2035"/>
                            <a:ext cx="1721" cy="1365"/>
                            <a:chOff x="0" y="0"/>
                            <a:chExt cx="1721" cy="1364"/>
                          </a:xfrm>
                        </wpg:grpSpPr>
                        <wps:wsp>
                          <wps:cNvPr id="31" name="曲线 79"/>
                          <wps:cNvSpPr/>
                          <wps:spPr>
                            <a:xfrm>
                              <a:off x="0" y="0"/>
                              <a:ext cx="1721" cy="1364"/>
                            </a:xfrm>
                            <a:custGeom>
                              <a:avLst/>
                              <a:gdLst/>
                              <a:ahLst/>
                              <a:cxnLst>
                                <a:cxn ang="0">
                                  <a:pos x="48" y="211"/>
                                </a:cxn>
                                <a:cxn ang="0">
                                  <a:pos x="143" y="101"/>
                                </a:cxn>
                                <a:cxn ang="0">
                                  <a:pos x="269" y="101"/>
                                </a:cxn>
                                <a:cxn ang="0">
                                  <a:pos x="364" y="80"/>
                                </a:cxn>
                                <a:cxn ang="0">
                                  <a:pos x="480" y="120"/>
                                </a:cxn>
                                <a:cxn ang="0">
                                  <a:pos x="555" y="91"/>
                                </a:cxn>
                                <a:cxn ang="0">
                                  <a:pos x="691" y="131"/>
                                </a:cxn>
                                <a:cxn ang="0">
                                  <a:pos x="839" y="161"/>
                                </a:cxn>
                                <a:cxn ang="0">
                                  <a:pos x="955" y="110"/>
                                </a:cxn>
                                <a:cxn ang="0">
                                  <a:pos x="1050" y="91"/>
                                </a:cxn>
                                <a:cxn ang="0">
                                  <a:pos x="1145" y="10"/>
                                </a:cxn>
                                <a:cxn ang="0">
                                  <a:pos x="1282" y="10"/>
                                </a:cxn>
                                <a:cxn ang="0">
                                  <a:pos x="1419" y="10"/>
                                </a:cxn>
                                <a:cxn ang="0">
                                  <a:pos x="1504" y="161"/>
                                </a:cxn>
                                <a:cxn ang="0">
                                  <a:pos x="1577" y="211"/>
                                </a:cxn>
                                <a:cxn ang="0">
                                  <a:pos x="1661" y="340"/>
                                </a:cxn>
                                <a:cxn ang="0">
                                  <a:pos x="1704" y="520"/>
                                </a:cxn>
                                <a:cxn ang="0">
                                  <a:pos x="1683" y="821"/>
                                </a:cxn>
                                <a:cxn ang="0">
                                  <a:pos x="1715" y="1010"/>
                                </a:cxn>
                                <a:cxn ang="0">
                                  <a:pos x="1672" y="1191"/>
                                </a:cxn>
                                <a:cxn ang="0">
                                  <a:pos x="1704" y="1290"/>
                                </a:cxn>
                                <a:cxn ang="0">
                                  <a:pos x="1693" y="1360"/>
                                </a:cxn>
                                <a:cxn ang="0">
                                  <a:pos x="1651" y="1341"/>
                                </a:cxn>
                                <a:cxn ang="0">
                                  <a:pos x="1545" y="1320"/>
                                </a:cxn>
                                <a:cxn ang="0">
                                  <a:pos x="1388" y="1311"/>
                                </a:cxn>
                                <a:cxn ang="0">
                                  <a:pos x="1292" y="1351"/>
                                </a:cxn>
                                <a:cxn ang="0">
                                  <a:pos x="1187" y="1281"/>
                                </a:cxn>
                                <a:cxn ang="0">
                                  <a:pos x="1081" y="1151"/>
                                </a:cxn>
                                <a:cxn ang="0">
                                  <a:pos x="976" y="1131"/>
                                </a:cxn>
                                <a:cxn ang="0">
                                  <a:pos x="934" y="1100"/>
                                </a:cxn>
                                <a:cxn ang="0">
                                  <a:pos x="860" y="931"/>
                                </a:cxn>
                                <a:cxn ang="0">
                                  <a:pos x="839" y="841"/>
                                </a:cxn>
                                <a:cxn ang="0">
                                  <a:pos x="733" y="850"/>
                                </a:cxn>
                                <a:cxn ang="0">
                                  <a:pos x="628" y="821"/>
                                </a:cxn>
                                <a:cxn ang="0">
                                  <a:pos x="449" y="790"/>
                                </a:cxn>
                                <a:cxn ang="0">
                                  <a:pos x="323" y="821"/>
                                </a:cxn>
                                <a:cxn ang="0">
                                  <a:pos x="207" y="810"/>
                                </a:cxn>
                                <a:cxn ang="0">
                                  <a:pos x="164" y="731"/>
                                </a:cxn>
                                <a:cxn ang="0">
                                  <a:pos x="90" y="691"/>
                                </a:cxn>
                                <a:cxn ang="0">
                                  <a:pos x="6" y="651"/>
                                </a:cxn>
                                <a:cxn ang="0">
                                  <a:pos x="27" y="560"/>
                                </a:cxn>
                                <a:cxn ang="0">
                                  <a:pos x="16" y="431"/>
                                </a:cxn>
                                <a:cxn ang="0">
                                  <a:pos x="38" y="311"/>
                                </a:cxn>
                              </a:cxnLst>
                              <a:pathLst>
                                <a:path w="21600" h="21600">
                                  <a:moveTo>
                                    <a:pt x="475" y="4285"/>
                                  </a:moveTo>
                                  <a:cubicBezTo>
                                    <a:pt x="475" y="4122"/>
                                    <a:pt x="368" y="3785"/>
                                    <a:pt x="601" y="3344"/>
                                  </a:cubicBezTo>
                                  <a:cubicBezTo>
                                    <a:pt x="834" y="2903"/>
                                    <a:pt x="1417" y="2415"/>
                                    <a:pt x="1660" y="2067"/>
                                  </a:cubicBezTo>
                                  <a:cubicBezTo>
                                    <a:pt x="1902" y="1718"/>
                                    <a:pt x="1582" y="1765"/>
                                    <a:pt x="1795" y="1602"/>
                                  </a:cubicBezTo>
                                  <a:cubicBezTo>
                                    <a:pt x="2009" y="1440"/>
                                    <a:pt x="2397" y="1265"/>
                                    <a:pt x="2718" y="1265"/>
                                  </a:cubicBezTo>
                                  <a:cubicBezTo>
                                    <a:pt x="3038" y="1265"/>
                                    <a:pt x="3057" y="1602"/>
                                    <a:pt x="3378" y="1602"/>
                                  </a:cubicBezTo>
                                  <a:cubicBezTo>
                                    <a:pt x="3698" y="1602"/>
                                    <a:pt x="4067" y="1335"/>
                                    <a:pt x="4310" y="1265"/>
                                  </a:cubicBezTo>
                                  <a:cubicBezTo>
                                    <a:pt x="4552" y="1196"/>
                                    <a:pt x="4358" y="1138"/>
                                    <a:pt x="4572" y="1265"/>
                                  </a:cubicBezTo>
                                  <a:cubicBezTo>
                                    <a:pt x="4785" y="1393"/>
                                    <a:pt x="5077" y="1776"/>
                                    <a:pt x="5368" y="1904"/>
                                  </a:cubicBezTo>
                                  <a:cubicBezTo>
                                    <a:pt x="5659" y="2032"/>
                                    <a:pt x="5766" y="1997"/>
                                    <a:pt x="6028" y="1904"/>
                                  </a:cubicBezTo>
                                  <a:cubicBezTo>
                                    <a:pt x="6290" y="1811"/>
                                    <a:pt x="6504" y="1532"/>
                                    <a:pt x="6688" y="1440"/>
                                  </a:cubicBezTo>
                                  <a:cubicBezTo>
                                    <a:pt x="6873" y="1347"/>
                                    <a:pt x="6698" y="1440"/>
                                    <a:pt x="6960" y="1440"/>
                                  </a:cubicBezTo>
                                  <a:cubicBezTo>
                                    <a:pt x="7222" y="1440"/>
                                    <a:pt x="7678" y="1312"/>
                                    <a:pt x="8018" y="1440"/>
                                  </a:cubicBezTo>
                                  <a:cubicBezTo>
                                    <a:pt x="8358" y="1567"/>
                                    <a:pt x="8416" y="1881"/>
                                    <a:pt x="8678" y="2067"/>
                                  </a:cubicBezTo>
                                  <a:cubicBezTo>
                                    <a:pt x="8940" y="2252"/>
                                    <a:pt x="8970" y="2287"/>
                                    <a:pt x="9338" y="2380"/>
                                  </a:cubicBezTo>
                                  <a:cubicBezTo>
                                    <a:pt x="9707" y="2473"/>
                                    <a:pt x="10193" y="2670"/>
                                    <a:pt x="10533" y="2543"/>
                                  </a:cubicBezTo>
                                  <a:cubicBezTo>
                                    <a:pt x="10872" y="2415"/>
                                    <a:pt x="10766" y="1904"/>
                                    <a:pt x="11057" y="1741"/>
                                  </a:cubicBezTo>
                                  <a:cubicBezTo>
                                    <a:pt x="11348" y="1579"/>
                                    <a:pt x="11727" y="1741"/>
                                    <a:pt x="11989" y="1741"/>
                                  </a:cubicBezTo>
                                  <a:cubicBezTo>
                                    <a:pt x="12251" y="1741"/>
                                    <a:pt x="12144" y="1800"/>
                                    <a:pt x="12387" y="1741"/>
                                  </a:cubicBezTo>
                                  <a:cubicBezTo>
                                    <a:pt x="12629" y="1683"/>
                                    <a:pt x="12843" y="1625"/>
                                    <a:pt x="13183" y="1440"/>
                                  </a:cubicBezTo>
                                  <a:cubicBezTo>
                                    <a:pt x="13523" y="1254"/>
                                    <a:pt x="13872" y="1056"/>
                                    <a:pt x="14105" y="801"/>
                                  </a:cubicBezTo>
                                  <a:cubicBezTo>
                                    <a:pt x="14338" y="545"/>
                                    <a:pt x="14183" y="290"/>
                                    <a:pt x="14367" y="162"/>
                                  </a:cubicBezTo>
                                  <a:cubicBezTo>
                                    <a:pt x="14552" y="34"/>
                                    <a:pt x="14678" y="162"/>
                                    <a:pt x="15027" y="162"/>
                                  </a:cubicBezTo>
                                  <a:cubicBezTo>
                                    <a:pt x="15377" y="162"/>
                                    <a:pt x="15697" y="162"/>
                                    <a:pt x="16095" y="162"/>
                                  </a:cubicBezTo>
                                  <a:cubicBezTo>
                                    <a:pt x="16493" y="162"/>
                                    <a:pt x="16678" y="162"/>
                                    <a:pt x="17017" y="162"/>
                                  </a:cubicBezTo>
                                  <a:cubicBezTo>
                                    <a:pt x="17357" y="162"/>
                                    <a:pt x="17522" y="0"/>
                                    <a:pt x="17813" y="162"/>
                                  </a:cubicBezTo>
                                  <a:cubicBezTo>
                                    <a:pt x="18105" y="325"/>
                                    <a:pt x="18260" y="487"/>
                                    <a:pt x="18474" y="963"/>
                                  </a:cubicBezTo>
                                  <a:cubicBezTo>
                                    <a:pt x="18687" y="1440"/>
                                    <a:pt x="18716" y="2101"/>
                                    <a:pt x="18872" y="2543"/>
                                  </a:cubicBezTo>
                                  <a:cubicBezTo>
                                    <a:pt x="19027" y="2984"/>
                                    <a:pt x="19085" y="3019"/>
                                    <a:pt x="19270" y="3181"/>
                                  </a:cubicBezTo>
                                  <a:cubicBezTo>
                                    <a:pt x="19454" y="3344"/>
                                    <a:pt x="19609" y="3158"/>
                                    <a:pt x="19794" y="3344"/>
                                  </a:cubicBezTo>
                                  <a:cubicBezTo>
                                    <a:pt x="19978" y="3530"/>
                                    <a:pt x="19978" y="3716"/>
                                    <a:pt x="20192" y="4122"/>
                                  </a:cubicBezTo>
                                  <a:cubicBezTo>
                                    <a:pt x="20405" y="4529"/>
                                    <a:pt x="20716" y="4912"/>
                                    <a:pt x="20852" y="5388"/>
                                  </a:cubicBezTo>
                                  <a:cubicBezTo>
                                    <a:pt x="20988" y="5864"/>
                                    <a:pt x="20745" y="5922"/>
                                    <a:pt x="20852" y="6491"/>
                                  </a:cubicBezTo>
                                  <a:cubicBezTo>
                                    <a:pt x="20959" y="7060"/>
                                    <a:pt x="21328" y="7467"/>
                                    <a:pt x="21386" y="8233"/>
                                  </a:cubicBezTo>
                                  <a:cubicBezTo>
                                    <a:pt x="21444" y="9000"/>
                                    <a:pt x="21172" y="9360"/>
                                    <a:pt x="21124" y="10312"/>
                                  </a:cubicBezTo>
                                  <a:cubicBezTo>
                                    <a:pt x="21075" y="11264"/>
                                    <a:pt x="21046" y="12274"/>
                                    <a:pt x="21124" y="12994"/>
                                  </a:cubicBezTo>
                                  <a:cubicBezTo>
                                    <a:pt x="21201" y="13714"/>
                                    <a:pt x="21444" y="13331"/>
                                    <a:pt x="21522" y="13935"/>
                                  </a:cubicBezTo>
                                  <a:cubicBezTo>
                                    <a:pt x="21600" y="14539"/>
                                    <a:pt x="21600" y="15236"/>
                                    <a:pt x="21522" y="16002"/>
                                  </a:cubicBezTo>
                                  <a:cubicBezTo>
                                    <a:pt x="21444" y="16769"/>
                                    <a:pt x="21231" y="17175"/>
                                    <a:pt x="21124" y="17744"/>
                                  </a:cubicBezTo>
                                  <a:cubicBezTo>
                                    <a:pt x="21017" y="18313"/>
                                    <a:pt x="20959" y="18418"/>
                                    <a:pt x="20988" y="18859"/>
                                  </a:cubicBezTo>
                                  <a:cubicBezTo>
                                    <a:pt x="21017" y="19300"/>
                                    <a:pt x="21172" y="19649"/>
                                    <a:pt x="21250" y="19962"/>
                                  </a:cubicBezTo>
                                  <a:cubicBezTo>
                                    <a:pt x="21328" y="20276"/>
                                    <a:pt x="21328" y="20171"/>
                                    <a:pt x="21386" y="20427"/>
                                  </a:cubicBezTo>
                                  <a:cubicBezTo>
                                    <a:pt x="21444" y="20682"/>
                                    <a:pt x="21551" y="21007"/>
                                    <a:pt x="21522" y="21228"/>
                                  </a:cubicBezTo>
                                  <a:cubicBezTo>
                                    <a:pt x="21493" y="21449"/>
                                    <a:pt x="21386" y="21483"/>
                                    <a:pt x="21250" y="21541"/>
                                  </a:cubicBezTo>
                                  <a:cubicBezTo>
                                    <a:pt x="21114" y="21600"/>
                                    <a:pt x="20959" y="21600"/>
                                    <a:pt x="20852" y="21541"/>
                                  </a:cubicBezTo>
                                  <a:cubicBezTo>
                                    <a:pt x="20745" y="21483"/>
                                    <a:pt x="20910" y="21379"/>
                                    <a:pt x="20726" y="21228"/>
                                  </a:cubicBezTo>
                                  <a:cubicBezTo>
                                    <a:pt x="20541" y="21077"/>
                                    <a:pt x="20192" y="20833"/>
                                    <a:pt x="19930" y="20763"/>
                                  </a:cubicBezTo>
                                  <a:cubicBezTo>
                                    <a:pt x="19668" y="20694"/>
                                    <a:pt x="19736" y="20845"/>
                                    <a:pt x="19396" y="20903"/>
                                  </a:cubicBezTo>
                                  <a:cubicBezTo>
                                    <a:pt x="19056" y="20961"/>
                                    <a:pt x="18609" y="21089"/>
                                    <a:pt x="18211" y="21065"/>
                                  </a:cubicBezTo>
                                  <a:cubicBezTo>
                                    <a:pt x="17813" y="21042"/>
                                    <a:pt x="17736" y="20763"/>
                                    <a:pt x="17415" y="20763"/>
                                  </a:cubicBezTo>
                                  <a:cubicBezTo>
                                    <a:pt x="17095" y="20763"/>
                                    <a:pt x="16862" y="20938"/>
                                    <a:pt x="16619" y="21065"/>
                                  </a:cubicBezTo>
                                  <a:cubicBezTo>
                                    <a:pt x="16377" y="21193"/>
                                    <a:pt x="16435" y="21425"/>
                                    <a:pt x="16221" y="21390"/>
                                  </a:cubicBezTo>
                                  <a:cubicBezTo>
                                    <a:pt x="16008" y="21356"/>
                                    <a:pt x="15823" y="21123"/>
                                    <a:pt x="15561" y="20903"/>
                                  </a:cubicBezTo>
                                  <a:cubicBezTo>
                                    <a:pt x="15299" y="20682"/>
                                    <a:pt x="15241" y="20601"/>
                                    <a:pt x="14901" y="20287"/>
                                  </a:cubicBezTo>
                                  <a:cubicBezTo>
                                    <a:pt x="14561" y="19974"/>
                                    <a:pt x="14105" y="19741"/>
                                    <a:pt x="13843" y="19323"/>
                                  </a:cubicBezTo>
                                  <a:cubicBezTo>
                                    <a:pt x="13581" y="18905"/>
                                    <a:pt x="13785" y="18441"/>
                                    <a:pt x="13571" y="18220"/>
                                  </a:cubicBezTo>
                                  <a:cubicBezTo>
                                    <a:pt x="13358" y="18000"/>
                                    <a:pt x="13047" y="18278"/>
                                    <a:pt x="12785" y="18220"/>
                                  </a:cubicBezTo>
                                  <a:cubicBezTo>
                                    <a:pt x="12523" y="18162"/>
                                    <a:pt x="12406" y="18000"/>
                                    <a:pt x="12251" y="17907"/>
                                  </a:cubicBezTo>
                                  <a:cubicBezTo>
                                    <a:pt x="12096" y="17814"/>
                                    <a:pt x="12096" y="17837"/>
                                    <a:pt x="11989" y="17744"/>
                                  </a:cubicBezTo>
                                  <a:cubicBezTo>
                                    <a:pt x="11882" y="17651"/>
                                    <a:pt x="11940" y="17419"/>
                                    <a:pt x="11727" y="17419"/>
                                  </a:cubicBezTo>
                                  <a:cubicBezTo>
                                    <a:pt x="11513" y="17419"/>
                                    <a:pt x="11115" y="18278"/>
                                    <a:pt x="10931" y="17744"/>
                                  </a:cubicBezTo>
                                  <a:cubicBezTo>
                                    <a:pt x="10746" y="17210"/>
                                    <a:pt x="10795" y="15526"/>
                                    <a:pt x="10795" y="14736"/>
                                  </a:cubicBezTo>
                                  <a:cubicBezTo>
                                    <a:pt x="10795" y="13947"/>
                                    <a:pt x="10979" y="14074"/>
                                    <a:pt x="10931" y="13796"/>
                                  </a:cubicBezTo>
                                  <a:cubicBezTo>
                                    <a:pt x="10882" y="13517"/>
                                    <a:pt x="10717" y="13389"/>
                                    <a:pt x="10533" y="13320"/>
                                  </a:cubicBezTo>
                                  <a:cubicBezTo>
                                    <a:pt x="10348" y="13250"/>
                                    <a:pt x="10261" y="13436"/>
                                    <a:pt x="9999" y="13459"/>
                                  </a:cubicBezTo>
                                  <a:cubicBezTo>
                                    <a:pt x="9736" y="13482"/>
                                    <a:pt x="9494" y="13552"/>
                                    <a:pt x="9203" y="13459"/>
                                  </a:cubicBezTo>
                                  <a:cubicBezTo>
                                    <a:pt x="8911" y="13366"/>
                                    <a:pt x="8805" y="13087"/>
                                    <a:pt x="8542" y="12994"/>
                                  </a:cubicBezTo>
                                  <a:cubicBezTo>
                                    <a:pt x="8280" y="12901"/>
                                    <a:pt x="8387" y="12994"/>
                                    <a:pt x="7882" y="12994"/>
                                  </a:cubicBezTo>
                                  <a:cubicBezTo>
                                    <a:pt x="7377" y="12994"/>
                                    <a:pt x="6475" y="13087"/>
                                    <a:pt x="6028" y="12994"/>
                                  </a:cubicBezTo>
                                  <a:cubicBezTo>
                                    <a:pt x="5582" y="12901"/>
                                    <a:pt x="5785" y="12646"/>
                                    <a:pt x="5630" y="12518"/>
                                  </a:cubicBezTo>
                                  <a:cubicBezTo>
                                    <a:pt x="5475" y="12390"/>
                                    <a:pt x="5552" y="12263"/>
                                    <a:pt x="5232" y="12356"/>
                                  </a:cubicBezTo>
                                  <a:cubicBezTo>
                                    <a:pt x="4912" y="12449"/>
                                    <a:pt x="4475" y="12797"/>
                                    <a:pt x="4048" y="12994"/>
                                  </a:cubicBezTo>
                                  <a:cubicBezTo>
                                    <a:pt x="3621" y="13192"/>
                                    <a:pt x="3407" y="13354"/>
                                    <a:pt x="3116" y="13320"/>
                                  </a:cubicBezTo>
                                  <a:cubicBezTo>
                                    <a:pt x="2824" y="13285"/>
                                    <a:pt x="2727" y="13087"/>
                                    <a:pt x="2592" y="12832"/>
                                  </a:cubicBezTo>
                                  <a:cubicBezTo>
                                    <a:pt x="2456" y="12576"/>
                                    <a:pt x="2562" y="12309"/>
                                    <a:pt x="2456" y="12054"/>
                                  </a:cubicBezTo>
                                  <a:cubicBezTo>
                                    <a:pt x="2349" y="11798"/>
                                    <a:pt x="2242" y="11775"/>
                                    <a:pt x="2058" y="11578"/>
                                  </a:cubicBezTo>
                                  <a:cubicBezTo>
                                    <a:pt x="1873" y="11380"/>
                                    <a:pt x="1718" y="11218"/>
                                    <a:pt x="1533" y="11090"/>
                                  </a:cubicBezTo>
                                  <a:cubicBezTo>
                                    <a:pt x="1349" y="10962"/>
                                    <a:pt x="1349" y="11032"/>
                                    <a:pt x="1135" y="10939"/>
                                  </a:cubicBezTo>
                                  <a:cubicBezTo>
                                    <a:pt x="922" y="10846"/>
                                    <a:pt x="689" y="10741"/>
                                    <a:pt x="475" y="10614"/>
                                  </a:cubicBezTo>
                                  <a:cubicBezTo>
                                    <a:pt x="262" y="10486"/>
                                    <a:pt x="155" y="10498"/>
                                    <a:pt x="77" y="10312"/>
                                  </a:cubicBezTo>
                                  <a:cubicBezTo>
                                    <a:pt x="0" y="10126"/>
                                    <a:pt x="29" y="9963"/>
                                    <a:pt x="77" y="9673"/>
                                  </a:cubicBezTo>
                                  <a:cubicBezTo>
                                    <a:pt x="126" y="9383"/>
                                    <a:pt x="339" y="9255"/>
                                    <a:pt x="339" y="8872"/>
                                  </a:cubicBezTo>
                                  <a:cubicBezTo>
                                    <a:pt x="339" y="8489"/>
                                    <a:pt x="106" y="8175"/>
                                    <a:pt x="77" y="7769"/>
                                  </a:cubicBezTo>
                                  <a:cubicBezTo>
                                    <a:pt x="48" y="7362"/>
                                    <a:pt x="126" y="7211"/>
                                    <a:pt x="203" y="6828"/>
                                  </a:cubicBezTo>
                                  <a:cubicBezTo>
                                    <a:pt x="281" y="6445"/>
                                    <a:pt x="417" y="6247"/>
                                    <a:pt x="475" y="5864"/>
                                  </a:cubicBezTo>
                                  <a:cubicBezTo>
                                    <a:pt x="533" y="5481"/>
                                    <a:pt x="475" y="5237"/>
                                    <a:pt x="475" y="4923"/>
                                  </a:cubicBezTo>
                                  <a:cubicBezTo>
                                    <a:pt x="475" y="4610"/>
                                    <a:pt x="475" y="4389"/>
                                    <a:pt x="475" y="4285"/>
                                  </a:cubicBezTo>
                                  <a:close/>
                                </a:path>
                              </a:pathLst>
                            </a:custGeom>
                            <a:solidFill>
                              <a:srgbClr val="FF00FF">
                                <a:alpha val="49019"/>
                              </a:srgbClr>
                            </a:solidFill>
                            <a:ln w="25400" cap="flat" cmpd="sng">
                              <a:solidFill>
                                <a:srgbClr val="FFFF00"/>
                              </a:solidFill>
                              <a:prstDash val="solid"/>
                              <a:headEnd type="none" w="med" len="med"/>
                              <a:tailEnd type="none" w="med" len="med"/>
                            </a:ln>
                          </wps:spPr>
                          <wps:bodyPr wrap="square" anchor="t" anchorCtr="0" upright="1"/>
                        </wps:wsp>
                        <wps:wsp>
                          <wps:cNvPr id="32" name="文本框 84"/>
                          <wps:cNvSpPr txBox="1"/>
                          <wps:spPr>
                            <a:xfrm>
                              <a:off x="38" y="301"/>
                              <a:ext cx="1677" cy="850"/>
                            </a:xfrm>
                            <a:prstGeom prst="rect">
                              <a:avLst/>
                            </a:prstGeom>
                            <a:noFill/>
                            <a:ln>
                              <a:noFill/>
                            </a:ln>
                          </wps:spPr>
                          <wps:txbx>
                            <w:txbxContent>
                              <w:p>
                                <w:pPr>
                                  <w:rPr>
                                    <w:rFonts w:ascii="黑体" w:hAnsi="黑体" w:eastAsia="黑体" w:cs="黑体"/>
                                    <w:b/>
                                    <w:bCs/>
                                    <w:color w:val="FFFF00"/>
                                    <w:sz w:val="24"/>
                                  </w:rPr>
                                </w:pPr>
                                <w:r>
                                  <w:rPr>
                                    <w:rFonts w:hint="eastAsia" w:ascii="黑体" w:hAnsi="黑体" w:eastAsia="黑体" w:cs="黑体"/>
                                    <w:b/>
                                    <w:bCs/>
                                    <w:color w:val="0000FF"/>
                                    <w:sz w:val="24"/>
                                  </w:rPr>
                                  <w:t>泾河 新 城</w:t>
                                </w:r>
                              </w:p>
                            </w:txbxContent>
                          </wps:txbx>
                          <wps:bodyPr lIns="91438" rIns="91438" upright="1"/>
                        </wps:wsp>
                      </wpg:grpSp>
                      <wps:wsp>
                        <wps:cNvPr id="46" name="文本框 85"/>
                        <wps:cNvSpPr txBox="1"/>
                        <wps:spPr>
                          <a:xfrm>
                            <a:off x="3635" y="875"/>
                            <a:ext cx="760" cy="330"/>
                          </a:xfrm>
                          <a:prstGeom prst="rect">
                            <a:avLst/>
                          </a:prstGeom>
                          <a:noFill/>
                          <a:ln>
                            <a:noFill/>
                          </a:ln>
                        </wps:spPr>
                        <wps:txbx>
                          <w:txbxContent>
                            <w:p>
                              <w:pPr>
                                <w:rPr>
                                  <w:b/>
                                  <w:bCs/>
                                  <w:sz w:val="18"/>
                                  <w:szCs w:val="18"/>
                                </w:rPr>
                              </w:pPr>
                              <w:r>
                                <w:rPr>
                                  <w:rFonts w:hint="eastAsia"/>
                                  <w:b/>
                                  <w:bCs/>
                                  <w:sz w:val="18"/>
                                  <w:szCs w:val="18"/>
                                </w:rPr>
                                <w:t>清峪河</w:t>
                              </w:r>
                            </w:p>
                          </w:txbxContent>
                        </wps:txbx>
                        <wps:bodyPr lIns="35998" tIns="0" rIns="35998" bIns="0" upright="1"/>
                      </wps:wsp>
                      <wps:wsp>
                        <wps:cNvPr id="47" name="文本框 85"/>
                        <wps:cNvSpPr txBox="1"/>
                        <wps:spPr>
                          <a:xfrm>
                            <a:off x="1182" y="873"/>
                            <a:ext cx="760" cy="330"/>
                          </a:xfrm>
                          <a:prstGeom prst="rect">
                            <a:avLst/>
                          </a:prstGeom>
                          <a:noFill/>
                          <a:ln>
                            <a:noFill/>
                          </a:ln>
                        </wps:spPr>
                        <wps:txbx>
                          <w:txbxContent>
                            <w:p>
                              <w:pPr>
                                <w:rPr>
                                  <w:b/>
                                  <w:bCs/>
                                  <w:sz w:val="18"/>
                                  <w:szCs w:val="18"/>
                                </w:rPr>
                              </w:pPr>
                              <w:r>
                                <w:rPr>
                                  <w:rFonts w:hint="eastAsia"/>
                                  <w:b/>
                                  <w:bCs/>
                                  <w:sz w:val="18"/>
                                  <w:szCs w:val="18"/>
                                </w:rPr>
                                <w:t>冶峪河</w:t>
                              </w:r>
                            </w:p>
                          </w:txbxContent>
                        </wps:txbx>
                        <wps:bodyPr lIns="35998" tIns="0" rIns="35998" bIns="0" upright="1"/>
                      </wps:wsp>
                      <wps:wsp>
                        <wps:cNvPr id="48" name="文本框 85"/>
                        <wps:cNvSpPr txBox="1"/>
                        <wps:spPr>
                          <a:xfrm>
                            <a:off x="384" y="1860"/>
                            <a:ext cx="391" cy="330"/>
                          </a:xfrm>
                          <a:prstGeom prst="rect">
                            <a:avLst/>
                          </a:prstGeom>
                          <a:noFill/>
                          <a:ln>
                            <a:noFill/>
                          </a:ln>
                        </wps:spPr>
                        <wps:txbx>
                          <w:txbxContent>
                            <w:p>
                              <w:pPr>
                                <w:rPr>
                                  <w:b/>
                                  <w:bCs/>
                                  <w:sz w:val="18"/>
                                  <w:szCs w:val="18"/>
                                </w:rPr>
                              </w:pPr>
                              <w:r>
                                <w:rPr>
                                  <w:rFonts w:hint="eastAsia"/>
                                  <w:b/>
                                  <w:bCs/>
                                  <w:sz w:val="18"/>
                                  <w:szCs w:val="18"/>
                                </w:rPr>
                                <w:t>泾</w:t>
                              </w:r>
                            </w:p>
                          </w:txbxContent>
                        </wps:txbx>
                        <wps:bodyPr lIns="35998" tIns="0" rIns="35998" bIns="0" upright="1"/>
                      </wps:wsp>
                      <wps:wsp>
                        <wps:cNvPr id="49" name="文本框 85"/>
                        <wps:cNvSpPr txBox="1"/>
                        <wps:spPr>
                          <a:xfrm>
                            <a:off x="895" y="2289"/>
                            <a:ext cx="338" cy="330"/>
                          </a:xfrm>
                          <a:prstGeom prst="rect">
                            <a:avLst/>
                          </a:prstGeom>
                          <a:noFill/>
                          <a:ln>
                            <a:noFill/>
                          </a:ln>
                        </wps:spPr>
                        <wps:txbx>
                          <w:txbxContent>
                            <w:p>
                              <w:pPr>
                                <w:rPr>
                                  <w:b/>
                                  <w:bCs/>
                                  <w:sz w:val="18"/>
                                  <w:szCs w:val="18"/>
                                </w:rPr>
                              </w:pPr>
                              <w:r>
                                <w:rPr>
                                  <w:rFonts w:hint="eastAsia"/>
                                  <w:b/>
                                  <w:bCs/>
                                  <w:sz w:val="18"/>
                                  <w:szCs w:val="18"/>
                                </w:rPr>
                                <w:t>河</w:t>
                              </w:r>
                            </w:p>
                          </w:txbxContent>
                        </wps:txbx>
                        <wps:bodyPr lIns="35998" tIns="0" rIns="35998" bIns="0" upright="1"/>
                      </wps:wsp>
                      <wps:wsp>
                        <wps:cNvPr id="50" name="文本框 85"/>
                        <wps:cNvSpPr txBox="1"/>
                        <wps:spPr>
                          <a:xfrm>
                            <a:off x="3180" y="3494"/>
                            <a:ext cx="391" cy="389"/>
                          </a:xfrm>
                          <a:prstGeom prst="rect">
                            <a:avLst/>
                          </a:prstGeom>
                          <a:noFill/>
                          <a:ln>
                            <a:noFill/>
                          </a:ln>
                        </wps:spPr>
                        <wps:txbx>
                          <w:txbxContent>
                            <w:p>
                              <w:pPr>
                                <w:rPr>
                                  <w:b/>
                                  <w:bCs/>
                                  <w:szCs w:val="21"/>
                                </w:rPr>
                              </w:pPr>
                              <w:r>
                                <w:rPr>
                                  <w:rFonts w:hint="eastAsia"/>
                                  <w:b/>
                                  <w:bCs/>
                                  <w:szCs w:val="21"/>
                                </w:rPr>
                                <w:t>渭</w:t>
                              </w:r>
                            </w:p>
                          </w:txbxContent>
                        </wps:txbx>
                        <wps:bodyPr lIns="35998" tIns="35998" rIns="35998" bIns="35998" upright="1"/>
                      </wps:wsp>
                      <wps:wsp>
                        <wps:cNvPr id="51" name="文本框 85"/>
                        <wps:cNvSpPr txBox="1"/>
                        <wps:spPr>
                          <a:xfrm>
                            <a:off x="5922" y="2350"/>
                            <a:ext cx="338" cy="396"/>
                          </a:xfrm>
                          <a:prstGeom prst="rect">
                            <a:avLst/>
                          </a:prstGeom>
                          <a:noFill/>
                          <a:ln>
                            <a:noFill/>
                          </a:ln>
                        </wps:spPr>
                        <wps:txbx>
                          <w:txbxContent>
                            <w:p>
                              <w:pPr>
                                <w:rPr>
                                  <w:b/>
                                  <w:bCs/>
                                  <w:szCs w:val="21"/>
                                </w:rPr>
                              </w:pPr>
                              <w:r>
                                <w:rPr>
                                  <w:rFonts w:hint="eastAsia"/>
                                  <w:b/>
                                  <w:bCs/>
                                  <w:szCs w:val="21"/>
                                </w:rPr>
                                <w:t>河</w:t>
                              </w:r>
                            </w:p>
                          </w:txbxContent>
                        </wps:txbx>
                        <wps:bodyPr lIns="35998" tIns="35998" rIns="35998" bIns="35998" upright="1"/>
                      </wps:wsp>
                      <wps:wsp>
                        <wps:cNvPr id="52" name="文本框 85"/>
                        <wps:cNvSpPr txBox="1"/>
                        <wps:spPr>
                          <a:xfrm>
                            <a:off x="5235" y="419"/>
                            <a:ext cx="391" cy="330"/>
                          </a:xfrm>
                          <a:prstGeom prst="rect">
                            <a:avLst/>
                          </a:prstGeom>
                          <a:noFill/>
                          <a:ln>
                            <a:noFill/>
                          </a:ln>
                        </wps:spPr>
                        <wps:txbx>
                          <w:txbxContent>
                            <w:p>
                              <w:pPr>
                                <w:rPr>
                                  <w:b/>
                                  <w:bCs/>
                                  <w:sz w:val="18"/>
                                  <w:szCs w:val="18"/>
                                </w:rPr>
                              </w:pPr>
                              <w:r>
                                <w:rPr>
                                  <w:rFonts w:hint="eastAsia"/>
                                  <w:b/>
                                  <w:bCs/>
                                  <w:sz w:val="18"/>
                                  <w:szCs w:val="18"/>
                                </w:rPr>
                                <w:t>石</w:t>
                              </w:r>
                            </w:p>
                          </w:txbxContent>
                        </wps:txbx>
                        <wps:bodyPr lIns="35998" tIns="0" rIns="35998" bIns="0" upright="1"/>
                      </wps:wsp>
                      <wps:wsp>
                        <wps:cNvPr id="53" name="文本框 85"/>
                        <wps:cNvSpPr txBox="1"/>
                        <wps:spPr>
                          <a:xfrm>
                            <a:off x="6029" y="651"/>
                            <a:ext cx="391" cy="330"/>
                          </a:xfrm>
                          <a:prstGeom prst="rect">
                            <a:avLst/>
                          </a:prstGeom>
                          <a:noFill/>
                          <a:ln>
                            <a:noFill/>
                          </a:ln>
                        </wps:spPr>
                        <wps:txbx>
                          <w:txbxContent>
                            <w:p>
                              <w:pPr>
                                <w:rPr>
                                  <w:b/>
                                  <w:bCs/>
                                  <w:sz w:val="18"/>
                                  <w:szCs w:val="18"/>
                                </w:rPr>
                              </w:pPr>
                              <w:r>
                                <w:rPr>
                                  <w:rFonts w:hint="eastAsia"/>
                                  <w:b/>
                                  <w:bCs/>
                                  <w:sz w:val="18"/>
                                  <w:szCs w:val="18"/>
                                </w:rPr>
                                <w:t>川</w:t>
                              </w:r>
                            </w:p>
                          </w:txbxContent>
                        </wps:txbx>
                        <wps:bodyPr lIns="35998" tIns="0" rIns="35998" bIns="0" upright="1"/>
                      </wps:wsp>
                      <wps:wsp>
                        <wps:cNvPr id="54" name="文本框 85"/>
                        <wps:cNvSpPr txBox="1"/>
                        <wps:spPr>
                          <a:xfrm>
                            <a:off x="6409" y="1275"/>
                            <a:ext cx="338" cy="330"/>
                          </a:xfrm>
                          <a:prstGeom prst="rect">
                            <a:avLst/>
                          </a:prstGeom>
                          <a:noFill/>
                          <a:ln>
                            <a:noFill/>
                          </a:ln>
                        </wps:spPr>
                        <wps:txbx>
                          <w:txbxContent>
                            <w:p>
                              <w:pPr>
                                <w:rPr>
                                  <w:b/>
                                  <w:bCs/>
                                  <w:sz w:val="18"/>
                                  <w:szCs w:val="18"/>
                                </w:rPr>
                              </w:pPr>
                              <w:r>
                                <w:rPr>
                                  <w:rFonts w:hint="eastAsia"/>
                                  <w:b/>
                                  <w:bCs/>
                                  <w:sz w:val="18"/>
                                  <w:szCs w:val="18"/>
                                </w:rPr>
                                <w:t>河</w:t>
                              </w:r>
                            </w:p>
                          </w:txbxContent>
                        </wps:txbx>
                        <wps:bodyPr lIns="35998" tIns="0" rIns="35998" bIns="0" upright="1"/>
                      </wps:wsp>
                      <wps:wsp>
                        <wps:cNvPr id="55" name="曲线 102"/>
                        <wps:cNvSpPr/>
                        <wps:spPr>
                          <a:xfrm>
                            <a:off x="276" y="977"/>
                            <a:ext cx="6076" cy="3309"/>
                          </a:xfrm>
                          <a:custGeom>
                            <a:avLst/>
                            <a:gdLst/>
                            <a:ahLst/>
                            <a:cxnLst>
                              <a:cxn ang="0">
                                <a:pos x="319" y="238"/>
                              </a:cxn>
                              <a:cxn ang="0">
                                <a:pos x="436" y="28"/>
                              </a:cxn>
                              <a:cxn ang="0">
                                <a:pos x="490" y="5"/>
                              </a:cxn>
                              <a:cxn ang="0">
                                <a:pos x="531" y="69"/>
                              </a:cxn>
                              <a:cxn ang="0">
                                <a:pos x="755" y="133"/>
                              </a:cxn>
                              <a:cxn ang="0">
                                <a:pos x="1213" y="238"/>
                              </a:cxn>
                              <a:cxn ang="0">
                                <a:pos x="1447" y="250"/>
                              </a:cxn>
                              <a:cxn ang="0">
                                <a:pos x="1639" y="260"/>
                              </a:cxn>
                              <a:cxn ang="0">
                                <a:pos x="1756" y="345"/>
                              </a:cxn>
                              <a:cxn ang="0">
                                <a:pos x="1873" y="513"/>
                              </a:cxn>
                              <a:cxn ang="0">
                                <a:pos x="2075" y="523"/>
                              </a:cxn>
                              <a:cxn ang="0">
                                <a:pos x="2427" y="419"/>
                              </a:cxn>
                              <a:cxn ang="0">
                                <a:pos x="2618" y="398"/>
                              </a:cxn>
                              <a:cxn ang="0">
                                <a:pos x="2799" y="408"/>
                              </a:cxn>
                              <a:cxn ang="0">
                                <a:pos x="2980" y="324"/>
                              </a:cxn>
                              <a:cxn ang="0">
                                <a:pos x="3107" y="281"/>
                              </a:cxn>
                              <a:cxn ang="0">
                                <a:pos x="3491" y="250"/>
                              </a:cxn>
                              <a:cxn ang="0">
                                <a:pos x="3661" y="207"/>
                              </a:cxn>
                              <a:cxn ang="0">
                                <a:pos x="3843" y="250"/>
                              </a:cxn>
                              <a:cxn ang="0">
                                <a:pos x="4098" y="207"/>
                              </a:cxn>
                              <a:cxn ang="0">
                                <a:pos x="4321" y="281"/>
                              </a:cxn>
                              <a:cxn ang="0">
                                <a:pos x="4491" y="482"/>
                              </a:cxn>
                              <a:cxn ang="0">
                                <a:pos x="4619" y="652"/>
                              </a:cxn>
                              <a:cxn ang="0">
                                <a:pos x="4811" y="884"/>
                              </a:cxn>
                              <a:cxn ang="0">
                                <a:pos x="5236" y="874"/>
                              </a:cxn>
                              <a:cxn ang="0">
                                <a:pos x="5854" y="789"/>
                              </a:cxn>
                              <a:cxn ang="0">
                                <a:pos x="6056" y="756"/>
                              </a:cxn>
                              <a:cxn ang="0">
                                <a:pos x="5971" y="884"/>
                              </a:cxn>
                              <a:cxn ang="0">
                                <a:pos x="5843" y="1064"/>
                              </a:cxn>
                              <a:cxn ang="0">
                                <a:pos x="5758" y="1170"/>
                              </a:cxn>
                              <a:cxn ang="0">
                                <a:pos x="5577" y="1381"/>
                              </a:cxn>
                              <a:cxn ang="0">
                                <a:pos x="5311" y="1476"/>
                              </a:cxn>
                              <a:cxn ang="0">
                                <a:pos x="5503" y="1731"/>
                              </a:cxn>
                              <a:cxn ang="0">
                                <a:pos x="5460" y="1867"/>
                              </a:cxn>
                              <a:cxn ang="0">
                                <a:pos x="5279" y="2069"/>
                              </a:cxn>
                              <a:cxn ang="0">
                                <a:pos x="5279" y="2355"/>
                              </a:cxn>
                              <a:cxn ang="0">
                                <a:pos x="5055" y="2513"/>
                              </a:cxn>
                              <a:cxn ang="0">
                                <a:pos x="4758" y="2630"/>
                              </a:cxn>
                              <a:cxn ang="0">
                                <a:pos x="4566" y="2725"/>
                              </a:cxn>
                              <a:cxn ang="0">
                                <a:pos x="4428" y="2546"/>
                              </a:cxn>
                              <a:cxn ang="0">
                                <a:pos x="4044" y="2259"/>
                              </a:cxn>
                              <a:cxn ang="0">
                                <a:pos x="3683" y="2185"/>
                              </a:cxn>
                              <a:cxn ang="0">
                                <a:pos x="3470" y="2153"/>
                              </a:cxn>
                              <a:cxn ang="0">
                                <a:pos x="3353" y="2301"/>
                              </a:cxn>
                              <a:cxn ang="0">
                                <a:pos x="3139" y="2471"/>
                              </a:cxn>
                              <a:cxn ang="0">
                                <a:pos x="2746" y="2513"/>
                              </a:cxn>
                              <a:cxn ang="0">
                                <a:pos x="2448" y="2640"/>
                              </a:cxn>
                              <a:cxn ang="0">
                                <a:pos x="2245" y="2756"/>
                              </a:cxn>
                              <a:cxn ang="0">
                                <a:pos x="2086" y="2830"/>
                              </a:cxn>
                              <a:cxn ang="0">
                                <a:pos x="1852" y="2990"/>
                              </a:cxn>
                              <a:cxn ang="0">
                                <a:pos x="1341" y="3138"/>
                              </a:cxn>
                              <a:cxn ang="0">
                                <a:pos x="1192" y="3212"/>
                              </a:cxn>
                              <a:cxn ang="0">
                                <a:pos x="1021" y="3254"/>
                              </a:cxn>
                              <a:cxn ang="0">
                                <a:pos x="542" y="1867"/>
                              </a:cxn>
                              <a:cxn ang="0">
                                <a:pos x="457" y="1560"/>
                              </a:cxn>
                              <a:cxn ang="0">
                                <a:pos x="436" y="1445"/>
                              </a:cxn>
                              <a:cxn ang="0">
                                <a:pos x="361" y="1233"/>
                              </a:cxn>
                              <a:cxn ang="0">
                                <a:pos x="266" y="1264"/>
                              </a:cxn>
                              <a:cxn ang="0">
                                <a:pos x="106" y="1190"/>
                              </a:cxn>
                              <a:cxn ang="0">
                                <a:pos x="42" y="1116"/>
                              </a:cxn>
                              <a:cxn ang="0">
                                <a:pos x="95" y="1011"/>
                              </a:cxn>
                            </a:cxnLst>
                            <a:pathLst>
                              <a:path w="21600" h="21600">
                                <a:moveTo>
                                  <a:pt x="0" y="5350"/>
                                </a:moveTo>
                                <a:cubicBezTo>
                                  <a:pt x="102" y="5014"/>
                                  <a:pt x="339" y="4247"/>
                                  <a:pt x="565" y="3487"/>
                                </a:cubicBezTo>
                                <a:cubicBezTo>
                                  <a:pt x="791" y="2726"/>
                                  <a:pt x="974" y="2088"/>
                                  <a:pt x="1133" y="1553"/>
                                </a:cubicBezTo>
                                <a:cubicBezTo>
                                  <a:pt x="1292" y="1018"/>
                                  <a:pt x="1306" y="992"/>
                                  <a:pt x="1359" y="799"/>
                                </a:cubicBezTo>
                                <a:cubicBezTo>
                                  <a:pt x="1412" y="605"/>
                                  <a:pt x="1359" y="709"/>
                                  <a:pt x="1398" y="586"/>
                                </a:cubicBezTo>
                                <a:cubicBezTo>
                                  <a:pt x="1437" y="464"/>
                                  <a:pt x="1511" y="290"/>
                                  <a:pt x="1550" y="180"/>
                                </a:cubicBezTo>
                                <a:cubicBezTo>
                                  <a:pt x="1589" y="70"/>
                                  <a:pt x="1568" y="64"/>
                                  <a:pt x="1589" y="32"/>
                                </a:cubicBezTo>
                                <a:cubicBezTo>
                                  <a:pt x="1610" y="0"/>
                                  <a:pt x="1631" y="32"/>
                                  <a:pt x="1663" y="32"/>
                                </a:cubicBezTo>
                                <a:cubicBezTo>
                                  <a:pt x="1695" y="32"/>
                                  <a:pt x="1719" y="32"/>
                                  <a:pt x="1741" y="32"/>
                                </a:cubicBezTo>
                                <a:cubicBezTo>
                                  <a:pt x="1762" y="32"/>
                                  <a:pt x="1769" y="19"/>
                                  <a:pt x="1776" y="32"/>
                                </a:cubicBezTo>
                                <a:cubicBezTo>
                                  <a:pt x="1783" y="45"/>
                                  <a:pt x="1755" y="19"/>
                                  <a:pt x="1776" y="103"/>
                                </a:cubicBezTo>
                                <a:cubicBezTo>
                                  <a:pt x="1797" y="186"/>
                                  <a:pt x="1790" y="328"/>
                                  <a:pt x="1889" y="451"/>
                                </a:cubicBezTo>
                                <a:cubicBezTo>
                                  <a:pt x="1988" y="573"/>
                                  <a:pt x="2157" y="644"/>
                                  <a:pt x="2270" y="728"/>
                                </a:cubicBezTo>
                                <a:cubicBezTo>
                                  <a:pt x="2383" y="812"/>
                                  <a:pt x="2376" y="844"/>
                                  <a:pt x="2458" y="870"/>
                                </a:cubicBezTo>
                                <a:cubicBezTo>
                                  <a:pt x="2539" y="895"/>
                                  <a:pt x="2578" y="812"/>
                                  <a:pt x="2684" y="870"/>
                                </a:cubicBezTo>
                                <a:cubicBezTo>
                                  <a:pt x="2790" y="928"/>
                                  <a:pt x="2744" y="1011"/>
                                  <a:pt x="2987" y="1147"/>
                                </a:cubicBezTo>
                                <a:cubicBezTo>
                                  <a:pt x="3231" y="1282"/>
                                  <a:pt x="3630" y="1469"/>
                                  <a:pt x="3895" y="1553"/>
                                </a:cubicBezTo>
                                <a:cubicBezTo>
                                  <a:pt x="4160" y="1637"/>
                                  <a:pt x="4146" y="1508"/>
                                  <a:pt x="4312" y="1553"/>
                                </a:cubicBezTo>
                                <a:cubicBezTo>
                                  <a:pt x="4478" y="1598"/>
                                  <a:pt x="4615" y="1721"/>
                                  <a:pt x="4728" y="1766"/>
                                </a:cubicBezTo>
                                <a:cubicBezTo>
                                  <a:pt x="4841" y="1811"/>
                                  <a:pt x="4796" y="1791"/>
                                  <a:pt x="4880" y="1766"/>
                                </a:cubicBezTo>
                                <a:cubicBezTo>
                                  <a:pt x="4965" y="1740"/>
                                  <a:pt x="5032" y="1617"/>
                                  <a:pt x="5145" y="1630"/>
                                </a:cubicBezTo>
                                <a:cubicBezTo>
                                  <a:pt x="5258" y="1643"/>
                                  <a:pt x="5311" y="1785"/>
                                  <a:pt x="5449" y="1837"/>
                                </a:cubicBezTo>
                                <a:cubicBezTo>
                                  <a:pt x="5587" y="1888"/>
                                  <a:pt x="5753" y="1927"/>
                                  <a:pt x="5827" y="1901"/>
                                </a:cubicBezTo>
                                <a:cubicBezTo>
                                  <a:pt x="5901" y="1875"/>
                                  <a:pt x="5742" y="1721"/>
                                  <a:pt x="5827" y="1695"/>
                                </a:cubicBezTo>
                                <a:cubicBezTo>
                                  <a:pt x="5912" y="1669"/>
                                  <a:pt x="6159" y="1695"/>
                                  <a:pt x="6244" y="1766"/>
                                </a:cubicBezTo>
                                <a:cubicBezTo>
                                  <a:pt x="6328" y="1837"/>
                                  <a:pt x="6244" y="1940"/>
                                  <a:pt x="6244" y="2036"/>
                                </a:cubicBezTo>
                                <a:cubicBezTo>
                                  <a:pt x="6244" y="2133"/>
                                  <a:pt x="6244" y="2152"/>
                                  <a:pt x="6244" y="2249"/>
                                </a:cubicBezTo>
                                <a:cubicBezTo>
                                  <a:pt x="6244" y="2346"/>
                                  <a:pt x="6229" y="2339"/>
                                  <a:pt x="6244" y="2520"/>
                                </a:cubicBezTo>
                                <a:cubicBezTo>
                                  <a:pt x="6258" y="2700"/>
                                  <a:pt x="6237" y="2977"/>
                                  <a:pt x="6318" y="3145"/>
                                </a:cubicBezTo>
                                <a:cubicBezTo>
                                  <a:pt x="6399" y="3313"/>
                                  <a:pt x="6537" y="3313"/>
                                  <a:pt x="6657" y="3351"/>
                                </a:cubicBezTo>
                                <a:cubicBezTo>
                                  <a:pt x="6777" y="3390"/>
                                  <a:pt x="6837" y="3364"/>
                                  <a:pt x="6922" y="3351"/>
                                </a:cubicBezTo>
                                <a:cubicBezTo>
                                  <a:pt x="7006" y="3338"/>
                                  <a:pt x="6982" y="3274"/>
                                  <a:pt x="7074" y="3287"/>
                                </a:cubicBezTo>
                                <a:cubicBezTo>
                                  <a:pt x="7165" y="3300"/>
                                  <a:pt x="7232" y="3345"/>
                                  <a:pt x="7377" y="3416"/>
                                </a:cubicBezTo>
                                <a:cubicBezTo>
                                  <a:pt x="7522" y="3487"/>
                                  <a:pt x="7656" y="3641"/>
                                  <a:pt x="7794" y="3629"/>
                                </a:cubicBezTo>
                                <a:cubicBezTo>
                                  <a:pt x="7932" y="3616"/>
                                  <a:pt x="7893" y="3532"/>
                                  <a:pt x="8059" y="3351"/>
                                </a:cubicBezTo>
                                <a:cubicBezTo>
                                  <a:pt x="8225" y="3171"/>
                                  <a:pt x="8447" y="2855"/>
                                  <a:pt x="8627" y="2733"/>
                                </a:cubicBezTo>
                                <a:cubicBezTo>
                                  <a:pt x="8808" y="2610"/>
                                  <a:pt x="8854" y="2733"/>
                                  <a:pt x="8967" y="2733"/>
                                </a:cubicBezTo>
                                <a:cubicBezTo>
                                  <a:pt x="9080" y="2733"/>
                                  <a:pt x="9125" y="2758"/>
                                  <a:pt x="9193" y="2733"/>
                                </a:cubicBezTo>
                                <a:cubicBezTo>
                                  <a:pt x="9260" y="2707"/>
                                  <a:pt x="9238" y="2597"/>
                                  <a:pt x="9306" y="2597"/>
                                </a:cubicBezTo>
                                <a:cubicBezTo>
                                  <a:pt x="9373" y="2597"/>
                                  <a:pt x="9475" y="2733"/>
                                  <a:pt x="9535" y="2733"/>
                                </a:cubicBezTo>
                                <a:cubicBezTo>
                                  <a:pt x="9595" y="2733"/>
                                  <a:pt x="9525" y="2610"/>
                                  <a:pt x="9609" y="2597"/>
                                </a:cubicBezTo>
                                <a:cubicBezTo>
                                  <a:pt x="9694" y="2584"/>
                                  <a:pt x="9853" y="2694"/>
                                  <a:pt x="9952" y="2662"/>
                                </a:cubicBezTo>
                                <a:cubicBezTo>
                                  <a:pt x="10051" y="2629"/>
                                  <a:pt x="10008" y="2533"/>
                                  <a:pt x="10100" y="2449"/>
                                </a:cubicBezTo>
                                <a:cubicBezTo>
                                  <a:pt x="10192" y="2365"/>
                                  <a:pt x="10305" y="2314"/>
                                  <a:pt x="10404" y="2249"/>
                                </a:cubicBezTo>
                                <a:cubicBezTo>
                                  <a:pt x="10503" y="2185"/>
                                  <a:pt x="10535" y="2172"/>
                                  <a:pt x="10595" y="2114"/>
                                </a:cubicBezTo>
                                <a:cubicBezTo>
                                  <a:pt x="10655" y="2056"/>
                                  <a:pt x="10686" y="2011"/>
                                  <a:pt x="10708" y="1965"/>
                                </a:cubicBezTo>
                                <a:cubicBezTo>
                                  <a:pt x="10729" y="1920"/>
                                  <a:pt x="10641" y="1927"/>
                                  <a:pt x="10708" y="1901"/>
                                </a:cubicBezTo>
                                <a:cubicBezTo>
                                  <a:pt x="10775" y="1875"/>
                                  <a:pt x="10920" y="1849"/>
                                  <a:pt x="11047" y="1837"/>
                                </a:cubicBezTo>
                                <a:cubicBezTo>
                                  <a:pt x="11174" y="1824"/>
                                  <a:pt x="11206" y="1824"/>
                                  <a:pt x="11350" y="1837"/>
                                </a:cubicBezTo>
                                <a:cubicBezTo>
                                  <a:pt x="11495" y="1849"/>
                                  <a:pt x="11555" y="1940"/>
                                  <a:pt x="11767" y="1901"/>
                                </a:cubicBezTo>
                                <a:cubicBezTo>
                                  <a:pt x="11979" y="1862"/>
                                  <a:pt x="12258" y="1714"/>
                                  <a:pt x="12410" y="1630"/>
                                </a:cubicBezTo>
                                <a:cubicBezTo>
                                  <a:pt x="12562" y="1547"/>
                                  <a:pt x="12431" y="1469"/>
                                  <a:pt x="12523" y="1482"/>
                                </a:cubicBezTo>
                                <a:cubicBezTo>
                                  <a:pt x="12615" y="1495"/>
                                  <a:pt x="12767" y="1721"/>
                                  <a:pt x="12866" y="1695"/>
                                </a:cubicBezTo>
                                <a:cubicBezTo>
                                  <a:pt x="12964" y="1669"/>
                                  <a:pt x="12940" y="1411"/>
                                  <a:pt x="13014" y="1353"/>
                                </a:cubicBezTo>
                                <a:cubicBezTo>
                                  <a:pt x="13088" y="1295"/>
                                  <a:pt x="13166" y="1334"/>
                                  <a:pt x="13243" y="1418"/>
                                </a:cubicBezTo>
                                <a:cubicBezTo>
                                  <a:pt x="13321" y="1501"/>
                                  <a:pt x="13311" y="1721"/>
                                  <a:pt x="13395" y="1766"/>
                                </a:cubicBezTo>
                                <a:cubicBezTo>
                                  <a:pt x="13480" y="1811"/>
                                  <a:pt x="13533" y="1688"/>
                                  <a:pt x="13660" y="1630"/>
                                </a:cubicBezTo>
                                <a:cubicBezTo>
                                  <a:pt x="13787" y="1572"/>
                                  <a:pt x="13893" y="1540"/>
                                  <a:pt x="14038" y="1482"/>
                                </a:cubicBezTo>
                                <a:cubicBezTo>
                                  <a:pt x="14183" y="1424"/>
                                  <a:pt x="14271" y="1379"/>
                                  <a:pt x="14377" y="1353"/>
                                </a:cubicBezTo>
                                <a:cubicBezTo>
                                  <a:pt x="14483" y="1327"/>
                                  <a:pt x="14515" y="1256"/>
                                  <a:pt x="14568" y="1353"/>
                                </a:cubicBezTo>
                                <a:cubicBezTo>
                                  <a:pt x="14621" y="1450"/>
                                  <a:pt x="14536" y="1740"/>
                                  <a:pt x="14642" y="1837"/>
                                </a:cubicBezTo>
                                <a:cubicBezTo>
                                  <a:pt x="14748" y="1933"/>
                                  <a:pt x="14953" y="1837"/>
                                  <a:pt x="15098" y="1837"/>
                                </a:cubicBezTo>
                                <a:cubicBezTo>
                                  <a:pt x="15242" y="1837"/>
                                  <a:pt x="15225" y="1714"/>
                                  <a:pt x="15362" y="1837"/>
                                </a:cubicBezTo>
                                <a:cubicBezTo>
                                  <a:pt x="15500" y="1959"/>
                                  <a:pt x="15666" y="2268"/>
                                  <a:pt x="15779" y="2449"/>
                                </a:cubicBezTo>
                                <a:cubicBezTo>
                                  <a:pt x="15892" y="2629"/>
                                  <a:pt x="15889" y="2591"/>
                                  <a:pt x="15928" y="2733"/>
                                </a:cubicBezTo>
                                <a:cubicBezTo>
                                  <a:pt x="15966" y="2874"/>
                                  <a:pt x="15899" y="2997"/>
                                  <a:pt x="15966" y="3145"/>
                                </a:cubicBezTo>
                                <a:cubicBezTo>
                                  <a:pt x="16034" y="3293"/>
                                  <a:pt x="16178" y="3338"/>
                                  <a:pt x="16270" y="3487"/>
                                </a:cubicBezTo>
                                <a:cubicBezTo>
                                  <a:pt x="16362" y="3635"/>
                                  <a:pt x="16390" y="3745"/>
                                  <a:pt x="16422" y="3899"/>
                                </a:cubicBezTo>
                                <a:cubicBezTo>
                                  <a:pt x="16454" y="4054"/>
                                  <a:pt x="16408" y="4099"/>
                                  <a:pt x="16422" y="4254"/>
                                </a:cubicBezTo>
                                <a:cubicBezTo>
                                  <a:pt x="16436" y="4408"/>
                                  <a:pt x="16411" y="4415"/>
                                  <a:pt x="16496" y="4666"/>
                                </a:cubicBezTo>
                                <a:cubicBezTo>
                                  <a:pt x="16581" y="4918"/>
                                  <a:pt x="16719" y="5279"/>
                                  <a:pt x="16839" y="5498"/>
                                </a:cubicBezTo>
                                <a:cubicBezTo>
                                  <a:pt x="16959" y="5717"/>
                                  <a:pt x="16976" y="5672"/>
                                  <a:pt x="17104" y="5769"/>
                                </a:cubicBezTo>
                                <a:cubicBezTo>
                                  <a:pt x="17231" y="5865"/>
                                  <a:pt x="17248" y="5936"/>
                                  <a:pt x="17482" y="5981"/>
                                </a:cubicBezTo>
                                <a:cubicBezTo>
                                  <a:pt x="17715" y="6026"/>
                                  <a:pt x="18050" y="6039"/>
                                  <a:pt x="18276" y="5981"/>
                                </a:cubicBezTo>
                                <a:cubicBezTo>
                                  <a:pt x="18502" y="5923"/>
                                  <a:pt x="18417" y="5717"/>
                                  <a:pt x="18615" y="5704"/>
                                </a:cubicBezTo>
                                <a:cubicBezTo>
                                  <a:pt x="18813" y="5691"/>
                                  <a:pt x="18993" y="5904"/>
                                  <a:pt x="19258" y="5904"/>
                                </a:cubicBezTo>
                                <a:cubicBezTo>
                                  <a:pt x="19523" y="5904"/>
                                  <a:pt x="19629" y="5852"/>
                                  <a:pt x="19940" y="5704"/>
                                </a:cubicBezTo>
                                <a:cubicBezTo>
                                  <a:pt x="20250" y="5556"/>
                                  <a:pt x="20561" y="5285"/>
                                  <a:pt x="20812" y="5150"/>
                                </a:cubicBezTo>
                                <a:cubicBezTo>
                                  <a:pt x="21063" y="5014"/>
                                  <a:pt x="21084" y="5085"/>
                                  <a:pt x="21190" y="5014"/>
                                </a:cubicBezTo>
                                <a:cubicBezTo>
                                  <a:pt x="21296" y="4943"/>
                                  <a:pt x="21275" y="4815"/>
                                  <a:pt x="21342" y="4802"/>
                                </a:cubicBezTo>
                                <a:cubicBezTo>
                                  <a:pt x="21409" y="4789"/>
                                  <a:pt x="21483" y="4879"/>
                                  <a:pt x="21529" y="4937"/>
                                </a:cubicBezTo>
                                <a:cubicBezTo>
                                  <a:pt x="21575" y="4995"/>
                                  <a:pt x="21600" y="4982"/>
                                  <a:pt x="21568" y="5079"/>
                                </a:cubicBezTo>
                                <a:cubicBezTo>
                                  <a:pt x="21536" y="5176"/>
                                  <a:pt x="21444" y="5285"/>
                                  <a:pt x="21377" y="5420"/>
                                </a:cubicBezTo>
                                <a:cubicBezTo>
                                  <a:pt x="21310" y="5556"/>
                                  <a:pt x="21264" y="5627"/>
                                  <a:pt x="21225" y="5769"/>
                                </a:cubicBezTo>
                                <a:cubicBezTo>
                                  <a:pt x="21186" y="5910"/>
                                  <a:pt x="21250" y="5923"/>
                                  <a:pt x="21190" y="6117"/>
                                </a:cubicBezTo>
                                <a:cubicBezTo>
                                  <a:pt x="21130" y="6310"/>
                                  <a:pt x="21010" y="6568"/>
                                  <a:pt x="20925" y="6735"/>
                                </a:cubicBezTo>
                                <a:cubicBezTo>
                                  <a:pt x="20840" y="6903"/>
                                  <a:pt x="20858" y="6903"/>
                                  <a:pt x="20773" y="6948"/>
                                </a:cubicBezTo>
                                <a:cubicBezTo>
                                  <a:pt x="20688" y="6993"/>
                                  <a:pt x="20575" y="6864"/>
                                  <a:pt x="20508" y="6948"/>
                                </a:cubicBezTo>
                                <a:cubicBezTo>
                                  <a:pt x="20441" y="7032"/>
                                  <a:pt x="20438" y="7219"/>
                                  <a:pt x="20431" y="7354"/>
                                </a:cubicBezTo>
                                <a:cubicBezTo>
                                  <a:pt x="20423" y="7490"/>
                                  <a:pt x="20508" y="7470"/>
                                  <a:pt x="20469" y="7638"/>
                                </a:cubicBezTo>
                                <a:cubicBezTo>
                                  <a:pt x="20431" y="7805"/>
                                  <a:pt x="20310" y="7992"/>
                                  <a:pt x="20243" y="8186"/>
                                </a:cubicBezTo>
                                <a:cubicBezTo>
                                  <a:pt x="20176" y="8379"/>
                                  <a:pt x="20215" y="8437"/>
                                  <a:pt x="20130" y="8605"/>
                                </a:cubicBezTo>
                                <a:cubicBezTo>
                                  <a:pt x="20046" y="8772"/>
                                  <a:pt x="19954" y="8863"/>
                                  <a:pt x="19827" y="9017"/>
                                </a:cubicBezTo>
                                <a:cubicBezTo>
                                  <a:pt x="19699" y="9172"/>
                                  <a:pt x="19615" y="9282"/>
                                  <a:pt x="19488" y="9365"/>
                                </a:cubicBezTo>
                                <a:cubicBezTo>
                                  <a:pt x="19360" y="9449"/>
                                  <a:pt x="19304" y="9378"/>
                                  <a:pt x="19184" y="9430"/>
                                </a:cubicBezTo>
                                <a:cubicBezTo>
                                  <a:pt x="19064" y="9481"/>
                                  <a:pt x="18954" y="9501"/>
                                  <a:pt x="18880" y="9636"/>
                                </a:cubicBezTo>
                                <a:cubicBezTo>
                                  <a:pt x="18806" y="9771"/>
                                  <a:pt x="18767" y="9913"/>
                                  <a:pt x="18806" y="10119"/>
                                </a:cubicBezTo>
                                <a:cubicBezTo>
                                  <a:pt x="18845" y="10326"/>
                                  <a:pt x="18919" y="10429"/>
                                  <a:pt x="19071" y="10667"/>
                                </a:cubicBezTo>
                                <a:cubicBezTo>
                                  <a:pt x="19223" y="10906"/>
                                  <a:pt x="19470" y="11119"/>
                                  <a:pt x="19562" y="11299"/>
                                </a:cubicBezTo>
                                <a:cubicBezTo>
                                  <a:pt x="19654" y="11480"/>
                                  <a:pt x="19562" y="11447"/>
                                  <a:pt x="19523" y="11570"/>
                                </a:cubicBezTo>
                                <a:cubicBezTo>
                                  <a:pt x="19484" y="11692"/>
                                  <a:pt x="19392" y="11795"/>
                                  <a:pt x="19371" y="11918"/>
                                </a:cubicBezTo>
                                <a:cubicBezTo>
                                  <a:pt x="19350" y="12040"/>
                                  <a:pt x="19410" y="12040"/>
                                  <a:pt x="19410" y="12189"/>
                                </a:cubicBezTo>
                                <a:cubicBezTo>
                                  <a:pt x="19410" y="12337"/>
                                  <a:pt x="19445" y="12504"/>
                                  <a:pt x="19371" y="12672"/>
                                </a:cubicBezTo>
                                <a:cubicBezTo>
                                  <a:pt x="19297" y="12840"/>
                                  <a:pt x="19152" y="12852"/>
                                  <a:pt x="19032" y="13020"/>
                                </a:cubicBezTo>
                                <a:cubicBezTo>
                                  <a:pt x="18912" y="13188"/>
                                  <a:pt x="18820" y="13349"/>
                                  <a:pt x="18767" y="13504"/>
                                </a:cubicBezTo>
                                <a:cubicBezTo>
                                  <a:pt x="18714" y="13658"/>
                                  <a:pt x="18767" y="13542"/>
                                  <a:pt x="18767" y="13781"/>
                                </a:cubicBezTo>
                                <a:cubicBezTo>
                                  <a:pt x="18767" y="14019"/>
                                  <a:pt x="18767" y="14367"/>
                                  <a:pt x="18767" y="14683"/>
                                </a:cubicBezTo>
                                <a:cubicBezTo>
                                  <a:pt x="18767" y="14999"/>
                                  <a:pt x="18813" y="15115"/>
                                  <a:pt x="18767" y="15373"/>
                                </a:cubicBezTo>
                                <a:cubicBezTo>
                                  <a:pt x="18721" y="15631"/>
                                  <a:pt x="18654" y="15779"/>
                                  <a:pt x="18541" y="15985"/>
                                </a:cubicBezTo>
                                <a:cubicBezTo>
                                  <a:pt x="18428" y="16191"/>
                                  <a:pt x="18311" y="16320"/>
                                  <a:pt x="18198" y="16404"/>
                                </a:cubicBezTo>
                                <a:cubicBezTo>
                                  <a:pt x="18085" y="16488"/>
                                  <a:pt x="18110" y="16417"/>
                                  <a:pt x="17972" y="16404"/>
                                </a:cubicBezTo>
                                <a:cubicBezTo>
                                  <a:pt x="17835" y="16391"/>
                                  <a:pt x="17669" y="16243"/>
                                  <a:pt x="17517" y="16340"/>
                                </a:cubicBezTo>
                                <a:cubicBezTo>
                                  <a:pt x="17365" y="16436"/>
                                  <a:pt x="17337" y="16720"/>
                                  <a:pt x="17217" y="16888"/>
                                </a:cubicBezTo>
                                <a:cubicBezTo>
                                  <a:pt x="17097" y="17055"/>
                                  <a:pt x="17026" y="17081"/>
                                  <a:pt x="16913" y="17165"/>
                                </a:cubicBezTo>
                                <a:cubicBezTo>
                                  <a:pt x="16800" y="17249"/>
                                  <a:pt x="16747" y="17223"/>
                                  <a:pt x="16648" y="17307"/>
                                </a:cubicBezTo>
                                <a:cubicBezTo>
                                  <a:pt x="16549" y="17390"/>
                                  <a:pt x="16507" y="17487"/>
                                  <a:pt x="16422" y="17584"/>
                                </a:cubicBezTo>
                                <a:cubicBezTo>
                                  <a:pt x="16337" y="17680"/>
                                  <a:pt x="16330" y="17803"/>
                                  <a:pt x="16231" y="17790"/>
                                </a:cubicBezTo>
                                <a:cubicBezTo>
                                  <a:pt x="16132" y="17777"/>
                                  <a:pt x="16002" y="17661"/>
                                  <a:pt x="15928" y="17506"/>
                                </a:cubicBezTo>
                                <a:cubicBezTo>
                                  <a:pt x="15853" y="17352"/>
                                  <a:pt x="15892" y="17203"/>
                                  <a:pt x="15853" y="17023"/>
                                </a:cubicBezTo>
                                <a:cubicBezTo>
                                  <a:pt x="15815" y="16842"/>
                                  <a:pt x="15800" y="16739"/>
                                  <a:pt x="15740" y="16617"/>
                                </a:cubicBezTo>
                                <a:cubicBezTo>
                                  <a:pt x="15680" y="16494"/>
                                  <a:pt x="15649" y="16546"/>
                                  <a:pt x="15550" y="16404"/>
                                </a:cubicBezTo>
                                <a:cubicBezTo>
                                  <a:pt x="15451" y="16262"/>
                                  <a:pt x="15483" y="16249"/>
                                  <a:pt x="15249" y="15921"/>
                                </a:cubicBezTo>
                                <a:cubicBezTo>
                                  <a:pt x="15016" y="15592"/>
                                  <a:pt x="14667" y="15051"/>
                                  <a:pt x="14377" y="14748"/>
                                </a:cubicBezTo>
                                <a:cubicBezTo>
                                  <a:pt x="14088" y="14445"/>
                                  <a:pt x="13999" y="14503"/>
                                  <a:pt x="13809" y="14406"/>
                                </a:cubicBezTo>
                                <a:cubicBezTo>
                                  <a:pt x="13618" y="14309"/>
                                  <a:pt x="13575" y="14290"/>
                                  <a:pt x="13431" y="14264"/>
                                </a:cubicBezTo>
                                <a:cubicBezTo>
                                  <a:pt x="13286" y="14238"/>
                                  <a:pt x="13190" y="14238"/>
                                  <a:pt x="13092" y="14264"/>
                                </a:cubicBezTo>
                                <a:cubicBezTo>
                                  <a:pt x="12993" y="14290"/>
                                  <a:pt x="13039" y="14419"/>
                                  <a:pt x="12940" y="14406"/>
                                </a:cubicBezTo>
                                <a:cubicBezTo>
                                  <a:pt x="12841" y="14393"/>
                                  <a:pt x="12721" y="14271"/>
                                  <a:pt x="12601" y="14200"/>
                                </a:cubicBezTo>
                                <a:cubicBezTo>
                                  <a:pt x="12481" y="14129"/>
                                  <a:pt x="12435" y="14064"/>
                                  <a:pt x="12336" y="14051"/>
                                </a:cubicBezTo>
                                <a:cubicBezTo>
                                  <a:pt x="12237" y="14039"/>
                                  <a:pt x="12166" y="14026"/>
                                  <a:pt x="12106" y="14122"/>
                                </a:cubicBezTo>
                                <a:cubicBezTo>
                                  <a:pt x="12046" y="14219"/>
                                  <a:pt x="12071" y="14354"/>
                                  <a:pt x="12032" y="14535"/>
                                </a:cubicBezTo>
                                <a:cubicBezTo>
                                  <a:pt x="11993" y="14715"/>
                                  <a:pt x="11972" y="14851"/>
                                  <a:pt x="11919" y="15018"/>
                                </a:cubicBezTo>
                                <a:cubicBezTo>
                                  <a:pt x="11866" y="15186"/>
                                  <a:pt x="11866" y="15231"/>
                                  <a:pt x="11767" y="15373"/>
                                </a:cubicBezTo>
                                <a:cubicBezTo>
                                  <a:pt x="11668" y="15515"/>
                                  <a:pt x="11545" y="15560"/>
                                  <a:pt x="11425" y="15714"/>
                                </a:cubicBezTo>
                                <a:cubicBezTo>
                                  <a:pt x="11305" y="15869"/>
                                  <a:pt x="11312" y="16063"/>
                                  <a:pt x="11160" y="16133"/>
                                </a:cubicBezTo>
                                <a:cubicBezTo>
                                  <a:pt x="11008" y="16204"/>
                                  <a:pt x="10867" y="16069"/>
                                  <a:pt x="10669" y="16056"/>
                                </a:cubicBezTo>
                                <a:cubicBezTo>
                                  <a:pt x="10471" y="16043"/>
                                  <a:pt x="10358" y="15985"/>
                                  <a:pt x="10178" y="16056"/>
                                </a:cubicBezTo>
                                <a:cubicBezTo>
                                  <a:pt x="9998" y="16127"/>
                                  <a:pt x="9906" y="16333"/>
                                  <a:pt x="9761" y="16404"/>
                                </a:cubicBezTo>
                                <a:cubicBezTo>
                                  <a:pt x="9616" y="16475"/>
                                  <a:pt x="9602" y="16307"/>
                                  <a:pt x="9457" y="16404"/>
                                </a:cubicBezTo>
                                <a:cubicBezTo>
                                  <a:pt x="9313" y="16501"/>
                                  <a:pt x="9193" y="16720"/>
                                  <a:pt x="9041" y="16888"/>
                                </a:cubicBezTo>
                                <a:cubicBezTo>
                                  <a:pt x="8889" y="17055"/>
                                  <a:pt x="8793" y="17126"/>
                                  <a:pt x="8702" y="17236"/>
                                </a:cubicBezTo>
                                <a:cubicBezTo>
                                  <a:pt x="8610" y="17345"/>
                                  <a:pt x="8656" y="17326"/>
                                  <a:pt x="8589" y="17435"/>
                                </a:cubicBezTo>
                                <a:cubicBezTo>
                                  <a:pt x="8522" y="17545"/>
                                  <a:pt x="8483" y="17680"/>
                                  <a:pt x="8363" y="17790"/>
                                </a:cubicBezTo>
                                <a:cubicBezTo>
                                  <a:pt x="8243" y="17900"/>
                                  <a:pt x="8073" y="17880"/>
                                  <a:pt x="7981" y="17990"/>
                                </a:cubicBezTo>
                                <a:cubicBezTo>
                                  <a:pt x="7889" y="18099"/>
                                  <a:pt x="7960" y="18228"/>
                                  <a:pt x="7907" y="18338"/>
                                </a:cubicBezTo>
                                <a:cubicBezTo>
                                  <a:pt x="7854" y="18447"/>
                                  <a:pt x="7815" y="18525"/>
                                  <a:pt x="7716" y="18551"/>
                                </a:cubicBezTo>
                                <a:cubicBezTo>
                                  <a:pt x="7617" y="18576"/>
                                  <a:pt x="7561" y="18473"/>
                                  <a:pt x="7416" y="18473"/>
                                </a:cubicBezTo>
                                <a:cubicBezTo>
                                  <a:pt x="7271" y="18473"/>
                                  <a:pt x="7105" y="18441"/>
                                  <a:pt x="6999" y="18551"/>
                                </a:cubicBezTo>
                                <a:cubicBezTo>
                                  <a:pt x="6893" y="18660"/>
                                  <a:pt x="6971" y="18841"/>
                                  <a:pt x="6886" y="19034"/>
                                </a:cubicBezTo>
                                <a:cubicBezTo>
                                  <a:pt x="6802" y="19227"/>
                                  <a:pt x="6756" y="19395"/>
                                  <a:pt x="6583" y="19517"/>
                                </a:cubicBezTo>
                                <a:cubicBezTo>
                                  <a:pt x="6410" y="19640"/>
                                  <a:pt x="6272" y="19569"/>
                                  <a:pt x="6014" y="19653"/>
                                </a:cubicBezTo>
                                <a:cubicBezTo>
                                  <a:pt x="5756" y="19737"/>
                                  <a:pt x="5548" y="19756"/>
                                  <a:pt x="5297" y="19924"/>
                                </a:cubicBezTo>
                                <a:cubicBezTo>
                                  <a:pt x="5046" y="20091"/>
                                  <a:pt x="4905" y="20304"/>
                                  <a:pt x="4767" y="20484"/>
                                </a:cubicBezTo>
                                <a:cubicBezTo>
                                  <a:pt x="4630" y="20665"/>
                                  <a:pt x="4675" y="20697"/>
                                  <a:pt x="4615" y="20820"/>
                                </a:cubicBezTo>
                                <a:cubicBezTo>
                                  <a:pt x="4555" y="20942"/>
                                  <a:pt x="4538" y="21071"/>
                                  <a:pt x="4464" y="21103"/>
                                </a:cubicBezTo>
                                <a:cubicBezTo>
                                  <a:pt x="4389" y="21135"/>
                                  <a:pt x="4358" y="20968"/>
                                  <a:pt x="4238" y="20968"/>
                                </a:cubicBezTo>
                                <a:cubicBezTo>
                                  <a:pt x="4117" y="20968"/>
                                  <a:pt x="3973" y="21052"/>
                                  <a:pt x="3860" y="21103"/>
                                </a:cubicBezTo>
                                <a:cubicBezTo>
                                  <a:pt x="3747" y="21155"/>
                                  <a:pt x="3715" y="21213"/>
                                  <a:pt x="3669" y="21239"/>
                                </a:cubicBezTo>
                                <a:cubicBezTo>
                                  <a:pt x="3623" y="21264"/>
                                  <a:pt x="3669" y="21374"/>
                                  <a:pt x="3630" y="21239"/>
                                </a:cubicBezTo>
                                <a:cubicBezTo>
                                  <a:pt x="3591" y="21103"/>
                                  <a:pt x="3683" y="21600"/>
                                  <a:pt x="3478" y="20549"/>
                                </a:cubicBezTo>
                                <a:cubicBezTo>
                                  <a:pt x="3273" y="19498"/>
                                  <a:pt x="2920" y="17655"/>
                                  <a:pt x="2609" y="15985"/>
                                </a:cubicBezTo>
                                <a:cubicBezTo>
                                  <a:pt x="2299" y="14316"/>
                                  <a:pt x="2108" y="13252"/>
                                  <a:pt x="1928" y="12189"/>
                                </a:cubicBezTo>
                                <a:cubicBezTo>
                                  <a:pt x="1748" y="11125"/>
                                  <a:pt x="1755" y="10996"/>
                                  <a:pt x="1702" y="10667"/>
                                </a:cubicBezTo>
                                <a:cubicBezTo>
                                  <a:pt x="1649" y="10339"/>
                                  <a:pt x="1677" y="10635"/>
                                  <a:pt x="1663" y="10538"/>
                                </a:cubicBezTo>
                                <a:cubicBezTo>
                                  <a:pt x="1649" y="10442"/>
                                  <a:pt x="1631" y="10306"/>
                                  <a:pt x="1624" y="10184"/>
                                </a:cubicBezTo>
                                <a:cubicBezTo>
                                  <a:pt x="1617" y="10061"/>
                                  <a:pt x="1638" y="10023"/>
                                  <a:pt x="1624" y="9913"/>
                                </a:cubicBezTo>
                                <a:cubicBezTo>
                                  <a:pt x="1610" y="9804"/>
                                  <a:pt x="1564" y="9733"/>
                                  <a:pt x="1550" y="9636"/>
                                </a:cubicBezTo>
                                <a:cubicBezTo>
                                  <a:pt x="1536" y="9539"/>
                                  <a:pt x="1536" y="9597"/>
                                  <a:pt x="1550" y="9430"/>
                                </a:cubicBezTo>
                                <a:cubicBezTo>
                                  <a:pt x="1564" y="9262"/>
                                  <a:pt x="1631" y="9024"/>
                                  <a:pt x="1624" y="8805"/>
                                </a:cubicBezTo>
                                <a:cubicBezTo>
                                  <a:pt x="1617" y="8585"/>
                                  <a:pt x="1578" y="8469"/>
                                  <a:pt x="1511" y="8321"/>
                                </a:cubicBezTo>
                                <a:cubicBezTo>
                                  <a:pt x="1444" y="8173"/>
                                  <a:pt x="1370" y="8121"/>
                                  <a:pt x="1285" y="8050"/>
                                </a:cubicBezTo>
                                <a:cubicBezTo>
                                  <a:pt x="1200" y="7979"/>
                                  <a:pt x="1147" y="7941"/>
                                  <a:pt x="1094" y="7979"/>
                                </a:cubicBezTo>
                                <a:cubicBezTo>
                                  <a:pt x="1041" y="8018"/>
                                  <a:pt x="1048" y="8199"/>
                                  <a:pt x="1020" y="8250"/>
                                </a:cubicBezTo>
                                <a:cubicBezTo>
                                  <a:pt x="992" y="8302"/>
                                  <a:pt x="985" y="8263"/>
                                  <a:pt x="946" y="8250"/>
                                </a:cubicBezTo>
                                <a:cubicBezTo>
                                  <a:pt x="907" y="8237"/>
                                  <a:pt x="907" y="8295"/>
                                  <a:pt x="829" y="8186"/>
                                </a:cubicBezTo>
                                <a:cubicBezTo>
                                  <a:pt x="752" y="8076"/>
                                  <a:pt x="656" y="7786"/>
                                  <a:pt x="565" y="7702"/>
                                </a:cubicBezTo>
                                <a:cubicBezTo>
                                  <a:pt x="473" y="7618"/>
                                  <a:pt x="430" y="7793"/>
                                  <a:pt x="377" y="7767"/>
                                </a:cubicBezTo>
                                <a:cubicBezTo>
                                  <a:pt x="324" y="7741"/>
                                  <a:pt x="331" y="7631"/>
                                  <a:pt x="300" y="7567"/>
                                </a:cubicBezTo>
                                <a:cubicBezTo>
                                  <a:pt x="268" y="7502"/>
                                  <a:pt x="254" y="7490"/>
                                  <a:pt x="226" y="7432"/>
                                </a:cubicBezTo>
                                <a:cubicBezTo>
                                  <a:pt x="197" y="7374"/>
                                  <a:pt x="165" y="7354"/>
                                  <a:pt x="151" y="7283"/>
                                </a:cubicBezTo>
                                <a:cubicBezTo>
                                  <a:pt x="137" y="7212"/>
                                  <a:pt x="123" y="7167"/>
                                  <a:pt x="151" y="7083"/>
                                </a:cubicBezTo>
                                <a:cubicBezTo>
                                  <a:pt x="180" y="7000"/>
                                  <a:pt x="261" y="6967"/>
                                  <a:pt x="300" y="6871"/>
                                </a:cubicBezTo>
                                <a:cubicBezTo>
                                  <a:pt x="339" y="6774"/>
                                  <a:pt x="346" y="6768"/>
                                  <a:pt x="339" y="6600"/>
                                </a:cubicBezTo>
                                <a:cubicBezTo>
                                  <a:pt x="331" y="6432"/>
                                  <a:pt x="331" y="6297"/>
                                  <a:pt x="264" y="6046"/>
                                </a:cubicBezTo>
                                <a:cubicBezTo>
                                  <a:pt x="197" y="5794"/>
                                  <a:pt x="52" y="5478"/>
                                  <a:pt x="0" y="5350"/>
                                </a:cubicBezTo>
                                <a:close/>
                              </a:path>
                            </a:pathLst>
                          </a:custGeom>
                          <a:noFill/>
                          <a:ln w="34925" cap="flat" cmpd="sng">
                            <a:solidFill>
                              <a:srgbClr val="FF0000"/>
                            </a:solidFill>
                            <a:prstDash val="solid"/>
                            <a:headEnd type="none" w="med" len="med"/>
                            <a:tailEnd type="none" w="med" len="med"/>
                          </a:ln>
                        </wps:spPr>
                        <wps:bodyPr wrap="square" anchor="t" anchorCtr="0" upright="1"/>
                      </wps:wsp>
                      <wps:wsp>
                        <wps:cNvPr id="56" name="矩形标注 88"/>
                        <wps:cNvSpPr/>
                        <wps:spPr>
                          <a:xfrm flipV="1">
                            <a:off x="5425" y="4123"/>
                            <a:ext cx="2291" cy="777"/>
                          </a:xfrm>
                          <a:prstGeom prst="wedgeRectCallout">
                            <a:avLst>
                              <a:gd name="adj1" fmla="val -61194"/>
                              <a:gd name="adj2" fmla="val 116847"/>
                            </a:avLst>
                          </a:prstGeom>
                          <a:solidFill>
                            <a:srgbClr val="FFFFFF">
                              <a:alpha val="81960"/>
                            </a:srgbClr>
                          </a:solidFill>
                          <a:ln w="15875" cap="flat" cmpd="sng">
                            <a:solidFill>
                              <a:srgbClr val="0000FF"/>
                            </a:solidFill>
                            <a:prstDash val="solid"/>
                            <a:miter/>
                            <a:headEnd type="none" w="med" len="med"/>
                            <a:tailEnd type="none" w="med" len="med"/>
                          </a:ln>
                        </wps:spPr>
                        <wps:txbx>
                          <w:txbxContent>
                            <w:p>
                              <w:pPr>
                                <w:jc w:val="center"/>
                                <w:rPr>
                                  <w:b/>
                                  <w:bCs/>
                                  <w:sz w:val="18"/>
                                  <w:szCs w:val="18"/>
                                </w:rPr>
                              </w:pPr>
                              <w:r>
                                <w:rPr>
                                  <w:rFonts w:hint="eastAsia"/>
                                  <w:b/>
                                  <w:bCs/>
                                  <w:sz w:val="18"/>
                                  <w:szCs w:val="18"/>
                                </w:rPr>
                                <w:t>本次地下水评价范围（即区域水文地质单元范围）</w:t>
                              </w:r>
                            </w:p>
                          </w:txbxContent>
                        </wps:txbx>
                        <wps:bodyPr lIns="14398" tIns="0" rIns="14398" bIns="0" upright="1"/>
                      </wps:wsp>
                    </wpg:wgp>
                  </a:graphicData>
                </a:graphic>
              </wp:inline>
            </w:drawing>
          </mc:Choice>
          <mc:Fallback>
            <w:pict>
              <v:group id="组合 124" o:spid="_x0000_s1026" o:spt="203" style="height:233.2pt;width:402.8pt;" coordsize="8305,53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">
                <o:lock v:ext="edit" aspectratio="f"/>
                <v:shape id="图片 61" o:spid="_x0000_s1026" o:spt="75" alt="西安市地形图" type="#_x0000_t75" style="position:absolute;left:0;top:0;height:5385;width:8305;" filled="f" o:preferrelative="t" stroked="t" coordsize="21600,21600"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4YIzfDAAAA2wAAAA8AAABkcnMvZG93bnJldi54bWxEj0FvwjAMhe+T+A+RkXaZIGWHCQoBARIC&#10;7TJg+wFWY9pC41RNoNm/nw+TuNl6z+99XqySa9SDulB7NjAZZ6CIC29rLg38fO9GU1AhIltsPJOB&#10;XwqwWg5eFphb3/OJHudYKgnhkKOBKsY21zoUFTkMY98Si3bxncMoa1dq22Ev4a7R71n2oR3WLA0V&#10;trStqLid787Aafb2mZrEm+ulRPrqD8f9dXY05nWY1nNQkVJ8mv+vD1bwBVZ+kQH08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hgjN8MAAADbAAAADwAAAAAAAAAAAAAAAACf&#10;AgAAZHJzL2Rvd25yZXYueG1sUEsFBgAAAAAEAAQA9wAAAI8DAAAAAA==&#10;">
                  <v:fill on="f" focussize="0,0"/>
                  <v:stroke color="#000000" joinstyle="miter"/>
                  <v:imagedata r:id="rId28" o:title="西安市地形图"/>
                  <o:lock v:ext="edit" aspectratio="t"/>
                </v:shape>
                <v:shape id="矩形标注 88" o:spid="_x0000_s1026" o:spt="61" type="#_x0000_t61" style="position:absolute;left:3036;top:2618;flip:y;height:368;width:1923;"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fT98IA&#10;AADbAAAADwAAAGRycy9kb3ducmV2LnhtbERP24rCMBB9F/yHMIJvmnYvotUoIl1YlwWxis9DM7bF&#10;ZlKaqF2/3iws7NscznUWq87U4katqywriMcRCOLc6ooLBcfDx2gKwnlkjbVlUvBDDlbLfm+BibZ3&#10;3tMt84UIIewSVFB63yRSurwkg25sG+LAnW1r0AfYFlK3eA/hppYvUTSRBisODSU2tCkpv2RXo2Dz&#10;/vWWphzH6SXLH4/T9868bndKDQfdeg7CU+f/xX/uTx3mz+D3l3CAX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l9P3wgAAANsAAAAPAAAAAAAAAAAAAAAAAJgCAABkcnMvZG93&#10;bnJldi54bWxQSwUGAAAAAAQABAD1AAAAhwMAAAAA&#10;" adj="-1614,33102">
                  <v:fill on="t" opacity="53713f" focussize="0,0"/>
                  <v:stroke weight="1.25pt" color="#0000FF" joinstyle="miter"/>
                  <v:imagedata o:title=""/>
                  <o:lock v:ext="edit" aspectratio="f"/>
                  <v:textbox inset="1.13370078740157pt,0mm,1.13370078740157pt,0mm">
                    <w:txbxContent>
                      <w:p>
                        <w:pPr>
                          <w:jc w:val="center"/>
                          <w:rPr>
                            <w:b/>
                            <w:bCs/>
                            <w:sz w:val="18"/>
                            <w:szCs w:val="18"/>
                          </w:rPr>
                        </w:pPr>
                        <w:r>
                          <w:rPr>
                            <w:rFonts w:hint="eastAsia"/>
                            <w:b/>
                            <w:bCs/>
                            <w:sz w:val="18"/>
                            <w:szCs w:val="18"/>
                          </w:rPr>
                          <w:t>项目区范围</w:t>
                        </w:r>
                      </w:p>
                    </w:txbxContent>
                  </v:textbox>
                </v:shape>
                <v:shape id="曲线 69" o:spid="_x0000_s1026" o:spt="100" style="position:absolute;left:242;top:39;height:1197;width:1841;" filled="f"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uugL0A&#10;AADbAAAADwAAAGRycy9kb3ducmV2LnhtbERPS4vCMBC+C/6HMMLedLqyiHSNUhYE3ZPPPQ/N2Bab&#10;SUmi1n+/OQgeP773YtXbVt3Zh8aJhs9JBoqldKaRSsPpuB7PQYVIYqh1whqeHGC1HA4WlBv3kD3f&#10;D7FSKURCThrqGLscMZQ1WwoT17Ek7uK8pZigr9B4eqRw2+I0y2ZoqZHUUFPHPzWX18PNarjwl93O&#10;+YzPokX8+93vdv5aaP0x6otvUJH7+Ba/3BujYZrWpy/pB+DyH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5duugL0AAADbAAAADwAAAAAAAAAAAAAAAACYAgAAZHJzL2Rvd25yZXYu&#10;eG1sUEsFBgAAAAAEAAQA9QAAAIIDAAAAAA==&#10;" path="m0,0c129,36,422,54,680,288c938,523,1091,830,1267,1191c1443,1553,1407,1643,1560,2094c1712,2546,1971,2907,2053,3449c2135,3991,2029,3937,1947,4804c1865,5670,1630,6844,1654,7802c1677,8759,1900,8813,2053,9608c2205,10402,2346,11107,2440,11739c2534,12371,2358,12569,2534,12768c2710,12967,3050,12642,3320,12768c3590,12894,3695,13202,3907,13382c4118,13563,4223,13617,4399,13671c4575,13725,4587,13400,4786,13671c4986,13942,5162,14502,5373,15026c5584,15549,5666,16001,5866,16254c6065,16507,6206,16254,6347,16254c6488,16254,6511,16200,6546,16254c6582,16308,6570,16362,6546,16543c6523,16723,6312,16886,6453,17157c6593,17428,6840,17608,7227,17897c7614,18186,8013,18511,8400,18638c8787,18764,8858,18385,9186,18511c9515,18638,9515,18927,10066,19252c10618,19577,11099,19884,11920,20155c12741,20426,13551,20480,14173,20606c14795,20733,14818,20642,15053,20769c15287,20895,15229,21166,15346,21220c15463,21274,15581,21184,15639,21058c15698,20931,15557,20570,15639,20606c15721,20642,15874,21076,16026,21220c16179,21365,16273,21419,16425,21347c16578,21274,16660,21004,16813,20895c16965,20787,17024,20769,17200,20769c17376,20769,17493,20751,17692,20895c17892,21040,18068,21509,18185,21509c18303,21509,18185,20985,18279,20895c18373,20805,18549,20931,18666,21058c18784,21184,18772,21419,18866,21509c18960,21600,19100,21600,19159,21509c19218,21419,19100,21058,19159,21058c19218,21058,19370,21419,19452,21509c19535,21600,19523,21600,19546,21509c19570,21419,19546,21202,19546,21058c19546,20913,19488,20805,19546,20769c19605,20733,19699,20787,19840,20895c19980,21004,20027,21256,20239,21347c20450,21437,20684,21347,20919,21347c21154,21347,21271,21347,21412,21347c21553,21347,21330,21256,21600,21347e">
                  <v:path o:connecttype="custom" o:connectlocs="0,0;58,16;108,66;133,116;175,191;166,266;141,432;175,532;208,651;216,708;283,708;333,742;375,758;408,758;458,833;500,901;541,901;558,901;558,917;550,951;616,992;716,1033;783,1026;858,1067;1016,1117;1208,1142;1283,1151;1308,1176;1333,1167;1333,1142;1366,1176;1400,1183;1433,1158;1466,1151;1508,1158;1550,1192;1558,1158;1591,1167;1608,1192;1633,1192;1633,1167;1658,1192;1666,1192;1666,1167;1666,1151;1691,1158;1725,1183;1783,1183;1825,1183;1841,1183" o:connectangles="0,0,0,0,0,0,0,0,0,0,0,0,0,0,0,0,0,0,0,0,0,0,0,0,0,0,0,0,0,0,0,0,0,0,0,0,0,0,0,0,0,0,0,0,0,0,0,0,0,0"/>
                  <v:fill on="f" focussize="0,0"/>
                  <v:stroke weight="1.25pt" color="#0000FF" joinstyle="round"/>
                  <v:imagedata o:title=""/>
                  <o:lock v:ext="edit" aspectratio="f"/>
                </v:shape>
                <v:shape id="曲线 71" o:spid="_x0000_s1026" o:spt="100" style="position:absolute;left:1883;top:55;height:1818;width:4525;" filled="f"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cLG8IA&#10;AADbAAAADwAAAGRycy9kb3ducmV2LnhtbESPzWrDMBCE74W+g9hCb/U6oZTgRg6mUEhyyk/b82Jt&#10;bGNrZSQlcd6+KhRyHGbmG2a5muygLuxD50TDLMtBsdTOdNJo+Dp+vixAhUhiaHDCGm4cYFU+Piyp&#10;MO4qe74cYqMSREJBGtoYxwIx1C1bCpkbWZJ3ct5STNI3aDxdE9wOOM/zN7TUSVpoaeSPluv+cLYa&#10;TvxqNwv+xls1IP5s97ud7yutn5+m6h1U5Cnew//ttdEwn8Hfl/QDs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lwsbwgAAANsAAAAPAAAAAAAAAAAAAAAAAJgCAABkcnMvZG93&#10;bnJldi54bWxQSwUGAAAAAAQABAD1AAAAhwMAAAAA&#10;" path="m0,0c0,0,28,71,76,190c124,309,138,309,195,487c252,665,300,903,358,1081c415,1260,443,1224,477,1378c510,1533,482,1723,515,1866c548,2009,596,2139,634,2080c673,2020,668,1533,716,1569c763,1604,816,2151,878,2270c930,2389,945,2199,992,2163c1040,2127,1064,1937,1112,2080c1159,2223,1183,2686,1231,2864c1279,3043,1293,3007,1350,2971c1408,2936,1451,2734,1508,2674c1565,2615,1580,2555,1627,2674c1675,2793,1699,2971,1761,3269c1794,3566,1785,3744,1866,4160c1947,4576,2062,4980,2148,5349c2233,5717,2281,5753,2305,6027c2329,6300,2243,6383,2267,6728c2291,7073,2439,7394,2424,7727c2410,8059,2243,8190,2186,8404c2128,8618,2100,8547,2148,8808c2195,9094,2377,9403,2424,9700c2472,9997,2410,10092,2386,10294c2362,10496,2339,10520,2305,10698c2272,10877,2286,11055,2224,11186c2162,11317,2066,11412,1985,11376c1904,11340,1866,11008,1828,10996c1790,10984,1847,11293,1790,11293c1737,11293,1632,11138,1551,10996c1470,10853,1422,10591,1389,10591c1355,10591,1403,10901,1389,10996c1374,11091,1374,11103,1312,11079c1250,11055,1136,10960,1074,10889c1011,10817,1040,10782,992,10698c945,10615,878,10473,835,10484c811,10496,878,10639,878,10782c883,10924,887,10948,878,11186c878,11424,792,11792,792,11970c792,12149,878,11935,878,12077c878,12220,806,12470,792,12672c778,12874,758,12838,792,13076c825,13314,916,13682,954,13861c992,14039,1016,13872,992,13968c969,14063,878,14229,835,14348c797,14467,782,14455,792,14562c801,14669,883,14740,878,14859c878,14978,763,15037,754,15156c744,15275,801,15394,835,15454c878,15513,911,15394,911,15454c911,15513,835,15596,835,15751c835,15905,878,16060,911,16238c959,16416,978,16547,1074,16642c1169,16737,1303,16714,1389,16726c1475,16737,1422,16785,1508,16726c1594,16666,1613,16369,1828,16428c2043,16488,2381,16904,2582,17023c2782,17142,2739,17082,2821,17023c2902,16963,2911,16821,2983,16726c3055,16630,3083,16654,3179,16535c3274,16416,3341,16309,3460,16131c3580,15953,3666,15775,3775,15644c3885,15513,3871,15477,4014,15454c4157,15430,4358,15596,4491,15537c4625,15489,4596,15251,4692,15240c4787,15228,4888,15406,4969,15454c5050,15501,5050,15513,5088,15454c5126,15394,5155,15240,5169,15156c5184,15073,5112,15037,5169,15049c5226,15061,5336,15204,5446,15240c5556,15275,5666,15299,5728,15240c5790,15180,5694,15037,5766,14942c5837,14847,5966,14847,6086,14752c6205,14657,6277,14538,6363,14455c6448,14372,6482,14443,6520,14348c6558,14253,6453,14086,6563,13968c6673,13849,6935,13801,7079,13754c7222,13706,7184,13754,7279,13754c7375,13754,7437,13706,7556,13754c7675,13801,7723,13944,7876,13968c8028,13991,8110,13968,8310,13861c8511,13754,8668,13647,8869,13456c9069,13314,9188,13135,9308,13159c9427,13183,9418,13456,9465,13563c9513,13670,9499,13694,9546,13670c9594,13647,9647,13575,9709,13456c9761,13338,9714,13135,9823,13076c9933,13017,10134,13028,10262,13159c10391,13290,10372,13694,10458,13754c10544,13813,10563,13575,10697,13456c10831,13338,10969,13219,11136,13159c11303,13100,11375,13195,11532,13159c11690,13124,11828,12969,11933,12969c12038,12969,12029,13005,12053,13159c12076,13314,12014,13575,12053,13754c12091,13932,12143,13991,12248,14051c12358,14110,12463,14063,12568,14051c12673,14039,12659,14003,12769,13968c12878,13932,13007,13789,13127,13861c13246,13932,13270,14146,13365,14348c13465,14550,13494,14621,13604,14859c13714,15097,13847,15240,13919,15537c13991,15834,13914,16107,13962,16345c14010,16583,14076,16607,14158,16726c14239,16844,14277,16702,14358,16940c14439,17177,14520,17522,14559,17914c14597,18307,14544,18651,14559,18913c14573,19174,14554,18972,14635,19210c14716,19448,14845,19745,14955,20102c15065,20458,15108,20815,15193,20993c15279,21172,15313,20969,15394,20993c15475,21017,15485,21005,15590,21100c15695,21195,15757,21409,15910,21481c16062,21600,16158,21481,16349,21481c16540,21481,16711,21540,16864,21481c17017,21421,16941,21302,17103,21183c17270,21065,17556,20886,17700,20886c17843,20886,17757,21100,17819,21183c17881,21267,17933,21267,18019,21290c18105,21314,18101,21326,18258,21290c18416,21255,18659,21160,18812,21100c18965,21041,18879,21053,19012,20993c19146,20934,19370,20862,19490,20803c19609,20744,19561,20755,19609,20696c19657,20637,19671,20565,19728,20506c19786,20446,19719,20518,19886,20399c20053,20280,20363,20054,20564,19911c20764,19769,20788,19816,20883,19697c20979,19579,20960,19353,21041,19317c21122,19281,21208,19388,21284,19507c21351,19626,21251,19305,21342,19543c21432,19781,21442,19614,21466,19757c21494,19911,21552,19911,21552,19971c21552,20030,21051,18889,21600,19888e">
                  <v:path o:connecttype="custom" o:connectlocs="41,41;108,157;184,191;258,241;341,225;450,450;508,650;508,816;466,941;375,950;291,925;208,900;184,941;166,1067;208,1176;184,1251;191,1301;225,1401;383,1383;625,1408;791,1317;983,1283;1083,1276;1200,1283;1333,1217;1483,1158;1650,1176;1950,1108;2034,1133;2191,1158;2416,1108;2525,1158;2675,1176;2850,1251;2966,1408;3050,1592;3183,1767;3333,1808;3583,1783;3775,1792;3983,1767;4133,1726;4375,1658;4471,1645;4525,1674" o:connectangles="0,0,0,0,0,0,0,0,0,0,0,0,0,0,0,0,0,0,0,0,0,0,0,0,0,0,0,0,0,0,0,0,0,0,0,0,0,0,0,0,0,0,0,0,0"/>
                  <v:fill on="f" focussize="0,0"/>
                  <v:stroke weight="1.25pt" color="#0000FF" joinstyle="round"/>
                  <v:imagedata o:title=""/>
                  <o:lock v:ext="edit" aspectratio="f"/>
                </v:shape>
                <v:shape id="曲线 73" o:spid="_x0000_s1026" o:spt="100" style="position:absolute;left:3583;top:26;height:2343;width:2966;" filled="f"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WVbMEA&#10;AADbAAAADwAAAGRycy9kb3ducmV2LnhtbESPQWvCQBSE70L/w/IEb/piEJHUVUKhYHtSa3t+ZJ9J&#10;MPs27K4a/323IPQ4zMw3zHo72E7d2IfWiYb5LAPFUjnTSq3h9PU+XYEKkcRQ54Q1PDjAdvMyWlNh&#10;3F0OfDvGWiWIhII0NDH2BWKoGrYUZq5nSd7ZeUsxSV+j8XRPcNthnmVLtNRKWmio57eGq8vxajWc&#10;eWE/VvyNj7JD/Pk87Pf+Umo9GQ/lK6jIQ/wPP9s7oyHP4e9L+gG4+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FlWzBAAAA2wAAAA8AAAAAAAAAAAAAAAAAmAIAAGRycy9kb3du&#10;cmV2LnhtbFBLBQYAAAAABAAEAPUAAACGAwAAAAA=&#10;" path="m0,0c80,92,269,369,429,461c589,553,662,525,793,461c924,396,873,175,1092,147c1310,119,1653,230,1886,313c2119,396,2126,516,2250,544c2374,572,2403,544,2490,461c2578,378,2621,212,2672,147c2723,83,2636,64,2730,147c2825,230,2920,461,3160,544c3400,627,3633,470,3947,544c4260,618,4384,692,4733,922c5083,1153,5403,1448,5709,1697c6015,1946,6059,2011,6255,2159c6452,2306,6474,2408,6678,2454c6881,2500,6940,2251,7282,2389c7624,2528,8025,2961,8374,3146c8724,3330,8680,3266,9044,3312c9409,3358,9809,3321,10195,3377c10581,3432,10785,3432,10989,3607c11193,3782,11098,4032,11229,4235c11360,4438,11528,4465,11652,4613c11775,4761,11739,4825,11834,4991c11928,5157,12052,5314,12139,5453c12227,5591,12176,5480,12263,5683c12351,5886,12394,6228,12562,6458c12729,6689,12941,6744,13108,6837c13276,6929,13290,6901,13414,6920c13538,6938,13611,6947,13720,6920c13829,6892,13814,6652,13960,6772c14106,6892,14179,7455,14448,7529c14718,7602,15023,7196,15293,7150c15562,7104,15511,7187,15781,7298c16050,7409,16320,7612,16633,7695c16946,7778,17128,7667,17361,7695c17594,7722,17616,7704,17783,7842c17951,7981,18024,8230,18206,8387c18388,8544,18534,8571,18694,8617c18854,8663,18912,8544,19000,8617c19087,8691,19065,8802,19116,8996c19167,9189,19116,9356,19240,9605c19364,9854,19560,10048,19728,10232c19895,10417,20019,10407,20092,10527c20165,10647,20034,10749,20092,10841c20150,10933,20405,10896,20391,10989c20376,11081,20121,11192,20026,11302c19932,11413,19888,11459,19910,11533c19932,11607,20063,11635,20150,11681c20238,11727,20332,11699,20332,11764c20332,11828,20209,11884,20150,11994c20092,12105,20012,12151,20026,12308c20041,12465,20063,12742,20209,12769c20354,12797,20667,12410,20755,12456c20842,12502,20689,12816,20638,13000c20587,13185,20478,13305,20514,13378c20551,13452,20769,13258,20820,13378c20871,13498,20704,13821,20755,13987c20806,14153,20930,14172,21061,14218c21192,14264,21330,14153,21425,14218c21519,14283,21600,14421,21549,14532c21498,14642,21294,14689,21184,14762c21075,14836,21090,14864,21002,14910c20915,14956,20813,14901,20755,14993c20696,15085,20747,15215,20696,15371c20645,15528,20675,15491,20514,15768c20354,16045,20070,16497,19910,16755c19750,17014,19764,16940,19728,17069c19691,17198,19764,17263,19728,17383c19691,17503,19670,17484,19546,17678c19422,17872,19276,18167,19116,18370c18956,18573,18839,18592,18752,18684c18665,18776,18745,18804,18694,18831c18643,18859,18599,18841,18512,18831c18424,18822,18330,18776,18271,18767c18213,18758,18242,18693,18206,18767c18169,18841,18075,19025,18089,19145c18104,19265,18257,19265,18271,19376c18286,19487,18308,19367,18148,19690c17987,20012,17674,20612,17478,20991c17281,21369,17266,21433,17179,21600e">
                  <v:path o:connecttype="custom" o:connectlocs="59,50;150,16;309,59;367,16;434,59;650,100;859,234;1000,259;1242,359;1509,391;1600,500;1667,591;1725,701;1842,751;1917,735;2100,776;2284,835;2442,851;2567,935;2625,976;2709,1110;2759,1176;2750,1226;2767,1267;2767,1301;2775,1385;2834,1410;2859,1451;2892,1542;2959,1576;2884,1617;2842,1667;2734,1817;2709,1886;2625,1993;2567,2043;2509,2036;2484,2077;2492,2136;2359,2343" o:connectangles="0,0,0,0,0,0,0,0,0,0,0,0,0,0,0,0,0,0,0,0,0,0,0,0,0,0,0,0,0,0,0,0,0,0,0,0,0,0,0,0"/>
                  <v:fill on="f" focussize="0,0"/>
                  <v:stroke weight="1.25pt" color="#0000FF" joinstyle="round"/>
                  <v:imagedata o:title=""/>
                  <o:lock v:ext="edit" aspectratio="f"/>
                </v:shape>
                <v:shape id="曲线 83" o:spid="_x0000_s1026" o:spt="100" style="position:absolute;left:31;top:1815;height:1556;width:3664;" filled="f"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kw98IA&#10;AADbAAAADwAAAGRycy9kb3ducmV2LnhtbESPX2vCQBDE34V+h2MLfdNNVYqkXiQIQu2T2j/PS25N&#10;QnJ74e6q8dt7hUIfh5n5DbPejLZXF/ahdaLheZaBYqmcaaXW8Pmxm65AhUhiqHfCGm4cYFM8TNaU&#10;G3eVI19OsVYJIiEnDU2MQ44YqoYthZkbWJJ3dt5STNLXaDxdE9z2OM+yF7TUSlpoaOBtw1V3+rEa&#10;zry0+xV/4a3sEb/fj4eD70qtnx7H8hVU5DH+h//ab0bDfAG/X9IPwO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CTD3wgAAANsAAAAPAAAAAAAAAAAAAAAAAJgCAABkcnMvZG93&#10;bnJldi54bWxQSwUGAAAAAAQABAD1AAAAhwMAAAAA&#10;" path="m0,666c47,666,153,694,253,666c353,638,389,638,501,527c613,416,654,166,819,83c984,0,1214,55,1326,83c1438,111,1350,41,1385,222c1420,402,1473,721,1515,957c1556,1193,1544,1235,1579,1415c1615,1596,1680,1554,1703,1846c1727,2137,1768,2554,1703,2887c1638,3220,1450,3289,1385,3498c1320,3706,1332,3692,1385,3928c1438,4164,1526,4414,1638,4692c1750,4969,1803,5108,1957,5288c2110,5469,2257,5441,2399,5580c2540,5719,2576,5802,2652,6010c2729,6219,2688,6552,2776,6621c2865,6691,2994,6455,3094,6330c3195,6205,3195,6038,3283,6010c3372,5983,3425,5885,3537,6163c3649,6441,3796,6982,3849,7371c3902,7759,3767,7704,3790,8093c3814,8481,3902,9009,3979,9286c4055,9564,4079,9481,4167,9453c4256,9425,4279,9314,4421,9134c4562,8953,4739,8481,4863,8551c4987,8620,4963,9037,5052,9453c5140,9869,5217,10216,5305,10633c5394,11049,5429,11244,5494,11535c5559,11827,5506,12035,5618,12118c5730,12202,5895,12007,6060,11979c6225,11952,6278,11924,6443,11979c6608,12035,6750,12077,6885,12257c7021,12438,7032,12687,7133,12868c7233,13048,7221,12951,7386,13159c7551,13368,7805,13548,7958,13909c8111,14270,7993,14839,8147,14950c8300,15061,8559,14617,8713,14492c8866,14367,8789,14423,8901,14339c9013,14256,9119,13992,9284,14062c9450,14131,9526,14534,9727,14659c9927,14784,10092,14631,10293,14659c10493,14686,10534,14659,10735,14797c10935,14936,11183,15269,11306,15380c11430,15492,11301,15380,11365,15380c11430,15380,11542,15436,11619,15380c11696,15325,11637,15158,11749,15103c11861,15047,12067,15075,12191,15103c12315,15131,12344,15214,12379,15242c12415,15269,12315,15269,12379,15242c12444,15214,12480,15158,12692,15103c12904,15047,13199,14714,13452,14950c13706,15186,13806,15811,13959,16283c14113,16755,14095,17019,14207,17324c14319,17629,14413,17685,14525,17782c14637,17879,14637,17851,14779,17782c14920,17713,15068,17491,15221,17463c15374,17435,15468,17671,15533,17615c15598,17560,15492,17366,15533,17185c15575,17005,15616,16741,15728,16741c15840,16741,16017,16977,16105,17185c16194,17393,16170,17546,16170,17782c16170,18018,16082,18157,16105,18365c16129,18573,16205,18587,16294,18823c16382,19059,16447,19226,16547,19545c16648,19864,16689,20114,16801,20447c16913,20780,17013,21100,17113,21197c17213,21294,17202,21030,17302,20905c17402,20780,17508,20711,17620,20586c17732,20461,17797,20336,17874,20308c17950,20281,17974,20267,17998,20447c18021,20628,17974,20989,17998,21197c18021,21405,18051,21433,18127,21488c18204,21544,18257,21600,18381,21488c18505,21377,18605,21197,18758,20905c18911,20614,18894,20128,19135,20003c19377,19878,19713,20253,19955,20308c20196,20364,20185,20308,20338,20308c20491,20308,20591,20364,20715,20308c20839,20253,20792,20295,20969,20003c21146,19712,21476,19129,21600,18823e">
                  <v:path o:connecttype="custom" o:connectlocs="43,48;139,6;235,16;268,102;289,208;235,283;332,381;450,433;525,456;600,444;643,583;707,681;825,616;900,766;953,873;1093,863;1210,927;1350,1002;1478,1044;1575,1013;1746,1056;1918,1108;1971,1108;2068,1088;2100,1098;2282,1077;2410,1248;2507,1281;2635,1269;2668,1206;2743,1281;2764,1356;2850,1473;2935,1506;3032,1463;3053,1527;3118,1548;3246,1441;3450,1463;3557,1441" o:connectangles="0,0,0,0,0,0,0,0,0,0,0,0,0,0,0,0,0,0,0,0,0,0,0,0,0,0,0,0,0,0,0,0,0,0,0,0,0,0,0,0"/>
                  <v:fill on="f" focussize="0,0"/>
                  <v:stroke weight="1.25pt" color="#0000FF" joinstyle="round"/>
                  <v:imagedata o:title=""/>
                  <o:lock v:ext="edit" aspectratio="f"/>
                </v:shape>
                <v:shape id="曲线 80" o:spid="_x0000_s1026" o:spt="100" style="position:absolute;left:9;top:2180;height:3068;width:8293;" filled="f"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Cog8EA&#10;AADbAAAADwAAAGRycy9kb3ducmV2LnhtbESPX2vCQBDE3wv9DscW+lY3ioiknhIEwfbJv31ecmsS&#10;zO2Fu6vGb+8Jgo/DzPyGmS1626oL+9A40TAcZKBYSmcaqTQc9quvKagQSQy1TljDjQMs5u9vM8qN&#10;u8qWL7tYqQSRkJOGOsYuRwxlzZbCwHUsyTs5bykm6Ss0nq4JblscZdkELTWSFmrqeFlzed79Ww0n&#10;HtufKR/xVrSIf7/bzcafC60/P/riG1TkPr7Cz/baaBiN4fEl/QCc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gqIPBAAAA2wAAAA8AAAAAAAAAAAAAAAAAmAIAAGRycy9kb3du&#10;cmV2LnhtbFBLBQYAAAAABAAEAPUAAACGAwAAAAA=&#10;" path="m0,21600c28,21529,132,21416,187,21283c242,21149,260,21093,270,20910c281,20726,250,20607,244,20382c239,20156,200,20065,244,19776c289,19487,388,19241,466,18938c544,18635,533,18481,635,18269c737,18058,802,18065,968,17882c1135,17699,1315,17530,1471,17354c1627,17178,1677,17030,1750,16988c1823,16946,1750,17199,1833,17136c1916,17073,2018,16946,2169,16685c2320,16425,2443,16073,2588,15847c2734,15622,2789,15643,2896,15552c3003,15460,2984,15587,3117,15404c3250,15221,3393,14798,3565,14644c3737,14489,3820,14827,3982,14644c4143,14461,4159,14052,4373,13735c4586,13419,4815,13221,5045,13059c5274,12898,5386,13031,5519,12912c5651,12792,5636,12672,5714,12461c5792,12250,5821,11989,5909,11856c5998,11722,6081,11764,6159,11778c6238,11792,6232,11933,6300,11933c6368,11933,6422,11926,6495,11778c6568,11630,6568,11363,6662,11180c6756,10997,6876,11032,6969,10877c7063,10722,7063,10588,7136,10419c7209,10250,7259,10173,7331,10039c7404,9905,7404,9849,7498,9743c7592,9638,7670,9617,7806,9511c7941,9405,8048,9272,8170,9215c8293,9159,8326,9215,8420,9215c8514,9215,8532,9244,8644,9215c8756,9187,8850,9187,8978,9068c9105,8948,9202,8716,9285,8610c9368,8504,9358,8603,9397,8540c9436,8476,9446,8476,9480,8307c9514,8138,9535,7948,9564,7709c9592,7469,9597,7251,9621,7103c9644,6955,9642,6970,9676,6955c9709,6941,9733,6984,9788,7026c9842,7068,9866,7124,9954,7181c10043,7237,10121,7322,10233,7322c10345,7322,10374,7146,10514,7181c10655,7216,10803,7378,10931,7483c11059,7589,11027,7533,11155,7709c11283,7885,11423,8061,11574,8378c11725,8694,11791,9004,11908,9293c12025,9582,12077,9546,12160,9821c12244,10095,12249,10412,12327,10652c12405,10891,12457,10976,12551,11018c12645,11060,12718,10968,12801,10877c12884,10800,12879,10687,12968,10567c13056,10447,13153,10419,13249,10271c13346,10124,13351,9976,13444,9821c13538,9666,13606,9553,13723,9511c13840,9469,13942,9610,14031,9596c14119,9582,14096,9553,14169,9434c14241,9314,14314,9208,14393,8983c14471,8758,14520,8547,14559,8307c14598,8068,14583,8082,14588,7779c14593,7476,14588,7110,14588,6794c14588,6477,14538,6434,14588,6195c14637,5956,14755,5759,14838,5597c14921,5435,14968,5611,15007,5371c15046,5132,14994,4632,15033,4386c15072,4139,15169,4259,15203,4153c15236,4048,15236,3977,15203,3858c15169,3738,15096,3710,15033,3555c14971,3400,14950,3245,14895,3097c14841,2949,14817,2949,14755,2802c14692,2654,14598,2520,14588,2351c14577,2182,14637,2062,14700,1971c14762,1879,14812,1943,14895,1900c14979,1858,15023,1865,15117,1746c15210,1626,15296,1401,15369,1295c15442,1189,15414,1161,15481,1217c15549,1274,15635,1548,15703,1591c15770,1633,15765,1562,15815,1443c15864,1323,15901,1119,15955,985c16010,851,16005,718,16093,767c16182,816,16265,1098,16401,1217c16536,1337,16643,1267,16765,1372c16888,1478,16893,1640,17015,1746c17138,1851,17271,1823,17377,1900c17484,1978,17445,2076,17547,2119c17648,2161,17763,2147,17880,2119c17997,2091,18049,2091,18133,1971c18216,1851,18216,1696,18299,1513c18383,1330,18471,1182,18550,1063c18628,943,18628,1049,18690,915c18753,781,18784,464,18857,387c18930,309,18997,535,19052,535c19107,535,19091,492,19136,387c19180,281,19208,35,19276,7c19344,0,19443,105,19472,239c19500,373,19419,528,19414,689c19409,851,19404,985,19443,1063c19482,1140,19555,1034,19610,1063c19664,1091,19654,1309,19722,1217c19789,1126,19862,753,19946,619c20029,485,20063,549,20141,535c20219,520,20282,415,20336,535c20391,654,20365,873,20420,1147c20474,1422,20537,1570,20615,1900c20693,2231,20761,2562,20810,2802c20860,3041,20813,3041,20868,3097c20922,3154,20977,3097,21089,3097c21201,3097,21178,3034,21261,3034c21344,3034,21339,3041,21373,3041c21407,3041,21389,2964,21433,2978c21477,2992,21133,2464,21600,3097e">
                  <v:path o:connecttype="custom" o:connectlocs="72,3023;94,2895;179,2690;372,2540;672,2413;833,2370;1112,2209;1369,2080;1679,1951;2119,1834;2269,1684;2419,1695;2558,1588;2740,1480;2879,1384;3137,1309;3319,1309;3565,1223;3640,1180;3694,1009;3758,998;3929,1040;4197,1063;4444,1190;4669,1395;4819,1565;4979,1501;5162,1395;5387,1363;5526,1276;5601,1105;5601,880;5762,763;5837,590;5772,505;5665,398;5644,280;5804,248;5944,173;6072,205;6179,109;6437,195;6672,270;6865,301;7026,215;7176,130;7315,76;7401,1;7454,98;7529,151;7658,88;7808,76;7915,270;8012,440;8163,431;8229,423" o:connectangles="0,0,0,0,0,0,0,0,0,0,0,0,0,0,0,0,0,0,0,0,0,0,0,0,0,0,0,0,0,0,0,0,0,0,0,0,0,0,0,0,0,0,0,0,0,0,0,0,0,0,0,0,0,0,0,0"/>
                  <v:fill on="f" focussize="0,0"/>
                  <v:stroke weight="1.25pt" color="#0000FF" joinstyle="round"/>
                  <v:imagedata o:title=""/>
                  <o:lock v:ext="edit" aspectratio="f"/>
                </v:shape>
                <v:group id="组合 63" o:spid="_x0000_s1026" o:spt="203" style="position:absolute;left:1186;top:2035;height:1365;width:1721;" coordsize="1721,13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o:lock v:ext="edit" aspectratio="f"/>
                  <v:shape id="曲线 79" o:spid="_x0000_s1026" o:spt="100" style="position:absolute;left:0;top:0;height:1364;width:1721;" fillcolor="#FF00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8uesIA&#10;AADbAAAADwAAAGRycy9kb3ducmV2LnhtbESPT4vCMBTE7wt+h/AEL4umW6WVahRZEPa41j/nZ/Ns&#10;i81LaaJ2v/1GEDwOM/MbZrnuTSPu1LnasoKvSQSCuLC65lLBYb8dz0E4j6yxsUwK/sjBejX4WGKm&#10;7YN3dM99KQKEXYYKKu/bTEpXVGTQTWxLHLyL7Qz6ILtS6g4fAW4aGUdRIg3WHBYqbOm7ouKa34wC&#10;uh13yaw/Hz9/0zR208Lk6fSk1GjYbxYgPPX+HX61f7SCOIHnl/AD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fy56wgAAANsAAAAPAAAAAAAAAAAAAAAAAJgCAABkcnMvZG93&#10;bnJldi54bWxQSwUGAAAAAAQABAD1AAAAhwMAAAAA&#10;" path="m475,4285c475,4122,368,3785,601,3344c834,2903,1417,2415,1660,2067c1902,1718,1582,1765,1795,1602c2009,1440,2397,1265,2718,1265c3038,1265,3057,1602,3378,1602c3698,1602,4067,1335,4310,1265c4552,1196,4358,1138,4572,1265c4785,1393,5077,1776,5368,1904c5659,2032,5766,1997,6028,1904c6290,1811,6504,1532,6688,1440c6873,1347,6698,1440,6960,1440c7222,1440,7678,1312,8018,1440c8358,1567,8416,1881,8678,2067c8940,2252,8970,2287,9338,2380c9707,2473,10193,2670,10533,2543c10872,2415,10766,1904,11057,1741c11348,1579,11727,1741,11989,1741c12251,1741,12144,1800,12387,1741c12629,1683,12843,1625,13183,1440c13523,1254,13872,1056,14105,801c14338,545,14183,290,14367,162c14552,34,14678,162,15027,162c15377,162,15697,162,16095,162c16493,162,16678,162,17017,162c17357,162,17522,0,17813,162c18105,325,18260,487,18474,963c18687,1440,18716,2101,18872,2543c19027,2984,19085,3019,19270,3181c19454,3344,19609,3158,19794,3344c19978,3530,19978,3716,20192,4122c20405,4529,20716,4912,20852,5388c20988,5864,20745,5922,20852,6491c20959,7060,21328,7467,21386,8233c21444,9000,21172,9360,21124,10312c21075,11264,21046,12274,21124,12994c21201,13714,21444,13331,21522,13935c21600,14539,21600,15236,21522,16002c21444,16769,21231,17175,21124,17744c21017,18313,20959,18418,20988,18859c21017,19300,21172,19649,21250,19962c21328,20276,21328,20171,21386,20427c21444,20682,21551,21007,21522,21228c21493,21449,21386,21483,21250,21541c21114,21600,20959,21600,20852,21541c20745,21483,20910,21379,20726,21228c20541,21077,20192,20833,19930,20763c19668,20694,19736,20845,19396,20903c19056,20961,18609,21089,18211,21065c17813,21042,17736,20763,17415,20763c17095,20763,16862,20938,16619,21065c16377,21193,16435,21425,16221,21390c16008,21356,15823,21123,15561,20903c15299,20682,15241,20601,14901,20287c14561,19974,14105,19741,13843,19323c13581,18905,13785,18441,13571,18220c13358,18000,13047,18278,12785,18220c12523,18162,12406,18000,12251,17907c12096,17814,12096,17837,11989,17744c11882,17651,11940,17419,11727,17419c11513,17419,11115,18278,10931,17744c10746,17210,10795,15526,10795,14736c10795,13947,10979,14074,10931,13796c10882,13517,10717,13389,10533,13320c10348,13250,10261,13436,9999,13459c9736,13482,9494,13552,9203,13459c8911,13366,8805,13087,8542,12994c8280,12901,8387,12994,7882,12994c7377,12994,6475,13087,6028,12994c5582,12901,5785,12646,5630,12518c5475,12390,5552,12263,5232,12356c4912,12449,4475,12797,4048,12994c3621,13192,3407,13354,3116,13320c2824,13285,2727,13087,2592,12832c2456,12576,2562,12309,2456,12054c2349,11798,2242,11775,2058,11578c1873,11380,1718,11218,1533,11090c1349,10962,1349,11032,1135,10939c922,10846,689,10741,475,10614c262,10486,155,10498,77,10312c0,10126,29,9963,77,9673c126,9383,339,9255,339,8872c339,8489,106,8175,77,7769c48,7362,126,7211,203,6828c281,6445,417,6247,475,5864c533,5481,475,5237,475,4923c475,4610,475,4389,475,4285xe">
                    <v:path o:connecttype="custom" o:connectlocs="48,211;143,101;269,101;364,80;480,120;555,91;691,131;839,161;955,110;1050,91;1145,10;1282,10;1419,10;1504,161;1577,211;1661,340;1704,520;1683,821;1715,1010;1672,1191;1704,1290;1693,1360;1651,1341;1545,1320;1388,1311;1292,1351;1187,1281;1081,1151;976,1131;934,1100;860,931;839,841;733,850;628,821;449,790;323,821;207,810;164,731;90,691;6,651;27,560;16,431;38,311" o:connectangles="0,0,0,0,0,0,0,0,0,0,0,0,0,0,0,0,0,0,0,0,0,0,0,0,0,0,0,0,0,0,0,0,0,0,0,0,0,0,0,0,0,0,0"/>
                    <v:fill on="t" opacity="32125f" focussize="0,0"/>
                    <v:stroke weight="2pt" color="#FFFF00" joinstyle="round"/>
                    <v:imagedata o:title=""/>
                    <o:lock v:ext="edit" aspectratio="f"/>
                  </v:shape>
                  <v:shape id="文本框 84" o:spid="_x0000_s1026" o:spt="202" type="#_x0000_t202" style="position:absolute;left:38;top:301;height:850;width:1677;"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X8lMQA&#10;AADbAAAADwAAAGRycy9kb3ducmV2LnhtbESPT2vCQBTE7wW/w/KE3uomQluNbkRDA5ae/IPnR/aZ&#10;DWbfxuxW02/fLRQ8DjPzG2a5GmwrbtT7xrGCdJKAIK6cbrhWcDyULzMQPiBrbB2Tgh/ysMpHT0vM&#10;tLvzjm77UIsIYZ+hAhNCl0npK0MW/cR1xNE7u95iiLKvpe7xHuG2ldMkeZMWG44LBjsqDFWX/bdV&#10;UFK53mz93F9np9e0MB/F1/BZKPU8HtYLEIGG8Aj/t7dawfQd/r7EH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1/JTEAAAA2wAAAA8AAAAAAAAAAAAAAAAAmAIAAGRycy9k&#10;b3ducmV2LnhtbFBLBQYAAAAABAAEAPUAAACJAwAAAAA=&#10;">
                    <v:fill on="f" focussize="0,0"/>
                    <v:stroke on="f"/>
                    <v:imagedata o:title=""/>
                    <o:lock v:ext="edit" aspectratio="f"/>
                    <v:textbox inset="7.19984251968504pt,1.27mm,7.19984251968504pt,1.27mm">
                      <w:txbxContent>
                        <w:p>
                          <w:pPr>
                            <w:rPr>
                              <w:rFonts w:ascii="黑体" w:hAnsi="黑体" w:eastAsia="黑体" w:cs="黑体"/>
                              <w:b/>
                              <w:bCs/>
                              <w:color w:val="FFFF00"/>
                              <w:sz w:val="24"/>
                            </w:rPr>
                          </w:pPr>
                          <w:r>
                            <w:rPr>
                              <w:rFonts w:hint="eastAsia" w:ascii="黑体" w:hAnsi="黑体" w:eastAsia="黑体" w:cs="黑体"/>
                              <w:b/>
                              <w:bCs/>
                              <w:color w:val="0000FF"/>
                              <w:sz w:val="24"/>
                            </w:rPr>
                            <w:t>泾河 新 城</w:t>
                          </w:r>
                        </w:p>
                      </w:txbxContent>
                    </v:textbox>
                  </v:shape>
                </v:group>
                <v:shape id="文本框 85" o:spid="_x0000_s1026" o:spt="202" type="#_x0000_t202" style="position:absolute;left:3635;top:875;height:330;width:760;"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SHS78A&#10;AADbAAAADwAAAGRycy9kb3ducmV2LnhtbERPS07DMBDdI/UO1lRiRxyyoCitG0VEQHcVbQ8wioc4&#10;Ih6H2PndHi+Qunx6/0Ox2E5MNPjWsYLnJAVBXDvdcqPgdn1/egXhA7LGzjEpWMlDcdw8HDDXbuYv&#10;mi6hETGEfY4KTAh9LqWvDVn0ieuJI/ftBoshwqGResA5httOZmn6Ii22HBsM9vRmqP65jFbBbKvp&#10;vP5Wp88xdR9T1ZfncTcr9bhdyj2IQEu4i//dJ60gi2Pjl/gD5PE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0lIdLvwAAANsAAAAPAAAAAAAAAAAAAAAAAJgCAABkcnMvZG93bnJl&#10;di54bWxQSwUGAAAAAAQABAD1AAAAhAMAAAAA&#10;">
                  <v:fill on="f" focussize="0,0"/>
                  <v:stroke on="f"/>
                  <v:imagedata o:title=""/>
                  <o:lock v:ext="edit" aspectratio="f"/>
                  <v:textbox inset="2.83448818897638pt,0mm,2.83448818897638pt,0mm">
                    <w:txbxContent>
                      <w:p>
                        <w:pPr>
                          <w:rPr>
                            <w:b/>
                            <w:bCs/>
                            <w:sz w:val="18"/>
                            <w:szCs w:val="18"/>
                          </w:rPr>
                        </w:pPr>
                        <w:r>
                          <w:rPr>
                            <w:rFonts w:hint="eastAsia"/>
                            <w:b/>
                            <w:bCs/>
                            <w:sz w:val="18"/>
                            <w:szCs w:val="18"/>
                          </w:rPr>
                          <w:t>清峪河</w:t>
                        </w:r>
                      </w:p>
                    </w:txbxContent>
                  </v:textbox>
                </v:shape>
                <v:shape id="文本框 85" o:spid="_x0000_s1026" o:spt="202" type="#_x0000_t202" style="position:absolute;left:1182;top:873;height:330;width:760;"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gi0MMA&#10;AADbAAAADwAAAGRycy9kb3ducmV2LnhtbESPzW7CMBCE75V4B2uRemscOLQlxCBE1DY3VOABVvGS&#10;RMTrEDt/b19XqtTjaGa+0aT7yTRioM7VlhWsohgEcWF1zaWC6+Xj5R2E88gaG8ukYCYH+93iKcVE&#10;25G/aTj7UgQIuwQVVN63iZSuqMigi2xLHLyb7Qz6ILtS6g7HADeNXMfxqzRYc1iosKVjRcX93BsF&#10;o8mG0/zI8q8+tp9D1h5O/duo1PNyOmxBeJr8f/ivnWsF6w38fgk/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9gi0MMAAADbAAAADwAAAAAAAAAAAAAAAACYAgAAZHJzL2Rv&#10;d25yZXYueG1sUEsFBgAAAAAEAAQA9QAAAIgDAAAAAA==&#10;">
                  <v:fill on="f" focussize="0,0"/>
                  <v:stroke on="f"/>
                  <v:imagedata o:title=""/>
                  <o:lock v:ext="edit" aspectratio="f"/>
                  <v:textbox inset="2.83448818897638pt,0mm,2.83448818897638pt,0mm">
                    <w:txbxContent>
                      <w:p>
                        <w:pPr>
                          <w:rPr>
                            <w:b/>
                            <w:bCs/>
                            <w:sz w:val="18"/>
                            <w:szCs w:val="18"/>
                          </w:rPr>
                        </w:pPr>
                        <w:r>
                          <w:rPr>
                            <w:rFonts w:hint="eastAsia"/>
                            <w:b/>
                            <w:bCs/>
                            <w:sz w:val="18"/>
                            <w:szCs w:val="18"/>
                          </w:rPr>
                          <w:t>冶峪河</w:t>
                        </w:r>
                      </w:p>
                    </w:txbxContent>
                  </v:textbox>
                </v:shape>
                <v:shape id="文本框 85" o:spid="_x0000_s1026" o:spt="202" type="#_x0000_t202" style="position:absolute;left:384;top:1860;height:330;width:391;"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sdkMAA&#10;AADbAAAADwAAAGRycy9kb3ducmV2LnhtbERPy2rCQBTdF/yH4Qrd1YkW2hIzETHYZifVfsAlc02C&#10;mTsxM3n9fWchuDycd7KbTCMG6lxtWcF6FYEgLqyuuVTwdzm+fYFwHlljY5kUzORgly5eEoy1HfmX&#10;hrMvRQhhF6OCyvs2ltIVFRl0K9sSB+5qO4M+wK6UusMxhJtGbqLoQxqsOTRU2NKhouJ27o2C0WTD&#10;ab5n+U8f2e8ha/en/nNU6nU57bcgPE3+KX64c63gPawPX8IPkO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zsdkMAAAADbAAAADwAAAAAAAAAAAAAAAACYAgAAZHJzL2Rvd25y&#10;ZXYueG1sUEsFBgAAAAAEAAQA9QAAAIUDAAAAAA==&#10;">
                  <v:fill on="f" focussize="0,0"/>
                  <v:stroke on="f"/>
                  <v:imagedata o:title=""/>
                  <o:lock v:ext="edit" aspectratio="f"/>
                  <v:textbox inset="2.83448818897638pt,0mm,2.83448818897638pt,0mm">
                    <w:txbxContent>
                      <w:p>
                        <w:pPr>
                          <w:rPr>
                            <w:b/>
                            <w:bCs/>
                            <w:sz w:val="18"/>
                            <w:szCs w:val="18"/>
                          </w:rPr>
                        </w:pPr>
                        <w:r>
                          <w:rPr>
                            <w:rFonts w:hint="eastAsia"/>
                            <w:b/>
                            <w:bCs/>
                            <w:sz w:val="18"/>
                            <w:szCs w:val="18"/>
                          </w:rPr>
                          <w:t>泾</w:t>
                        </w:r>
                      </w:p>
                    </w:txbxContent>
                  </v:textbox>
                </v:shape>
                <v:shape id="文本框 85" o:spid="_x0000_s1026" o:spt="202" type="#_x0000_t202" style="position:absolute;left:895;top:2289;height:330;width:338;"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e4C8IA&#10;AADbAAAADwAAAGRycy9kb3ducmV2LnhtbESP3YrCMBSE74V9h3CEvdNUF3TpGkUs/tyJdR/g0Jxt&#10;i81Jt0l/fHsjCF4OM/MNs9oMphIdNa60rGA2jUAQZ1aXnCv4ve4n3yCcR9ZYWSYFd3KwWX+MVhhr&#10;2/OFutTnIkDYxaig8L6OpXRZQQbd1NbEwfuzjUEfZJNL3WAf4KaS8yhaSIMlh4UCa9oVlN3S1ijo&#10;TdKd7//J6dhG9tAl9fbcLnulPsfD9geEp8G/w6/2SSv4msHzS/gB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d7gLwgAAANsAAAAPAAAAAAAAAAAAAAAAAJgCAABkcnMvZG93&#10;bnJldi54bWxQSwUGAAAAAAQABAD1AAAAhwMAAAAA&#10;">
                  <v:fill on="f" focussize="0,0"/>
                  <v:stroke on="f"/>
                  <v:imagedata o:title=""/>
                  <o:lock v:ext="edit" aspectratio="f"/>
                  <v:textbox inset="2.83448818897638pt,0mm,2.83448818897638pt,0mm">
                    <w:txbxContent>
                      <w:p>
                        <w:pPr>
                          <w:rPr>
                            <w:b/>
                            <w:bCs/>
                            <w:sz w:val="18"/>
                            <w:szCs w:val="18"/>
                          </w:rPr>
                        </w:pPr>
                        <w:r>
                          <w:rPr>
                            <w:rFonts w:hint="eastAsia"/>
                            <w:b/>
                            <w:bCs/>
                            <w:sz w:val="18"/>
                            <w:szCs w:val="18"/>
                          </w:rPr>
                          <w:t>河</w:t>
                        </w:r>
                      </w:p>
                    </w:txbxContent>
                  </v:textbox>
                </v:shape>
                <v:shape id="文本框 85" o:spid="_x0000_s1026" o:spt="202" type="#_x0000_t202" style="position:absolute;left:3180;top:3494;height:389;width:391;"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iU5MQA&#10;AADbAAAADwAAAGRycy9kb3ducmV2LnhtbESPQWsCMRSE7wX/Q3iCt5poQcpqFBVEEWypCnp8bJ67&#10;i5uXJUl19dc3hUKPw8x8w0xmra3FjXyoHGsY9BUI4tyZigsNx8Pq9R1EiMgGa8ek4UEBZtPOywQz&#10;4+78Rbd9LESCcMhQQxljk0kZ8pIshr5riJN3cd5iTNIX0ni8J7it5VCpkbRYcVoosaFlSfl1/201&#10;nD92C+fn6rj+fHCxNaenum6eWve67XwMIlIb/8N/7Y3R8DaE3y/pB8jp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4lOTEAAAA2wAAAA8AAAAAAAAAAAAAAAAAmAIAAGRycy9k&#10;b3ducmV2LnhtbFBLBQYAAAAABAAEAPUAAACJAwAAAAA=&#10;">
                  <v:fill on="f" focussize="0,0"/>
                  <v:stroke on="f"/>
                  <v:imagedata o:title=""/>
                  <o:lock v:ext="edit" aspectratio="f"/>
                  <v:textbox inset="2.83448818897638pt,2.83448818897638pt,2.83448818897638pt,2.83448818897638pt">
                    <w:txbxContent>
                      <w:p>
                        <w:pPr>
                          <w:rPr>
                            <w:b/>
                            <w:bCs/>
                            <w:szCs w:val="21"/>
                          </w:rPr>
                        </w:pPr>
                        <w:r>
                          <w:rPr>
                            <w:rFonts w:hint="eastAsia"/>
                            <w:b/>
                            <w:bCs/>
                            <w:szCs w:val="21"/>
                          </w:rPr>
                          <w:t>渭</w:t>
                        </w:r>
                      </w:p>
                    </w:txbxContent>
                  </v:textbox>
                </v:shape>
                <v:shape id="文本框 85" o:spid="_x0000_s1026" o:spt="202" type="#_x0000_t202" style="position:absolute;left:5922;top:2350;height:396;width:338;"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Qxf8QA&#10;AADbAAAADwAAAGRycy9kb3ducmV2LnhtbESP3WoCMRSE7wu+QziCdzVRoZTVKFaQilDFH2gvD5vT&#10;3cXNyZKkuvr0Rih4OczMN8xk1tpanMmHyrGGQV+BIM6dqbjQcDwsX99BhIhssHZMGq4UYDbtvEww&#10;M+7COzrvYyEShEOGGsoYm0zKkJdkMfRdQ5y8X+ctxiR9IY3HS4LbWg6VepMWK04LJTa0KCk/7f+s&#10;hp/N14fzc3X83F65WJvvmzqtblr3uu18DCJSG5/h//bKaBiN4PEl/QA5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0MX/EAAAA2wAAAA8AAAAAAAAAAAAAAAAAmAIAAGRycy9k&#10;b3ducmV2LnhtbFBLBQYAAAAABAAEAPUAAACJAwAAAAA=&#10;">
                  <v:fill on="f" focussize="0,0"/>
                  <v:stroke on="f"/>
                  <v:imagedata o:title=""/>
                  <o:lock v:ext="edit" aspectratio="f"/>
                  <v:textbox inset="2.83448818897638pt,2.83448818897638pt,2.83448818897638pt,2.83448818897638pt">
                    <w:txbxContent>
                      <w:p>
                        <w:pPr>
                          <w:rPr>
                            <w:b/>
                            <w:bCs/>
                            <w:szCs w:val="21"/>
                          </w:rPr>
                        </w:pPr>
                        <w:r>
                          <w:rPr>
                            <w:rFonts w:hint="eastAsia"/>
                            <w:b/>
                            <w:bCs/>
                            <w:szCs w:val="21"/>
                          </w:rPr>
                          <w:t>河</w:t>
                        </w:r>
                      </w:p>
                    </w:txbxContent>
                  </v:textbox>
                </v:shape>
                <v:shape id="文本框 85" o:spid="_x0000_s1026" o:spt="202" type="#_x0000_t202" style="position:absolute;left:5235;top:419;height:330;width:391;"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Abk8MA&#10;AADbAAAADwAAAGRycy9kb3ducmV2LnhtbESPzWrDMBCE74G+g9hCb7HcNLTFiRJCTRLfQtw+wGJt&#10;bFNr5Vry39tHhUKPw8x8w2z3k2nEQJ2rLSt4jmIQxIXVNZcKvj6Py3cQziNrbCyTgpkc7HcPiy0m&#10;2o58pSH3pQgQdgkqqLxvEyldUZFBF9mWOHg32xn0QXal1B2OAW4auYrjV2mw5rBQYUsfFRXfeW8U&#10;jCYdLvNPmp372J6GtD1c+rdRqafH6bAB4Wny/+G/dqYVvKzh90v4AXJ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Abk8MAAADbAAAADwAAAAAAAAAAAAAAAACYAgAAZHJzL2Rv&#10;d25yZXYueG1sUEsFBgAAAAAEAAQA9QAAAIgDAAAAAA==&#10;">
                  <v:fill on="f" focussize="0,0"/>
                  <v:stroke on="f"/>
                  <v:imagedata o:title=""/>
                  <o:lock v:ext="edit" aspectratio="f"/>
                  <v:textbox inset="2.83448818897638pt,0mm,2.83448818897638pt,0mm">
                    <w:txbxContent>
                      <w:p>
                        <w:pPr>
                          <w:rPr>
                            <w:b/>
                            <w:bCs/>
                            <w:sz w:val="18"/>
                            <w:szCs w:val="18"/>
                          </w:rPr>
                        </w:pPr>
                        <w:r>
                          <w:rPr>
                            <w:rFonts w:hint="eastAsia"/>
                            <w:b/>
                            <w:bCs/>
                            <w:sz w:val="18"/>
                            <w:szCs w:val="18"/>
                          </w:rPr>
                          <w:t>石</w:t>
                        </w:r>
                      </w:p>
                    </w:txbxContent>
                  </v:textbox>
                </v:shape>
                <v:shape id="文本框 85" o:spid="_x0000_s1026" o:spt="202" type="#_x0000_t202" style="position:absolute;left:6029;top:651;height:330;width:391;"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y+CMMA&#10;AADbAAAADwAAAGRycy9kb3ducmV2LnhtbESPzWrDMBCE74G+g9hCb7HclLTFiRJCTRLfQtw+wGJt&#10;bFNr5Vry39tHhUKPw8x8w2z3k2nEQJ2rLSt4jmIQxIXVNZcKvj6Py3cQziNrbCyTgpkc7HcPiy0m&#10;2o58pSH3pQgQdgkqqLxvEyldUZFBF9mWOHg32xn0QXal1B2OAW4auYrjV2mw5rBQYUsfFRXfeW8U&#10;jCYdLvNPmp372J6GtD1c+rdRqafH6bAB4Wny/+G/dqYVvKzh90v4AXJ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y+CMMAAADbAAAADwAAAAAAAAAAAAAAAACYAgAAZHJzL2Rv&#10;d25yZXYueG1sUEsFBgAAAAAEAAQA9QAAAIgDAAAAAA==&#10;">
                  <v:fill on="f" focussize="0,0"/>
                  <v:stroke on="f"/>
                  <v:imagedata o:title=""/>
                  <o:lock v:ext="edit" aspectratio="f"/>
                  <v:textbox inset="2.83448818897638pt,0mm,2.83448818897638pt,0mm">
                    <w:txbxContent>
                      <w:p>
                        <w:pPr>
                          <w:rPr>
                            <w:b/>
                            <w:bCs/>
                            <w:sz w:val="18"/>
                            <w:szCs w:val="18"/>
                          </w:rPr>
                        </w:pPr>
                        <w:r>
                          <w:rPr>
                            <w:rFonts w:hint="eastAsia"/>
                            <w:b/>
                            <w:bCs/>
                            <w:sz w:val="18"/>
                            <w:szCs w:val="18"/>
                          </w:rPr>
                          <w:t>川</w:t>
                        </w:r>
                      </w:p>
                    </w:txbxContent>
                  </v:textbox>
                </v:shape>
                <v:shape id="文本框 85" o:spid="_x0000_s1026" o:spt="202" type="#_x0000_t202" style="position:absolute;left:6409;top:1275;height:330;width:338;"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4gf8MA&#10;AADbAAAADwAAAGRycy9kb3ducmV2LnhtbESPzWrDMBCE74W8g9hAb7WcFtzgWAkhpq1voUkeYLE2&#10;tom1ciz5J29fFQo9DjPzDZPtZtOKkXrXWFawimIQxKXVDVcKLuePlzUI55E1tpZJwYMc7LaLpwxT&#10;bSf+pvHkKxEg7FJUUHvfpVK6siaDLrIdcfCutjfog+wrqXucAty08jWOE2mw4bBQY0eHmsrbaTAK&#10;JpOPx8c9L76G2H6Oebc/Du+TUs/Leb8B4Wn2/+G/dqEVvCXw+yX8AL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54gf8MAAADbAAAADwAAAAAAAAAAAAAAAACYAgAAZHJzL2Rv&#10;d25yZXYueG1sUEsFBgAAAAAEAAQA9QAAAIgDAAAAAA==&#10;">
                  <v:fill on="f" focussize="0,0"/>
                  <v:stroke on="f"/>
                  <v:imagedata o:title=""/>
                  <o:lock v:ext="edit" aspectratio="f"/>
                  <v:textbox inset="2.83448818897638pt,0mm,2.83448818897638pt,0mm">
                    <w:txbxContent>
                      <w:p>
                        <w:pPr>
                          <w:rPr>
                            <w:b/>
                            <w:bCs/>
                            <w:sz w:val="18"/>
                            <w:szCs w:val="18"/>
                          </w:rPr>
                        </w:pPr>
                        <w:r>
                          <w:rPr>
                            <w:rFonts w:hint="eastAsia"/>
                            <w:b/>
                            <w:bCs/>
                            <w:sz w:val="18"/>
                            <w:szCs w:val="18"/>
                          </w:rPr>
                          <w:t>河</w:t>
                        </w:r>
                      </w:p>
                    </w:txbxContent>
                  </v:textbox>
                </v:shape>
                <v:shape id="曲线 102" o:spid="_x0000_s1026" o:spt="100" style="position:absolute;left:276;top:977;height:3309;width:6076;" filled="f"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nb6MQA&#10;AADbAAAADwAAAGRycy9kb3ducmV2LnhtbESPQUvDQBSE7wX/w/IEb+2mCtbGbosRAh56aezF2zP7&#10;mgSzb8Pus4n/visUehxm5htms5tcr84UYufZwHKRgSKuve24MXD8LOcvoKIgW+w9k4E/irDb3s02&#10;mFs/8oHOlTQqQTjmaKAVGXKtY92Sw7jwA3HyTj44lCRDo23AMcFdrx+z7Fk77DgttDjQe0v1T/Xr&#10;DBRfxbKQptqf1vR9XIexlKoujXm4n95eQQlNcgtf2x/WwNMK/r+kH6C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52+jEAAAA2wAAAA8AAAAAAAAAAAAAAAAAmAIAAGRycy9k&#10;b3ducmV2LnhtbFBLBQYAAAAABAAEAPUAAACJAwAAAAA=&#10;" path="m0,5350c102,5014,339,4247,565,3487c791,2726,974,2088,1133,1553c1292,1018,1306,992,1359,799c1412,605,1359,709,1398,586c1437,464,1511,290,1550,180c1589,70,1568,64,1589,32c1610,0,1631,32,1663,32c1695,32,1719,32,1741,32c1762,32,1769,19,1776,32c1783,45,1755,19,1776,103c1797,186,1790,328,1889,451c1988,573,2157,644,2270,728c2383,812,2376,844,2458,870c2539,895,2578,812,2684,870c2790,928,2744,1011,2987,1147c3231,1282,3630,1469,3895,1553c4160,1637,4146,1508,4312,1553c4478,1598,4615,1721,4728,1766c4841,1811,4796,1791,4880,1766c4965,1740,5032,1617,5145,1630c5258,1643,5311,1785,5449,1837c5587,1888,5753,1927,5827,1901c5901,1875,5742,1721,5827,1695c5912,1669,6159,1695,6244,1766c6328,1837,6244,1940,6244,2036c6244,2133,6244,2152,6244,2249c6244,2346,6229,2339,6244,2520c6258,2700,6237,2977,6318,3145c6399,3313,6537,3313,6657,3351c6777,3390,6837,3364,6922,3351c7006,3338,6982,3274,7074,3287c7165,3300,7232,3345,7377,3416c7522,3487,7656,3641,7794,3629c7932,3616,7893,3532,8059,3351c8225,3171,8447,2855,8627,2733c8808,2610,8854,2733,8967,2733c9080,2733,9125,2758,9193,2733c9260,2707,9238,2597,9306,2597c9373,2597,9475,2733,9535,2733c9595,2733,9525,2610,9609,2597c9694,2584,9853,2694,9952,2662c10051,2629,10008,2533,10100,2449c10192,2365,10305,2314,10404,2249c10503,2185,10535,2172,10595,2114c10655,2056,10686,2011,10708,1965c10729,1920,10641,1927,10708,1901c10775,1875,10920,1849,11047,1837c11174,1824,11206,1824,11350,1837c11495,1849,11555,1940,11767,1901c11979,1862,12258,1714,12410,1630c12562,1547,12431,1469,12523,1482c12615,1495,12767,1721,12866,1695c12964,1669,12940,1411,13014,1353c13088,1295,13166,1334,13243,1418c13321,1501,13311,1721,13395,1766c13480,1811,13533,1688,13660,1630c13787,1572,13893,1540,14038,1482c14183,1424,14271,1379,14377,1353c14483,1327,14515,1256,14568,1353c14621,1450,14536,1740,14642,1837c14748,1933,14953,1837,15098,1837c15242,1837,15225,1714,15362,1837c15500,1959,15666,2268,15779,2449c15892,2629,15889,2591,15928,2733c15966,2874,15899,2997,15966,3145c16034,3293,16178,3338,16270,3487c16362,3635,16390,3745,16422,3899c16454,4054,16408,4099,16422,4254c16436,4408,16411,4415,16496,4666c16581,4918,16719,5279,16839,5498c16959,5717,16976,5672,17104,5769c17231,5865,17248,5936,17482,5981c17715,6026,18050,6039,18276,5981c18502,5923,18417,5717,18615,5704c18813,5691,18993,5904,19258,5904c19523,5904,19629,5852,19940,5704c20250,5556,20561,5285,20812,5150c21063,5014,21084,5085,21190,5014c21296,4943,21275,4815,21342,4802c21409,4789,21483,4879,21529,4937c21575,4995,21600,4982,21568,5079c21536,5176,21444,5285,21377,5420c21310,5556,21264,5627,21225,5769c21186,5910,21250,5923,21190,6117c21130,6310,21010,6568,20925,6735c20840,6903,20858,6903,20773,6948c20688,6993,20575,6864,20508,6948c20441,7032,20438,7219,20431,7354c20423,7490,20508,7470,20469,7638c20431,7805,20310,7992,20243,8186c20176,8379,20215,8437,20130,8605c20046,8772,19954,8863,19827,9017c19699,9172,19615,9282,19488,9365c19360,9449,19304,9378,19184,9430c19064,9481,18954,9501,18880,9636c18806,9771,18767,9913,18806,10119c18845,10326,18919,10429,19071,10667c19223,10906,19470,11119,19562,11299c19654,11480,19562,11447,19523,11570c19484,11692,19392,11795,19371,11918c19350,12040,19410,12040,19410,12189c19410,12337,19445,12504,19371,12672c19297,12840,19152,12852,19032,13020c18912,13188,18820,13349,18767,13504c18714,13658,18767,13542,18767,13781c18767,14019,18767,14367,18767,14683c18767,14999,18813,15115,18767,15373c18721,15631,18654,15779,18541,15985c18428,16191,18311,16320,18198,16404c18085,16488,18110,16417,17972,16404c17835,16391,17669,16243,17517,16340c17365,16436,17337,16720,17217,16888c17097,17055,17026,17081,16913,17165c16800,17249,16747,17223,16648,17307c16549,17390,16507,17487,16422,17584c16337,17680,16330,17803,16231,17790c16132,17777,16002,17661,15928,17506c15853,17352,15892,17203,15853,17023c15815,16842,15800,16739,15740,16617c15680,16494,15649,16546,15550,16404c15451,16262,15483,16249,15249,15921c15016,15592,14667,15051,14377,14748c14088,14445,13999,14503,13809,14406c13618,14309,13575,14290,13431,14264c13286,14238,13190,14238,13092,14264c12993,14290,13039,14419,12940,14406c12841,14393,12721,14271,12601,14200c12481,14129,12435,14064,12336,14051c12237,14039,12166,14026,12106,14122c12046,14219,12071,14354,12032,14535c11993,14715,11972,14851,11919,15018c11866,15186,11866,15231,11767,15373c11668,15515,11545,15560,11425,15714c11305,15869,11312,16063,11160,16133c11008,16204,10867,16069,10669,16056c10471,16043,10358,15985,10178,16056c9998,16127,9906,16333,9761,16404c9616,16475,9602,16307,9457,16404c9313,16501,9193,16720,9041,16888c8889,17055,8793,17126,8702,17236c8610,17345,8656,17326,8589,17435c8522,17545,8483,17680,8363,17790c8243,17900,8073,17880,7981,17990c7889,18099,7960,18228,7907,18338c7854,18447,7815,18525,7716,18551c7617,18576,7561,18473,7416,18473c7271,18473,7105,18441,6999,18551c6893,18660,6971,18841,6886,19034c6802,19227,6756,19395,6583,19517c6410,19640,6272,19569,6014,19653c5756,19737,5548,19756,5297,19924c5046,20091,4905,20304,4767,20484c4630,20665,4675,20697,4615,20820c4555,20942,4538,21071,4464,21103c4389,21135,4358,20968,4238,20968c4117,20968,3973,21052,3860,21103c3747,21155,3715,21213,3669,21239c3623,21264,3669,21374,3630,21239c3591,21103,3683,21600,3478,20549c3273,19498,2920,17655,2609,15985c2299,14316,2108,13252,1928,12189c1748,11125,1755,10996,1702,10667c1649,10339,1677,10635,1663,10538c1649,10442,1631,10306,1624,10184c1617,10061,1638,10023,1624,9913c1610,9804,1564,9733,1550,9636c1536,9539,1536,9597,1550,9430c1564,9262,1631,9024,1624,8805c1617,8585,1578,8469,1511,8321c1444,8173,1370,8121,1285,8050c1200,7979,1147,7941,1094,7979c1041,8018,1048,8199,1020,8250c992,8302,985,8263,946,8250c907,8237,907,8295,829,8186c752,8076,656,7786,565,7702c473,7618,430,7793,377,7767c324,7741,331,7631,300,7567c268,7502,254,7490,226,7432c197,7374,165,7354,151,7283c137,7212,123,7167,151,7083c180,7000,261,6967,300,6871c339,6774,346,6768,339,6600c331,6432,331,6297,264,6046c197,5794,52,5478,0,5350xe">
                  <v:path o:connecttype="custom" o:connectlocs="319,238;436,28;490,5;531,69;755,133;1213,238;1447,250;1639,260;1756,345;1873,513;2075,523;2427,419;2618,398;2799,408;2980,324;3107,281;3491,250;3661,207;3843,250;4098,207;4321,281;4491,482;4619,652;4811,884;5236,874;5854,789;6056,756;5971,884;5843,1064;5758,1170;5577,1381;5311,1476;5503,1731;5460,1867;5279,2069;5279,2355;5055,2513;4758,2630;4566,2725;4428,2546;4044,2259;3683,2185;3470,2153;3353,2301;3139,2471;2746,2513;2448,2640;2245,2756;2086,2830;1852,2990;1341,3138;1192,3212;1021,3254;542,1867;457,1560;436,1445;361,1233;266,1264;106,1190;42,1116;95,1011" o:connectangles="0,0,0,0,0,0,0,0,0,0,0,0,0,0,0,0,0,0,0,0,0,0,0,0,0,0,0,0,0,0,0,0,0,0,0,0,0,0,0,0,0,0,0,0,0,0,0,0,0,0,0,0,0,0,0,0,0,0,0,0,0"/>
                  <v:fill on="f" focussize="0,0"/>
                  <v:stroke weight="2.75pt" color="#FF0000" joinstyle="round"/>
                  <v:imagedata o:title=""/>
                  <o:lock v:ext="edit" aspectratio="f"/>
                </v:shape>
                <v:shape id="矩形标注 88" o:spid="_x0000_s1026" o:spt="61" type="#_x0000_t61" style="position:absolute;left:5425;top:4123;flip:y;height:777;width:2291;"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yeLcIA&#10;AADbAAAADwAAAGRycy9kb3ducmV2LnhtbERPW2vCMBR+H/gfwhH2MjTVsSHVtLhBx0D2MC/vh+bY&#10;FpuTmkSb/fvlYbDHj+++KaPpxZ2c7ywrWMwzEMS11R03Co6HarYC4QOyxt4yKfghD2Uxedhgru3I&#10;33Tfh0akEPY5KmhDGHIpfd2SQT+3A3HiztYZDAm6RmqHYwo3vVxm2as02HFqaHGg95bqy/5mFMRB&#10;buPi6/RSVfwxXpu33ZNb7ZR6nMbtGkSgGP7Ff+5PreA5jU1f0g+Q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bJ4twgAAANsAAAAPAAAAAAAAAAAAAAAAAJgCAABkcnMvZG93&#10;bnJldi54bWxQSwUGAAAAAAQABAD1AAAAhwMAAAAA&#10;" adj="-2418,36039">
                  <v:fill on="t" opacity="53713f" focussize="0,0"/>
                  <v:stroke weight="1.25pt" color="#0000FF" joinstyle="miter"/>
                  <v:imagedata o:title=""/>
                  <o:lock v:ext="edit" aspectratio="f"/>
                  <v:textbox inset="1.13370078740157pt,0mm,1.13370078740157pt,0mm">
                    <w:txbxContent>
                      <w:p>
                        <w:pPr>
                          <w:jc w:val="center"/>
                          <w:rPr>
                            <w:b/>
                            <w:bCs/>
                            <w:sz w:val="18"/>
                            <w:szCs w:val="18"/>
                          </w:rPr>
                        </w:pPr>
                        <w:r>
                          <w:rPr>
                            <w:rFonts w:hint="eastAsia"/>
                            <w:b/>
                            <w:bCs/>
                            <w:sz w:val="18"/>
                            <w:szCs w:val="18"/>
                          </w:rPr>
                          <w:t>本次地下水评价范围（即区域水文地质单元范围）</w:t>
                        </w:r>
                      </w:p>
                    </w:txbxContent>
                  </v:textbox>
                </v:shape>
                <w10:wrap type="none"/>
                <w10:anchorlock/>
              </v:group>
            </w:pict>
          </mc:Fallback>
        </mc:AlternateContent>
      </w:r>
    </w:p>
    <w:p>
      <w:pPr>
        <w:pStyle w:val="65"/>
        <w:rPr>
          <w:szCs w:val="20"/>
        </w:rPr>
      </w:pPr>
      <w:r>
        <w:rPr>
          <w:rFonts w:hint="eastAsia"/>
        </w:rPr>
        <w:t>图7.1-1 项目区位置及地下水资源评价范围图</w:t>
      </w:r>
    </w:p>
    <w:p>
      <w:pPr>
        <w:pStyle w:val="61"/>
        <w:rPr>
          <w:color w:val="auto"/>
        </w:rPr>
      </w:pPr>
      <w:bookmarkStart w:id="71" w:name="_Toc436902173"/>
      <w:r>
        <w:rPr>
          <w:rFonts w:hint="eastAsia"/>
          <w:color w:val="auto"/>
        </w:rPr>
        <w:t>7.2评价区地形地貌</w:t>
      </w:r>
      <w:bookmarkEnd w:id="71"/>
    </w:p>
    <w:p>
      <w:pPr>
        <w:spacing w:line="360" w:lineRule="auto"/>
        <w:ind w:firstLine="480" w:firstLineChars="200"/>
        <w:rPr>
          <w:sz w:val="24"/>
        </w:rPr>
      </w:pPr>
      <w:r>
        <w:rPr>
          <w:sz w:val="24"/>
        </w:rPr>
        <w:t>依据本项目地勘报告，泾河新城项目区位于关中平原中部，评价区内地貌主要是泾河塑造的，由河流阶地、冲洪积平原构成的平原地貌景观。</w:t>
      </w:r>
    </w:p>
    <w:p>
      <w:pPr>
        <w:spacing w:line="360" w:lineRule="auto"/>
        <w:ind w:firstLine="480" w:firstLineChars="200"/>
        <w:rPr>
          <w:sz w:val="24"/>
        </w:rPr>
      </w:pPr>
      <w:r>
        <w:rPr>
          <w:sz w:val="24"/>
        </w:rPr>
        <w:t>泾河漫滩沿河两岸分布。滩面平坦，高出河床0.5-6.0m，向河床微倾斜。组成物质为全新世晚期冲积物，其岩性多为粉质粘土夹粉细砂透镜体及砂、砂砾卵石。</w:t>
      </w:r>
    </w:p>
    <w:p>
      <w:pPr>
        <w:spacing w:line="360" w:lineRule="auto"/>
        <w:ind w:firstLine="480" w:firstLineChars="200"/>
        <w:rPr>
          <w:sz w:val="24"/>
        </w:rPr>
      </w:pPr>
      <w:r>
        <w:rPr>
          <w:sz w:val="24"/>
        </w:rPr>
        <w:t>一级阶地在泾河两岸均有分布。标高375-381m，阶地前缘断续与河床或漫滩接触，组成物质为中粗砂、粉土、粉质粘土与砂砾石互层，厚30-46m。</w:t>
      </w:r>
    </w:p>
    <w:p>
      <w:pPr>
        <w:spacing w:line="360" w:lineRule="auto"/>
        <w:ind w:firstLine="480" w:firstLineChars="200"/>
        <w:rPr>
          <w:sz w:val="24"/>
        </w:rPr>
      </w:pPr>
      <w:r>
        <w:rPr>
          <w:sz w:val="24"/>
        </w:rPr>
        <w:t>三级阶地分布于渭河北岸的梁村塬。高程407-409m，下部组成物为冲积含砾中粗砂，厚44m，上为含四层古土壤之黄土，厚39 m。</w:t>
      </w:r>
    </w:p>
    <w:p>
      <w:pPr>
        <w:spacing w:line="360" w:lineRule="auto"/>
        <w:ind w:firstLine="480" w:firstLineChars="200"/>
        <w:rPr>
          <w:sz w:val="24"/>
        </w:rPr>
      </w:pPr>
      <w:r>
        <w:rPr>
          <w:sz w:val="24"/>
        </w:rPr>
        <w:t>冲洪积平原三级阶地东北方向。根据其地貌形态、组成物质和结构划分为近代洪积扇、一至四级冲洪积平原。近代洪积扇上覆于一级冲洪积平原之后部，一级冲洪积平原迭于二级冲洪积平原之上。组成物质为全新统上部的粉土、粉质粘土和粉细砂、砂砾卵石等，局部含钙质结核。</w:t>
      </w:r>
    </w:p>
    <w:p>
      <w:pPr>
        <w:spacing w:line="360" w:lineRule="auto"/>
        <w:ind w:firstLine="480" w:firstLineChars="200"/>
        <w:rPr>
          <w:sz w:val="24"/>
        </w:rPr>
      </w:pPr>
      <w:r>
        <w:rPr>
          <w:sz w:val="24"/>
        </w:rPr>
        <w:t>黄土台塬分布于</w:t>
      </w:r>
      <w:r>
        <w:rPr>
          <w:rFonts w:hint="eastAsia"/>
          <w:sz w:val="24"/>
        </w:rPr>
        <w:t>评价区</w:t>
      </w:r>
      <w:r>
        <w:rPr>
          <w:sz w:val="24"/>
        </w:rPr>
        <w:t>北部、西北部和东南部。北部塬区起伏较大，前缘与一级冲洪积扇呈近百米的陡坎相接，冲沟发育，切割强烈，横断面多呈</w:t>
      </w:r>
      <w:r>
        <w:rPr>
          <w:rFonts w:hint="eastAsia"/>
          <w:sz w:val="24"/>
        </w:rPr>
        <w:t>“</w:t>
      </w:r>
      <w:r>
        <w:rPr>
          <w:sz w:val="24"/>
        </w:rPr>
        <w:t>V</w:t>
      </w:r>
      <w:r>
        <w:rPr>
          <w:rFonts w:hint="eastAsia"/>
          <w:sz w:val="24"/>
        </w:rPr>
        <w:t>”</w:t>
      </w:r>
      <w:r>
        <w:rPr>
          <w:sz w:val="24"/>
        </w:rPr>
        <w:t>字型；西北部塬区以缓坡状过渡到三级冲洪积平原；东南部塬区开阔，与泾河漫滩和一级阶地毗邻。据《泾阳、三原、耀县黄土塬农田供水水文地质勘察报告》钻孔揭露，其组成物质上部为70--80m厚的中、上更新统黄土，下部为中、下更新统冲洪积和冲湖积层。</w:t>
      </w:r>
    </w:p>
    <w:p>
      <w:pPr>
        <w:pStyle w:val="61"/>
        <w:rPr>
          <w:color w:val="auto"/>
        </w:rPr>
      </w:pPr>
      <w:bookmarkStart w:id="72" w:name="_Toc436902174"/>
      <w:r>
        <w:rPr>
          <w:rFonts w:hint="eastAsia"/>
          <w:color w:val="auto"/>
        </w:rPr>
        <w:t>7.3评价区地层及构造</w:t>
      </w:r>
      <w:bookmarkEnd w:id="72"/>
    </w:p>
    <w:p>
      <w:pPr>
        <w:pStyle w:val="62"/>
        <w:rPr>
          <w:color w:val="auto"/>
          <w:lang w:val="zh-CN"/>
        </w:rPr>
      </w:pPr>
      <w:r>
        <w:rPr>
          <w:rFonts w:hint="eastAsia"/>
          <w:color w:val="auto"/>
          <w:lang w:val="zh-CN"/>
        </w:rPr>
        <w:t>7.3.1地层</w:t>
      </w:r>
    </w:p>
    <w:p>
      <w:pPr>
        <w:pStyle w:val="63"/>
        <w:ind w:firstLine="480"/>
        <w:rPr>
          <w:color w:val="auto"/>
        </w:rPr>
      </w:pPr>
      <w:r>
        <w:rPr>
          <w:rFonts w:hint="eastAsia"/>
          <w:color w:val="auto"/>
        </w:rPr>
        <w:t>根据本项目地勘报告，区内地层主要包括下更新统冲湖积层、中更新统冲湖积层、中更新统上部风积层、上更新统下部冲积层、上更新统上部风积层等9层。自下而上分述如下：</w:t>
      </w:r>
    </w:p>
    <w:p>
      <w:pPr>
        <w:pStyle w:val="63"/>
        <w:ind w:firstLine="480"/>
        <w:rPr>
          <w:color w:val="auto"/>
        </w:rPr>
      </w:pPr>
      <w:r>
        <w:rPr>
          <w:rFonts w:hint="eastAsia" w:ascii="宋体" w:hAnsi="宋体"/>
          <w:color w:val="auto"/>
        </w:rPr>
        <w:t>⑴</w:t>
      </w:r>
      <w:r>
        <w:rPr>
          <w:color w:val="auto"/>
        </w:rPr>
        <w:t>下更新统冲湖积层（Q</w:t>
      </w:r>
      <w:r>
        <w:rPr>
          <w:color w:val="auto"/>
          <w:vertAlign w:val="subscript"/>
        </w:rPr>
        <w:t>1</w:t>
      </w:r>
      <w:r>
        <w:rPr>
          <w:color w:val="auto"/>
          <w:vertAlign w:val="superscript"/>
        </w:rPr>
        <w:t>al+l</w:t>
      </w:r>
      <w:r>
        <w:rPr>
          <w:color w:val="auto"/>
        </w:rPr>
        <w:t>）：埋藏于各地貌单元之下，被新地层所覆盖。顶板埋深因断裂影响，北浅南深、西高东低。岩性为一套厚层状灰黄、棕褐、兰灰、深灰色粉质粘土、粘土夹2-10层薄层或透镜体浅黄、灰黄、灰色粉细砂、细砂、中细砂、中粗砂，现有300m深钻孔尚未揭穿，揭露厚度140m。</w:t>
      </w:r>
    </w:p>
    <w:p>
      <w:pPr>
        <w:pStyle w:val="63"/>
        <w:ind w:firstLine="480"/>
        <w:rPr>
          <w:color w:val="auto"/>
        </w:rPr>
      </w:pPr>
      <w:r>
        <w:rPr>
          <w:rFonts w:hint="eastAsia" w:ascii="宋体" w:hAnsi="宋体"/>
          <w:color w:val="auto"/>
        </w:rPr>
        <w:t>⑵</w:t>
      </w:r>
      <w:r>
        <w:rPr>
          <w:color w:val="auto"/>
        </w:rPr>
        <w:t>中更新统冲湖积层（Q</w:t>
      </w:r>
      <w:r>
        <w:rPr>
          <w:color w:val="auto"/>
          <w:vertAlign w:val="subscript"/>
        </w:rPr>
        <w:t>2</w:t>
      </w:r>
      <w:r>
        <w:rPr>
          <w:color w:val="auto"/>
          <w:vertAlign w:val="superscript"/>
        </w:rPr>
        <w:t>al+l</w:t>
      </w:r>
      <w:r>
        <w:rPr>
          <w:color w:val="auto"/>
        </w:rPr>
        <w:t>）：广泛分布于各地貌单元下部。岩性以厚、巨厚层浅黄、浅灰、灰白、兰灰色含砾中细砂、中粗砂、粗砂为主，间夹灰黄、兰灰、灰黑、灰绿色的薄层或透镜状粉质粘土及粘土，厚105-206m。该地层构成区内浅层承压水含水层，它与下更新统地层最大的区别在于以粗粒相为主体。</w:t>
      </w:r>
    </w:p>
    <w:p>
      <w:pPr>
        <w:pStyle w:val="63"/>
        <w:ind w:firstLine="480"/>
        <w:rPr>
          <w:color w:val="auto"/>
        </w:rPr>
      </w:pPr>
      <w:r>
        <w:rPr>
          <w:rFonts w:hint="eastAsia" w:ascii="宋体" w:hAnsi="宋体"/>
          <w:color w:val="auto"/>
        </w:rPr>
        <w:t>⑶</w:t>
      </w:r>
      <w:r>
        <w:rPr>
          <w:color w:val="auto"/>
        </w:rPr>
        <w:t>中更新统上部风积层（Q</w:t>
      </w:r>
      <w:r>
        <w:rPr>
          <w:color w:val="auto"/>
          <w:vertAlign w:val="subscript"/>
        </w:rPr>
        <w:t>2</w:t>
      </w:r>
      <w:r>
        <w:rPr>
          <w:color w:val="auto"/>
          <w:vertAlign w:val="superscript"/>
        </w:rPr>
        <w:t>2eol</w:t>
      </w:r>
      <w:r>
        <w:rPr>
          <w:color w:val="auto"/>
        </w:rPr>
        <w:t>）：分布于三级阶地，包括第一层古土壤之下至冲积层以上的黄土层段。岩性为灰褐、黄褐色黄土，较疏松，孔隙较发育，黄土中夹3-4层古土壤，团粒结构明显，底部断续分布有钙质结核。</w:t>
      </w:r>
    </w:p>
    <w:p>
      <w:pPr>
        <w:pStyle w:val="63"/>
        <w:ind w:firstLine="480"/>
        <w:rPr>
          <w:color w:val="auto"/>
        </w:rPr>
      </w:pPr>
      <w:r>
        <w:rPr>
          <w:rFonts w:hint="eastAsia" w:ascii="宋体" w:hAnsi="宋体"/>
          <w:color w:val="auto"/>
        </w:rPr>
        <w:t>⑷</w:t>
      </w:r>
      <w:r>
        <w:rPr>
          <w:color w:val="auto"/>
        </w:rPr>
        <w:t>上更新统下部冲积层（Q</w:t>
      </w:r>
      <w:r>
        <w:rPr>
          <w:color w:val="auto"/>
          <w:vertAlign w:val="subscript"/>
        </w:rPr>
        <w:t>3</w:t>
      </w:r>
      <w:r>
        <w:rPr>
          <w:color w:val="auto"/>
          <w:vertAlign w:val="superscript"/>
        </w:rPr>
        <w:t>1al</w:t>
      </w:r>
      <w:r>
        <w:rPr>
          <w:color w:val="auto"/>
        </w:rPr>
        <w:t>）：分布于马北渭河二级阶地黄土层之下。埋深17m，顶面标高375.44m。岩性为浅黄、浅灰色粉细砂、中细砂，中间夹浅灰色粉土；砂层上部有近10m厚的浅黄色粉质粘土，总厚34.81m。</w:t>
      </w:r>
    </w:p>
    <w:p>
      <w:pPr>
        <w:pStyle w:val="63"/>
        <w:ind w:firstLine="480"/>
        <w:rPr>
          <w:color w:val="auto"/>
        </w:rPr>
      </w:pPr>
      <w:r>
        <w:rPr>
          <w:rFonts w:hint="eastAsia" w:ascii="宋体" w:hAnsi="宋体"/>
          <w:color w:val="auto"/>
        </w:rPr>
        <w:t>⑸</w:t>
      </w:r>
      <w:r>
        <w:rPr>
          <w:color w:val="auto"/>
        </w:rPr>
        <w:t>上更新统下部冲洪积层（Q</w:t>
      </w:r>
      <w:r>
        <w:rPr>
          <w:color w:val="auto"/>
          <w:vertAlign w:val="subscript"/>
        </w:rPr>
        <w:t>3</w:t>
      </w:r>
      <w:r>
        <w:rPr>
          <w:color w:val="auto"/>
          <w:vertAlign w:val="superscript"/>
        </w:rPr>
        <w:t>1al+pl</w:t>
      </w:r>
      <w:r>
        <w:rPr>
          <w:color w:val="auto"/>
        </w:rPr>
        <w:t>）：分布于崇皇乡以北地区。岩性为灰黄、棕黄色粉砂、中细砂与棕黄色粉质粘土不等厚互层，砂层垂向上，下粗上细。埋深近17m，厚约33m。</w:t>
      </w:r>
    </w:p>
    <w:p>
      <w:pPr>
        <w:pStyle w:val="63"/>
        <w:ind w:firstLine="480"/>
        <w:rPr>
          <w:color w:val="auto"/>
        </w:rPr>
      </w:pPr>
      <w:r>
        <w:rPr>
          <w:rFonts w:hint="eastAsia" w:ascii="宋体" w:hAnsi="宋体"/>
          <w:color w:val="auto"/>
        </w:rPr>
        <w:t>⑹</w:t>
      </w:r>
      <w:r>
        <w:rPr>
          <w:color w:val="auto"/>
        </w:rPr>
        <w:t>上更新统上部风积层（Q</w:t>
      </w:r>
      <w:r>
        <w:rPr>
          <w:color w:val="auto"/>
          <w:vertAlign w:val="subscript"/>
        </w:rPr>
        <w:t>3</w:t>
      </w:r>
      <w:r>
        <w:rPr>
          <w:color w:val="auto"/>
          <w:vertAlign w:val="superscript"/>
        </w:rPr>
        <w:t>2eol</w:t>
      </w:r>
      <w:r>
        <w:rPr>
          <w:color w:val="auto"/>
        </w:rPr>
        <w:t>）：披覆于三级阶地及二级冲洪积平原顶部。岩性为淡黄、灰黄色黄土，疏松，具孔洞及大孔隙，垂直节理发育，底部为棕红色古土壤，该层厚15-17m。</w:t>
      </w:r>
    </w:p>
    <w:p>
      <w:pPr>
        <w:pStyle w:val="63"/>
        <w:ind w:firstLine="480"/>
        <w:rPr>
          <w:color w:val="auto"/>
        </w:rPr>
      </w:pPr>
      <w:r>
        <w:rPr>
          <w:rFonts w:hint="eastAsia" w:ascii="宋体" w:hAnsi="宋体"/>
          <w:color w:val="auto"/>
        </w:rPr>
        <w:t>⑺</w:t>
      </w:r>
      <w:r>
        <w:rPr>
          <w:color w:val="auto"/>
        </w:rPr>
        <w:t>全新统下部冲积层（Q</w:t>
      </w:r>
      <w:r>
        <w:rPr>
          <w:color w:val="auto"/>
          <w:vertAlign w:val="subscript"/>
        </w:rPr>
        <w:t>4</w:t>
      </w:r>
      <w:r>
        <w:rPr>
          <w:color w:val="auto"/>
          <w:vertAlign w:val="superscript"/>
        </w:rPr>
        <w:t>1al</w:t>
      </w:r>
      <w:r>
        <w:rPr>
          <w:color w:val="auto"/>
        </w:rPr>
        <w:t>）：分布于一级阶地。岩性上下不同，上部为浅黄、灰黄色粉质粘土，局部地段间夹砂砾；下部为灰黄、灰白、兰灰色含砾中细砂、中粗砂，并延伸到漫滩区之下。泾河北一级阶地区岩性主要为浅黄色粉质粘土、粉土夹不稳定薄层砂砾卵石，厚30m左右。</w:t>
      </w:r>
    </w:p>
    <w:p>
      <w:pPr>
        <w:pStyle w:val="63"/>
        <w:ind w:firstLine="480"/>
        <w:rPr>
          <w:color w:val="auto"/>
        </w:rPr>
      </w:pPr>
      <w:r>
        <w:rPr>
          <w:color w:val="auto"/>
        </w:rPr>
        <w:t>8）全新统下部冲洪积层（Q</w:t>
      </w:r>
      <w:r>
        <w:rPr>
          <w:color w:val="auto"/>
          <w:vertAlign w:val="subscript"/>
        </w:rPr>
        <w:t>4</w:t>
      </w:r>
      <w:r>
        <w:rPr>
          <w:color w:val="auto"/>
          <w:vertAlign w:val="superscript"/>
        </w:rPr>
        <w:t>1al+pl</w:t>
      </w:r>
      <w:r>
        <w:rPr>
          <w:color w:val="auto"/>
        </w:rPr>
        <w:t>）：为一级冲洪积平原堆积物，岩性为棕黄、灰黄色粉质粘土、粉土夹2-3层中砂，厚32m左右。</w:t>
      </w:r>
    </w:p>
    <w:p>
      <w:pPr>
        <w:pStyle w:val="63"/>
        <w:ind w:firstLine="480"/>
        <w:rPr>
          <w:color w:val="auto"/>
        </w:rPr>
      </w:pPr>
      <w:r>
        <w:rPr>
          <w:color w:val="auto"/>
        </w:rPr>
        <w:t>9）全新统上部冲积层（Q</w:t>
      </w:r>
      <w:r>
        <w:rPr>
          <w:color w:val="auto"/>
          <w:vertAlign w:val="subscript"/>
        </w:rPr>
        <w:t>4</w:t>
      </w:r>
      <w:r>
        <w:rPr>
          <w:color w:val="auto"/>
          <w:vertAlign w:val="superscript"/>
        </w:rPr>
        <w:t>2al</w:t>
      </w:r>
      <w:r>
        <w:rPr>
          <w:color w:val="auto"/>
        </w:rPr>
        <w:t>）：为漫滩堆积，岩性以浅黄、浅灰、灰白色砂、砂砾石为主，局部地段含卵石；陈家滩以西泾河两岸为粉质粘土夹粉细砂透镜体及砂砾卵石与粉质粘土互层，厚15-20m。</w:t>
      </w:r>
    </w:p>
    <w:p>
      <w:pPr>
        <w:pStyle w:val="62"/>
        <w:rPr>
          <w:color w:val="auto"/>
          <w:lang w:val="zh-CN"/>
        </w:rPr>
      </w:pPr>
      <w:r>
        <w:rPr>
          <w:rFonts w:hint="eastAsia"/>
          <w:color w:val="auto"/>
          <w:lang w:val="zh-CN"/>
        </w:rPr>
        <w:t>7.3.2构造概况</w:t>
      </w:r>
    </w:p>
    <w:p>
      <w:pPr>
        <w:pStyle w:val="63"/>
        <w:ind w:firstLine="480"/>
        <w:rPr>
          <w:color w:val="auto"/>
        </w:rPr>
      </w:pPr>
      <w:r>
        <w:rPr>
          <w:rFonts w:hint="eastAsia"/>
          <w:color w:val="auto"/>
        </w:rPr>
        <w:t>评价区位于渭河断陷盆地北部次级构造单元固市断陷至西段。由于祁吕贺前弧东翼、秦岭尾向构造、陇西系构造相互作用的影响，基底断裂构造发育，局部继承性构造活动较强烈。</w:t>
      </w:r>
    </w:p>
    <w:p>
      <w:pPr>
        <w:pStyle w:val="61"/>
        <w:rPr>
          <w:color w:val="auto"/>
        </w:rPr>
      </w:pPr>
      <w:bookmarkStart w:id="73" w:name="_Toc436902175"/>
      <w:r>
        <w:rPr>
          <w:rFonts w:hint="eastAsia"/>
          <w:color w:val="auto"/>
        </w:rPr>
        <w:t>7.4评价区地下水环境现状调查</w:t>
      </w:r>
      <w:bookmarkEnd w:id="73"/>
    </w:p>
    <w:p>
      <w:pPr>
        <w:pStyle w:val="62"/>
        <w:rPr>
          <w:color w:val="auto"/>
          <w:lang w:val="zh-CN"/>
        </w:rPr>
      </w:pPr>
      <w:r>
        <w:rPr>
          <w:rFonts w:hint="eastAsia"/>
          <w:color w:val="auto"/>
          <w:lang w:val="zh-CN"/>
        </w:rPr>
        <w:t>7.4.1地下水类型及赋存特征</w:t>
      </w:r>
    </w:p>
    <w:p>
      <w:pPr>
        <w:pStyle w:val="63"/>
        <w:ind w:firstLine="480"/>
        <w:rPr>
          <w:color w:val="auto"/>
        </w:rPr>
      </w:pPr>
      <w:r>
        <w:rPr>
          <w:rFonts w:hint="eastAsia"/>
          <w:color w:val="auto"/>
        </w:rPr>
        <w:t>评价区</w:t>
      </w:r>
      <w:r>
        <w:rPr>
          <w:color w:val="auto"/>
        </w:rPr>
        <w:t>内广泛分布第四系粉土、砂、砂砾卵石层及黄土，为地下水提供了良好的储存空间和导水通道。依据赋存条件和含水介质，</w:t>
      </w:r>
      <w:r>
        <w:rPr>
          <w:rFonts w:hint="eastAsia"/>
          <w:color w:val="auto"/>
        </w:rPr>
        <w:t>评价区</w:t>
      </w:r>
      <w:r>
        <w:rPr>
          <w:color w:val="auto"/>
        </w:rPr>
        <w:t>内地下水分为第四系松散岩类孔隙水和第四系松散岩类裂隙孔隙水两种类型，其中第四系松散岩类裂隙孔隙水主要分布于</w:t>
      </w:r>
      <w:r>
        <w:rPr>
          <w:rFonts w:hint="eastAsia"/>
          <w:color w:val="auto"/>
        </w:rPr>
        <w:t>评价区</w:t>
      </w:r>
      <w:r>
        <w:rPr>
          <w:color w:val="auto"/>
        </w:rPr>
        <w:t>北部黄土塬区及泾河南岸的黄土台塬区，不作为本次的</w:t>
      </w:r>
      <w:r>
        <w:rPr>
          <w:rFonts w:hint="eastAsia"/>
          <w:color w:val="auto"/>
        </w:rPr>
        <w:t>评价</w:t>
      </w:r>
      <w:r>
        <w:rPr>
          <w:color w:val="auto"/>
        </w:rPr>
        <w:t>对象。</w:t>
      </w:r>
    </w:p>
    <w:p>
      <w:pPr>
        <w:pStyle w:val="63"/>
        <w:ind w:firstLine="480"/>
        <w:rPr>
          <w:color w:val="auto"/>
        </w:rPr>
      </w:pPr>
      <w:r>
        <w:rPr>
          <w:rFonts w:hint="eastAsia"/>
          <w:color w:val="auto"/>
        </w:rPr>
        <w:t>评价区</w:t>
      </w:r>
      <w:r>
        <w:rPr>
          <w:color w:val="auto"/>
        </w:rPr>
        <w:t>内第四系松散岩类孔隙水依据水力特征，可划分为第四系松散岩类孔隙潜水和第四系松散岩类孔隙承压水，其中承压水根据埋藏条件及区域稳定隔水作用分为浅层承压水和深层承压水。</w:t>
      </w:r>
      <w:r>
        <w:rPr>
          <w:rFonts w:hint="eastAsia"/>
          <w:color w:val="auto"/>
        </w:rPr>
        <w:t>评价</w:t>
      </w:r>
      <w:r>
        <w:rPr>
          <w:color w:val="auto"/>
        </w:rPr>
        <w:t>区内第四系潜水主要受地貌类型和含水层岩性的控制，第四系承压水则主要受古地理环境及地层岩性的制约。因此，在不同地貌部位和不同的沉积环境，含水层厚度、岩性、富水性及水化学特征等有较显著的差异。</w:t>
      </w:r>
      <w:bookmarkStart w:id="74" w:name="_Toc401598988"/>
      <w:r>
        <w:rPr>
          <w:rFonts w:hint="eastAsia"/>
          <w:color w:val="auto"/>
        </w:rPr>
        <w:t>详见项目所在区域水文地质图7.4-1。</w:t>
      </w:r>
    </w:p>
    <w:p>
      <w:pPr>
        <w:spacing w:line="360" w:lineRule="auto"/>
        <w:ind w:firstLine="480" w:firstLineChars="200"/>
        <w:jc w:val="left"/>
        <w:rPr>
          <w:sz w:val="24"/>
        </w:rPr>
      </w:pPr>
      <w:r>
        <w:rPr>
          <w:sz w:val="24"/>
        </w:rPr>
        <w:drawing>
          <wp:inline distT="0" distB="0" distL="0" distR="0">
            <wp:extent cx="5105400" cy="6343650"/>
            <wp:effectExtent l="19050" t="0" r="0" b="0"/>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noChangeArrowheads="1"/>
                    </pic:cNvPicPr>
                  </pic:nvPicPr>
                  <pic:blipFill>
                    <a:blip r:embed="rId29"/>
                    <a:srcRect l="1625" t="8601" r="1604" b="1881"/>
                    <a:stretch>
                      <a:fillRect/>
                    </a:stretch>
                  </pic:blipFill>
                  <pic:spPr>
                    <a:xfrm>
                      <a:off x="0" y="0"/>
                      <a:ext cx="5105400" cy="6343650"/>
                    </a:xfrm>
                    <a:prstGeom prst="rect">
                      <a:avLst/>
                    </a:prstGeom>
                    <a:noFill/>
                    <a:ln w="9525">
                      <a:noFill/>
                      <a:miter lim="800000"/>
                      <a:headEnd/>
                      <a:tailEnd/>
                    </a:ln>
                  </pic:spPr>
                </pic:pic>
              </a:graphicData>
            </a:graphic>
          </wp:inline>
        </w:drawing>
      </w:r>
    </w:p>
    <w:p>
      <w:pPr>
        <w:spacing w:line="360" w:lineRule="auto"/>
        <w:jc w:val="center"/>
        <w:rPr>
          <w:sz w:val="24"/>
        </w:rPr>
      </w:pPr>
      <w:r>
        <w:rPr>
          <w:b/>
          <w:sz w:val="24"/>
        </w:rPr>
        <w:t>图</w:t>
      </w:r>
      <w:r>
        <w:rPr>
          <w:rFonts w:hint="eastAsia"/>
          <w:b/>
          <w:sz w:val="24"/>
        </w:rPr>
        <w:t>7.4-</w:t>
      </w:r>
      <w:r>
        <w:rPr>
          <w:b/>
          <w:sz w:val="24"/>
        </w:rPr>
        <w:t xml:space="preserve">1  </w:t>
      </w:r>
      <w:r>
        <w:rPr>
          <w:rFonts w:hint="eastAsia"/>
          <w:b/>
          <w:sz w:val="24"/>
        </w:rPr>
        <w:t>项目所在区水文地质</w:t>
      </w:r>
      <w:r>
        <w:rPr>
          <w:b/>
          <w:sz w:val="24"/>
        </w:rPr>
        <w:t>图</w:t>
      </w:r>
    </w:p>
    <w:p>
      <w:pPr>
        <w:pStyle w:val="63"/>
        <w:ind w:firstLine="480"/>
        <w:rPr>
          <w:color w:val="auto"/>
        </w:rPr>
      </w:pPr>
      <w:r>
        <w:rPr>
          <w:rFonts w:hint="eastAsia"/>
          <w:color w:val="auto"/>
        </w:rPr>
        <w:t xml:space="preserve">⑴ </w:t>
      </w:r>
      <w:r>
        <w:rPr>
          <w:color w:val="auto"/>
        </w:rPr>
        <w:t>第四系松散岩类孔隙潜水</w:t>
      </w:r>
      <w:bookmarkEnd w:id="74"/>
    </w:p>
    <w:p>
      <w:pPr>
        <w:pStyle w:val="63"/>
        <w:ind w:firstLine="480"/>
        <w:rPr>
          <w:color w:val="auto"/>
        </w:rPr>
      </w:pPr>
      <w:r>
        <w:rPr>
          <w:color w:val="auto"/>
        </w:rPr>
        <w:t>按含水层成因类型及地层时代，将</w:t>
      </w:r>
      <w:r>
        <w:rPr>
          <w:rFonts w:hint="eastAsia"/>
          <w:color w:val="auto"/>
        </w:rPr>
        <w:t>评价区</w:t>
      </w:r>
      <w:r>
        <w:rPr>
          <w:color w:val="auto"/>
        </w:rPr>
        <w:t>内第四系松散岩类孔隙潜水划分成全新统、上中更新统冲积砂、砂砾卵石孔隙潜水和全新统、上更新统冲洪积粉细砂、粉土孔隙潜水。</w:t>
      </w:r>
    </w:p>
    <w:p>
      <w:pPr>
        <w:pStyle w:val="63"/>
        <w:ind w:firstLine="480"/>
        <w:rPr>
          <w:color w:val="auto"/>
        </w:rPr>
      </w:pPr>
      <w:r>
        <w:rPr>
          <w:rFonts w:hint="eastAsia"/>
          <w:color w:val="auto"/>
        </w:rPr>
        <w:t>①</w:t>
      </w:r>
      <w:r>
        <w:rPr>
          <w:color w:val="auto"/>
        </w:rPr>
        <w:t>全新统、上中更新统冲积砂、砂砾卵石孔隙潜水</w:t>
      </w:r>
    </w:p>
    <w:p>
      <w:pPr>
        <w:pStyle w:val="63"/>
        <w:ind w:firstLine="480"/>
        <w:rPr>
          <w:color w:val="auto"/>
        </w:rPr>
      </w:pPr>
      <w:r>
        <w:rPr>
          <w:color w:val="auto"/>
        </w:rPr>
        <w:t>分布于泾河漫滩及一级阶地。含水层由全新统、上更新统、中更新统上部冲积层组成，含水层岩性主要为浅黄、灰黄中细砂、粉土，中间夹棕黄色粉质粘土、薄层砂砾卵石，总厚度55－65m。其中漫滩地段颗粒粒径较粗，夹不等厚薄层砂砾卵石，渗透性较好，厚度25－30m。自漫滩后缘至一级阶地后缘，颗粒粒径存在变小趋势。</w:t>
      </w:r>
    </w:p>
    <w:p>
      <w:pPr>
        <w:spacing w:line="360" w:lineRule="auto"/>
        <w:ind w:firstLine="480" w:firstLineChars="200"/>
        <w:rPr>
          <w:sz w:val="24"/>
        </w:rPr>
      </w:pPr>
      <w:r>
        <w:rPr>
          <w:rFonts w:hint="eastAsia"/>
          <w:sz w:val="24"/>
        </w:rPr>
        <w:t>②</w:t>
      </w:r>
      <w:r>
        <w:rPr>
          <w:sz w:val="24"/>
        </w:rPr>
        <w:t>全新统、上更新统冲洪积粉细砂、粉土孔隙潜水</w:t>
      </w:r>
    </w:p>
    <w:p>
      <w:pPr>
        <w:pStyle w:val="63"/>
        <w:ind w:firstLine="480"/>
        <w:rPr>
          <w:color w:val="auto"/>
        </w:rPr>
      </w:pPr>
      <w:r>
        <w:rPr>
          <w:color w:val="auto"/>
        </w:rPr>
        <w:t>分布于</w:t>
      </w:r>
      <w:r>
        <w:rPr>
          <w:rFonts w:hint="eastAsia"/>
          <w:color w:val="auto"/>
        </w:rPr>
        <w:t>评价区</w:t>
      </w:r>
      <w:r>
        <w:rPr>
          <w:color w:val="auto"/>
        </w:rPr>
        <w:t>中部的一、二级冲洪积平原。含水层由全新统下部、上更新统下部冲洪积层组成，岩性在一级冲洪积平原区主要为粉砂、中细砂，在二级冲洪积平原区为粉细砂、砂砾石，砂层与粉土及粉质粘土叠置，呈不等厚互层状。含水层底板埋深44－50m，富水性、单位涌水量、渗透系数均小于河流阶地区，矿化度较高，水化学类型复杂。</w:t>
      </w:r>
      <w:bookmarkStart w:id="75" w:name="_Toc401598989"/>
    </w:p>
    <w:p>
      <w:pPr>
        <w:pStyle w:val="63"/>
        <w:ind w:firstLine="480"/>
        <w:rPr>
          <w:color w:val="auto"/>
        </w:rPr>
      </w:pPr>
      <w:r>
        <w:rPr>
          <w:rFonts w:hint="eastAsia"/>
          <w:color w:val="auto"/>
        </w:rPr>
        <w:t>⑵</w:t>
      </w:r>
      <w:r>
        <w:rPr>
          <w:color w:val="auto"/>
        </w:rPr>
        <w:t>第四系松散岩类孔隙承压水</w:t>
      </w:r>
      <w:bookmarkEnd w:id="75"/>
    </w:p>
    <w:p>
      <w:pPr>
        <w:pStyle w:val="63"/>
        <w:ind w:firstLine="480"/>
        <w:rPr>
          <w:color w:val="auto"/>
        </w:rPr>
      </w:pPr>
      <w:r>
        <w:rPr>
          <w:color w:val="auto"/>
        </w:rPr>
        <w:t>分布于全区，含水层由中更新统冲积、冲湖积粉土、含砾中细砂层及下更新统冲积、冲湖积粉土、粉质粘土及细砂层组成。含水层中有稳定的粉质粘土层作为区域隔水层，将第四系承压水分成浅层承压水和深层承压水。</w:t>
      </w:r>
    </w:p>
    <w:p>
      <w:pPr>
        <w:pStyle w:val="63"/>
        <w:ind w:firstLine="480"/>
        <w:rPr>
          <w:color w:val="auto"/>
        </w:rPr>
      </w:pPr>
      <w:r>
        <w:rPr>
          <w:rFonts w:hint="eastAsia"/>
          <w:color w:val="auto"/>
        </w:rPr>
        <w:t>①</w:t>
      </w:r>
      <w:r>
        <w:rPr>
          <w:color w:val="auto"/>
        </w:rPr>
        <w:t>浅层承压水</w:t>
      </w:r>
    </w:p>
    <w:p>
      <w:pPr>
        <w:pStyle w:val="63"/>
        <w:ind w:firstLine="480"/>
        <w:rPr>
          <w:color w:val="auto"/>
        </w:rPr>
      </w:pPr>
      <w:r>
        <w:rPr>
          <w:color w:val="auto"/>
        </w:rPr>
        <w:t>分布于全区50－60m以下至200m，含水层为中更新统冲积、冲湖积粉土、含砾中细砂层组成，与弱透水的粉质粘土层呈互层状，累计厚度20－30m，地下水赋存条件较好，水量较丰富，可作为稳定供水水源，是本次</w:t>
      </w:r>
      <w:r>
        <w:rPr>
          <w:rFonts w:hint="eastAsia"/>
          <w:color w:val="auto"/>
        </w:rPr>
        <w:t>评价</w:t>
      </w:r>
      <w:r>
        <w:rPr>
          <w:color w:val="auto"/>
        </w:rPr>
        <w:t>的主要对象。</w:t>
      </w:r>
    </w:p>
    <w:p>
      <w:pPr>
        <w:pStyle w:val="63"/>
        <w:ind w:firstLine="480"/>
        <w:rPr>
          <w:color w:val="auto"/>
        </w:rPr>
      </w:pPr>
      <w:r>
        <w:rPr>
          <w:rFonts w:hint="eastAsia"/>
          <w:color w:val="auto"/>
        </w:rPr>
        <w:t>②</w:t>
      </w:r>
      <w:r>
        <w:rPr>
          <w:color w:val="auto"/>
        </w:rPr>
        <w:t>深层承压水</w:t>
      </w:r>
    </w:p>
    <w:p>
      <w:pPr>
        <w:pStyle w:val="63"/>
        <w:ind w:firstLine="480"/>
        <w:rPr>
          <w:color w:val="auto"/>
        </w:rPr>
      </w:pPr>
      <w:r>
        <w:rPr>
          <w:color w:val="auto"/>
        </w:rPr>
        <w:t>分布于全区</w:t>
      </w:r>
      <w:r>
        <w:rPr>
          <w:rFonts w:hint="eastAsia"/>
          <w:color w:val="auto"/>
        </w:rPr>
        <w:t>2</w:t>
      </w:r>
      <w:r>
        <w:rPr>
          <w:color w:val="auto"/>
        </w:rPr>
        <w:t>00m以下，含水层由下更新统冲积、冲湖积粉土、粉质粘土及细砂层组成。含水层厚度较大，水位埋深低于潜水及浅层承压水水位，地下水赋存条件较差，水质差，不作为本次</w:t>
      </w:r>
      <w:r>
        <w:rPr>
          <w:rFonts w:hint="eastAsia"/>
          <w:color w:val="auto"/>
        </w:rPr>
        <w:t>评价</w:t>
      </w:r>
      <w:r>
        <w:rPr>
          <w:color w:val="auto"/>
        </w:rPr>
        <w:t>对象。</w:t>
      </w:r>
      <w:bookmarkStart w:id="76" w:name="_Toc401598990"/>
    </w:p>
    <w:p>
      <w:pPr>
        <w:pStyle w:val="63"/>
        <w:ind w:firstLine="480"/>
        <w:rPr>
          <w:color w:val="auto"/>
        </w:rPr>
      </w:pPr>
      <w:r>
        <w:rPr>
          <w:rFonts w:hint="eastAsia"/>
          <w:color w:val="auto"/>
        </w:rPr>
        <w:t>⑶</w:t>
      </w:r>
      <w:r>
        <w:rPr>
          <w:color w:val="auto"/>
        </w:rPr>
        <w:t>第四系松散岩类裂隙孔隙水</w:t>
      </w:r>
      <w:bookmarkEnd w:id="76"/>
    </w:p>
    <w:p>
      <w:pPr>
        <w:pStyle w:val="63"/>
        <w:ind w:firstLine="480"/>
        <w:rPr>
          <w:color w:val="auto"/>
        </w:rPr>
      </w:pPr>
      <w:r>
        <w:rPr>
          <w:color w:val="auto"/>
        </w:rPr>
        <w:t>分布于</w:t>
      </w:r>
      <w:r>
        <w:rPr>
          <w:rFonts w:hint="eastAsia"/>
          <w:color w:val="auto"/>
        </w:rPr>
        <w:t>评价区</w:t>
      </w:r>
      <w:r>
        <w:rPr>
          <w:color w:val="auto"/>
        </w:rPr>
        <w:t>北部黄土塬区及泾河南岸黄土台塬区，含水层由中更新统风积黄土组成，岩性为浅黄、黄褐色黄土夹古土壤，厚度较薄，水位埋深大，地下水赋存条件较差，不具有供水意义，不作为本次</w:t>
      </w:r>
      <w:r>
        <w:rPr>
          <w:rFonts w:hint="eastAsia"/>
          <w:color w:val="auto"/>
        </w:rPr>
        <w:t>评价</w:t>
      </w:r>
      <w:r>
        <w:rPr>
          <w:color w:val="auto"/>
        </w:rPr>
        <w:t>对象。</w:t>
      </w:r>
    </w:p>
    <w:p>
      <w:pPr>
        <w:pStyle w:val="62"/>
        <w:rPr>
          <w:color w:val="auto"/>
          <w:lang w:val="zh-CN"/>
        </w:rPr>
      </w:pPr>
      <w:bookmarkStart w:id="77" w:name="_Toc401644012"/>
      <w:bookmarkStart w:id="78" w:name="_Toc401598991"/>
      <w:r>
        <w:rPr>
          <w:rFonts w:hint="eastAsia"/>
          <w:color w:val="auto"/>
          <w:lang w:val="zh-CN"/>
        </w:rPr>
        <w:t>7.4.2</w:t>
      </w:r>
      <w:r>
        <w:rPr>
          <w:color w:val="auto"/>
          <w:lang w:val="zh-CN"/>
        </w:rPr>
        <w:t>含水层特征及富水性</w:t>
      </w:r>
      <w:bookmarkEnd w:id="77"/>
      <w:bookmarkEnd w:id="78"/>
    </w:p>
    <w:p>
      <w:pPr>
        <w:pStyle w:val="63"/>
        <w:ind w:firstLine="480"/>
        <w:rPr>
          <w:color w:val="auto"/>
        </w:rPr>
      </w:pPr>
      <w:r>
        <w:rPr>
          <w:rFonts w:hint="eastAsia"/>
          <w:color w:val="auto"/>
        </w:rPr>
        <w:t>评价区</w:t>
      </w:r>
      <w:r>
        <w:rPr>
          <w:color w:val="auto"/>
        </w:rPr>
        <w:t>含水层主要为为第四系松散岩类潜水和第四系松散岩类孔隙承压水。</w:t>
      </w:r>
    </w:p>
    <w:p>
      <w:pPr>
        <w:pStyle w:val="63"/>
        <w:ind w:firstLine="480"/>
        <w:rPr>
          <w:color w:val="auto"/>
        </w:rPr>
      </w:pPr>
      <w:r>
        <w:rPr>
          <w:rFonts w:hint="eastAsia"/>
          <w:color w:val="auto"/>
        </w:rPr>
        <w:t>根据项目地勘报告，结合含水层厚度、岩性、地貌和地下水补给等因素，将区内潜水划分为四个富水等级（丰富区、中等区、较贫乏区和贫乏区）详见图7.4-2。承压水划分为两个富水等级（中等区和较贫乏区），详见图7.4-3</w:t>
      </w:r>
      <w:bookmarkStart w:id="79" w:name="_Toc401598992"/>
      <w:r>
        <w:rPr>
          <w:rFonts w:hint="eastAsia"/>
          <w:color w:val="auto"/>
        </w:rPr>
        <w:t>。</w:t>
      </w:r>
      <w:bookmarkEnd w:id="79"/>
    </w:p>
    <w:p>
      <w:pPr>
        <w:spacing w:line="360" w:lineRule="auto"/>
        <w:jc w:val="center"/>
        <w:rPr>
          <w:sz w:val="24"/>
        </w:rPr>
      </w:pPr>
      <w:r>
        <w:rPr>
          <w:sz w:val="24"/>
        </w:rPr>
        <w:drawing>
          <wp:inline distT="0" distB="0" distL="0" distR="0">
            <wp:extent cx="5276850" cy="5191125"/>
            <wp:effectExtent l="19050" t="0" r="0" b="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noChangeArrowheads="1"/>
                    </pic:cNvPicPr>
                  </pic:nvPicPr>
                  <pic:blipFill>
                    <a:blip r:embed="rId30"/>
                    <a:srcRect b="8759"/>
                    <a:stretch>
                      <a:fillRect/>
                    </a:stretch>
                  </pic:blipFill>
                  <pic:spPr>
                    <a:xfrm>
                      <a:off x="0" y="0"/>
                      <a:ext cx="5276850" cy="5191125"/>
                    </a:xfrm>
                    <a:prstGeom prst="rect">
                      <a:avLst/>
                    </a:prstGeom>
                    <a:noFill/>
                    <a:ln w="9525">
                      <a:noFill/>
                      <a:miter lim="800000"/>
                      <a:headEnd/>
                      <a:tailEnd/>
                    </a:ln>
                  </pic:spPr>
                </pic:pic>
              </a:graphicData>
            </a:graphic>
          </wp:inline>
        </w:drawing>
      </w:r>
    </w:p>
    <w:p>
      <w:pPr>
        <w:pStyle w:val="65"/>
      </w:pPr>
      <w:r>
        <w:t>图</w:t>
      </w:r>
      <w:r>
        <w:rPr>
          <w:rFonts w:hint="eastAsia"/>
        </w:rPr>
        <w:t>7.4-2项目所在区</w:t>
      </w:r>
      <w:r>
        <w:t>潜水含水层富水性分区图</w:t>
      </w:r>
    </w:p>
    <w:p>
      <w:pPr>
        <w:pStyle w:val="63"/>
        <w:ind w:firstLine="480"/>
        <w:rPr>
          <w:color w:val="auto"/>
        </w:rPr>
      </w:pPr>
      <w:r>
        <w:rPr>
          <w:rFonts w:hint="eastAsia"/>
          <w:color w:val="auto"/>
        </w:rPr>
        <w:t>⑴</w:t>
      </w:r>
      <w:r>
        <w:rPr>
          <w:color w:val="auto"/>
        </w:rPr>
        <w:t>第四系松散岩类孔隙潜水含水层</w:t>
      </w:r>
    </w:p>
    <w:p>
      <w:pPr>
        <w:pStyle w:val="63"/>
        <w:ind w:firstLine="480"/>
        <w:rPr>
          <w:color w:val="auto"/>
        </w:rPr>
      </w:pPr>
      <w:r>
        <w:rPr>
          <w:rFonts w:hint="eastAsia"/>
          <w:color w:val="auto"/>
        </w:rPr>
        <w:t>①</w:t>
      </w:r>
      <w:r>
        <w:rPr>
          <w:color w:val="auto"/>
        </w:rPr>
        <w:t>水量丰富区</w:t>
      </w:r>
    </w:p>
    <w:p>
      <w:pPr>
        <w:pStyle w:val="63"/>
        <w:wordWrap w:val="0"/>
        <w:ind w:firstLine="480"/>
        <w:rPr>
          <w:b/>
          <w:color w:val="auto"/>
          <w:szCs w:val="24"/>
        </w:rPr>
      </w:pPr>
      <w:r>
        <w:rPr>
          <w:color w:val="auto"/>
        </w:rPr>
        <w:t>含水层颗粒粗、分选性好、厚度大、导水性强，地势低平、水位埋深自西向东逐渐变小，表层即为疏松的砂层，可直接得到大气降水的渗入补给，故富水性最好。水位埋深2.43-20.65m，降深0.65-3.31m，涌水量为765.60-2163.46 m</w:t>
      </w:r>
      <w:r>
        <w:rPr>
          <w:color w:val="auto"/>
          <w:vertAlign w:val="superscript"/>
        </w:rPr>
        <w:t>3</w:t>
      </w:r>
      <w:r>
        <w:rPr>
          <w:color w:val="auto"/>
        </w:rPr>
        <w:t>/d，单井涌水量2786.23-4704.40m</w:t>
      </w:r>
      <w:r>
        <w:rPr>
          <w:color w:val="auto"/>
          <w:vertAlign w:val="superscript"/>
        </w:rPr>
        <w:t>3</w:t>
      </w:r>
      <w:r>
        <w:rPr>
          <w:color w:val="auto"/>
        </w:rPr>
        <w:t>/d。</w:t>
      </w:r>
    </w:p>
    <w:p>
      <w:pPr>
        <w:pStyle w:val="63"/>
        <w:ind w:firstLine="480"/>
        <w:rPr>
          <w:color w:val="auto"/>
        </w:rPr>
      </w:pPr>
      <w:r>
        <w:rPr>
          <w:rFonts w:hint="eastAsia"/>
          <w:color w:val="auto"/>
        </w:rPr>
        <w:t>②</w:t>
      </w:r>
      <w:r>
        <w:rPr>
          <w:color w:val="auto"/>
        </w:rPr>
        <w:t>水量中等区</w:t>
      </w:r>
    </w:p>
    <w:p>
      <w:pPr>
        <w:pStyle w:val="63"/>
        <w:ind w:firstLine="480"/>
        <w:rPr>
          <w:color w:val="auto"/>
          <w:szCs w:val="24"/>
        </w:rPr>
      </w:pPr>
      <w:r>
        <w:rPr>
          <w:color w:val="auto"/>
        </w:rPr>
        <w:t>因各地段所处的地貌位置不同，含水层岩性、厚度、富水性亦相应变化。其中泾河一级阶地含水层厚24-42m，粒径粗，为含砾中粗砂、砂砾卵石，水位埋深沿泾河流向逐渐变大，冲洪积平原含水层粒径变化大，岩性主要为砂、含砾中粗砂及砂砾卵石，水位埋深达到20m以上，水位埋深22.7-29.1m，抽水降深2.43-6.95m，涌水量1238.63-2005.34 m</w:t>
      </w:r>
      <w:r>
        <w:rPr>
          <w:color w:val="auto"/>
          <w:vertAlign w:val="superscript"/>
        </w:rPr>
        <w:t>3</w:t>
      </w:r>
      <w:r>
        <w:rPr>
          <w:color w:val="auto"/>
        </w:rPr>
        <w:t>/d，单井涌水量1065.68-2072.53 m</w:t>
      </w:r>
      <w:r>
        <w:rPr>
          <w:color w:val="auto"/>
          <w:vertAlign w:val="superscript"/>
        </w:rPr>
        <w:t>3</w:t>
      </w:r>
      <w:r>
        <w:rPr>
          <w:color w:val="auto"/>
        </w:rPr>
        <w:t>/d。</w:t>
      </w:r>
    </w:p>
    <w:p>
      <w:pPr>
        <w:pStyle w:val="63"/>
        <w:ind w:firstLine="480"/>
        <w:rPr>
          <w:color w:val="auto"/>
        </w:rPr>
      </w:pPr>
      <w:r>
        <w:rPr>
          <w:rFonts w:hint="eastAsia" w:ascii="宋体" w:hAnsi="宋体"/>
          <w:color w:val="auto"/>
        </w:rPr>
        <w:t>③</w:t>
      </w:r>
      <w:r>
        <w:rPr>
          <w:color w:val="auto"/>
        </w:rPr>
        <w:t>水量较贫乏区</w:t>
      </w:r>
    </w:p>
    <w:p>
      <w:pPr>
        <w:pStyle w:val="63"/>
        <w:ind w:firstLine="480"/>
        <w:rPr>
          <w:color w:val="auto"/>
          <w:szCs w:val="24"/>
        </w:rPr>
      </w:pPr>
      <w:r>
        <w:rPr>
          <w:color w:val="auto"/>
        </w:rPr>
        <w:t>泾河漫滩含水层粒径细，粒度变化大，岩性主要为粉土、粉细砂，冲洪积平原含水层粒径较粗，与隔水层成叠置结构，富水性相差悬殊，水位埋深变化较大，泾河漫滩水位埋深10.20-18.60m，二级冲洪积平原水位埋深达到30m以上。泾河漫滩抽水降深5.41-8.93m，涌水量603.36-1441.115 m</w:t>
      </w:r>
      <w:r>
        <w:rPr>
          <w:color w:val="auto"/>
          <w:vertAlign w:val="superscript"/>
        </w:rPr>
        <w:t>3</w:t>
      </w:r>
      <w:r>
        <w:rPr>
          <w:color w:val="auto"/>
        </w:rPr>
        <w:t>/d，单井涌水量504.35-988.80m</w:t>
      </w:r>
      <w:r>
        <w:rPr>
          <w:color w:val="auto"/>
          <w:vertAlign w:val="superscript"/>
        </w:rPr>
        <w:t>3</w:t>
      </w:r>
      <w:r>
        <w:rPr>
          <w:color w:val="auto"/>
        </w:rPr>
        <w:t>/d。</w:t>
      </w:r>
    </w:p>
    <w:p>
      <w:pPr>
        <w:pStyle w:val="63"/>
        <w:ind w:firstLine="480"/>
        <w:rPr>
          <w:color w:val="auto"/>
        </w:rPr>
      </w:pPr>
      <w:r>
        <w:rPr>
          <w:rFonts w:hint="eastAsia"/>
          <w:color w:val="auto"/>
        </w:rPr>
        <w:t>④</w:t>
      </w:r>
      <w:r>
        <w:rPr>
          <w:color w:val="auto"/>
        </w:rPr>
        <w:t>水量贫乏区</w:t>
      </w:r>
    </w:p>
    <w:p>
      <w:pPr>
        <w:pStyle w:val="63"/>
        <w:ind w:firstLine="480"/>
        <w:rPr>
          <w:color w:val="auto"/>
        </w:rPr>
      </w:pPr>
      <w:r>
        <w:rPr>
          <w:rFonts w:hint="eastAsia"/>
          <w:color w:val="auto"/>
        </w:rPr>
        <w:t>含水层厚度较大，</w:t>
      </w:r>
      <w:r>
        <w:rPr>
          <w:color w:val="auto"/>
        </w:rPr>
        <w:t>岩性为浅黄色粉土、粘土和含砾中粗砂、砂砾卵石，粒径变化大，透水性较差，地下水赋存条件差，富水性差。</w:t>
      </w:r>
      <w:bookmarkStart w:id="80" w:name="_Toc401598993"/>
    </w:p>
    <w:p>
      <w:pPr>
        <w:pStyle w:val="63"/>
        <w:ind w:firstLine="480"/>
        <w:rPr>
          <w:color w:val="auto"/>
        </w:rPr>
      </w:pPr>
      <w:r>
        <w:rPr>
          <w:rFonts w:hint="eastAsia"/>
          <w:color w:val="auto"/>
        </w:rPr>
        <w:t>⑵</w:t>
      </w:r>
      <w:r>
        <w:rPr>
          <w:color w:val="auto"/>
        </w:rPr>
        <w:t>第四系松散岩类孔隙浅层承压水含水层</w:t>
      </w:r>
      <w:bookmarkEnd w:id="80"/>
    </w:p>
    <w:p>
      <w:pPr>
        <w:pStyle w:val="63"/>
        <w:ind w:firstLine="480"/>
        <w:rPr>
          <w:color w:val="auto"/>
        </w:rPr>
      </w:pPr>
      <w:r>
        <w:rPr>
          <w:rFonts w:hint="eastAsia"/>
          <w:color w:val="auto"/>
        </w:rPr>
        <w:t>①</w:t>
      </w:r>
      <w:r>
        <w:rPr>
          <w:color w:val="auto"/>
        </w:rPr>
        <w:t>水量中等区</w:t>
      </w:r>
    </w:p>
    <w:p>
      <w:pPr>
        <w:pStyle w:val="63"/>
        <w:ind w:firstLine="480"/>
        <w:rPr>
          <w:color w:val="auto"/>
          <w:szCs w:val="24"/>
        </w:rPr>
      </w:pPr>
      <w:r>
        <w:rPr>
          <w:color w:val="auto"/>
        </w:rPr>
        <w:t>含水层厚度50-60m左右，岩性为粉土、含砾中细砂层夹粉质粘土透镜体，地下水赋存条件好，富水性好。水位埋深7.12-23.10m，抽水降深9.05-9.90m，涌水量723.17-887.07 m</w:t>
      </w:r>
      <w:r>
        <w:rPr>
          <w:color w:val="auto"/>
          <w:vertAlign w:val="superscript"/>
        </w:rPr>
        <w:t>3</w:t>
      </w:r>
      <w:r>
        <w:rPr>
          <w:color w:val="auto"/>
        </w:rPr>
        <w:t>/d，单井涌水量1002.60-2223.11 m</w:t>
      </w:r>
      <w:r>
        <w:rPr>
          <w:color w:val="auto"/>
          <w:vertAlign w:val="superscript"/>
        </w:rPr>
        <w:t>3</w:t>
      </w:r>
      <w:r>
        <w:rPr>
          <w:color w:val="auto"/>
        </w:rPr>
        <w:t>/d</w:t>
      </w:r>
      <w:r>
        <w:rPr>
          <w:rFonts w:hint="eastAsia"/>
          <w:color w:val="auto"/>
        </w:rPr>
        <w:t>(见图7.4-4)。</w:t>
      </w:r>
    </w:p>
    <w:p>
      <w:pPr>
        <w:pStyle w:val="63"/>
        <w:ind w:firstLine="480"/>
        <w:rPr>
          <w:color w:val="auto"/>
        </w:rPr>
      </w:pPr>
      <w:r>
        <w:rPr>
          <w:rFonts w:hint="eastAsia"/>
          <w:color w:val="auto"/>
        </w:rPr>
        <w:t>②</w:t>
      </w:r>
      <w:r>
        <w:rPr>
          <w:color w:val="auto"/>
        </w:rPr>
        <w:t>水量较贫乏区</w:t>
      </w:r>
    </w:p>
    <w:p>
      <w:pPr>
        <w:pStyle w:val="63"/>
        <w:ind w:firstLine="480"/>
        <w:rPr>
          <w:color w:val="auto"/>
        </w:rPr>
      </w:pPr>
      <w:r>
        <w:rPr>
          <w:color w:val="auto"/>
        </w:rPr>
        <w:t>含水层厚度80m左右，岩性为粉土、粉细砂，粒径较小，水位埋深变化大，北部冲洪积平原水位埋深较大，地下水赋存条件均较差，富水性较差。水位埋深30-70m，抽水降深18.00-20.00m，涌水量25-720 m</w:t>
      </w:r>
      <w:r>
        <w:rPr>
          <w:color w:val="auto"/>
          <w:vertAlign w:val="superscript"/>
        </w:rPr>
        <w:t>3</w:t>
      </w:r>
      <w:r>
        <w:rPr>
          <w:color w:val="auto"/>
        </w:rPr>
        <w:t>/d，单井涌水量336.00-360.00 m</w:t>
      </w:r>
      <w:r>
        <w:rPr>
          <w:color w:val="auto"/>
          <w:vertAlign w:val="superscript"/>
        </w:rPr>
        <w:t>3</w:t>
      </w:r>
      <w:r>
        <w:rPr>
          <w:color w:val="auto"/>
        </w:rPr>
        <w:t>/d。</w:t>
      </w:r>
    </w:p>
    <w:p>
      <w:pPr>
        <w:spacing w:line="360" w:lineRule="auto"/>
        <w:jc w:val="center"/>
        <w:rPr>
          <w:sz w:val="24"/>
        </w:rPr>
      </w:pPr>
      <w:r>
        <w:rPr>
          <w:sz w:val="24"/>
        </w:rPr>
        <w:drawing>
          <wp:inline distT="0" distB="0" distL="0" distR="0">
            <wp:extent cx="5276850" cy="6515100"/>
            <wp:effectExtent l="19050" t="0" r="0" b="0"/>
            <wp:docPr id="2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6"/>
                    <pic:cNvPicPr>
                      <a:picLocks noChangeAspect="1" noChangeArrowheads="1"/>
                    </pic:cNvPicPr>
                  </pic:nvPicPr>
                  <pic:blipFill>
                    <a:blip r:embed="rId31"/>
                    <a:srcRect r="12543"/>
                    <a:stretch>
                      <a:fillRect/>
                    </a:stretch>
                  </pic:blipFill>
                  <pic:spPr>
                    <a:xfrm>
                      <a:off x="0" y="0"/>
                      <a:ext cx="5276850" cy="6515100"/>
                    </a:xfrm>
                    <a:prstGeom prst="rect">
                      <a:avLst/>
                    </a:prstGeom>
                    <a:noFill/>
                    <a:ln w="9525">
                      <a:noFill/>
                      <a:miter lim="800000"/>
                      <a:headEnd/>
                      <a:tailEnd/>
                    </a:ln>
                  </pic:spPr>
                </pic:pic>
              </a:graphicData>
            </a:graphic>
          </wp:inline>
        </w:drawing>
      </w:r>
    </w:p>
    <w:p>
      <w:pPr>
        <w:pStyle w:val="65"/>
      </w:pPr>
      <w:r>
        <w:t>图</w:t>
      </w:r>
      <w:r>
        <w:rPr>
          <w:rFonts w:hint="eastAsia"/>
        </w:rPr>
        <w:t>7.4-3项目所在区</w:t>
      </w:r>
      <w:r>
        <w:t>浅层承压含水层富水性分区图</w:t>
      </w:r>
    </w:p>
    <w:p>
      <w:pPr>
        <w:spacing w:line="360" w:lineRule="auto"/>
        <w:jc w:val="center"/>
        <w:rPr>
          <w:sz w:val="24"/>
        </w:rPr>
      </w:pPr>
      <w:r>
        <w:rPr>
          <w:b/>
          <w:sz w:val="24"/>
        </w:rPr>
        <w:drawing>
          <wp:inline distT="0" distB="0" distL="0" distR="0">
            <wp:extent cx="5257800" cy="2667000"/>
            <wp:effectExtent l="19050" t="0" r="0" b="0"/>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noChangeArrowheads="1"/>
                    </pic:cNvPicPr>
                  </pic:nvPicPr>
                  <pic:blipFill>
                    <a:blip r:embed="rId32"/>
                    <a:srcRect r="9343"/>
                    <a:stretch>
                      <a:fillRect/>
                    </a:stretch>
                  </pic:blipFill>
                  <pic:spPr>
                    <a:xfrm>
                      <a:off x="0" y="0"/>
                      <a:ext cx="5257800" cy="2667000"/>
                    </a:xfrm>
                    <a:prstGeom prst="rect">
                      <a:avLst/>
                    </a:prstGeom>
                    <a:noFill/>
                    <a:ln w="9525">
                      <a:noFill/>
                      <a:miter lim="800000"/>
                      <a:headEnd/>
                      <a:tailEnd/>
                    </a:ln>
                  </pic:spPr>
                </pic:pic>
              </a:graphicData>
            </a:graphic>
          </wp:inline>
        </w:drawing>
      </w:r>
    </w:p>
    <w:p>
      <w:pPr>
        <w:pStyle w:val="65"/>
      </w:pPr>
      <w:r>
        <w:t>图</w:t>
      </w:r>
      <w:r>
        <w:rPr>
          <w:rFonts w:hint="eastAsia"/>
        </w:rPr>
        <w:t>7.4-4项目所在区</w:t>
      </w:r>
      <w:r>
        <w:t>K1钻孔浅层承压含水层</w:t>
      </w:r>
      <w:r>
        <w:rPr>
          <w:rFonts w:hint="eastAsia"/>
        </w:rPr>
        <w:t>I</w:t>
      </w:r>
      <w:r>
        <w:t>－</w:t>
      </w:r>
      <w:r>
        <w:rPr>
          <w:rFonts w:hint="eastAsia"/>
        </w:rPr>
        <w:t>I</w:t>
      </w:r>
      <w:r>
        <w:t>’水文地质剖面图</w:t>
      </w:r>
      <w:bookmarkStart w:id="81" w:name="_Toc401598994"/>
    </w:p>
    <w:p>
      <w:pPr>
        <w:pStyle w:val="63"/>
        <w:ind w:firstLine="480"/>
        <w:rPr>
          <w:color w:val="auto"/>
        </w:rPr>
      </w:pPr>
      <w:r>
        <w:rPr>
          <w:rFonts w:hint="eastAsia" w:ascii="宋体" w:hAnsi="宋体"/>
          <w:color w:val="auto"/>
        </w:rPr>
        <w:t>⑶</w:t>
      </w:r>
      <w:r>
        <w:rPr>
          <w:color w:val="auto"/>
        </w:rPr>
        <w:t>第四系松散岩类孔隙深层承压水含水层</w:t>
      </w:r>
      <w:bookmarkEnd w:id="81"/>
    </w:p>
    <w:p>
      <w:pPr>
        <w:pStyle w:val="63"/>
        <w:ind w:firstLine="480"/>
        <w:rPr>
          <w:color w:val="auto"/>
        </w:rPr>
      </w:pPr>
      <w:r>
        <w:rPr>
          <w:color w:val="auto"/>
        </w:rPr>
        <w:t>深层承压水含水层不是本次</w:t>
      </w:r>
      <w:r>
        <w:rPr>
          <w:rFonts w:hint="eastAsia"/>
          <w:color w:val="auto"/>
        </w:rPr>
        <w:t>评价</w:t>
      </w:r>
      <w:r>
        <w:rPr>
          <w:color w:val="auto"/>
        </w:rPr>
        <w:t>的目的层，根据前人资料，含水层由下更新统冲湖积层组成，含水层由下更新统冲积、冲湖积粉土、粉质粘土及细砂层组成。含水层厚度薄，水位埋深一般比潜水位、浅层承压水位低，地下水赋存条件较差，水质较差。</w:t>
      </w:r>
    </w:p>
    <w:p>
      <w:pPr>
        <w:pStyle w:val="62"/>
        <w:rPr>
          <w:color w:val="auto"/>
          <w:lang w:val="zh-CN"/>
        </w:rPr>
      </w:pPr>
      <w:bookmarkStart w:id="82" w:name="_Toc401644013"/>
      <w:bookmarkStart w:id="83" w:name="_Toc401598995"/>
      <w:r>
        <w:rPr>
          <w:rFonts w:hint="eastAsia"/>
          <w:color w:val="auto"/>
          <w:lang w:val="zh-CN"/>
        </w:rPr>
        <w:t>7.4.3</w:t>
      </w:r>
      <w:r>
        <w:rPr>
          <w:color w:val="auto"/>
          <w:lang w:val="zh-CN"/>
        </w:rPr>
        <w:t>地下水补给、径流、排泄条件</w:t>
      </w:r>
      <w:bookmarkEnd w:id="82"/>
      <w:bookmarkEnd w:id="83"/>
    </w:p>
    <w:p>
      <w:pPr>
        <w:pStyle w:val="63"/>
        <w:ind w:firstLine="480"/>
        <w:rPr>
          <w:color w:val="auto"/>
        </w:rPr>
      </w:pPr>
      <w:r>
        <w:rPr>
          <w:rFonts w:hint="eastAsia"/>
          <w:color w:val="auto"/>
        </w:rPr>
        <w:t>⑴潜水的补给、径流及排泄条件</w:t>
      </w:r>
    </w:p>
    <w:p>
      <w:pPr>
        <w:pStyle w:val="63"/>
        <w:ind w:firstLine="480"/>
        <w:rPr>
          <w:color w:val="auto"/>
        </w:rPr>
      </w:pPr>
      <w:r>
        <w:rPr>
          <w:rFonts w:hint="eastAsia"/>
          <w:color w:val="auto"/>
        </w:rPr>
        <w:t>①</w:t>
      </w:r>
      <w:r>
        <w:rPr>
          <w:color w:val="auto"/>
        </w:rPr>
        <w:t>潜水的补给来源</w:t>
      </w:r>
    </w:p>
    <w:p>
      <w:pPr>
        <w:pStyle w:val="63"/>
        <w:ind w:firstLine="480"/>
        <w:rPr>
          <w:color w:val="auto"/>
        </w:rPr>
      </w:pPr>
      <w:r>
        <w:rPr>
          <w:rFonts w:hint="eastAsia"/>
          <w:color w:val="auto"/>
        </w:rPr>
        <w:t>评价区</w:t>
      </w:r>
      <w:r>
        <w:rPr>
          <w:color w:val="auto"/>
        </w:rPr>
        <w:t>内潜水的补给来源主要有</w:t>
      </w:r>
      <w:r>
        <w:rPr>
          <w:rFonts w:hint="eastAsia"/>
          <w:color w:val="auto"/>
        </w:rPr>
        <w:t>大气降水入渗、农灌回归及渠系渗漏、地下径流补给。此外，泾河北岸漫滩及一级阶地潜水水位低于浅层承压水水位，接受承压水顶托补给。</w:t>
      </w:r>
    </w:p>
    <w:p>
      <w:pPr>
        <w:pStyle w:val="63"/>
        <w:ind w:firstLine="480"/>
        <w:rPr>
          <w:color w:val="auto"/>
        </w:rPr>
      </w:pPr>
      <w:r>
        <w:rPr>
          <w:rFonts w:hint="eastAsia"/>
          <w:color w:val="auto"/>
        </w:rPr>
        <w:t>Ⅰ</w:t>
      </w:r>
      <w:r>
        <w:rPr>
          <w:color w:val="auto"/>
        </w:rPr>
        <w:t>大气降水入渗补给</w:t>
      </w:r>
    </w:p>
    <w:p>
      <w:pPr>
        <w:pStyle w:val="63"/>
        <w:ind w:firstLine="480"/>
        <w:rPr>
          <w:color w:val="auto"/>
        </w:rPr>
      </w:pPr>
      <w:r>
        <w:rPr>
          <w:color w:val="auto"/>
        </w:rPr>
        <w:t>大气降水入渗补给是区域性的，是影响潜水动态的重要因素。地貌条件对降水补给强度起控制作用。在此前提下，降水渗入值的大小还取决于包气带岩性、渗透性、潜水位埋深、地形坡度、微地貌分布、降水强度及持续时间等，一般从河漫滩、一级阶地到冲洪积平原、二、三级阶地，随地下水埋深增大、岩性变细而减弱。漫滩区，地形平坦，水位埋深浅，包气带岩性为砂层，透水性好，接受降水补给最有利。一级阶地及一、二级冲洪积平原，地形平坦，水位埋深多在5－10m间，饱气带岩性为粉质粘土、粉土，降水入渗条件较好，尤其是在洼地区。二、三级阶地地形平坦，水位埋深前者20－30m，后者40m左右，饱气带岩性为黄土，降水入渗条件较差。</w:t>
      </w:r>
    </w:p>
    <w:p>
      <w:pPr>
        <w:pStyle w:val="63"/>
        <w:ind w:firstLine="480"/>
        <w:rPr>
          <w:color w:val="auto"/>
        </w:rPr>
      </w:pPr>
      <w:r>
        <w:rPr>
          <w:rFonts w:hint="eastAsia"/>
          <w:color w:val="auto"/>
        </w:rPr>
        <w:t>Ⅱ</w:t>
      </w:r>
      <w:r>
        <w:rPr>
          <w:color w:val="auto"/>
        </w:rPr>
        <w:t>农灌回归及渠道渗漏补给</w:t>
      </w:r>
    </w:p>
    <w:p>
      <w:pPr>
        <w:pStyle w:val="63"/>
        <w:ind w:firstLine="480"/>
        <w:rPr>
          <w:color w:val="auto"/>
        </w:rPr>
      </w:pPr>
      <w:r>
        <w:rPr>
          <w:color w:val="auto"/>
        </w:rPr>
        <w:t>泾河北岸，处在泾惠灌区下游，已实现井渠双灌化，地表水灌溉入渗与井灌回归在潜水补给来源中占有特别重要地位。如60年代因大量引地表水灌溉，曾造成潜水位普遍上升而导致局部地区沼泽化。</w:t>
      </w:r>
    </w:p>
    <w:p>
      <w:pPr>
        <w:pStyle w:val="63"/>
        <w:ind w:firstLine="480"/>
        <w:rPr>
          <w:color w:val="auto"/>
        </w:rPr>
      </w:pPr>
      <w:r>
        <w:rPr>
          <w:rFonts w:hint="eastAsia"/>
          <w:color w:val="auto"/>
        </w:rPr>
        <w:t>Ⅲ</w:t>
      </w:r>
      <w:r>
        <w:rPr>
          <w:color w:val="auto"/>
        </w:rPr>
        <w:t>地下径流补给</w:t>
      </w:r>
    </w:p>
    <w:p>
      <w:pPr>
        <w:pStyle w:val="63"/>
        <w:ind w:firstLine="480"/>
        <w:rPr>
          <w:color w:val="auto"/>
        </w:rPr>
      </w:pPr>
      <w:r>
        <w:rPr>
          <w:color w:val="auto"/>
        </w:rPr>
        <w:t>地下径流补给包括西部勘查区外地下水侧向径流补给，主要来自西部及西北边界处黄土台塬中的补给，但补给量很小，在潜水补给中不占主要地位。</w:t>
      </w:r>
    </w:p>
    <w:p>
      <w:pPr>
        <w:pStyle w:val="63"/>
        <w:ind w:firstLine="480"/>
        <w:rPr>
          <w:color w:val="auto"/>
        </w:rPr>
      </w:pPr>
      <w:r>
        <w:rPr>
          <w:rFonts w:hint="eastAsia"/>
          <w:color w:val="auto"/>
        </w:rPr>
        <w:t>Ⅳ</w:t>
      </w:r>
      <w:r>
        <w:rPr>
          <w:color w:val="auto"/>
        </w:rPr>
        <w:t>浅层承压水顶托补给</w:t>
      </w:r>
    </w:p>
    <w:p>
      <w:pPr>
        <w:pStyle w:val="63"/>
        <w:ind w:firstLine="480"/>
        <w:rPr>
          <w:color w:val="auto"/>
        </w:rPr>
      </w:pPr>
      <w:r>
        <w:rPr>
          <w:color w:val="auto"/>
        </w:rPr>
        <w:t>泾河北岸漫滩及一级阶地，潜水水位埋深为2.54－20.65m，浅层承压水水位埋深为+0.1－7.12m。潜水水位低于浅层承压水水位，浅层承压水顶托补给潜水。</w:t>
      </w:r>
    </w:p>
    <w:p>
      <w:pPr>
        <w:pStyle w:val="63"/>
        <w:ind w:firstLine="480"/>
        <w:rPr>
          <w:color w:val="auto"/>
        </w:rPr>
      </w:pPr>
      <w:r>
        <w:rPr>
          <w:rFonts w:hint="eastAsia"/>
          <w:color w:val="auto"/>
        </w:rPr>
        <w:t>②</w:t>
      </w:r>
      <w:r>
        <w:rPr>
          <w:color w:val="auto"/>
        </w:rPr>
        <w:t>潜水径流状况</w:t>
      </w:r>
    </w:p>
    <w:p>
      <w:pPr>
        <w:pStyle w:val="63"/>
        <w:ind w:firstLine="480"/>
        <w:rPr>
          <w:color w:val="auto"/>
        </w:rPr>
      </w:pPr>
      <w:r>
        <w:rPr>
          <w:rFonts w:hint="eastAsia"/>
          <w:color w:val="auto"/>
        </w:rPr>
        <w:t>评价</w:t>
      </w:r>
      <w:r>
        <w:rPr>
          <w:color w:val="auto"/>
        </w:rPr>
        <w:t>区内潜水面与地形起伏一致，潜水径流大致为南东或南南方向，排泄于泾河。等水位线北疏南密。其中，泾河南岸地貌突变，因黄土层粒度、孔隙等含水层特性影响，渗透性减弱，径流受阻变得滞缓，等水位线变密。区内北部及西北部为黄土塬及冲洪积平原，地形起伏变化缓，等水位线稀疏。</w:t>
      </w:r>
      <w:r>
        <w:rPr>
          <w:rFonts w:hint="eastAsia"/>
          <w:color w:val="auto"/>
        </w:rPr>
        <w:t>此外，泾阳县城附近由于过量开采地下水，潜水水位下降。</w:t>
      </w:r>
    </w:p>
    <w:p>
      <w:pPr>
        <w:pStyle w:val="63"/>
        <w:ind w:firstLine="480"/>
        <w:rPr>
          <w:color w:val="auto"/>
        </w:rPr>
      </w:pPr>
      <w:r>
        <w:rPr>
          <w:rFonts w:hint="eastAsia"/>
          <w:color w:val="auto"/>
        </w:rPr>
        <w:t>③</w:t>
      </w:r>
      <w:r>
        <w:rPr>
          <w:color w:val="auto"/>
        </w:rPr>
        <w:t>潜水排泄方式</w:t>
      </w:r>
    </w:p>
    <w:p>
      <w:pPr>
        <w:pStyle w:val="63"/>
        <w:ind w:firstLine="480"/>
        <w:rPr>
          <w:color w:val="auto"/>
        </w:rPr>
      </w:pPr>
      <w:r>
        <w:rPr>
          <w:rFonts w:hint="eastAsia"/>
          <w:color w:val="auto"/>
        </w:rPr>
        <w:t>评价</w:t>
      </w:r>
      <w:r>
        <w:rPr>
          <w:color w:val="auto"/>
        </w:rPr>
        <w:t>区内潜水的排泄方式主要为人工开采，向浅层承压水越流排泄及向泾河径流排泄，其次为侧向径流排泄及蒸发垂直排泄。</w:t>
      </w:r>
    </w:p>
    <w:p>
      <w:pPr>
        <w:pStyle w:val="63"/>
        <w:ind w:firstLine="480"/>
        <w:rPr>
          <w:color w:val="auto"/>
        </w:rPr>
      </w:pPr>
      <w:r>
        <w:rPr>
          <w:rFonts w:hint="eastAsia"/>
          <w:color w:val="auto"/>
        </w:rPr>
        <w:t>评价</w:t>
      </w:r>
      <w:r>
        <w:rPr>
          <w:color w:val="auto"/>
        </w:rPr>
        <w:t>区内潜水的排泄方式主要为人工开采，向浅层承压水越流排泄，其次为径流排泄及蒸发垂直排泄。</w:t>
      </w:r>
    </w:p>
    <w:p>
      <w:pPr>
        <w:pStyle w:val="63"/>
        <w:ind w:firstLine="480"/>
        <w:rPr>
          <w:color w:val="auto"/>
        </w:rPr>
      </w:pPr>
      <w:r>
        <w:rPr>
          <w:rFonts w:hint="eastAsia"/>
          <w:color w:val="auto"/>
        </w:rPr>
        <w:t>Ⅰ</w:t>
      </w:r>
      <w:r>
        <w:rPr>
          <w:color w:val="auto"/>
        </w:rPr>
        <w:t>人工开采</w:t>
      </w:r>
    </w:p>
    <w:p>
      <w:pPr>
        <w:pStyle w:val="63"/>
        <w:ind w:firstLine="480"/>
        <w:rPr>
          <w:color w:val="auto"/>
        </w:rPr>
      </w:pPr>
      <w:r>
        <w:rPr>
          <w:color w:val="auto"/>
        </w:rPr>
        <w:t>包括农业井灌和乡村城镇饮用水抽吸，以前者为主。开采井主要分布在漫滩以外的各级阶地及冲洪积平原区。开采期多集中在冬、春、夏、秋灌季节。水源地投产后，开采便是渭河漫滩区潜水最主要的排泄方式。</w:t>
      </w:r>
    </w:p>
    <w:p>
      <w:pPr>
        <w:pStyle w:val="63"/>
        <w:ind w:firstLine="480"/>
        <w:rPr>
          <w:color w:val="auto"/>
        </w:rPr>
      </w:pPr>
      <w:r>
        <w:rPr>
          <w:rFonts w:hint="eastAsia"/>
          <w:color w:val="auto"/>
        </w:rPr>
        <w:t>Ⅱ</w:t>
      </w:r>
      <w:r>
        <w:rPr>
          <w:color w:val="auto"/>
        </w:rPr>
        <w:t>向浅层承压水越流排泄</w:t>
      </w:r>
    </w:p>
    <w:p>
      <w:pPr>
        <w:pStyle w:val="63"/>
        <w:ind w:firstLine="480"/>
        <w:rPr>
          <w:color w:val="auto"/>
        </w:rPr>
      </w:pPr>
      <w:r>
        <w:rPr>
          <w:color w:val="auto"/>
        </w:rPr>
        <w:t>据勘探资料，</w:t>
      </w:r>
      <w:r>
        <w:rPr>
          <w:rFonts w:hint="eastAsia"/>
          <w:color w:val="auto"/>
        </w:rPr>
        <w:t>评价</w:t>
      </w:r>
      <w:r>
        <w:rPr>
          <w:color w:val="auto"/>
        </w:rPr>
        <w:t>区泾河北岸漫滩及一级阶地前缘潜水位低于浅层承压水位，其余区域潜水位高于浅层承压水位，潜水将透过弱透水层向浅层承压水越流排泄以及在有</w:t>
      </w:r>
      <w:r>
        <w:rPr>
          <w:rFonts w:hint="eastAsia"/>
          <w:color w:val="auto"/>
        </w:rPr>
        <w:t>“</w:t>
      </w:r>
      <w:r>
        <w:rPr>
          <w:color w:val="auto"/>
        </w:rPr>
        <w:t>天窗</w:t>
      </w:r>
      <w:r>
        <w:rPr>
          <w:rFonts w:hint="eastAsia"/>
          <w:color w:val="auto"/>
        </w:rPr>
        <w:t>”</w:t>
      </w:r>
      <w:r>
        <w:rPr>
          <w:color w:val="auto"/>
        </w:rPr>
        <w:t>地段直接向浅层承压水排泄。</w:t>
      </w:r>
    </w:p>
    <w:p>
      <w:pPr>
        <w:pStyle w:val="63"/>
        <w:ind w:firstLine="480"/>
        <w:rPr>
          <w:color w:val="auto"/>
        </w:rPr>
      </w:pPr>
      <w:r>
        <w:rPr>
          <w:rFonts w:hint="eastAsia"/>
          <w:color w:val="auto"/>
        </w:rPr>
        <w:t>Ⅲ</w:t>
      </w:r>
      <w:r>
        <w:rPr>
          <w:color w:val="auto"/>
        </w:rPr>
        <w:t>河流径流排泄</w:t>
      </w:r>
    </w:p>
    <w:p>
      <w:pPr>
        <w:pStyle w:val="63"/>
        <w:ind w:firstLine="480"/>
        <w:rPr>
          <w:color w:val="auto"/>
        </w:rPr>
      </w:pPr>
      <w:r>
        <w:rPr>
          <w:color w:val="auto"/>
        </w:rPr>
        <w:t>泾河为砂质河床，透水性好、河床宽、纵向坡降小、流速慢，有利于地下水流动。河水与潜水互为转化关系，洪水期泾河补给岸边地带潜水，其它时期则排泄潜水。</w:t>
      </w:r>
    </w:p>
    <w:p>
      <w:pPr>
        <w:pStyle w:val="63"/>
        <w:ind w:firstLine="480"/>
        <w:rPr>
          <w:color w:val="auto"/>
        </w:rPr>
      </w:pPr>
      <w:r>
        <w:rPr>
          <w:rFonts w:hint="eastAsia"/>
          <w:color w:val="auto"/>
        </w:rPr>
        <w:t>Ⅳ</w:t>
      </w:r>
      <w:r>
        <w:rPr>
          <w:color w:val="auto"/>
        </w:rPr>
        <w:t>径流排泄</w:t>
      </w:r>
    </w:p>
    <w:p>
      <w:pPr>
        <w:pStyle w:val="63"/>
        <w:ind w:firstLine="480"/>
        <w:rPr>
          <w:color w:val="auto"/>
        </w:rPr>
      </w:pPr>
      <w:r>
        <w:rPr>
          <w:color w:val="auto"/>
        </w:rPr>
        <w:t>根据潜水等水位线图(见图</w:t>
      </w:r>
      <w:r>
        <w:rPr>
          <w:rFonts w:hint="eastAsia"/>
          <w:color w:val="auto"/>
        </w:rPr>
        <w:t>7.4-5</w:t>
      </w:r>
      <w:r>
        <w:rPr>
          <w:color w:val="auto"/>
        </w:rPr>
        <w:t>)，</w:t>
      </w:r>
      <w:r>
        <w:rPr>
          <w:rFonts w:hint="eastAsia"/>
          <w:color w:val="auto"/>
        </w:rPr>
        <w:t>评价</w:t>
      </w:r>
      <w:r>
        <w:rPr>
          <w:color w:val="auto"/>
        </w:rPr>
        <w:t>区内潜水以径流方式排泄于</w:t>
      </w:r>
      <w:r>
        <w:rPr>
          <w:rFonts w:hint="eastAsia"/>
          <w:color w:val="auto"/>
        </w:rPr>
        <w:t>评价区</w:t>
      </w:r>
      <w:r>
        <w:rPr>
          <w:color w:val="auto"/>
        </w:rPr>
        <w:t>外。</w:t>
      </w:r>
    </w:p>
    <w:p>
      <w:pPr>
        <w:spacing w:line="360" w:lineRule="auto"/>
        <w:jc w:val="center"/>
        <w:rPr>
          <w:sz w:val="24"/>
        </w:rPr>
      </w:pPr>
      <w:r>
        <w:rPr>
          <w:sz w:val="24"/>
        </w:rPr>
        <w:drawing>
          <wp:inline distT="0" distB="0" distL="0" distR="0">
            <wp:extent cx="5276850" cy="6267450"/>
            <wp:effectExtent l="19050" t="0" r="0" b="0"/>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noChangeArrowheads="1"/>
                    </pic:cNvPicPr>
                  </pic:nvPicPr>
                  <pic:blipFill>
                    <a:blip r:embed="rId33"/>
                    <a:srcRect/>
                    <a:stretch>
                      <a:fillRect/>
                    </a:stretch>
                  </pic:blipFill>
                  <pic:spPr>
                    <a:xfrm>
                      <a:off x="0" y="0"/>
                      <a:ext cx="5276850" cy="6267450"/>
                    </a:xfrm>
                    <a:prstGeom prst="rect">
                      <a:avLst/>
                    </a:prstGeom>
                    <a:noFill/>
                    <a:ln w="9525">
                      <a:noFill/>
                      <a:miter lim="800000"/>
                      <a:headEnd/>
                      <a:tailEnd/>
                    </a:ln>
                  </pic:spPr>
                </pic:pic>
              </a:graphicData>
            </a:graphic>
          </wp:inline>
        </w:drawing>
      </w:r>
    </w:p>
    <w:p>
      <w:pPr>
        <w:spacing w:line="360" w:lineRule="auto"/>
        <w:jc w:val="center"/>
        <w:rPr>
          <w:rFonts w:ascii="宋体" w:hAnsi="宋体"/>
          <w:b/>
          <w:sz w:val="24"/>
        </w:rPr>
      </w:pPr>
      <w:r>
        <w:rPr>
          <w:rFonts w:hint="eastAsia" w:ascii="宋体" w:hAnsi="宋体"/>
          <w:b/>
          <w:sz w:val="24"/>
        </w:rPr>
        <w:t>图</w:t>
      </w:r>
      <w:r>
        <w:rPr>
          <w:rFonts w:ascii="宋体" w:hAnsi="宋体"/>
          <w:b/>
          <w:sz w:val="24"/>
        </w:rPr>
        <w:t>7.4-5</w:t>
      </w:r>
      <w:r>
        <w:rPr>
          <w:rFonts w:hint="eastAsia" w:ascii="宋体" w:hAnsi="宋体"/>
          <w:b/>
          <w:sz w:val="24"/>
        </w:rPr>
        <w:t>项目所在区潜水等水位线图</w:t>
      </w:r>
    </w:p>
    <w:p>
      <w:pPr>
        <w:pStyle w:val="63"/>
        <w:ind w:firstLine="480"/>
        <w:rPr>
          <w:color w:val="auto"/>
        </w:rPr>
      </w:pPr>
      <w:r>
        <w:rPr>
          <w:rFonts w:hint="eastAsia"/>
          <w:color w:val="auto"/>
        </w:rPr>
        <w:t>Ⅴ</w:t>
      </w:r>
      <w:r>
        <w:rPr>
          <w:color w:val="auto"/>
        </w:rPr>
        <w:t>蒸发垂直排泄</w:t>
      </w:r>
    </w:p>
    <w:p>
      <w:pPr>
        <w:pStyle w:val="63"/>
        <w:ind w:firstLine="480"/>
        <w:rPr>
          <w:color w:val="auto"/>
        </w:rPr>
      </w:pPr>
      <w:r>
        <w:rPr>
          <w:rFonts w:hint="eastAsia"/>
          <w:color w:val="auto"/>
        </w:rPr>
        <w:t>评价区</w:t>
      </w:r>
      <w:r>
        <w:rPr>
          <w:color w:val="auto"/>
        </w:rPr>
        <w:t>泾河漫滩区，潜水埋藏浅，绝大部分地带埋深小于4</w:t>
      </w:r>
      <w:r>
        <w:rPr>
          <w:rFonts w:hint="eastAsia"/>
          <w:color w:val="auto"/>
        </w:rPr>
        <w:t>m</w:t>
      </w:r>
      <w:r>
        <w:rPr>
          <w:color w:val="auto"/>
        </w:rPr>
        <w:t>。据西安地区均衡场试验资料，潜水蒸发仅在水位埋深小于4.05－4.45m以内产生，因此，该地段潜水以蒸发作用垂直向上排泄。</w:t>
      </w:r>
    </w:p>
    <w:p>
      <w:pPr>
        <w:pStyle w:val="63"/>
        <w:ind w:firstLine="480"/>
        <w:rPr>
          <w:color w:val="auto"/>
          <w:szCs w:val="24"/>
        </w:rPr>
      </w:pPr>
      <w:r>
        <w:rPr>
          <w:rFonts w:hint="eastAsia"/>
          <w:color w:val="auto"/>
          <w:szCs w:val="24"/>
        </w:rPr>
        <w:t>⑵承压水的补给、径流及排泄条件</w:t>
      </w:r>
    </w:p>
    <w:p>
      <w:pPr>
        <w:pStyle w:val="63"/>
        <w:ind w:firstLine="480"/>
        <w:rPr>
          <w:color w:val="auto"/>
          <w:szCs w:val="24"/>
        </w:rPr>
      </w:pPr>
      <w:r>
        <w:rPr>
          <w:rFonts w:hint="eastAsia"/>
          <w:color w:val="auto"/>
          <w:szCs w:val="24"/>
        </w:rPr>
        <w:t>①</w:t>
      </w:r>
      <w:r>
        <w:rPr>
          <w:color w:val="auto"/>
          <w:szCs w:val="24"/>
        </w:rPr>
        <w:t>浅层承压水的补给、径流及排泄条件</w:t>
      </w:r>
    </w:p>
    <w:p>
      <w:pPr>
        <w:pStyle w:val="63"/>
        <w:ind w:firstLine="480"/>
        <w:rPr>
          <w:color w:val="auto"/>
          <w:szCs w:val="24"/>
        </w:rPr>
      </w:pPr>
      <w:r>
        <w:rPr>
          <w:rFonts w:hint="eastAsia"/>
          <w:color w:val="auto"/>
          <w:szCs w:val="24"/>
        </w:rPr>
        <w:t>Ⅰ</w:t>
      </w:r>
      <w:r>
        <w:rPr>
          <w:color w:val="auto"/>
          <w:szCs w:val="24"/>
        </w:rPr>
        <w:t>浅层承压水的补给</w:t>
      </w:r>
    </w:p>
    <w:p>
      <w:pPr>
        <w:pStyle w:val="63"/>
        <w:ind w:firstLine="480"/>
        <w:rPr>
          <w:color w:val="auto"/>
          <w:szCs w:val="24"/>
        </w:rPr>
      </w:pPr>
      <w:r>
        <w:rPr>
          <w:color w:val="auto"/>
          <w:szCs w:val="24"/>
        </w:rPr>
        <w:t>本层水主要补给来源为上覆潜水越流补给。</w:t>
      </w:r>
      <w:r>
        <w:rPr>
          <w:rFonts w:hint="eastAsia"/>
          <w:color w:val="auto"/>
          <w:szCs w:val="24"/>
        </w:rPr>
        <w:t>评价区</w:t>
      </w:r>
      <w:r>
        <w:rPr>
          <w:color w:val="auto"/>
          <w:szCs w:val="24"/>
        </w:rPr>
        <w:t>北部一二级冲洪积平原浅层承压水水位埋深普遍低于潜水水位埋深，上部潜水透过含水层中的</w:t>
      </w:r>
      <w:r>
        <w:rPr>
          <w:rFonts w:hint="eastAsia"/>
          <w:color w:val="auto"/>
          <w:szCs w:val="24"/>
        </w:rPr>
        <w:t>“</w:t>
      </w:r>
      <w:r>
        <w:rPr>
          <w:color w:val="auto"/>
          <w:szCs w:val="24"/>
        </w:rPr>
        <w:t>天窗</w:t>
      </w:r>
      <w:r>
        <w:rPr>
          <w:rFonts w:hint="eastAsia"/>
          <w:color w:val="auto"/>
          <w:szCs w:val="24"/>
        </w:rPr>
        <w:t>”</w:t>
      </w:r>
      <w:r>
        <w:rPr>
          <w:color w:val="auto"/>
          <w:szCs w:val="24"/>
        </w:rPr>
        <w:t>及薄层粉质粘土层补给浅层承压水。除此之外，浅层承压水含水层还接受</w:t>
      </w:r>
      <w:r>
        <w:rPr>
          <w:rFonts w:hint="eastAsia"/>
          <w:color w:val="auto"/>
          <w:szCs w:val="24"/>
        </w:rPr>
        <w:t>评价区</w:t>
      </w:r>
      <w:r>
        <w:rPr>
          <w:color w:val="auto"/>
          <w:szCs w:val="24"/>
        </w:rPr>
        <w:t>西部区外径流流入补给，其次局部地段亦受深层承压水的顶托补给，其量很微。</w:t>
      </w:r>
    </w:p>
    <w:p>
      <w:pPr>
        <w:pStyle w:val="63"/>
        <w:ind w:firstLine="480"/>
        <w:rPr>
          <w:color w:val="auto"/>
          <w:szCs w:val="24"/>
        </w:rPr>
      </w:pPr>
      <w:r>
        <w:rPr>
          <w:rFonts w:hint="eastAsia"/>
          <w:color w:val="auto"/>
          <w:szCs w:val="24"/>
        </w:rPr>
        <w:t>Ⅱ</w:t>
      </w:r>
      <w:r>
        <w:rPr>
          <w:color w:val="auto"/>
          <w:szCs w:val="24"/>
        </w:rPr>
        <w:t>浅层承压水径流状况</w:t>
      </w:r>
    </w:p>
    <w:p>
      <w:pPr>
        <w:pStyle w:val="63"/>
        <w:ind w:firstLine="480"/>
        <w:rPr>
          <w:color w:val="auto"/>
          <w:szCs w:val="24"/>
        </w:rPr>
      </w:pPr>
      <w:r>
        <w:rPr>
          <w:color w:val="auto"/>
          <w:szCs w:val="24"/>
        </w:rPr>
        <w:t>根据勘探资料及浅层承压水等水位线图(见图7.4-</w:t>
      </w:r>
      <w:r>
        <w:rPr>
          <w:rFonts w:hint="eastAsia"/>
          <w:color w:val="auto"/>
          <w:szCs w:val="24"/>
        </w:rPr>
        <w:t>6</w:t>
      </w:r>
      <w:r>
        <w:rPr>
          <w:color w:val="auto"/>
          <w:szCs w:val="24"/>
        </w:rPr>
        <w:t>)，浅层承压水自西北向东南径流，水力坡度0.6－1.3‰。</w:t>
      </w:r>
    </w:p>
    <w:p>
      <w:pPr>
        <w:pStyle w:val="63"/>
        <w:ind w:firstLine="480"/>
        <w:rPr>
          <w:color w:val="auto"/>
          <w:szCs w:val="24"/>
        </w:rPr>
      </w:pPr>
      <w:r>
        <w:rPr>
          <w:rFonts w:hint="eastAsia"/>
          <w:color w:val="auto"/>
          <w:szCs w:val="24"/>
        </w:rPr>
        <w:t>Ⅲ</w:t>
      </w:r>
      <w:r>
        <w:rPr>
          <w:color w:val="auto"/>
          <w:szCs w:val="24"/>
        </w:rPr>
        <w:t>浅层承压水的排泄方式</w:t>
      </w:r>
    </w:p>
    <w:p>
      <w:pPr>
        <w:pStyle w:val="63"/>
        <w:ind w:firstLine="480"/>
        <w:rPr>
          <w:color w:val="auto"/>
          <w:szCs w:val="24"/>
        </w:rPr>
      </w:pPr>
      <w:r>
        <w:rPr>
          <w:color w:val="auto"/>
          <w:szCs w:val="24"/>
        </w:rPr>
        <w:t>目前向相邻深层承压水越流排泄与径流流出为主要途径，水源地投产后人工开采将成为重要的排泄方式。</w:t>
      </w:r>
    </w:p>
    <w:p>
      <w:pPr>
        <w:pStyle w:val="63"/>
        <w:ind w:firstLine="480"/>
        <w:rPr>
          <w:color w:val="auto"/>
          <w:szCs w:val="24"/>
        </w:rPr>
      </w:pPr>
      <w:r>
        <w:rPr>
          <w:rFonts w:hint="eastAsia"/>
          <w:color w:val="auto"/>
          <w:szCs w:val="24"/>
        </w:rPr>
        <w:t>②</w:t>
      </w:r>
      <w:r>
        <w:rPr>
          <w:color w:val="auto"/>
          <w:szCs w:val="24"/>
        </w:rPr>
        <w:t>深层承压水的补给、径流及排泄条件</w:t>
      </w:r>
    </w:p>
    <w:p>
      <w:pPr>
        <w:pStyle w:val="63"/>
        <w:ind w:firstLine="480"/>
        <w:rPr>
          <w:color w:val="auto"/>
          <w:szCs w:val="24"/>
        </w:rPr>
      </w:pPr>
      <w:r>
        <w:rPr>
          <w:rFonts w:hint="eastAsia"/>
          <w:color w:val="auto"/>
          <w:szCs w:val="24"/>
        </w:rPr>
        <w:t>Ⅰ</w:t>
      </w:r>
      <w:r>
        <w:rPr>
          <w:color w:val="auto"/>
          <w:szCs w:val="24"/>
        </w:rPr>
        <w:t>深层承压水的补给</w:t>
      </w:r>
    </w:p>
    <w:p>
      <w:pPr>
        <w:pStyle w:val="63"/>
        <w:ind w:firstLine="480"/>
        <w:rPr>
          <w:color w:val="auto"/>
        </w:rPr>
      </w:pPr>
      <w:r>
        <w:rPr>
          <w:color w:val="auto"/>
        </w:rPr>
        <w:t>深层承压水主要补给来源，是上覆浅层承压水(泾河一级阶地)越流下渗补给。浅、深层承压水普遍存在水位差，小者不足1</w:t>
      </w:r>
      <w:r>
        <w:rPr>
          <w:rFonts w:hint="eastAsia"/>
          <w:color w:val="auto"/>
        </w:rPr>
        <w:t>m</w:t>
      </w:r>
      <w:r>
        <w:rPr>
          <w:color w:val="auto"/>
        </w:rPr>
        <w:t>，大者5.48</w:t>
      </w:r>
      <w:r>
        <w:rPr>
          <w:rFonts w:hint="eastAsia"/>
          <w:color w:val="auto"/>
        </w:rPr>
        <w:t>m</w:t>
      </w:r>
      <w:r>
        <w:rPr>
          <w:color w:val="auto"/>
        </w:rPr>
        <w:t>。除越流补给外，还从西部外围区获得区外径流补给。</w:t>
      </w:r>
    </w:p>
    <w:p>
      <w:pPr>
        <w:spacing w:line="360" w:lineRule="auto"/>
        <w:ind w:firstLine="480" w:firstLineChars="200"/>
        <w:rPr>
          <w:sz w:val="24"/>
        </w:rPr>
      </w:pPr>
      <w:r>
        <w:rPr>
          <w:rFonts w:hint="eastAsia"/>
          <w:sz w:val="24"/>
        </w:rPr>
        <w:t>Ⅱ</w:t>
      </w:r>
      <w:r>
        <w:rPr>
          <w:sz w:val="24"/>
        </w:rPr>
        <w:t>深层承压水的径流状况</w:t>
      </w:r>
    </w:p>
    <w:p>
      <w:pPr>
        <w:spacing w:line="360" w:lineRule="auto"/>
        <w:ind w:firstLine="480" w:firstLineChars="200"/>
        <w:rPr>
          <w:sz w:val="24"/>
        </w:rPr>
      </w:pPr>
      <w:r>
        <w:rPr>
          <w:rFonts w:hint="eastAsia"/>
          <w:sz w:val="24"/>
        </w:rPr>
        <w:t>评价区</w:t>
      </w:r>
      <w:r>
        <w:rPr>
          <w:sz w:val="24"/>
        </w:rPr>
        <w:t>截至到目前，深层承压水没有得到开采利用，分析其等水压面形态与浅层承压水相似，径流方向近东西，由西向东径流运动。</w:t>
      </w:r>
    </w:p>
    <w:p>
      <w:pPr>
        <w:spacing w:line="360" w:lineRule="auto"/>
        <w:ind w:firstLine="480" w:firstLineChars="200"/>
        <w:rPr>
          <w:sz w:val="24"/>
        </w:rPr>
      </w:pPr>
      <w:r>
        <w:rPr>
          <w:rFonts w:hint="eastAsia"/>
          <w:sz w:val="24"/>
        </w:rPr>
        <w:t>Ⅲ</w:t>
      </w:r>
      <w:r>
        <w:rPr>
          <w:sz w:val="24"/>
        </w:rPr>
        <w:t>深层承压水排泄途径</w:t>
      </w:r>
    </w:p>
    <w:p>
      <w:pPr>
        <w:pStyle w:val="63"/>
        <w:ind w:firstLine="480"/>
        <w:rPr>
          <w:color w:val="auto"/>
        </w:rPr>
      </w:pPr>
      <w:r>
        <w:rPr>
          <w:color w:val="auto"/>
        </w:rPr>
        <w:t>深层承压水以径流排出区外为排泄的主要途径。</w:t>
      </w:r>
    </w:p>
    <w:p>
      <w:pPr>
        <w:spacing w:line="360" w:lineRule="auto"/>
        <w:jc w:val="center"/>
        <w:rPr>
          <w:rFonts w:ascii="宋体" w:hAnsi="宋体"/>
          <w:sz w:val="24"/>
        </w:rPr>
      </w:pPr>
      <w:r>
        <w:rPr>
          <w:sz w:val="24"/>
        </w:rPr>
        <w:drawing>
          <wp:inline distT="0" distB="0" distL="0" distR="0">
            <wp:extent cx="5276850" cy="6267450"/>
            <wp:effectExtent l="19050" t="0" r="0" b="0"/>
            <wp:docPr id="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pic:cNvPicPr>
                      <a:picLocks noChangeAspect="1" noChangeArrowheads="1"/>
                    </pic:cNvPicPr>
                  </pic:nvPicPr>
                  <pic:blipFill>
                    <a:blip r:embed="rId34"/>
                    <a:srcRect/>
                    <a:stretch>
                      <a:fillRect/>
                    </a:stretch>
                  </pic:blipFill>
                  <pic:spPr>
                    <a:xfrm>
                      <a:off x="0" y="0"/>
                      <a:ext cx="5276850" cy="6267450"/>
                    </a:xfrm>
                    <a:prstGeom prst="rect">
                      <a:avLst/>
                    </a:prstGeom>
                    <a:noFill/>
                    <a:ln w="9525">
                      <a:noFill/>
                      <a:miter lim="800000"/>
                      <a:headEnd/>
                      <a:tailEnd/>
                    </a:ln>
                  </pic:spPr>
                </pic:pic>
              </a:graphicData>
            </a:graphic>
          </wp:inline>
        </w:drawing>
      </w:r>
    </w:p>
    <w:p>
      <w:pPr>
        <w:spacing w:line="360" w:lineRule="auto"/>
        <w:jc w:val="center"/>
        <w:rPr>
          <w:sz w:val="24"/>
        </w:rPr>
      </w:pPr>
      <w:r>
        <w:rPr>
          <w:b/>
          <w:sz w:val="24"/>
        </w:rPr>
        <w:t>图</w:t>
      </w:r>
      <w:r>
        <w:rPr>
          <w:rFonts w:hint="eastAsia"/>
          <w:b/>
          <w:sz w:val="24"/>
        </w:rPr>
        <w:t>7.4-6项目所在区</w:t>
      </w:r>
      <w:r>
        <w:rPr>
          <w:b/>
          <w:sz w:val="24"/>
        </w:rPr>
        <w:t>浅层承压水等水位线图</w:t>
      </w:r>
      <w:bookmarkStart w:id="84" w:name="_Toc401598998"/>
      <w:bookmarkStart w:id="85" w:name="_Toc401644014"/>
    </w:p>
    <w:p>
      <w:pPr>
        <w:pStyle w:val="62"/>
        <w:rPr>
          <w:color w:val="auto"/>
          <w:lang w:val="zh-CN"/>
        </w:rPr>
      </w:pPr>
      <w:r>
        <w:rPr>
          <w:rFonts w:hint="eastAsia"/>
          <w:color w:val="auto"/>
          <w:lang w:val="zh-CN"/>
        </w:rPr>
        <w:t xml:space="preserve">7.4.4 </w:t>
      </w:r>
      <w:r>
        <w:rPr>
          <w:color w:val="auto"/>
          <w:lang w:val="zh-CN"/>
        </w:rPr>
        <w:t>水化学特征</w:t>
      </w:r>
      <w:bookmarkEnd w:id="84"/>
      <w:bookmarkEnd w:id="85"/>
    </w:p>
    <w:p>
      <w:pPr>
        <w:pStyle w:val="63"/>
        <w:ind w:firstLine="480"/>
        <w:rPr>
          <w:color w:val="auto"/>
          <w:szCs w:val="24"/>
        </w:rPr>
      </w:pPr>
      <w:r>
        <w:rPr>
          <w:rFonts w:hint="eastAsia"/>
          <w:color w:val="auto"/>
        </w:rPr>
        <w:t>评价区</w:t>
      </w:r>
      <w:r>
        <w:rPr>
          <w:color w:val="auto"/>
        </w:rPr>
        <w:t>地</w:t>
      </w:r>
      <w:r>
        <w:rPr>
          <w:color w:val="auto"/>
          <w:szCs w:val="24"/>
        </w:rPr>
        <w:t>下水化学成分的形成和演变，决定于补给源及其存在的环境条件.在不同的地质与自然地理条件综合环境中，所受的作用不同，因而往往具有不同的化学成分</w:t>
      </w:r>
      <w:r>
        <w:rPr>
          <w:rFonts w:hint="eastAsia"/>
          <w:color w:val="auto"/>
          <w:szCs w:val="24"/>
        </w:rPr>
        <w:t>。</w:t>
      </w:r>
    </w:p>
    <w:p>
      <w:pPr>
        <w:pStyle w:val="63"/>
        <w:ind w:firstLine="480"/>
        <w:rPr>
          <w:color w:val="auto"/>
          <w:szCs w:val="24"/>
        </w:rPr>
      </w:pPr>
      <w:r>
        <w:rPr>
          <w:rFonts w:hint="eastAsia"/>
          <w:color w:val="auto"/>
          <w:szCs w:val="24"/>
        </w:rPr>
        <w:t>⑴</w:t>
      </w:r>
      <w:r>
        <w:rPr>
          <w:color w:val="auto"/>
          <w:szCs w:val="24"/>
        </w:rPr>
        <w:t>潜</w:t>
      </w:r>
      <w:r>
        <w:rPr>
          <w:rFonts w:hint="eastAsia"/>
          <w:color w:val="auto"/>
          <w:szCs w:val="24"/>
        </w:rPr>
        <w:t>水的水化学特征</w:t>
      </w:r>
    </w:p>
    <w:p>
      <w:pPr>
        <w:pStyle w:val="63"/>
        <w:ind w:firstLine="480"/>
        <w:rPr>
          <w:color w:val="auto"/>
        </w:rPr>
      </w:pPr>
      <w:r>
        <w:rPr>
          <w:rFonts w:hint="eastAsia"/>
          <w:color w:val="auto"/>
          <w:szCs w:val="24"/>
        </w:rPr>
        <w:t>随区域地势起伏由高处向低凹处通流，故水化学特征主要随补给来源的物质成分、迁流距离长短、人为活动</w:t>
      </w:r>
      <w:r>
        <w:rPr>
          <w:rFonts w:hint="eastAsia"/>
          <w:color w:val="auto"/>
        </w:rPr>
        <w:t>影响程度不同而发生变化。</w:t>
      </w:r>
    </w:p>
    <w:p>
      <w:pPr>
        <w:pStyle w:val="63"/>
        <w:ind w:firstLine="480"/>
        <w:rPr>
          <w:color w:val="auto"/>
        </w:rPr>
      </w:pPr>
      <w:r>
        <w:rPr>
          <w:rFonts w:hint="eastAsia"/>
          <w:color w:val="auto"/>
        </w:rPr>
        <w:t>根据收集的潜水水化学资料，将潜水划分为：HCO</w:t>
      </w:r>
      <w:r>
        <w:rPr>
          <w:rFonts w:hint="eastAsia"/>
          <w:color w:val="auto"/>
          <w:vertAlign w:val="subscript"/>
        </w:rPr>
        <w:t>3</w:t>
      </w:r>
      <w:r>
        <w:rPr>
          <w:rFonts w:hint="eastAsia"/>
          <w:color w:val="auto"/>
        </w:rPr>
        <w:t>-Na、HCO</w:t>
      </w:r>
      <w:r>
        <w:rPr>
          <w:rFonts w:hint="eastAsia"/>
          <w:color w:val="auto"/>
          <w:vertAlign w:val="subscript"/>
        </w:rPr>
        <w:t>3</w:t>
      </w:r>
      <w:r>
        <w:rPr>
          <w:rFonts w:hint="eastAsia"/>
          <w:color w:val="auto"/>
        </w:rPr>
        <w:t>•SO</w:t>
      </w:r>
      <w:r>
        <w:rPr>
          <w:rFonts w:hint="eastAsia"/>
          <w:color w:val="auto"/>
          <w:vertAlign w:val="subscript"/>
        </w:rPr>
        <w:t>4</w:t>
      </w:r>
      <w:r>
        <w:rPr>
          <w:rFonts w:hint="eastAsia"/>
          <w:color w:val="auto"/>
        </w:rPr>
        <w:t>-Na•Mg、HCO</w:t>
      </w:r>
      <w:r>
        <w:rPr>
          <w:rFonts w:hint="eastAsia"/>
          <w:color w:val="auto"/>
          <w:vertAlign w:val="subscript"/>
        </w:rPr>
        <w:t>3</w:t>
      </w:r>
      <w:r>
        <w:rPr>
          <w:rFonts w:hint="eastAsia"/>
          <w:color w:val="auto"/>
        </w:rPr>
        <w:t>•SO</w:t>
      </w:r>
      <w:r>
        <w:rPr>
          <w:rFonts w:hint="eastAsia"/>
          <w:color w:val="auto"/>
          <w:vertAlign w:val="subscript"/>
        </w:rPr>
        <w:t>4</w:t>
      </w:r>
      <w:r>
        <w:rPr>
          <w:rFonts w:hint="eastAsia"/>
          <w:color w:val="auto"/>
        </w:rPr>
        <w:t>•CI-Na•Mg等三种主要类型。全区阴离子以HCO</w:t>
      </w:r>
      <w:r>
        <w:rPr>
          <w:rFonts w:hint="eastAsia"/>
          <w:color w:val="auto"/>
          <w:vertAlign w:val="subscript"/>
        </w:rPr>
        <w:t>3</w:t>
      </w:r>
      <w:r>
        <w:rPr>
          <w:rFonts w:hint="eastAsia"/>
          <w:color w:val="auto"/>
        </w:rPr>
        <w:t>、SO</w:t>
      </w:r>
      <w:r>
        <w:rPr>
          <w:rFonts w:hint="eastAsia"/>
          <w:color w:val="auto"/>
          <w:vertAlign w:val="subscript"/>
        </w:rPr>
        <w:t>4</w:t>
      </w:r>
      <w:r>
        <w:rPr>
          <w:rFonts w:hint="eastAsia"/>
          <w:color w:val="auto"/>
        </w:rPr>
        <w:t>占绝对优势，阳离子Na•Mg组合分布面积较广。泾河北岸，水化学类型复杂，多为HCO</w:t>
      </w:r>
      <w:r>
        <w:rPr>
          <w:rFonts w:hint="eastAsia"/>
          <w:color w:val="auto"/>
          <w:vertAlign w:val="subscript"/>
        </w:rPr>
        <w:t>3</w:t>
      </w:r>
      <w:r>
        <w:rPr>
          <w:rFonts w:hint="eastAsia"/>
          <w:color w:val="auto"/>
        </w:rPr>
        <w:t>•SO</w:t>
      </w:r>
      <w:r>
        <w:rPr>
          <w:rFonts w:hint="eastAsia"/>
          <w:color w:val="auto"/>
          <w:vertAlign w:val="subscript"/>
        </w:rPr>
        <w:t>4</w:t>
      </w:r>
      <w:r>
        <w:rPr>
          <w:rFonts w:hint="eastAsia"/>
          <w:color w:val="auto"/>
        </w:rPr>
        <w:t>-Na•Mg；泾河南岸，水化学类型较单一，主要是HCO</w:t>
      </w:r>
      <w:r>
        <w:rPr>
          <w:rFonts w:hint="eastAsia"/>
          <w:color w:val="auto"/>
          <w:vertAlign w:val="subscript"/>
        </w:rPr>
        <w:t>3</w:t>
      </w:r>
      <w:r>
        <w:rPr>
          <w:rFonts w:hint="eastAsia"/>
          <w:color w:val="auto"/>
        </w:rPr>
        <w:t>-Ca•Na。据潜水钻孔资料，水化学组分含量：溶解性固体526-1298mg/L、总硬度226.2-526mg/L，氯离子60.6-201.7mg/L、氟离子1.00-1.26mg/L，各组分含量大都比河水的组分高。项目</w:t>
      </w:r>
      <w:r>
        <w:rPr>
          <w:color w:val="auto"/>
        </w:rPr>
        <w:t>区南北方向上，即由北向南，地下水各组分含量总的趋势从高降低，主要原因为地下水运移过程中经历了浓缩-淡化作用。</w:t>
      </w:r>
    </w:p>
    <w:p>
      <w:pPr>
        <w:pStyle w:val="63"/>
        <w:ind w:firstLine="480"/>
        <w:rPr>
          <w:color w:val="auto"/>
        </w:rPr>
      </w:pPr>
      <w:r>
        <w:rPr>
          <w:rFonts w:hint="eastAsia"/>
          <w:color w:val="auto"/>
        </w:rPr>
        <w:t>⑵浅承压水的化学特征</w:t>
      </w:r>
    </w:p>
    <w:p>
      <w:pPr>
        <w:pStyle w:val="63"/>
        <w:ind w:firstLine="480"/>
        <w:rPr>
          <w:color w:val="auto"/>
        </w:rPr>
      </w:pPr>
      <w:r>
        <w:rPr>
          <w:color w:val="auto"/>
        </w:rPr>
        <w:t>泾河南岸含水层薄，被隔水层或弱透水层分隔，径流缓慢循环差，向弱还原环境转变，形成了S</w:t>
      </w:r>
      <w:r>
        <w:rPr>
          <w:rFonts w:hint="eastAsia"/>
          <w:color w:val="auto"/>
        </w:rPr>
        <w:t>O</w:t>
      </w:r>
      <w:r>
        <w:rPr>
          <w:color w:val="auto"/>
          <w:vertAlign w:val="subscript"/>
        </w:rPr>
        <w:t>4</w:t>
      </w:r>
      <w:r>
        <w:rPr>
          <w:color w:val="auto"/>
        </w:rPr>
        <w:t>·Cl-Na·Mg型水。地下水各组分含量在区内显示较高，溶解性固体达1800mg/L。</w:t>
      </w:r>
    </w:p>
    <w:p>
      <w:pPr>
        <w:pStyle w:val="63"/>
        <w:ind w:firstLine="480"/>
        <w:rPr>
          <w:color w:val="auto"/>
        </w:rPr>
      </w:pPr>
      <w:r>
        <w:rPr>
          <w:color w:val="auto"/>
        </w:rPr>
        <w:t>泾河漫滩区，含水介质为中细砂层，透水性较好，主要接受西南岸黄土塬区的侧向径流补给，同时又受上部潜水越流补给的影响，Cl</w:t>
      </w:r>
      <w:r>
        <w:rPr>
          <w:color w:val="auto"/>
          <w:vertAlign w:val="superscript"/>
        </w:rPr>
        <w:t>-</w:t>
      </w:r>
      <w:r>
        <w:rPr>
          <w:color w:val="auto"/>
        </w:rPr>
        <w:t>含量相对降低，HCO</w:t>
      </w:r>
      <w:r>
        <w:rPr>
          <w:color w:val="auto"/>
          <w:vertAlign w:val="subscript"/>
        </w:rPr>
        <w:t>3</w:t>
      </w:r>
      <w:r>
        <w:rPr>
          <w:color w:val="auto"/>
          <w:vertAlign w:val="superscript"/>
        </w:rPr>
        <w:t>1-</w:t>
      </w:r>
      <w:r>
        <w:rPr>
          <w:color w:val="auto"/>
        </w:rPr>
        <w:t>、SO</w:t>
      </w:r>
      <w:r>
        <w:rPr>
          <w:color w:val="auto"/>
          <w:vertAlign w:val="subscript"/>
        </w:rPr>
        <w:t>4</w:t>
      </w:r>
      <w:r>
        <w:rPr>
          <w:color w:val="auto"/>
          <w:vertAlign w:val="superscript"/>
        </w:rPr>
        <w:t>2-</w:t>
      </w:r>
      <w:r>
        <w:rPr>
          <w:color w:val="auto"/>
        </w:rPr>
        <w:t>含量相对增加，形成HCO</w:t>
      </w:r>
      <w:r>
        <w:rPr>
          <w:color w:val="auto"/>
          <w:vertAlign w:val="subscript"/>
        </w:rPr>
        <w:t>3</w:t>
      </w:r>
      <w:r>
        <w:rPr>
          <w:color w:val="auto"/>
        </w:rPr>
        <w:t>·SO</w:t>
      </w:r>
      <w:r>
        <w:rPr>
          <w:color w:val="auto"/>
          <w:vertAlign w:val="subscript"/>
        </w:rPr>
        <w:t>4</w:t>
      </w:r>
      <w:r>
        <w:rPr>
          <w:color w:val="auto"/>
        </w:rPr>
        <w:t>-Na·Mg型水。</w:t>
      </w:r>
    </w:p>
    <w:p>
      <w:pPr>
        <w:pStyle w:val="63"/>
        <w:ind w:firstLine="480"/>
        <w:rPr>
          <w:rFonts w:ascii="宋体" w:hAnsi="宋体"/>
          <w:bCs/>
          <w:color w:val="auto"/>
        </w:rPr>
      </w:pPr>
      <w:r>
        <w:rPr>
          <w:color w:val="auto"/>
        </w:rPr>
        <w:t>泾河北岸一级阶地、二级阶地及冲洪积平原地形平坦，地下径流缓慢，含水层以薄层中细、中粗砂为主，且处于径流下游地段，矿化作用增强，易于离子富集，尤以SO</w:t>
      </w:r>
      <w:r>
        <w:rPr>
          <w:color w:val="auto"/>
          <w:vertAlign w:val="subscript"/>
        </w:rPr>
        <w:t>4</w:t>
      </w:r>
      <w:r>
        <w:rPr>
          <w:color w:val="auto"/>
          <w:vertAlign w:val="superscript"/>
        </w:rPr>
        <w:t>2-</w:t>
      </w:r>
      <w:r>
        <w:rPr>
          <w:color w:val="auto"/>
        </w:rPr>
        <w:t>增加较多，同时又受到潜水越流补给影响，故水化学类型</w:t>
      </w:r>
      <w:r>
        <w:rPr>
          <w:rFonts w:hint="eastAsia"/>
          <w:color w:val="auto"/>
        </w:rPr>
        <w:t>多为SO</w:t>
      </w:r>
      <w:r>
        <w:rPr>
          <w:rFonts w:hint="eastAsia"/>
          <w:color w:val="auto"/>
          <w:vertAlign w:val="subscript"/>
        </w:rPr>
        <w:t>4</w:t>
      </w:r>
      <w:r>
        <w:rPr>
          <w:rFonts w:hint="eastAsia"/>
          <w:color w:val="auto"/>
        </w:rPr>
        <w:t>•HCO</w:t>
      </w:r>
      <w:r>
        <w:rPr>
          <w:rFonts w:hint="eastAsia"/>
          <w:color w:val="auto"/>
          <w:vertAlign w:val="subscript"/>
        </w:rPr>
        <w:t>3</w:t>
      </w:r>
      <w:r>
        <w:rPr>
          <w:rFonts w:hint="eastAsia"/>
          <w:color w:val="auto"/>
        </w:rPr>
        <w:t>•Cl-Na•Mg型水。</w:t>
      </w:r>
    </w:p>
    <w:p>
      <w:pPr>
        <w:pStyle w:val="63"/>
        <w:ind w:firstLine="480"/>
        <w:rPr>
          <w:color w:val="auto"/>
        </w:rPr>
      </w:pPr>
      <w:r>
        <w:rPr>
          <w:rFonts w:hint="eastAsia"/>
          <w:color w:val="auto"/>
        </w:rPr>
        <w:t>⑶</w:t>
      </w:r>
      <w:r>
        <w:rPr>
          <w:color w:val="auto"/>
        </w:rPr>
        <w:t>深层承压水水化学特征</w:t>
      </w:r>
    </w:p>
    <w:p>
      <w:pPr>
        <w:pStyle w:val="63"/>
        <w:ind w:firstLine="480"/>
        <w:rPr>
          <w:color w:val="auto"/>
        </w:rPr>
      </w:pPr>
      <w:r>
        <w:rPr>
          <w:color w:val="auto"/>
        </w:rPr>
        <w:t>深层承压水水化学特征与浅层承压水相似，受地层岩性、补给径流条件的制约。据现有钻孔水化学资料分析，仍具有南北方向的水平分布规律：泾河漫滩深层承压水水化学类型为Cl·HCO</w:t>
      </w:r>
      <w:r>
        <w:rPr>
          <w:color w:val="auto"/>
          <w:vertAlign w:val="subscript"/>
        </w:rPr>
        <w:t>3</w:t>
      </w:r>
      <w:r>
        <w:rPr>
          <w:color w:val="auto"/>
        </w:rPr>
        <w:t>·SO</w:t>
      </w:r>
      <w:r>
        <w:rPr>
          <w:color w:val="auto"/>
          <w:vertAlign w:val="subscript"/>
        </w:rPr>
        <w:t>4</w:t>
      </w:r>
      <w:r>
        <w:rPr>
          <w:color w:val="auto"/>
        </w:rPr>
        <w:t>－Na型水；泾河一级阶地、二级阶地及冲洪积平原深层承压水水化学类型为SO</w:t>
      </w:r>
      <w:r>
        <w:rPr>
          <w:color w:val="auto"/>
          <w:vertAlign w:val="subscript"/>
        </w:rPr>
        <w:t>4</w:t>
      </w:r>
      <w:r>
        <w:rPr>
          <w:color w:val="auto"/>
        </w:rPr>
        <w:t>·Cl－Na·Mg型水。</w:t>
      </w:r>
    </w:p>
    <w:p>
      <w:pPr>
        <w:pStyle w:val="62"/>
        <w:rPr>
          <w:color w:val="auto"/>
          <w:lang w:val="zh-CN"/>
        </w:rPr>
      </w:pPr>
      <w:bookmarkStart w:id="86" w:name="_Toc401644015"/>
      <w:bookmarkStart w:id="87" w:name="_Toc401599002"/>
      <w:r>
        <w:rPr>
          <w:rFonts w:hint="eastAsia"/>
          <w:color w:val="auto"/>
          <w:lang w:val="zh-CN"/>
        </w:rPr>
        <w:t>7.4.5</w:t>
      </w:r>
      <w:r>
        <w:rPr>
          <w:color w:val="auto"/>
          <w:lang w:val="zh-CN"/>
        </w:rPr>
        <w:t>地下水动态特征</w:t>
      </w:r>
      <w:bookmarkEnd w:id="86"/>
      <w:bookmarkEnd w:id="87"/>
    </w:p>
    <w:p>
      <w:pPr>
        <w:pStyle w:val="63"/>
        <w:ind w:firstLine="480"/>
        <w:rPr>
          <w:color w:val="auto"/>
        </w:rPr>
      </w:pPr>
      <w:r>
        <w:rPr>
          <w:rFonts w:hint="eastAsia"/>
          <w:color w:val="auto"/>
        </w:rPr>
        <w:t>⑴</w:t>
      </w:r>
      <w:r>
        <w:rPr>
          <w:color w:val="auto"/>
        </w:rPr>
        <w:t>潜水的动态特征</w:t>
      </w:r>
    </w:p>
    <w:p>
      <w:pPr>
        <w:pStyle w:val="63"/>
        <w:ind w:firstLine="480"/>
        <w:rPr>
          <w:color w:val="auto"/>
        </w:rPr>
      </w:pPr>
      <w:r>
        <w:rPr>
          <w:rFonts w:hint="eastAsia"/>
          <w:color w:val="auto"/>
        </w:rPr>
        <w:t>①</w:t>
      </w:r>
      <w:r>
        <w:rPr>
          <w:color w:val="auto"/>
        </w:rPr>
        <w:t>潜水动态成因类型</w:t>
      </w:r>
    </w:p>
    <w:p>
      <w:pPr>
        <w:pStyle w:val="63"/>
        <w:ind w:firstLine="480"/>
        <w:rPr>
          <w:color w:val="auto"/>
        </w:rPr>
      </w:pPr>
      <w:r>
        <w:rPr>
          <w:rFonts w:hint="eastAsia"/>
          <w:color w:val="auto"/>
        </w:rPr>
        <w:t>评价区</w:t>
      </w:r>
      <w:r>
        <w:rPr>
          <w:color w:val="auto"/>
        </w:rPr>
        <w:t>潜水动态变化主要受水文、气象、地貌、岩性、灌溉及人为因素的综合影响。不同区域和时段各因素对其影响程度不同，构成不同的潜水动态类型。根据</w:t>
      </w:r>
      <w:r>
        <w:rPr>
          <w:rFonts w:hint="eastAsia"/>
          <w:color w:val="auto"/>
        </w:rPr>
        <w:t>地勘报告中</w:t>
      </w:r>
      <w:r>
        <w:rPr>
          <w:color w:val="auto"/>
        </w:rPr>
        <w:t>所收集的动态观测资料分析，按决定潜水动态的主要影响因素划分出如下两种成因类型(见图</w:t>
      </w:r>
      <w:r>
        <w:rPr>
          <w:rFonts w:hint="eastAsia"/>
          <w:color w:val="auto"/>
        </w:rPr>
        <w:t>7.4-7</w:t>
      </w:r>
      <w:r>
        <w:rPr>
          <w:color w:val="auto"/>
        </w:rPr>
        <w:t>)，现分述如下：</w:t>
      </w:r>
    </w:p>
    <w:p>
      <w:pPr>
        <w:spacing w:line="360" w:lineRule="auto"/>
        <w:jc w:val="center"/>
        <w:rPr>
          <w:rFonts w:ascii="宋体" w:hAnsi="宋体"/>
          <w:sz w:val="24"/>
        </w:rPr>
      </w:pPr>
      <w:r>
        <w:rPr>
          <w:rFonts w:ascii="宋体" w:hAnsi="宋体"/>
          <w:sz w:val="24"/>
        </w:rPr>
        <w:drawing>
          <wp:inline distT="0" distB="0" distL="0" distR="0">
            <wp:extent cx="4686300" cy="5600700"/>
            <wp:effectExtent l="19050" t="0" r="0" b="0"/>
            <wp:docPr id="2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3"/>
                    <pic:cNvPicPr>
                      <a:picLocks noChangeAspect="1" noChangeArrowheads="1"/>
                    </pic:cNvPicPr>
                  </pic:nvPicPr>
                  <pic:blipFill>
                    <a:blip r:embed="rId35"/>
                    <a:srcRect r="3525"/>
                    <a:stretch>
                      <a:fillRect/>
                    </a:stretch>
                  </pic:blipFill>
                  <pic:spPr>
                    <a:xfrm>
                      <a:off x="0" y="0"/>
                      <a:ext cx="4686300" cy="5600700"/>
                    </a:xfrm>
                    <a:prstGeom prst="rect">
                      <a:avLst/>
                    </a:prstGeom>
                    <a:noFill/>
                    <a:ln w="9525">
                      <a:noFill/>
                      <a:miter lim="800000"/>
                      <a:headEnd/>
                      <a:tailEnd/>
                    </a:ln>
                  </pic:spPr>
                </pic:pic>
              </a:graphicData>
            </a:graphic>
          </wp:inline>
        </w:drawing>
      </w:r>
    </w:p>
    <w:p>
      <w:pPr>
        <w:spacing w:line="360" w:lineRule="auto"/>
        <w:jc w:val="center"/>
        <w:rPr>
          <w:b/>
          <w:sz w:val="24"/>
        </w:rPr>
      </w:pPr>
      <w:r>
        <w:rPr>
          <w:b/>
          <w:sz w:val="24"/>
        </w:rPr>
        <w:t>图</w:t>
      </w:r>
      <w:r>
        <w:rPr>
          <w:rFonts w:hint="eastAsia"/>
          <w:b/>
          <w:sz w:val="24"/>
        </w:rPr>
        <w:t>7.4-7项目所在区</w:t>
      </w:r>
      <w:r>
        <w:rPr>
          <w:b/>
          <w:sz w:val="24"/>
        </w:rPr>
        <w:t>潜水动态成因类型分区图</w:t>
      </w:r>
    </w:p>
    <w:p>
      <w:pPr>
        <w:pStyle w:val="63"/>
        <w:ind w:firstLine="480"/>
        <w:rPr>
          <w:color w:val="auto"/>
        </w:rPr>
      </w:pPr>
      <w:r>
        <w:rPr>
          <w:rFonts w:hint="eastAsia"/>
          <w:color w:val="auto"/>
        </w:rPr>
        <w:t>Ⅰ</w:t>
      </w:r>
      <w:r>
        <w:rPr>
          <w:color w:val="auto"/>
        </w:rPr>
        <w:t>降水灌溉型</w:t>
      </w:r>
    </w:p>
    <w:p>
      <w:pPr>
        <w:pStyle w:val="63"/>
        <w:ind w:firstLine="480"/>
        <w:rPr>
          <w:color w:val="auto"/>
        </w:rPr>
      </w:pPr>
      <w:r>
        <w:rPr>
          <w:color w:val="auto"/>
        </w:rPr>
        <w:t>分布在泾河北岸的泾河漫滩、泾河以南的一级阶地。本地区包气带岩性透水性差，水位埋深大，大气降水或灌溉的水量一部份由植物吸收和蒸发，其余很大一部份渗入地下，增加了包气带中土壤含水量，还有很少一部份补给了地下水，引超水位上升。为此，本区水位上升幅度极小，全年动态曲线变化不明显。高水位期出现在1991年10、11月，水位埋深8.65m。低水位期出现在8月。水位埋深8.94m。</w:t>
      </w:r>
    </w:p>
    <w:p>
      <w:pPr>
        <w:pStyle w:val="63"/>
        <w:ind w:firstLine="480"/>
        <w:rPr>
          <w:color w:val="auto"/>
        </w:rPr>
      </w:pPr>
      <w:r>
        <w:rPr>
          <w:rFonts w:hint="eastAsia"/>
          <w:color w:val="auto"/>
        </w:rPr>
        <w:t>Ⅱ</w:t>
      </w:r>
      <w:r>
        <w:rPr>
          <w:color w:val="auto"/>
        </w:rPr>
        <w:t>开采降水灌溉型</w:t>
      </w:r>
    </w:p>
    <w:p>
      <w:pPr>
        <w:pStyle w:val="63"/>
        <w:ind w:firstLine="480"/>
        <w:rPr>
          <w:color w:val="auto"/>
        </w:rPr>
      </w:pPr>
      <w:r>
        <w:rPr>
          <w:color w:val="auto"/>
        </w:rPr>
        <w:t>分布在泾河以北的泾河一级阶地和冲洪积平原。地下水埋藏深度不一(4－12m)、机井密集在村庄附近，各井开采量也不均匀，同时也引用了泾惠九支渠灌溉了部份土地。潜水动态普遍受开采、降水、灌溉等综合因素的影响，仅局部地段因受各种因素影响程度不一，稍有差异。全年动态曲线变化比较缓慢，全年有二个高水位期和二个低水位期。高水位期出现在前一年9月到11月和4月到5月，水位埋深16.2m，低水位期出现在12月和8月，水位埋深16.75m。</w:t>
      </w:r>
    </w:p>
    <w:p>
      <w:pPr>
        <w:pStyle w:val="63"/>
        <w:ind w:firstLine="480"/>
        <w:rPr>
          <w:color w:val="auto"/>
        </w:rPr>
      </w:pPr>
      <w:r>
        <w:rPr>
          <w:rFonts w:hint="eastAsia"/>
          <w:color w:val="auto"/>
        </w:rPr>
        <w:t>②</w:t>
      </w:r>
      <w:r>
        <w:rPr>
          <w:color w:val="auto"/>
        </w:rPr>
        <w:t>潜水位动态特征分区</w:t>
      </w:r>
    </w:p>
    <w:p>
      <w:pPr>
        <w:pStyle w:val="63"/>
        <w:ind w:firstLine="480"/>
        <w:rPr>
          <w:color w:val="auto"/>
        </w:rPr>
      </w:pPr>
      <w:r>
        <w:rPr>
          <w:color w:val="auto"/>
        </w:rPr>
        <w:t>根据</w:t>
      </w:r>
      <w:r>
        <w:rPr>
          <w:rFonts w:hint="eastAsia"/>
          <w:color w:val="auto"/>
        </w:rPr>
        <w:t>项目地勘报告：</w:t>
      </w:r>
      <w:r>
        <w:rPr>
          <w:color w:val="auto"/>
        </w:rPr>
        <w:t>按其升降幅度的大小，划分出如下三种潜水位动态特征(见图</w:t>
      </w:r>
      <w:r>
        <w:rPr>
          <w:rFonts w:hint="eastAsia"/>
          <w:color w:val="auto"/>
        </w:rPr>
        <w:t>7.4-8</w:t>
      </w:r>
      <w:r>
        <w:rPr>
          <w:color w:val="auto"/>
        </w:rPr>
        <w:t>)，现分述如下</w:t>
      </w:r>
      <w:r>
        <w:rPr>
          <w:rFonts w:hint="eastAsia"/>
          <w:color w:val="auto"/>
        </w:rPr>
        <w:t>：</w:t>
      </w:r>
    </w:p>
    <w:p>
      <w:pPr>
        <w:pStyle w:val="63"/>
        <w:ind w:firstLine="480"/>
        <w:rPr>
          <w:color w:val="auto"/>
        </w:rPr>
      </w:pPr>
      <w:r>
        <w:rPr>
          <w:rFonts w:hint="eastAsia"/>
          <w:color w:val="auto"/>
        </w:rPr>
        <w:t>Ⅰ</w:t>
      </w:r>
      <w:r>
        <w:rPr>
          <w:color w:val="auto"/>
        </w:rPr>
        <w:t>稳定区(升降幅度小于0.3m)</w:t>
      </w:r>
    </w:p>
    <w:p>
      <w:pPr>
        <w:pStyle w:val="63"/>
        <w:ind w:firstLine="480"/>
        <w:rPr>
          <w:color w:val="auto"/>
        </w:rPr>
      </w:pPr>
      <w:r>
        <w:rPr>
          <w:color w:val="auto"/>
        </w:rPr>
        <w:t>主要分布在泾河以北的泾河漫滩大部分地区，其次分布在泾河河间地块，如高刘村、蒋王村、东营村等地。潜水位相对稳定的原因是</w:t>
      </w:r>
      <w:r>
        <w:rPr>
          <w:rFonts w:hint="eastAsia"/>
          <w:color w:val="auto"/>
        </w:rPr>
        <w:t>：</w:t>
      </w:r>
      <w:r>
        <w:rPr>
          <w:color w:val="auto"/>
        </w:rPr>
        <w:t>在年内的降水、开采、灌溉等各种因素的影响程度不一，局部地段开采量虽然大，但地表水灌溉、降水等补给条件较好，补给、消耗这一对矛盾不断进行调整，造成年内水位变化比较稳定。</w:t>
      </w:r>
    </w:p>
    <w:p>
      <w:pPr>
        <w:pStyle w:val="63"/>
        <w:ind w:firstLine="480"/>
        <w:rPr>
          <w:color w:val="auto"/>
        </w:rPr>
      </w:pPr>
      <w:r>
        <w:rPr>
          <w:rFonts w:hint="eastAsia"/>
          <w:color w:val="auto"/>
        </w:rPr>
        <w:t>Ⅱ</w:t>
      </w:r>
      <w:r>
        <w:rPr>
          <w:color w:val="auto"/>
        </w:rPr>
        <w:t>上升区(上升幅度0.30－1.5m)</w:t>
      </w:r>
    </w:p>
    <w:p>
      <w:pPr>
        <w:pStyle w:val="63"/>
        <w:ind w:firstLine="480"/>
        <w:rPr>
          <w:color w:val="auto"/>
        </w:rPr>
      </w:pPr>
      <w:r>
        <w:rPr>
          <w:color w:val="auto"/>
        </w:rPr>
        <w:t>分布在泾河河间地块，如陈家滩村、泾渭堡村、雷家村等</w:t>
      </w:r>
      <w:r>
        <w:rPr>
          <w:rFonts w:hint="eastAsia"/>
          <w:color w:val="auto"/>
        </w:rPr>
        <w:t>。</w:t>
      </w:r>
      <w:r>
        <w:rPr>
          <w:color w:val="auto"/>
        </w:rPr>
        <w:t>潜水位上升的原因是</w:t>
      </w:r>
      <w:r>
        <w:rPr>
          <w:rFonts w:hint="eastAsia"/>
          <w:color w:val="auto"/>
        </w:rPr>
        <w:t>：</w:t>
      </w:r>
      <w:r>
        <w:rPr>
          <w:color w:val="auto"/>
        </w:rPr>
        <w:t>包气带岩性透水性好，地下水埋藏浅，易于接受大气降水的补给。1992年9月降水量大(1992年9月为142.5mm，1991年9月为109.8mm)，占全年降水量26%；1992年8月泾河、渭河出现了十年一遇的特大洪水，故补给源充沛，当年水量有余，水位上升。</w:t>
      </w:r>
    </w:p>
    <w:p>
      <w:pPr>
        <w:pStyle w:val="63"/>
        <w:ind w:firstLine="480"/>
        <w:rPr>
          <w:color w:val="auto"/>
        </w:rPr>
      </w:pPr>
      <w:r>
        <w:rPr>
          <w:rFonts w:hint="eastAsia"/>
          <w:color w:val="auto"/>
        </w:rPr>
        <w:t>Ⅲ</w:t>
      </w:r>
      <w:r>
        <w:rPr>
          <w:color w:val="auto"/>
        </w:rPr>
        <w:t>下降区(下降幅度为0.3－1.5m)</w:t>
      </w:r>
    </w:p>
    <w:p>
      <w:pPr>
        <w:pStyle w:val="63"/>
        <w:ind w:firstLine="480"/>
        <w:rPr>
          <w:color w:val="auto"/>
        </w:rPr>
      </w:pPr>
      <w:r>
        <w:rPr>
          <w:color w:val="auto"/>
        </w:rPr>
        <w:t>分布在泾河北岸的一级阶地，冲洪积平原地区，如姜李村、姬家村、雷家庄、钓鱼寨子等地。水位下降的原因是：包气带岩性透水性差，水位埋深大，补给条件差，又因为大面积人工开采地下水，或较长时间集中开采，开采量大于补给量，地下水在短期内得不到恢复，致使水位呈现下降趋势(见图</w:t>
      </w:r>
      <w:r>
        <w:rPr>
          <w:rFonts w:hint="eastAsia"/>
          <w:color w:val="auto"/>
        </w:rPr>
        <w:t>7.4-9</w:t>
      </w:r>
      <w:r>
        <w:rPr>
          <w:color w:val="auto"/>
        </w:rPr>
        <w:t>)。</w:t>
      </w:r>
    </w:p>
    <w:p>
      <w:pPr>
        <w:spacing w:line="360" w:lineRule="auto"/>
        <w:jc w:val="center"/>
        <w:rPr>
          <w:sz w:val="24"/>
        </w:rPr>
      </w:pPr>
      <w:r>
        <w:rPr>
          <w:sz w:val="24"/>
        </w:rPr>
        <w:drawing>
          <wp:inline distT="0" distB="0" distL="0" distR="0">
            <wp:extent cx="5105400" cy="6057900"/>
            <wp:effectExtent l="19050" t="0" r="0" b="0"/>
            <wp:docPr id="2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4"/>
                    <pic:cNvPicPr>
                      <a:picLocks noChangeAspect="1" noChangeArrowheads="1"/>
                    </pic:cNvPicPr>
                  </pic:nvPicPr>
                  <pic:blipFill>
                    <a:blip r:embed="rId36"/>
                    <a:srcRect r="3238"/>
                    <a:stretch>
                      <a:fillRect/>
                    </a:stretch>
                  </pic:blipFill>
                  <pic:spPr>
                    <a:xfrm>
                      <a:off x="0" y="0"/>
                      <a:ext cx="5105400" cy="6057900"/>
                    </a:xfrm>
                    <a:prstGeom prst="rect">
                      <a:avLst/>
                    </a:prstGeom>
                    <a:noFill/>
                    <a:ln w="9525">
                      <a:noFill/>
                      <a:miter lim="800000"/>
                      <a:headEnd/>
                      <a:tailEnd/>
                    </a:ln>
                  </pic:spPr>
                </pic:pic>
              </a:graphicData>
            </a:graphic>
          </wp:inline>
        </w:drawing>
      </w:r>
    </w:p>
    <w:p>
      <w:pPr>
        <w:pStyle w:val="65"/>
      </w:pPr>
      <w:r>
        <w:t>图</w:t>
      </w:r>
      <w:r>
        <w:rPr>
          <w:rFonts w:hint="eastAsia"/>
        </w:rPr>
        <w:t>7.4-8项目所在区</w:t>
      </w:r>
      <w:r>
        <w:t>潜水动态变幅分区图</w:t>
      </w:r>
    </w:p>
    <w:p>
      <w:pPr>
        <w:spacing w:line="360" w:lineRule="auto"/>
        <w:rPr>
          <w:rFonts w:ascii="宋体" w:hAnsi="宋体"/>
          <w:sz w:val="24"/>
        </w:rPr>
      </w:pPr>
      <w:r>
        <w:rPr>
          <w:rFonts w:ascii="宋体" w:hAnsi="宋体"/>
        </w:rPr>
        <w:drawing>
          <wp:inline distT="0" distB="0" distL="0" distR="0">
            <wp:extent cx="5267325" cy="1800225"/>
            <wp:effectExtent l="0" t="0" r="0" b="0"/>
            <wp:docPr id="26"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pPr>
        <w:pStyle w:val="65"/>
      </w:pPr>
      <w:r>
        <w:t>图</w:t>
      </w:r>
      <w:r>
        <w:rPr>
          <w:rFonts w:hint="eastAsia"/>
        </w:rPr>
        <w:t>7.4-9评价区内</w:t>
      </w:r>
      <w:r>
        <w:t>长观井观测水位变化</w:t>
      </w:r>
    </w:p>
    <w:p>
      <w:pPr>
        <w:pStyle w:val="65"/>
      </w:pPr>
    </w:p>
    <w:p>
      <w:pPr>
        <w:pStyle w:val="63"/>
        <w:ind w:firstLine="480"/>
        <w:rPr>
          <w:color w:val="auto"/>
        </w:rPr>
      </w:pPr>
      <w:r>
        <w:rPr>
          <w:rFonts w:hint="eastAsia"/>
          <w:color w:val="auto"/>
        </w:rPr>
        <w:t>⑵浅层和深层</w:t>
      </w:r>
      <w:r>
        <w:rPr>
          <w:color w:val="auto"/>
        </w:rPr>
        <w:t>承压水的动态特征</w:t>
      </w:r>
    </w:p>
    <w:p>
      <w:pPr>
        <w:pStyle w:val="63"/>
        <w:ind w:firstLine="480"/>
        <w:rPr>
          <w:color w:val="auto"/>
        </w:rPr>
      </w:pPr>
      <w:r>
        <w:rPr>
          <w:color w:val="auto"/>
        </w:rPr>
        <w:t>根据长观井动态观测资料表明：河流岸边地带的浅层承压水、深层承压水与潜水、河水水位升降变化规律有相似性质，具有同步变化规律，浅层承压水与深层承压水变化幅度略小于潜水水位变化幅度。凡影响潜水动态变化规律的各种因素都能间接的影响承压水动态。</w:t>
      </w:r>
    </w:p>
    <w:p>
      <w:pPr>
        <w:pStyle w:val="63"/>
        <w:ind w:firstLine="480"/>
        <w:rPr>
          <w:color w:val="auto"/>
        </w:rPr>
      </w:pPr>
      <w:r>
        <w:rPr>
          <w:color w:val="auto"/>
        </w:rPr>
        <w:t>浅层承压水年内水位变化：当年10月到翌年4月水位动态曲线平缓，升降幅度不大，5月到9月受开采、降水等因素的影响，动态曲线呈波浪式升降。承压水高水位期出现在9月，低水位期出现在7月，年内水位埋深变幅0.3－3.4m(见图</w:t>
      </w:r>
      <w:r>
        <w:rPr>
          <w:rFonts w:hint="eastAsia"/>
          <w:color w:val="auto"/>
        </w:rPr>
        <w:t>7.4-10</w:t>
      </w:r>
      <w:r>
        <w:rPr>
          <w:color w:val="auto"/>
        </w:rPr>
        <w:t>)。</w:t>
      </w:r>
    </w:p>
    <w:p>
      <w:pPr>
        <w:spacing w:line="360" w:lineRule="auto"/>
        <w:jc w:val="center"/>
        <w:rPr>
          <w:rFonts w:ascii="宋体" w:hAnsi="宋体"/>
          <w:sz w:val="24"/>
        </w:rPr>
      </w:pPr>
      <w:r>
        <w:rPr>
          <w:sz w:val="24"/>
        </w:rPr>
        <w:drawing>
          <wp:inline distT="0" distB="0" distL="0" distR="0">
            <wp:extent cx="5181600" cy="2771775"/>
            <wp:effectExtent l="19050" t="0" r="0" b="0"/>
            <wp:docPr id="2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6"/>
                    <pic:cNvPicPr>
                      <a:picLocks noChangeAspect="1" noChangeArrowheads="1"/>
                    </pic:cNvPicPr>
                  </pic:nvPicPr>
                  <pic:blipFill>
                    <a:blip r:embed="rId38"/>
                    <a:srcRect l="5707" t="4558" r="12022" b="11823"/>
                    <a:stretch>
                      <a:fillRect/>
                    </a:stretch>
                  </pic:blipFill>
                  <pic:spPr>
                    <a:xfrm>
                      <a:off x="0" y="0"/>
                      <a:ext cx="5181600" cy="2771775"/>
                    </a:xfrm>
                    <a:prstGeom prst="rect">
                      <a:avLst/>
                    </a:prstGeom>
                    <a:noFill/>
                    <a:ln w="9525">
                      <a:noFill/>
                      <a:miter lim="800000"/>
                      <a:headEnd/>
                      <a:tailEnd/>
                    </a:ln>
                  </pic:spPr>
                </pic:pic>
              </a:graphicData>
            </a:graphic>
          </wp:inline>
        </w:drawing>
      </w:r>
    </w:p>
    <w:p>
      <w:pPr>
        <w:spacing w:line="360" w:lineRule="auto"/>
        <w:jc w:val="center"/>
        <w:rPr>
          <w:rFonts w:ascii="宋体" w:hAnsi="宋体"/>
          <w:b/>
          <w:sz w:val="24"/>
        </w:rPr>
      </w:pPr>
      <w:r>
        <w:rPr>
          <w:rFonts w:hint="eastAsia" w:ascii="宋体" w:hAnsi="宋体"/>
          <w:b/>
          <w:sz w:val="24"/>
        </w:rPr>
        <w:t>图7.4-10评价区浅层</w:t>
      </w:r>
      <w:r>
        <w:rPr>
          <w:rFonts w:hint="eastAsia"/>
          <w:b/>
          <w:sz w:val="24"/>
        </w:rPr>
        <w:t>承压水</w:t>
      </w:r>
      <w:r>
        <w:rPr>
          <w:rFonts w:hint="eastAsia" w:ascii="宋体" w:hAnsi="宋体"/>
          <w:b/>
          <w:sz w:val="24"/>
        </w:rPr>
        <w:t>长观井观测水位变化</w:t>
      </w:r>
    </w:p>
    <w:p>
      <w:pPr>
        <w:pStyle w:val="62"/>
        <w:rPr>
          <w:color w:val="auto"/>
          <w:lang w:val="zh-CN"/>
        </w:rPr>
      </w:pPr>
      <w:bookmarkStart w:id="88" w:name="_Toc406084842"/>
      <w:r>
        <w:rPr>
          <w:rFonts w:hint="eastAsia"/>
          <w:color w:val="auto"/>
          <w:lang w:val="zh-CN"/>
        </w:rPr>
        <w:t>7.4.6环境水文地质问题</w:t>
      </w:r>
    </w:p>
    <w:p>
      <w:pPr>
        <w:pStyle w:val="63"/>
        <w:ind w:firstLine="480"/>
        <w:rPr>
          <w:color w:val="auto"/>
        </w:rPr>
      </w:pPr>
      <w:r>
        <w:rPr>
          <w:rFonts w:hint="eastAsia"/>
          <w:color w:val="auto"/>
        </w:rPr>
        <w:t>据现场调查和收集有关资料，评价区内未见有地面沉降、地裂缝等环境水文地质问题。但由于受长期农田灌溉及施肥影响，潜水中氟离子、NO</w:t>
      </w:r>
      <w:r>
        <w:rPr>
          <w:rFonts w:hint="eastAsia"/>
          <w:color w:val="auto"/>
          <w:vertAlign w:val="subscript"/>
        </w:rPr>
        <w:t>3</w:t>
      </w:r>
      <w:r>
        <w:rPr>
          <w:rFonts w:hint="eastAsia"/>
          <w:color w:val="auto"/>
          <w:vertAlign w:val="superscript"/>
        </w:rPr>
        <w:t>-</w:t>
      </w:r>
      <w:r>
        <w:rPr>
          <w:rFonts w:hint="eastAsia"/>
          <w:color w:val="auto"/>
        </w:rPr>
        <w:t>离子超标，且在泾河南岸重金属Cr</w:t>
      </w:r>
      <w:r>
        <w:rPr>
          <w:rFonts w:hint="eastAsia"/>
          <w:color w:val="auto"/>
          <w:vertAlign w:val="superscript"/>
        </w:rPr>
        <w:t>6+</w:t>
      </w:r>
      <w:r>
        <w:rPr>
          <w:rFonts w:hint="eastAsia"/>
          <w:color w:val="auto"/>
        </w:rPr>
        <w:t>、As严重超标，有土壤盐碱化的环境水文地质问题。</w:t>
      </w:r>
    </w:p>
    <w:p>
      <w:pPr>
        <w:pStyle w:val="62"/>
        <w:rPr>
          <w:color w:val="auto"/>
          <w:lang w:val="zh-CN"/>
        </w:rPr>
      </w:pPr>
      <w:r>
        <w:rPr>
          <w:rFonts w:hint="eastAsia"/>
          <w:color w:val="auto"/>
          <w:lang w:val="zh-CN"/>
        </w:rPr>
        <w:t>7.4.7地下水开发利用现状</w:t>
      </w:r>
    </w:p>
    <w:p>
      <w:pPr>
        <w:pStyle w:val="63"/>
        <w:wordWrap w:val="0"/>
        <w:ind w:firstLine="480"/>
        <w:rPr>
          <w:color w:val="auto"/>
        </w:rPr>
      </w:pPr>
      <w:r>
        <w:rPr>
          <w:color w:val="auto"/>
        </w:rPr>
        <w:t>泾阳县年总用水量约14675×10</w:t>
      </w:r>
      <w:r>
        <w:rPr>
          <w:color w:val="auto"/>
          <w:vertAlign w:val="superscript"/>
        </w:rPr>
        <w:t>4</w:t>
      </w:r>
      <w:r>
        <w:rPr>
          <w:color w:val="auto"/>
        </w:rPr>
        <w:t>m</w:t>
      </w:r>
      <w:r>
        <w:rPr>
          <w:color w:val="auto"/>
          <w:vertAlign w:val="superscript"/>
        </w:rPr>
        <w:t>3</w:t>
      </w:r>
      <w:r>
        <w:rPr>
          <w:rFonts w:hint="eastAsia"/>
          <w:color w:val="auto"/>
        </w:rPr>
        <w:t>/a</w:t>
      </w:r>
      <w:r>
        <w:rPr>
          <w:color w:val="auto"/>
        </w:rPr>
        <w:t>。其中地表水6386×10</w:t>
      </w:r>
      <w:r>
        <w:rPr>
          <w:color w:val="auto"/>
          <w:vertAlign w:val="superscript"/>
        </w:rPr>
        <w:t>4</w:t>
      </w:r>
      <w:r>
        <w:rPr>
          <w:color w:val="auto"/>
        </w:rPr>
        <w:t>m</w:t>
      </w:r>
      <w:r>
        <w:rPr>
          <w:color w:val="auto"/>
          <w:vertAlign w:val="superscript"/>
        </w:rPr>
        <w:t>3</w:t>
      </w:r>
      <w:r>
        <w:rPr>
          <w:rFonts w:hint="eastAsia"/>
          <w:color w:val="auto"/>
        </w:rPr>
        <w:t>/a</w:t>
      </w:r>
      <w:r>
        <w:rPr>
          <w:color w:val="auto"/>
        </w:rPr>
        <w:t>，地下水8289×10</w:t>
      </w:r>
      <w:r>
        <w:rPr>
          <w:color w:val="auto"/>
          <w:vertAlign w:val="superscript"/>
        </w:rPr>
        <w:t>4</w:t>
      </w:r>
      <w:r>
        <w:rPr>
          <w:color w:val="auto"/>
        </w:rPr>
        <w:t>m</w:t>
      </w:r>
      <w:r>
        <w:rPr>
          <w:color w:val="auto"/>
          <w:vertAlign w:val="superscript"/>
        </w:rPr>
        <w:t>3</w:t>
      </w:r>
      <w:r>
        <w:rPr>
          <w:rFonts w:hint="eastAsia"/>
          <w:color w:val="auto"/>
        </w:rPr>
        <w:t>/a</w:t>
      </w:r>
      <w:r>
        <w:rPr>
          <w:color w:val="auto"/>
        </w:rPr>
        <w:t>，水资源开发利用程度达76.6%。用水量中：灌溉用水量11740×10</w:t>
      </w:r>
      <w:r>
        <w:rPr>
          <w:color w:val="auto"/>
          <w:vertAlign w:val="superscript"/>
        </w:rPr>
        <w:t>4</w:t>
      </w:r>
      <w:r>
        <w:rPr>
          <w:color w:val="auto"/>
        </w:rPr>
        <w:t>m</w:t>
      </w:r>
      <w:r>
        <w:rPr>
          <w:color w:val="auto"/>
          <w:vertAlign w:val="superscript"/>
        </w:rPr>
        <w:t>3</w:t>
      </w:r>
      <w:r>
        <w:rPr>
          <w:rFonts w:hint="eastAsia"/>
          <w:color w:val="auto"/>
        </w:rPr>
        <w:t>/a</w:t>
      </w:r>
      <w:r>
        <w:rPr>
          <w:color w:val="auto"/>
        </w:rPr>
        <w:t xml:space="preserve"> (地下水用水量5394×10</w:t>
      </w:r>
      <w:r>
        <w:rPr>
          <w:color w:val="auto"/>
          <w:vertAlign w:val="superscript"/>
        </w:rPr>
        <w:t>4</w:t>
      </w:r>
      <w:r>
        <w:rPr>
          <w:color w:val="auto"/>
        </w:rPr>
        <w:t>m</w:t>
      </w:r>
      <w:r>
        <w:rPr>
          <w:color w:val="auto"/>
          <w:vertAlign w:val="superscript"/>
        </w:rPr>
        <w:t>3</w:t>
      </w:r>
      <w:r>
        <w:rPr>
          <w:color w:val="auto"/>
        </w:rPr>
        <w:t>/a),其中农田灌溉7791×10</w:t>
      </w:r>
      <w:r>
        <w:rPr>
          <w:color w:val="auto"/>
          <w:vertAlign w:val="superscript"/>
        </w:rPr>
        <w:t>4</w:t>
      </w:r>
      <w:r>
        <w:rPr>
          <w:color w:val="auto"/>
        </w:rPr>
        <w:t>m</w:t>
      </w:r>
      <w:r>
        <w:rPr>
          <w:color w:val="auto"/>
          <w:vertAlign w:val="superscript"/>
        </w:rPr>
        <w:t>3</w:t>
      </w:r>
      <w:r>
        <w:rPr>
          <w:rFonts w:hint="eastAsia"/>
          <w:color w:val="auto"/>
        </w:rPr>
        <w:t>/a</w:t>
      </w:r>
      <w:r>
        <w:rPr>
          <w:color w:val="auto"/>
        </w:rPr>
        <w:t>，菜田2962×10</w:t>
      </w:r>
      <w:r>
        <w:rPr>
          <w:color w:val="auto"/>
          <w:vertAlign w:val="superscript"/>
        </w:rPr>
        <w:t>4</w:t>
      </w:r>
      <w:r>
        <w:rPr>
          <w:color w:val="auto"/>
        </w:rPr>
        <w:t>m</w:t>
      </w:r>
      <w:r>
        <w:rPr>
          <w:color w:val="auto"/>
          <w:vertAlign w:val="superscript"/>
        </w:rPr>
        <w:t>3</w:t>
      </w:r>
      <w:r>
        <w:rPr>
          <w:rFonts w:hint="eastAsia"/>
          <w:color w:val="auto"/>
        </w:rPr>
        <w:t>/a</w:t>
      </w:r>
      <w:r>
        <w:rPr>
          <w:color w:val="auto"/>
        </w:rPr>
        <w:t>，果林987×10</w:t>
      </w:r>
      <w:r>
        <w:rPr>
          <w:color w:val="auto"/>
          <w:vertAlign w:val="superscript"/>
        </w:rPr>
        <w:t>4</w:t>
      </w:r>
      <w:r>
        <w:rPr>
          <w:color w:val="auto"/>
        </w:rPr>
        <w:t>m</w:t>
      </w:r>
      <w:r>
        <w:rPr>
          <w:color w:val="auto"/>
          <w:vertAlign w:val="superscript"/>
        </w:rPr>
        <w:t>3</w:t>
      </w:r>
      <w:r>
        <w:rPr>
          <w:rFonts w:hint="eastAsia"/>
          <w:color w:val="auto"/>
        </w:rPr>
        <w:t>/a</w:t>
      </w:r>
      <w:r>
        <w:rPr>
          <w:color w:val="auto"/>
        </w:rPr>
        <w:t>；工业用水量1449×10</w:t>
      </w:r>
      <w:r>
        <w:rPr>
          <w:color w:val="auto"/>
          <w:vertAlign w:val="superscript"/>
        </w:rPr>
        <w:t>4</w:t>
      </w:r>
      <w:r>
        <w:rPr>
          <w:color w:val="auto"/>
        </w:rPr>
        <w:t>m</w:t>
      </w:r>
      <w:r>
        <w:rPr>
          <w:color w:val="auto"/>
          <w:vertAlign w:val="superscript"/>
        </w:rPr>
        <w:t>3</w:t>
      </w:r>
      <w:r>
        <w:rPr>
          <w:rFonts w:hint="eastAsia"/>
          <w:color w:val="auto"/>
        </w:rPr>
        <w:t>/a</w:t>
      </w:r>
      <w:r>
        <w:rPr>
          <w:color w:val="auto"/>
        </w:rPr>
        <w:t>；城镇生活用水量199×10</w:t>
      </w:r>
      <w:r>
        <w:rPr>
          <w:color w:val="auto"/>
          <w:vertAlign w:val="superscript"/>
        </w:rPr>
        <w:t>4</w:t>
      </w:r>
      <w:r>
        <w:rPr>
          <w:color w:val="auto"/>
        </w:rPr>
        <w:t>m</w:t>
      </w:r>
      <w:r>
        <w:rPr>
          <w:color w:val="auto"/>
          <w:vertAlign w:val="superscript"/>
        </w:rPr>
        <w:t>3</w:t>
      </w:r>
      <w:r>
        <w:rPr>
          <w:rFonts w:hint="eastAsia"/>
          <w:color w:val="auto"/>
        </w:rPr>
        <w:t>/a</w:t>
      </w:r>
      <w:r>
        <w:rPr>
          <w:color w:val="auto"/>
        </w:rPr>
        <w:t>；在农村生活用水量1096×10</w:t>
      </w:r>
      <w:r>
        <w:rPr>
          <w:color w:val="auto"/>
          <w:vertAlign w:val="superscript"/>
        </w:rPr>
        <w:t>4</w:t>
      </w:r>
      <w:r>
        <w:rPr>
          <w:color w:val="auto"/>
        </w:rPr>
        <w:t>m</w:t>
      </w:r>
      <w:r>
        <w:rPr>
          <w:color w:val="auto"/>
          <w:vertAlign w:val="superscript"/>
        </w:rPr>
        <w:t>3</w:t>
      </w:r>
      <w:r>
        <w:rPr>
          <w:rFonts w:hint="eastAsia"/>
          <w:color w:val="auto"/>
        </w:rPr>
        <w:t>/a</w:t>
      </w:r>
      <w:r>
        <w:rPr>
          <w:color w:val="auto"/>
        </w:rPr>
        <w:t>中，农村人口734×10</w:t>
      </w:r>
      <w:r>
        <w:rPr>
          <w:color w:val="auto"/>
          <w:vertAlign w:val="superscript"/>
        </w:rPr>
        <w:t>4</w:t>
      </w:r>
      <w:r>
        <w:rPr>
          <w:color w:val="auto"/>
        </w:rPr>
        <w:t>m</w:t>
      </w:r>
      <w:r>
        <w:rPr>
          <w:color w:val="auto"/>
          <w:vertAlign w:val="superscript"/>
        </w:rPr>
        <w:t>3</w:t>
      </w:r>
      <w:r>
        <w:rPr>
          <w:rFonts w:hint="eastAsia"/>
          <w:color w:val="auto"/>
        </w:rPr>
        <w:t>/a</w:t>
      </w:r>
      <w:r>
        <w:rPr>
          <w:color w:val="auto"/>
        </w:rPr>
        <w:t>，大小牲畜362×10</w:t>
      </w:r>
      <w:r>
        <w:rPr>
          <w:color w:val="auto"/>
          <w:vertAlign w:val="superscript"/>
        </w:rPr>
        <w:t>4</w:t>
      </w:r>
      <w:r>
        <w:rPr>
          <w:color w:val="auto"/>
        </w:rPr>
        <w:t>m</w:t>
      </w:r>
      <w:r>
        <w:rPr>
          <w:color w:val="auto"/>
          <w:vertAlign w:val="superscript"/>
        </w:rPr>
        <w:t>3</w:t>
      </w:r>
      <w:r>
        <w:rPr>
          <w:rFonts w:hint="eastAsia"/>
          <w:color w:val="auto"/>
        </w:rPr>
        <w:t>/a</w:t>
      </w:r>
      <w:r>
        <w:rPr>
          <w:color w:val="auto"/>
        </w:rPr>
        <w:t>，其他用水量191×10</w:t>
      </w:r>
      <w:r>
        <w:rPr>
          <w:color w:val="auto"/>
          <w:vertAlign w:val="superscript"/>
        </w:rPr>
        <w:t>4</w:t>
      </w:r>
      <w:r>
        <w:rPr>
          <w:color w:val="auto"/>
        </w:rPr>
        <w:t>m</w:t>
      </w:r>
      <w:r>
        <w:rPr>
          <w:color w:val="auto"/>
          <w:vertAlign w:val="superscript"/>
        </w:rPr>
        <w:t>3</w:t>
      </w:r>
      <w:r>
        <w:rPr>
          <w:rFonts w:hint="eastAsia"/>
          <w:color w:val="auto"/>
        </w:rPr>
        <w:t>/a</w:t>
      </w:r>
      <w:r>
        <w:rPr>
          <w:color w:val="auto"/>
        </w:rPr>
        <w:t>。</w:t>
      </w:r>
    </w:p>
    <w:p>
      <w:pPr>
        <w:pStyle w:val="63"/>
        <w:ind w:firstLine="480"/>
        <w:rPr>
          <w:color w:val="auto"/>
        </w:rPr>
      </w:pPr>
      <w:r>
        <w:rPr>
          <w:color w:val="auto"/>
        </w:rPr>
        <w:t>据对泾河新城规划范围内的水资源利用现状初步调查结果，按照《陕西省行业用水定额》，计算泾河新城规划的灌溉水量和城镇、农村生活用水量。</w:t>
      </w:r>
    </w:p>
    <w:p>
      <w:pPr>
        <w:pStyle w:val="63"/>
        <w:ind w:firstLine="480"/>
        <w:rPr>
          <w:color w:val="auto"/>
        </w:rPr>
      </w:pPr>
      <w:r>
        <w:rPr>
          <w:color w:val="auto"/>
        </w:rPr>
        <w:t>泾河新城规划区按照农田灌溉定额</w:t>
      </w:r>
      <w:r>
        <w:rPr>
          <w:rFonts w:hint="eastAsia"/>
          <w:color w:val="auto"/>
        </w:rPr>
        <w:t>26</w:t>
      </w:r>
      <w:r>
        <w:rPr>
          <w:color w:val="auto"/>
        </w:rPr>
        <w:t>0m</w:t>
      </w:r>
      <w:r>
        <w:rPr>
          <w:color w:val="auto"/>
          <w:vertAlign w:val="superscript"/>
        </w:rPr>
        <w:t>3</w:t>
      </w:r>
      <w:r>
        <w:rPr>
          <w:color w:val="auto"/>
        </w:rPr>
        <w:t>/亩，果园灌溉定额136m</w:t>
      </w:r>
      <w:r>
        <w:rPr>
          <w:color w:val="auto"/>
          <w:vertAlign w:val="superscript"/>
        </w:rPr>
        <w:t>3</w:t>
      </w:r>
      <w:r>
        <w:rPr>
          <w:color w:val="auto"/>
        </w:rPr>
        <w:t>/亩，人均用水定额城镇为100m</w:t>
      </w:r>
      <w:r>
        <w:rPr>
          <w:color w:val="auto"/>
          <w:vertAlign w:val="superscript"/>
        </w:rPr>
        <w:t>3</w:t>
      </w:r>
      <w:r>
        <w:rPr>
          <w:color w:val="auto"/>
        </w:rPr>
        <w:t>/人·天，用水定额农村为48.4m</w:t>
      </w:r>
      <w:r>
        <w:rPr>
          <w:color w:val="auto"/>
          <w:vertAlign w:val="superscript"/>
        </w:rPr>
        <w:t>3</w:t>
      </w:r>
      <w:r>
        <w:rPr>
          <w:color w:val="auto"/>
        </w:rPr>
        <w:t>/人·天。经调查，区内养殖业较少，且总的规模小，其用水主要以潜水为主，用水量暂不考虑。</w:t>
      </w:r>
    </w:p>
    <w:p>
      <w:pPr>
        <w:pStyle w:val="63"/>
        <w:ind w:firstLine="480"/>
        <w:rPr>
          <w:color w:val="auto"/>
        </w:rPr>
      </w:pPr>
      <w:r>
        <w:rPr>
          <w:color w:val="auto"/>
        </w:rPr>
        <w:t>概算用水量：城镇人口4.06万人，年用水量148.19×10</w:t>
      </w:r>
      <w:r>
        <w:rPr>
          <w:color w:val="auto"/>
          <w:vertAlign w:val="superscript"/>
        </w:rPr>
        <w:t>4</w:t>
      </w:r>
      <w:r>
        <w:rPr>
          <w:color w:val="auto"/>
        </w:rPr>
        <w:t>m</w:t>
      </w:r>
      <w:r>
        <w:rPr>
          <w:color w:val="auto"/>
          <w:vertAlign w:val="superscript"/>
        </w:rPr>
        <w:t>3</w:t>
      </w:r>
      <w:r>
        <w:rPr>
          <w:color w:val="auto"/>
        </w:rPr>
        <w:t>，乡村人口9.59万人，年用水量169.42×10</w:t>
      </w:r>
      <w:r>
        <w:rPr>
          <w:color w:val="auto"/>
          <w:vertAlign w:val="superscript"/>
        </w:rPr>
        <w:t>4</w:t>
      </w:r>
      <w:r>
        <w:rPr>
          <w:color w:val="auto"/>
        </w:rPr>
        <w:t>m</w:t>
      </w:r>
      <w:r>
        <w:rPr>
          <w:color w:val="auto"/>
          <w:vertAlign w:val="superscript"/>
        </w:rPr>
        <w:t>3</w:t>
      </w:r>
      <w:r>
        <w:rPr>
          <w:rFonts w:hint="eastAsia"/>
          <w:color w:val="auto"/>
        </w:rPr>
        <w:t>/a</w:t>
      </w:r>
      <w:r>
        <w:rPr>
          <w:color w:val="auto"/>
        </w:rPr>
        <w:t>，合计用水量317.61×10</w:t>
      </w:r>
      <w:r>
        <w:rPr>
          <w:color w:val="auto"/>
          <w:vertAlign w:val="superscript"/>
        </w:rPr>
        <w:t>4</w:t>
      </w:r>
      <w:r>
        <w:rPr>
          <w:color w:val="auto"/>
        </w:rPr>
        <w:t>m</w:t>
      </w:r>
      <w:r>
        <w:rPr>
          <w:color w:val="auto"/>
          <w:vertAlign w:val="superscript"/>
        </w:rPr>
        <w:t>3</w:t>
      </w:r>
      <w:r>
        <w:rPr>
          <w:rFonts w:hint="eastAsia"/>
          <w:color w:val="auto"/>
        </w:rPr>
        <w:t>/a</w:t>
      </w:r>
      <w:r>
        <w:rPr>
          <w:color w:val="auto"/>
        </w:rPr>
        <w:t>；农田85.36平方公里，折合</w:t>
      </w:r>
      <w:r>
        <w:rPr>
          <w:rFonts w:hint="eastAsia"/>
          <w:color w:val="auto"/>
        </w:rPr>
        <w:t>8500</w:t>
      </w:r>
      <w:r>
        <w:rPr>
          <w:color w:val="auto"/>
        </w:rPr>
        <w:t>0亩，年用水量</w:t>
      </w:r>
      <w:r>
        <w:rPr>
          <w:rFonts w:hint="eastAsia"/>
          <w:color w:val="auto"/>
        </w:rPr>
        <w:t>2210.00</w:t>
      </w:r>
      <w:r>
        <w:rPr>
          <w:color w:val="auto"/>
        </w:rPr>
        <w:t>×10</w:t>
      </w:r>
      <w:r>
        <w:rPr>
          <w:color w:val="auto"/>
          <w:vertAlign w:val="superscript"/>
        </w:rPr>
        <w:t>4</w:t>
      </w:r>
      <w:r>
        <w:rPr>
          <w:color w:val="auto"/>
        </w:rPr>
        <w:t>m</w:t>
      </w:r>
      <w:r>
        <w:rPr>
          <w:color w:val="auto"/>
          <w:vertAlign w:val="superscript"/>
        </w:rPr>
        <w:t>3</w:t>
      </w:r>
      <w:r>
        <w:rPr>
          <w:rFonts w:hint="eastAsia"/>
          <w:color w:val="auto"/>
        </w:rPr>
        <w:t>/a</w:t>
      </w:r>
      <w:r>
        <w:rPr>
          <w:color w:val="auto"/>
        </w:rPr>
        <w:t>；园地3.13平方公里，折合4695亩，年用水量63.85×10</w:t>
      </w:r>
      <w:r>
        <w:rPr>
          <w:color w:val="auto"/>
          <w:vertAlign w:val="superscript"/>
        </w:rPr>
        <w:t>4</w:t>
      </w:r>
      <w:r>
        <w:rPr>
          <w:color w:val="auto"/>
        </w:rPr>
        <w:t>m</w:t>
      </w:r>
      <w:r>
        <w:rPr>
          <w:color w:val="auto"/>
          <w:vertAlign w:val="superscript"/>
        </w:rPr>
        <w:t>3</w:t>
      </w:r>
      <w:r>
        <w:rPr>
          <w:rFonts w:hint="eastAsia"/>
          <w:color w:val="auto"/>
        </w:rPr>
        <w:t>/a</w:t>
      </w:r>
      <w:r>
        <w:rPr>
          <w:color w:val="auto"/>
        </w:rPr>
        <w:t>；合计用水量22</w:t>
      </w:r>
      <w:r>
        <w:rPr>
          <w:rFonts w:hint="eastAsia"/>
          <w:color w:val="auto"/>
        </w:rPr>
        <w:t>73.85</w:t>
      </w:r>
      <w:r>
        <w:rPr>
          <w:color w:val="auto"/>
        </w:rPr>
        <w:t>×10</w:t>
      </w:r>
      <w:r>
        <w:rPr>
          <w:color w:val="auto"/>
          <w:vertAlign w:val="superscript"/>
        </w:rPr>
        <w:t>4</w:t>
      </w:r>
      <w:r>
        <w:rPr>
          <w:color w:val="auto"/>
        </w:rPr>
        <w:t>m</w:t>
      </w:r>
      <w:r>
        <w:rPr>
          <w:color w:val="auto"/>
          <w:vertAlign w:val="superscript"/>
        </w:rPr>
        <w:t>3</w:t>
      </w:r>
      <w:r>
        <w:rPr>
          <w:rFonts w:hint="eastAsia"/>
          <w:color w:val="auto"/>
        </w:rPr>
        <w:t>/a</w:t>
      </w:r>
      <w:r>
        <w:rPr>
          <w:color w:val="auto"/>
        </w:rPr>
        <w:t>。按照生活用水为地下水，灌溉用水中</w:t>
      </w:r>
      <w:r>
        <w:rPr>
          <w:rFonts w:hint="eastAsia"/>
          <w:color w:val="auto"/>
        </w:rPr>
        <w:t>40</w:t>
      </w:r>
      <w:r>
        <w:rPr>
          <w:color w:val="auto"/>
        </w:rPr>
        <w:t>%为地表水，</w:t>
      </w:r>
      <w:r>
        <w:rPr>
          <w:rFonts w:hint="eastAsia"/>
          <w:color w:val="auto"/>
        </w:rPr>
        <w:t>6</w:t>
      </w:r>
      <w:r>
        <w:rPr>
          <w:color w:val="auto"/>
        </w:rPr>
        <w:t>0%为地下水计算，地下水年用水量为</w:t>
      </w:r>
      <w:r>
        <w:rPr>
          <w:rFonts w:hint="eastAsia"/>
          <w:color w:val="auto"/>
        </w:rPr>
        <w:t>1364.31</w:t>
      </w:r>
      <w:r>
        <w:rPr>
          <w:color w:val="auto"/>
        </w:rPr>
        <w:t>×10</w:t>
      </w:r>
      <w:r>
        <w:rPr>
          <w:color w:val="auto"/>
          <w:vertAlign w:val="superscript"/>
        </w:rPr>
        <w:t>4</w:t>
      </w:r>
      <w:r>
        <w:rPr>
          <w:color w:val="auto"/>
        </w:rPr>
        <w:t>m</w:t>
      </w:r>
      <w:r>
        <w:rPr>
          <w:color w:val="auto"/>
          <w:vertAlign w:val="superscript"/>
        </w:rPr>
        <w:t>3</w:t>
      </w:r>
      <w:r>
        <w:rPr>
          <w:rFonts w:hint="eastAsia"/>
          <w:color w:val="auto"/>
        </w:rPr>
        <w:t>/a</w:t>
      </w:r>
      <w:r>
        <w:rPr>
          <w:color w:val="auto"/>
        </w:rPr>
        <w:t>，同时区内有企业、事业自备井约46眼，年用水量121.7×10</w:t>
      </w:r>
      <w:r>
        <w:rPr>
          <w:color w:val="auto"/>
          <w:vertAlign w:val="superscript"/>
        </w:rPr>
        <w:t>4</w:t>
      </w:r>
      <w:r>
        <w:rPr>
          <w:color w:val="auto"/>
        </w:rPr>
        <w:t>m</w:t>
      </w:r>
      <w:r>
        <w:rPr>
          <w:color w:val="auto"/>
          <w:vertAlign w:val="superscript"/>
        </w:rPr>
        <w:t>3</w:t>
      </w:r>
      <w:r>
        <w:rPr>
          <w:rFonts w:hint="eastAsia"/>
          <w:color w:val="auto"/>
        </w:rPr>
        <w:t>/a</w:t>
      </w:r>
      <w:r>
        <w:rPr>
          <w:color w:val="auto"/>
        </w:rPr>
        <w:t>。规划区内年用地下水总用水量概算为</w:t>
      </w:r>
      <w:r>
        <w:rPr>
          <w:rFonts w:hint="eastAsia"/>
          <w:color w:val="auto"/>
        </w:rPr>
        <w:t>1803.62</w:t>
      </w:r>
      <w:r>
        <w:rPr>
          <w:color w:val="auto"/>
        </w:rPr>
        <w:t>×10</w:t>
      </w:r>
      <w:r>
        <w:rPr>
          <w:color w:val="auto"/>
          <w:vertAlign w:val="superscript"/>
        </w:rPr>
        <w:t>4</w:t>
      </w:r>
      <w:r>
        <w:rPr>
          <w:color w:val="auto"/>
        </w:rPr>
        <w:t>m</w:t>
      </w:r>
      <w:r>
        <w:rPr>
          <w:color w:val="auto"/>
          <w:vertAlign w:val="superscript"/>
        </w:rPr>
        <w:t>3</w:t>
      </w:r>
      <w:r>
        <w:rPr>
          <w:rFonts w:hint="eastAsia"/>
          <w:color w:val="auto"/>
        </w:rPr>
        <w:t>/a</w:t>
      </w:r>
      <w:r>
        <w:rPr>
          <w:color w:val="auto"/>
        </w:rPr>
        <w:t>。</w:t>
      </w:r>
    </w:p>
    <w:p>
      <w:pPr>
        <w:pStyle w:val="63"/>
        <w:ind w:firstLine="480"/>
        <w:rPr>
          <w:color w:val="auto"/>
        </w:rPr>
      </w:pPr>
      <w:r>
        <w:rPr>
          <w:color w:val="auto"/>
        </w:rPr>
        <w:t>泾河新城规划区横跨泾河南、北两岸，总面积为146km</w:t>
      </w:r>
      <w:r>
        <w:rPr>
          <w:color w:val="auto"/>
          <w:vertAlign w:val="superscript"/>
        </w:rPr>
        <w:t>2</w:t>
      </w:r>
      <w:r>
        <w:rPr>
          <w:color w:val="auto"/>
        </w:rPr>
        <w:t>，对规划区年用地下水总量按径河南、北两侧人口、面积进行分配。其中</w:t>
      </w:r>
      <w:r>
        <w:rPr>
          <w:rFonts w:hint="eastAsia"/>
          <w:color w:val="auto"/>
        </w:rPr>
        <w:t>泾河</w:t>
      </w:r>
      <w:r>
        <w:rPr>
          <w:color w:val="auto"/>
        </w:rPr>
        <w:t>以北为120.48km</w:t>
      </w:r>
      <w:r>
        <w:rPr>
          <w:color w:val="auto"/>
          <w:vertAlign w:val="superscript"/>
        </w:rPr>
        <w:t>2</w:t>
      </w:r>
      <w:r>
        <w:rPr>
          <w:color w:val="auto"/>
        </w:rPr>
        <w:t>，人口11.78万人，泾河以南为25.52km</w:t>
      </w:r>
      <w:r>
        <w:rPr>
          <w:color w:val="auto"/>
          <w:vertAlign w:val="superscript"/>
        </w:rPr>
        <w:t>2</w:t>
      </w:r>
      <w:r>
        <w:rPr>
          <w:color w:val="auto"/>
        </w:rPr>
        <w:t>，人口约1.86万人。分配结果为规划区内泾河以北年用地下水量概算为1</w:t>
      </w:r>
      <w:r>
        <w:rPr>
          <w:rFonts w:hint="eastAsia"/>
          <w:color w:val="auto"/>
        </w:rPr>
        <w:t>521.84</w:t>
      </w:r>
      <w:r>
        <w:rPr>
          <w:color w:val="auto"/>
        </w:rPr>
        <w:t>×10</w:t>
      </w:r>
      <w:r>
        <w:rPr>
          <w:color w:val="auto"/>
          <w:vertAlign w:val="superscript"/>
        </w:rPr>
        <w:t>4</w:t>
      </w:r>
      <w:r>
        <w:rPr>
          <w:color w:val="auto"/>
        </w:rPr>
        <w:t>m</w:t>
      </w:r>
      <w:r>
        <w:rPr>
          <w:color w:val="auto"/>
          <w:vertAlign w:val="superscript"/>
        </w:rPr>
        <w:t>3</w:t>
      </w:r>
      <w:r>
        <w:rPr>
          <w:rFonts w:hint="eastAsia"/>
          <w:color w:val="auto"/>
        </w:rPr>
        <w:t>/a，</w:t>
      </w:r>
      <w:r>
        <w:rPr>
          <w:color w:val="auto"/>
        </w:rPr>
        <w:t>泾河以南年用地下水量概算为</w:t>
      </w:r>
      <w:r>
        <w:rPr>
          <w:rFonts w:hint="eastAsia"/>
          <w:color w:val="auto"/>
        </w:rPr>
        <w:t>281.78</w:t>
      </w:r>
      <w:r>
        <w:rPr>
          <w:color w:val="auto"/>
        </w:rPr>
        <w:t>×10</w:t>
      </w:r>
      <w:r>
        <w:rPr>
          <w:color w:val="auto"/>
          <w:vertAlign w:val="superscript"/>
        </w:rPr>
        <w:t>4</w:t>
      </w:r>
      <w:r>
        <w:rPr>
          <w:color w:val="auto"/>
        </w:rPr>
        <w:t>m</w:t>
      </w:r>
      <w:r>
        <w:rPr>
          <w:color w:val="auto"/>
          <w:vertAlign w:val="superscript"/>
        </w:rPr>
        <w:t>3</w:t>
      </w:r>
      <w:r>
        <w:rPr>
          <w:rFonts w:hint="eastAsia"/>
          <w:color w:val="auto"/>
        </w:rPr>
        <w:t>/a</w:t>
      </w:r>
      <w:r>
        <w:rPr>
          <w:color w:val="auto"/>
        </w:rPr>
        <w:t>。</w:t>
      </w:r>
    </w:p>
    <w:p>
      <w:pPr>
        <w:pStyle w:val="63"/>
        <w:ind w:firstLine="480"/>
        <w:rPr>
          <w:color w:val="auto"/>
        </w:rPr>
      </w:pPr>
      <w:r>
        <w:rPr>
          <w:color w:val="auto"/>
        </w:rPr>
        <w:t>在上述水资源开发利用中，泾河水利用量占泾河过境水量的4.6% ；地下水开采资源量8289×10</w:t>
      </w:r>
      <w:r>
        <w:rPr>
          <w:color w:val="auto"/>
          <w:vertAlign w:val="superscript"/>
        </w:rPr>
        <w:t>4</w:t>
      </w:r>
      <w:r>
        <w:rPr>
          <w:color w:val="auto"/>
        </w:rPr>
        <w:t>m</w:t>
      </w:r>
      <w:r>
        <w:rPr>
          <w:color w:val="auto"/>
          <w:vertAlign w:val="superscript"/>
        </w:rPr>
        <w:t>3</w:t>
      </w:r>
      <w:r>
        <w:rPr>
          <w:color w:val="auto"/>
        </w:rPr>
        <w:t>/a，为总资源量11874.95×10</w:t>
      </w:r>
      <w:r>
        <w:rPr>
          <w:color w:val="auto"/>
          <w:vertAlign w:val="superscript"/>
        </w:rPr>
        <w:t>4</w:t>
      </w:r>
      <w:r>
        <w:rPr>
          <w:color w:val="auto"/>
        </w:rPr>
        <w:t>m</w:t>
      </w:r>
      <w:r>
        <w:rPr>
          <w:color w:val="auto"/>
          <w:vertAlign w:val="superscript"/>
        </w:rPr>
        <w:t>3</w:t>
      </w:r>
      <w:r>
        <w:rPr>
          <w:color w:val="auto"/>
        </w:rPr>
        <w:t>/a之69.8%，虽在云阳、永乐、扫宋等局部地段出现片状和条带状的地下水水位下降现象，其他尤其是南部近泾河地区尚有开采潜力。</w:t>
      </w:r>
    </w:p>
    <w:p>
      <w:pPr>
        <w:pStyle w:val="62"/>
        <w:rPr>
          <w:color w:val="auto"/>
          <w:lang w:val="zh-CN"/>
        </w:rPr>
      </w:pPr>
      <w:r>
        <w:rPr>
          <w:rFonts w:hint="eastAsia"/>
          <w:color w:val="auto"/>
          <w:lang w:val="zh-CN"/>
        </w:rPr>
        <w:t>7.4.8区域水资源开发利用存在的主要问题</w:t>
      </w:r>
    </w:p>
    <w:p>
      <w:pPr>
        <w:pStyle w:val="63"/>
        <w:ind w:firstLine="480"/>
        <w:rPr>
          <w:b/>
          <w:bCs/>
          <w:color w:val="auto"/>
          <w:sz w:val="28"/>
          <w:szCs w:val="32"/>
        </w:rPr>
      </w:pPr>
      <w:r>
        <w:rPr>
          <w:rFonts w:hint="eastAsia"/>
          <w:color w:val="auto"/>
        </w:rPr>
        <w:t>区域水资源开发利用中存在的主要问题：一是用水区不均衡，局部地下水水位下降；二是水资源污染；三是土壤盐碱化；四是水利工程设施老化，渠道损毁严重，水资源利用率不高；五是水资源配置不够合理；六是地下水浅层利用程度高，而深层利用程度偏低。</w:t>
      </w:r>
    </w:p>
    <w:p>
      <w:pPr>
        <w:pStyle w:val="61"/>
        <w:rPr>
          <w:color w:val="auto"/>
        </w:rPr>
      </w:pPr>
      <w:bookmarkStart w:id="89" w:name="_Toc436902176"/>
      <w:r>
        <w:rPr>
          <w:rFonts w:hint="eastAsia"/>
          <w:color w:val="auto"/>
        </w:rPr>
        <w:t>7.5地下水天然资源量计算</w:t>
      </w:r>
      <w:bookmarkEnd w:id="89"/>
    </w:p>
    <w:p>
      <w:pPr>
        <w:pStyle w:val="63"/>
        <w:ind w:firstLine="480"/>
        <w:rPr>
          <w:rFonts w:ascii="宋体" w:hAnsi="宋体"/>
          <w:b/>
          <w:bCs/>
          <w:color w:val="auto"/>
          <w:sz w:val="28"/>
          <w:szCs w:val="32"/>
        </w:rPr>
      </w:pPr>
      <w:r>
        <w:rPr>
          <w:rFonts w:hint="eastAsia"/>
          <w:color w:val="auto"/>
        </w:rPr>
        <w:t>地下水天然</w:t>
      </w:r>
      <w:r>
        <w:rPr>
          <w:color w:val="auto"/>
        </w:rPr>
        <w:t>资源量的</w:t>
      </w:r>
      <w:r>
        <w:rPr>
          <w:rFonts w:hint="eastAsia"/>
          <w:color w:val="auto"/>
        </w:rPr>
        <w:t>计算引自</w:t>
      </w:r>
      <w:r>
        <w:rPr>
          <w:color w:val="auto"/>
        </w:rPr>
        <w:t>《</w:t>
      </w:r>
      <w:r>
        <w:rPr>
          <w:rFonts w:hint="eastAsia"/>
          <w:color w:val="auto"/>
        </w:rPr>
        <w:t>西咸新区泾河新城水资源论证报告</w:t>
      </w:r>
      <w:r>
        <w:rPr>
          <w:color w:val="auto"/>
        </w:rPr>
        <w:t>》。</w:t>
      </w:r>
    </w:p>
    <w:bookmarkEnd w:id="88"/>
    <w:p>
      <w:pPr>
        <w:pStyle w:val="62"/>
        <w:rPr>
          <w:color w:val="auto"/>
          <w:lang w:val="zh-CN"/>
        </w:rPr>
      </w:pPr>
      <w:r>
        <w:rPr>
          <w:rFonts w:hint="eastAsia"/>
          <w:color w:val="auto"/>
          <w:lang w:val="zh-CN"/>
        </w:rPr>
        <w:t>7.5.1地下水资源量的计算</w:t>
      </w:r>
    </w:p>
    <w:p>
      <w:pPr>
        <w:pStyle w:val="63"/>
        <w:ind w:firstLine="480"/>
        <w:rPr>
          <w:color w:val="auto"/>
        </w:rPr>
      </w:pPr>
      <w:r>
        <w:rPr>
          <w:rFonts w:hint="eastAsia"/>
          <w:color w:val="auto"/>
        </w:rPr>
        <w:t>项目区内天然条件下，潜水主要接受面状的大气降水入渗补给以及来自西边界的地下水侧向补给。泾河河谷区，浅层承压水水位高于潜水水位，河流以排泄地下水为主，故天然补给量计算中不考虑河流的补给量。在人为作用下，额外增加了农灌回归补给量。</w:t>
      </w:r>
    </w:p>
    <w:p>
      <w:pPr>
        <w:pStyle w:val="63"/>
        <w:ind w:firstLine="480"/>
        <w:rPr>
          <w:color w:val="auto"/>
        </w:rPr>
      </w:pPr>
      <w:r>
        <w:rPr>
          <w:rFonts w:hint="eastAsia"/>
          <w:color w:val="auto"/>
        </w:rPr>
        <w:t>⑴大气降水入渗补给量</w:t>
      </w:r>
    </w:p>
    <w:p>
      <w:pPr>
        <w:pStyle w:val="63"/>
        <w:ind w:firstLine="480"/>
        <w:rPr>
          <w:color w:val="auto"/>
        </w:rPr>
      </w:pPr>
      <w:r>
        <w:rPr>
          <w:rFonts w:hint="eastAsia"/>
          <w:color w:val="auto"/>
        </w:rPr>
        <w:t>大气降水入渗补给量可采用下式计算：</w:t>
      </w:r>
    </w:p>
    <w:p>
      <w:pPr>
        <w:pStyle w:val="63"/>
        <w:ind w:firstLine="480"/>
        <w:jc w:val="center"/>
        <w:rPr>
          <w:color w:val="auto"/>
        </w:rPr>
      </w:pPr>
      <w:r>
        <w:rPr>
          <w:color w:val="auto"/>
        </w:rPr>
        <w:object>
          <v:shape id="_x0000_i1028" o:spt="75" type="#_x0000_t75" style="height:36.45pt;width:120.6pt;" o:ole="t" filled="f" o:preferrelative="t" stroked="f" coordsize="21600,21600">
            <v:path/>
            <v:fill on="f" focussize="0,0"/>
            <v:stroke on="f" joinstyle="miter"/>
            <v:imagedata r:id="rId40" o:title=""/>
            <o:lock v:ext="edit" aspectratio="t"/>
            <w10:wrap type="none"/>
            <w10:anchorlock/>
          </v:shape>
          <o:OLEObject Type="Embed" ProgID="Equation.3" ShapeID="_x0000_i1028" DrawAspect="Content" ObjectID="_1468075728" r:id="rId39">
            <o:LockedField>false</o:LockedField>
          </o:OLEObject>
        </w:object>
      </w:r>
    </w:p>
    <w:p>
      <w:pPr>
        <w:spacing w:line="360" w:lineRule="auto"/>
        <w:ind w:firstLine="480" w:firstLineChars="200"/>
        <w:rPr>
          <w:sz w:val="24"/>
        </w:rPr>
      </w:pPr>
      <w:r>
        <w:rPr>
          <w:rFonts w:hint="eastAsia"/>
          <w:sz w:val="24"/>
        </w:rPr>
        <w:t>式中：</w:t>
      </w:r>
    </w:p>
    <w:tbl>
      <w:tblPr>
        <w:tblStyle w:val="24"/>
        <w:tblW w:w="0" w:type="auto"/>
        <w:tblInd w:w="108" w:type="dxa"/>
        <w:tblLayout w:type="fixed"/>
        <w:tblCellMar>
          <w:top w:w="0" w:type="dxa"/>
          <w:left w:w="108" w:type="dxa"/>
          <w:bottom w:w="0" w:type="dxa"/>
          <w:right w:w="108" w:type="dxa"/>
        </w:tblCellMar>
      </w:tblPr>
      <w:tblGrid>
        <w:gridCol w:w="1091"/>
        <w:gridCol w:w="565"/>
        <w:gridCol w:w="6764"/>
      </w:tblGrid>
      <w:tr>
        <w:tblPrEx>
          <w:tblCellMar>
            <w:top w:w="0" w:type="dxa"/>
            <w:left w:w="108" w:type="dxa"/>
            <w:bottom w:w="0" w:type="dxa"/>
            <w:right w:w="108" w:type="dxa"/>
          </w:tblCellMar>
        </w:tblPrEx>
        <w:tc>
          <w:tcPr>
            <w:tcW w:w="1091" w:type="dxa"/>
          </w:tcPr>
          <w:p>
            <w:pPr>
              <w:spacing w:line="360" w:lineRule="auto"/>
              <w:jc w:val="right"/>
              <w:rPr>
                <w:i/>
                <w:sz w:val="24"/>
              </w:rPr>
            </w:pPr>
            <w:r>
              <w:rPr>
                <w:i/>
                <w:sz w:val="24"/>
              </w:rPr>
              <w:t>Q</w:t>
            </w:r>
            <w:r>
              <w:rPr>
                <w:rFonts w:hint="eastAsia"/>
                <w:i/>
                <w:sz w:val="24"/>
                <w:vertAlign w:val="subscript"/>
              </w:rPr>
              <w:t>天补</w:t>
            </w:r>
          </w:p>
        </w:tc>
        <w:tc>
          <w:tcPr>
            <w:tcW w:w="565" w:type="dxa"/>
          </w:tcPr>
          <w:p>
            <w:pPr>
              <w:spacing w:line="360" w:lineRule="auto"/>
              <w:rPr>
                <w:sz w:val="24"/>
              </w:rPr>
            </w:pPr>
            <w:r>
              <w:rPr>
                <w:sz w:val="24"/>
              </w:rPr>
              <w:t>—</w:t>
            </w:r>
          </w:p>
        </w:tc>
        <w:tc>
          <w:tcPr>
            <w:tcW w:w="6764" w:type="dxa"/>
          </w:tcPr>
          <w:p>
            <w:pPr>
              <w:spacing w:line="360" w:lineRule="auto"/>
              <w:rPr>
                <w:sz w:val="24"/>
              </w:rPr>
            </w:pPr>
            <w:r>
              <w:rPr>
                <w:rFonts w:hint="eastAsia"/>
                <w:sz w:val="24"/>
              </w:rPr>
              <w:t>大气降水入渗补给量</w:t>
            </w:r>
            <w:r>
              <w:rPr>
                <w:sz w:val="24"/>
              </w:rPr>
              <w:t>(m</w:t>
            </w:r>
            <w:r>
              <w:rPr>
                <w:sz w:val="24"/>
                <w:vertAlign w:val="superscript"/>
              </w:rPr>
              <w:t>3</w:t>
            </w:r>
            <w:r>
              <w:rPr>
                <w:sz w:val="24"/>
              </w:rPr>
              <w:t>/d)</w:t>
            </w:r>
            <w:r>
              <w:rPr>
                <w:rFonts w:hint="eastAsia"/>
                <w:sz w:val="24"/>
              </w:rPr>
              <w:t>；</w:t>
            </w:r>
          </w:p>
        </w:tc>
      </w:tr>
      <w:tr>
        <w:tblPrEx>
          <w:tblCellMar>
            <w:top w:w="0" w:type="dxa"/>
            <w:left w:w="108" w:type="dxa"/>
            <w:bottom w:w="0" w:type="dxa"/>
            <w:right w:w="108" w:type="dxa"/>
          </w:tblCellMar>
        </w:tblPrEx>
        <w:tc>
          <w:tcPr>
            <w:tcW w:w="1091" w:type="dxa"/>
          </w:tcPr>
          <w:p>
            <w:pPr>
              <w:spacing w:line="360" w:lineRule="auto"/>
              <w:jc w:val="right"/>
              <w:rPr>
                <w:i/>
                <w:sz w:val="24"/>
              </w:rPr>
            </w:pPr>
            <w:r>
              <w:rPr>
                <w:i/>
                <w:sz w:val="24"/>
              </w:rPr>
              <w:t>P</w:t>
            </w:r>
          </w:p>
        </w:tc>
        <w:tc>
          <w:tcPr>
            <w:tcW w:w="565" w:type="dxa"/>
          </w:tcPr>
          <w:p>
            <w:pPr>
              <w:spacing w:line="360" w:lineRule="auto"/>
              <w:rPr>
                <w:sz w:val="24"/>
              </w:rPr>
            </w:pPr>
            <w:r>
              <w:rPr>
                <w:sz w:val="24"/>
              </w:rPr>
              <w:t>—</w:t>
            </w:r>
          </w:p>
        </w:tc>
        <w:tc>
          <w:tcPr>
            <w:tcW w:w="6764" w:type="dxa"/>
          </w:tcPr>
          <w:p>
            <w:pPr>
              <w:spacing w:line="360" w:lineRule="auto"/>
              <w:rPr>
                <w:sz w:val="24"/>
              </w:rPr>
            </w:pPr>
            <w:r>
              <w:rPr>
                <w:rFonts w:hint="eastAsia"/>
                <w:sz w:val="24"/>
              </w:rPr>
              <w:t>年降水量</w:t>
            </w:r>
            <w:r>
              <w:rPr>
                <w:sz w:val="24"/>
              </w:rPr>
              <w:t>(m/d)</w:t>
            </w:r>
            <w:r>
              <w:rPr>
                <w:rFonts w:hint="eastAsia"/>
                <w:sz w:val="24"/>
              </w:rPr>
              <w:t>；</w:t>
            </w:r>
          </w:p>
        </w:tc>
      </w:tr>
      <w:tr>
        <w:tblPrEx>
          <w:tblCellMar>
            <w:top w:w="0" w:type="dxa"/>
            <w:left w:w="108" w:type="dxa"/>
            <w:bottom w:w="0" w:type="dxa"/>
            <w:right w:w="108" w:type="dxa"/>
          </w:tblCellMar>
        </w:tblPrEx>
        <w:tc>
          <w:tcPr>
            <w:tcW w:w="1091" w:type="dxa"/>
          </w:tcPr>
          <w:p>
            <w:pPr>
              <w:spacing w:line="360" w:lineRule="auto"/>
              <w:jc w:val="right"/>
              <w:rPr>
                <w:i/>
                <w:sz w:val="24"/>
              </w:rPr>
            </w:pPr>
            <w:r>
              <w:rPr>
                <w:i/>
                <w:sz w:val="24"/>
              </w:rPr>
              <w:t>F</w:t>
            </w:r>
            <w:r>
              <w:rPr>
                <w:i/>
                <w:sz w:val="24"/>
                <w:vertAlign w:val="subscript"/>
              </w:rPr>
              <w:t>i</w:t>
            </w:r>
          </w:p>
        </w:tc>
        <w:tc>
          <w:tcPr>
            <w:tcW w:w="565" w:type="dxa"/>
          </w:tcPr>
          <w:p>
            <w:pPr>
              <w:spacing w:line="360" w:lineRule="auto"/>
              <w:rPr>
                <w:sz w:val="24"/>
              </w:rPr>
            </w:pPr>
            <w:r>
              <w:rPr>
                <w:sz w:val="24"/>
              </w:rPr>
              <w:t>—</w:t>
            </w:r>
          </w:p>
        </w:tc>
        <w:tc>
          <w:tcPr>
            <w:tcW w:w="6764" w:type="dxa"/>
          </w:tcPr>
          <w:p>
            <w:pPr>
              <w:spacing w:line="360" w:lineRule="auto"/>
              <w:rPr>
                <w:sz w:val="24"/>
              </w:rPr>
            </w:pPr>
            <w:r>
              <w:rPr>
                <w:rFonts w:hint="eastAsia"/>
                <w:sz w:val="24"/>
              </w:rPr>
              <w:t>不同地貌单元的面积</w:t>
            </w:r>
            <w:r>
              <w:rPr>
                <w:sz w:val="24"/>
              </w:rPr>
              <w:t>(m</w:t>
            </w:r>
            <w:r>
              <w:rPr>
                <w:sz w:val="24"/>
                <w:vertAlign w:val="superscript"/>
              </w:rPr>
              <w:t>2</w:t>
            </w:r>
            <w:r>
              <w:rPr>
                <w:sz w:val="24"/>
              </w:rPr>
              <w:t>)</w:t>
            </w:r>
            <w:r>
              <w:rPr>
                <w:rFonts w:hint="eastAsia"/>
                <w:sz w:val="24"/>
              </w:rPr>
              <w:t>；</w:t>
            </w:r>
          </w:p>
        </w:tc>
      </w:tr>
      <w:tr>
        <w:tblPrEx>
          <w:tblCellMar>
            <w:top w:w="0" w:type="dxa"/>
            <w:left w:w="108" w:type="dxa"/>
            <w:bottom w:w="0" w:type="dxa"/>
            <w:right w:w="108" w:type="dxa"/>
          </w:tblCellMar>
        </w:tblPrEx>
        <w:tc>
          <w:tcPr>
            <w:tcW w:w="1091" w:type="dxa"/>
          </w:tcPr>
          <w:p>
            <w:pPr>
              <w:spacing w:line="360" w:lineRule="auto"/>
              <w:jc w:val="right"/>
              <w:rPr>
                <w:i/>
                <w:sz w:val="24"/>
              </w:rPr>
            </w:pPr>
            <w:r>
              <w:rPr>
                <w:rFonts w:hint="eastAsia" w:ascii="宋体" w:hAnsi="宋体"/>
                <w:i/>
                <w:sz w:val="24"/>
              </w:rPr>
              <w:t>α</w:t>
            </w:r>
            <w:r>
              <w:rPr>
                <w:i/>
                <w:sz w:val="24"/>
                <w:vertAlign w:val="subscript"/>
              </w:rPr>
              <w:t>i</w:t>
            </w:r>
          </w:p>
        </w:tc>
        <w:tc>
          <w:tcPr>
            <w:tcW w:w="565" w:type="dxa"/>
          </w:tcPr>
          <w:p>
            <w:pPr>
              <w:spacing w:line="360" w:lineRule="auto"/>
              <w:rPr>
                <w:sz w:val="24"/>
              </w:rPr>
            </w:pPr>
            <w:r>
              <w:rPr>
                <w:sz w:val="24"/>
              </w:rPr>
              <w:t>—</w:t>
            </w:r>
          </w:p>
        </w:tc>
        <w:tc>
          <w:tcPr>
            <w:tcW w:w="6764" w:type="dxa"/>
          </w:tcPr>
          <w:p>
            <w:pPr>
              <w:spacing w:line="360" w:lineRule="auto"/>
              <w:rPr>
                <w:sz w:val="24"/>
              </w:rPr>
            </w:pPr>
            <w:r>
              <w:rPr>
                <w:rFonts w:hint="eastAsia"/>
                <w:sz w:val="24"/>
              </w:rPr>
              <w:t>不同地貌单元的降水入渗系数；</w:t>
            </w:r>
          </w:p>
        </w:tc>
      </w:tr>
      <w:tr>
        <w:tblPrEx>
          <w:tblCellMar>
            <w:top w:w="0" w:type="dxa"/>
            <w:left w:w="108" w:type="dxa"/>
            <w:bottom w:w="0" w:type="dxa"/>
            <w:right w:w="108" w:type="dxa"/>
          </w:tblCellMar>
        </w:tblPrEx>
        <w:tc>
          <w:tcPr>
            <w:tcW w:w="1091" w:type="dxa"/>
          </w:tcPr>
          <w:p>
            <w:pPr>
              <w:spacing w:line="360" w:lineRule="auto"/>
              <w:jc w:val="right"/>
              <w:rPr>
                <w:i/>
                <w:sz w:val="24"/>
              </w:rPr>
            </w:pPr>
            <w:r>
              <w:rPr>
                <w:i/>
                <w:sz w:val="24"/>
              </w:rPr>
              <w:t>n</w:t>
            </w:r>
          </w:p>
        </w:tc>
        <w:tc>
          <w:tcPr>
            <w:tcW w:w="565" w:type="dxa"/>
          </w:tcPr>
          <w:p>
            <w:pPr>
              <w:spacing w:line="360" w:lineRule="auto"/>
              <w:rPr>
                <w:sz w:val="24"/>
              </w:rPr>
            </w:pPr>
            <w:r>
              <w:rPr>
                <w:sz w:val="24"/>
              </w:rPr>
              <w:t>—</w:t>
            </w:r>
          </w:p>
        </w:tc>
        <w:tc>
          <w:tcPr>
            <w:tcW w:w="6764" w:type="dxa"/>
          </w:tcPr>
          <w:p>
            <w:pPr>
              <w:spacing w:line="360" w:lineRule="auto"/>
              <w:rPr>
                <w:sz w:val="24"/>
              </w:rPr>
            </w:pPr>
            <w:r>
              <w:rPr>
                <w:rFonts w:hint="eastAsia"/>
                <w:sz w:val="24"/>
              </w:rPr>
              <w:t>地貌单元的个数。</w:t>
            </w:r>
          </w:p>
        </w:tc>
      </w:tr>
    </w:tbl>
    <w:p>
      <w:pPr>
        <w:pStyle w:val="63"/>
        <w:ind w:firstLine="480"/>
        <w:rPr>
          <w:color w:val="auto"/>
        </w:rPr>
      </w:pPr>
      <w:r>
        <w:rPr>
          <w:rFonts w:hint="eastAsia"/>
          <w:color w:val="auto"/>
        </w:rPr>
        <w:t>各地貌单元面积在</w:t>
      </w:r>
      <w:r>
        <w:rPr>
          <w:color w:val="auto"/>
        </w:rPr>
        <w:t>1</w:t>
      </w:r>
      <w:r>
        <w:rPr>
          <w:rFonts w:hint="eastAsia"/>
          <w:color w:val="auto"/>
        </w:rPr>
        <w:t>：</w:t>
      </w:r>
      <w:r>
        <w:rPr>
          <w:color w:val="auto"/>
        </w:rPr>
        <w:t>5</w:t>
      </w:r>
      <w:r>
        <w:rPr>
          <w:rFonts w:hint="eastAsia"/>
          <w:color w:val="auto"/>
        </w:rPr>
        <w:t>万数字化地质地貌图上量取，根据泾阳气象台观测资料（</w:t>
      </w:r>
      <w:r>
        <w:rPr>
          <w:color w:val="auto"/>
        </w:rPr>
        <w:t>2001</w:t>
      </w:r>
      <w:r>
        <w:rPr>
          <w:rFonts w:hint="eastAsia"/>
          <w:color w:val="auto"/>
        </w:rPr>
        <w:t>-</w:t>
      </w:r>
      <w:r>
        <w:rPr>
          <w:color w:val="auto"/>
        </w:rPr>
        <w:t>2012</w:t>
      </w:r>
      <w:r>
        <w:rPr>
          <w:rFonts w:hint="eastAsia"/>
          <w:color w:val="auto"/>
        </w:rPr>
        <w:t>年），多年平均降水量</w:t>
      </w:r>
      <w:r>
        <w:rPr>
          <w:color w:val="auto"/>
        </w:rPr>
        <w:t>532.2</w:t>
      </w:r>
      <w:r>
        <w:rPr>
          <w:rFonts w:hint="eastAsia"/>
          <w:color w:val="auto"/>
        </w:rPr>
        <w:t>mm，河漫滩和一级阶地入渗系数分别0.30和0.15，对水源地按不同地貌单元计算其天然补给量，结果见表7.5-1。</w:t>
      </w:r>
    </w:p>
    <w:p>
      <w:pPr>
        <w:pStyle w:val="65"/>
      </w:pPr>
      <w:r>
        <w:rPr>
          <w:rFonts w:hint="eastAsia"/>
        </w:rPr>
        <w:t>表7.5-1开采区内大气降水入渗补给量计算成果表</w:t>
      </w:r>
    </w:p>
    <w:tbl>
      <w:tblPr>
        <w:tblStyle w:val="24"/>
        <w:tblW w:w="912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22"/>
        <w:gridCol w:w="895"/>
        <w:gridCol w:w="856"/>
        <w:gridCol w:w="703"/>
        <w:gridCol w:w="856"/>
        <w:gridCol w:w="704"/>
        <w:gridCol w:w="1768"/>
        <w:gridCol w:w="751"/>
        <w:gridCol w:w="8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22" w:type="dxa"/>
            <w:vMerge w:val="restart"/>
            <w:shd w:val="clear" w:color="auto" w:fill="auto"/>
            <w:vAlign w:val="center"/>
          </w:tcPr>
          <w:p>
            <w:pPr>
              <w:widowControl/>
              <w:jc w:val="center"/>
              <w:rPr>
                <w:b/>
                <w:kern w:val="0"/>
                <w:szCs w:val="21"/>
              </w:rPr>
            </w:pPr>
            <w:r>
              <w:rPr>
                <w:b/>
                <w:kern w:val="0"/>
                <w:szCs w:val="21"/>
              </w:rPr>
              <w:t>地貌单元</w:t>
            </w:r>
          </w:p>
        </w:tc>
        <w:tc>
          <w:tcPr>
            <w:tcW w:w="4014" w:type="dxa"/>
            <w:gridSpan w:val="5"/>
            <w:shd w:val="clear" w:color="auto" w:fill="auto"/>
            <w:vAlign w:val="center"/>
          </w:tcPr>
          <w:p>
            <w:pPr>
              <w:widowControl/>
              <w:jc w:val="center"/>
              <w:rPr>
                <w:b/>
                <w:kern w:val="0"/>
                <w:szCs w:val="21"/>
              </w:rPr>
            </w:pPr>
            <w:r>
              <w:rPr>
                <w:b/>
                <w:kern w:val="0"/>
                <w:szCs w:val="21"/>
              </w:rPr>
              <w:t>不同保证率降水量下的补给量(10</w:t>
            </w:r>
            <w:r>
              <w:rPr>
                <w:b/>
                <w:kern w:val="0"/>
                <w:szCs w:val="21"/>
                <w:vertAlign w:val="superscript"/>
              </w:rPr>
              <w:t>4</w:t>
            </w:r>
            <w:r>
              <w:rPr>
                <w:b/>
                <w:kern w:val="0"/>
                <w:szCs w:val="21"/>
              </w:rPr>
              <w:t>m</w:t>
            </w:r>
            <w:r>
              <w:rPr>
                <w:b/>
                <w:kern w:val="0"/>
                <w:szCs w:val="21"/>
                <w:vertAlign w:val="superscript"/>
              </w:rPr>
              <w:t>3</w:t>
            </w:r>
            <w:r>
              <w:rPr>
                <w:b/>
                <w:kern w:val="0"/>
                <w:szCs w:val="21"/>
              </w:rPr>
              <w:t>/d)</w:t>
            </w:r>
          </w:p>
        </w:tc>
        <w:tc>
          <w:tcPr>
            <w:tcW w:w="1768" w:type="dxa"/>
            <w:vMerge w:val="restart"/>
            <w:shd w:val="clear" w:color="auto" w:fill="auto"/>
            <w:vAlign w:val="center"/>
          </w:tcPr>
          <w:p>
            <w:pPr>
              <w:widowControl/>
              <w:jc w:val="center"/>
              <w:rPr>
                <w:b/>
                <w:kern w:val="0"/>
                <w:szCs w:val="21"/>
              </w:rPr>
            </w:pPr>
            <w:r>
              <w:rPr>
                <w:b/>
                <w:kern w:val="0"/>
                <w:szCs w:val="21"/>
              </w:rPr>
              <w:t>多年平均降水量</w:t>
            </w:r>
          </w:p>
          <w:p>
            <w:pPr>
              <w:widowControl/>
              <w:jc w:val="center"/>
              <w:rPr>
                <w:b/>
                <w:kern w:val="0"/>
                <w:szCs w:val="21"/>
              </w:rPr>
            </w:pPr>
            <w:r>
              <w:rPr>
                <w:b/>
                <w:kern w:val="0"/>
                <w:szCs w:val="21"/>
              </w:rPr>
              <w:t>下的补给量</w:t>
            </w:r>
          </w:p>
          <w:p>
            <w:pPr>
              <w:widowControl/>
              <w:jc w:val="center"/>
              <w:rPr>
                <w:b/>
                <w:kern w:val="0"/>
                <w:szCs w:val="21"/>
              </w:rPr>
            </w:pPr>
            <w:r>
              <w:rPr>
                <w:b/>
                <w:kern w:val="0"/>
                <w:szCs w:val="21"/>
              </w:rPr>
              <w:t>(10</w:t>
            </w:r>
            <w:r>
              <w:rPr>
                <w:b/>
                <w:kern w:val="0"/>
                <w:szCs w:val="21"/>
                <w:vertAlign w:val="superscript"/>
              </w:rPr>
              <w:t>4</w:t>
            </w:r>
            <w:r>
              <w:rPr>
                <w:b/>
                <w:kern w:val="0"/>
                <w:szCs w:val="21"/>
              </w:rPr>
              <w:t>m</w:t>
            </w:r>
            <w:r>
              <w:rPr>
                <w:b/>
                <w:kern w:val="0"/>
                <w:szCs w:val="21"/>
                <w:vertAlign w:val="superscript"/>
              </w:rPr>
              <w:t>3</w:t>
            </w:r>
            <w:r>
              <w:rPr>
                <w:b/>
                <w:kern w:val="0"/>
                <w:szCs w:val="21"/>
              </w:rPr>
              <w:t>/d)</w:t>
            </w:r>
          </w:p>
        </w:tc>
        <w:tc>
          <w:tcPr>
            <w:tcW w:w="751" w:type="dxa"/>
            <w:vMerge w:val="restart"/>
            <w:shd w:val="clear" w:color="auto" w:fill="auto"/>
            <w:vAlign w:val="center"/>
          </w:tcPr>
          <w:p>
            <w:pPr>
              <w:widowControl/>
              <w:jc w:val="center"/>
              <w:rPr>
                <w:b/>
                <w:kern w:val="0"/>
                <w:szCs w:val="21"/>
              </w:rPr>
            </w:pPr>
            <w:r>
              <w:rPr>
                <w:b/>
                <w:kern w:val="0"/>
                <w:szCs w:val="21"/>
              </w:rPr>
              <w:t>入渗</w:t>
            </w:r>
          </w:p>
          <w:p>
            <w:pPr>
              <w:widowControl/>
              <w:jc w:val="center"/>
              <w:rPr>
                <w:b/>
                <w:kern w:val="0"/>
                <w:szCs w:val="21"/>
              </w:rPr>
            </w:pPr>
            <w:r>
              <w:rPr>
                <w:b/>
                <w:kern w:val="0"/>
                <w:szCs w:val="21"/>
              </w:rPr>
              <w:t>系数</w:t>
            </w:r>
          </w:p>
        </w:tc>
        <w:tc>
          <w:tcPr>
            <w:tcW w:w="873" w:type="dxa"/>
            <w:vMerge w:val="restart"/>
            <w:shd w:val="clear" w:color="auto" w:fill="auto"/>
            <w:vAlign w:val="center"/>
          </w:tcPr>
          <w:p>
            <w:pPr>
              <w:widowControl/>
              <w:jc w:val="center"/>
              <w:rPr>
                <w:b/>
                <w:kern w:val="0"/>
                <w:szCs w:val="21"/>
              </w:rPr>
            </w:pPr>
            <w:r>
              <w:rPr>
                <w:b/>
                <w:kern w:val="0"/>
                <w:szCs w:val="21"/>
              </w:rPr>
              <w:t>计算</w:t>
            </w:r>
          </w:p>
          <w:p>
            <w:pPr>
              <w:widowControl/>
              <w:jc w:val="center"/>
              <w:rPr>
                <w:b/>
                <w:kern w:val="0"/>
                <w:szCs w:val="21"/>
              </w:rPr>
            </w:pPr>
            <w:r>
              <w:rPr>
                <w:b/>
                <w:kern w:val="0"/>
                <w:szCs w:val="21"/>
              </w:rPr>
              <w:t>面积</w:t>
            </w:r>
          </w:p>
          <w:p>
            <w:pPr>
              <w:widowControl/>
              <w:jc w:val="center"/>
              <w:rPr>
                <w:b/>
                <w:kern w:val="0"/>
                <w:szCs w:val="21"/>
              </w:rPr>
            </w:pPr>
            <w:r>
              <w:rPr>
                <w:b/>
                <w:kern w:val="0"/>
                <w:szCs w:val="21"/>
              </w:rPr>
              <w:t>(km</w:t>
            </w:r>
            <w:r>
              <w:rPr>
                <w:b/>
                <w:kern w:val="0"/>
                <w:szCs w:val="21"/>
                <w:vertAlign w:val="superscript"/>
              </w:rPr>
              <w:t>2</w:t>
            </w:r>
            <w:r>
              <w:rPr>
                <w:b/>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22" w:type="dxa"/>
            <w:vMerge w:val="continue"/>
            <w:vAlign w:val="center"/>
          </w:tcPr>
          <w:p>
            <w:pPr>
              <w:widowControl/>
              <w:jc w:val="left"/>
              <w:rPr>
                <w:kern w:val="0"/>
                <w:szCs w:val="21"/>
              </w:rPr>
            </w:pPr>
          </w:p>
        </w:tc>
        <w:tc>
          <w:tcPr>
            <w:tcW w:w="895" w:type="dxa"/>
            <w:shd w:val="clear" w:color="auto" w:fill="auto"/>
            <w:vAlign w:val="center"/>
          </w:tcPr>
          <w:p>
            <w:pPr>
              <w:widowControl/>
              <w:jc w:val="center"/>
              <w:rPr>
                <w:b/>
                <w:kern w:val="0"/>
                <w:szCs w:val="21"/>
              </w:rPr>
            </w:pPr>
            <w:r>
              <w:rPr>
                <w:b/>
                <w:kern w:val="0"/>
                <w:szCs w:val="21"/>
              </w:rPr>
              <w:t>25%</w:t>
            </w:r>
          </w:p>
        </w:tc>
        <w:tc>
          <w:tcPr>
            <w:tcW w:w="856" w:type="dxa"/>
            <w:shd w:val="clear" w:color="auto" w:fill="auto"/>
            <w:vAlign w:val="center"/>
          </w:tcPr>
          <w:p>
            <w:pPr>
              <w:widowControl/>
              <w:jc w:val="center"/>
              <w:rPr>
                <w:b/>
                <w:kern w:val="0"/>
                <w:szCs w:val="21"/>
              </w:rPr>
            </w:pPr>
            <w:r>
              <w:rPr>
                <w:b/>
                <w:kern w:val="0"/>
                <w:szCs w:val="21"/>
              </w:rPr>
              <w:t>50%</w:t>
            </w:r>
          </w:p>
        </w:tc>
        <w:tc>
          <w:tcPr>
            <w:tcW w:w="703" w:type="dxa"/>
            <w:shd w:val="clear" w:color="auto" w:fill="auto"/>
            <w:vAlign w:val="center"/>
          </w:tcPr>
          <w:p>
            <w:pPr>
              <w:widowControl/>
              <w:jc w:val="center"/>
              <w:rPr>
                <w:b/>
                <w:kern w:val="0"/>
                <w:szCs w:val="21"/>
              </w:rPr>
            </w:pPr>
            <w:r>
              <w:rPr>
                <w:b/>
                <w:kern w:val="0"/>
                <w:szCs w:val="21"/>
              </w:rPr>
              <w:t>75%</w:t>
            </w:r>
          </w:p>
        </w:tc>
        <w:tc>
          <w:tcPr>
            <w:tcW w:w="856" w:type="dxa"/>
            <w:shd w:val="clear" w:color="auto" w:fill="auto"/>
            <w:vAlign w:val="center"/>
          </w:tcPr>
          <w:p>
            <w:pPr>
              <w:widowControl/>
              <w:jc w:val="center"/>
              <w:rPr>
                <w:b/>
                <w:kern w:val="0"/>
                <w:szCs w:val="21"/>
              </w:rPr>
            </w:pPr>
            <w:r>
              <w:rPr>
                <w:b/>
                <w:kern w:val="0"/>
                <w:szCs w:val="21"/>
              </w:rPr>
              <w:t>90%</w:t>
            </w:r>
          </w:p>
        </w:tc>
        <w:tc>
          <w:tcPr>
            <w:tcW w:w="704" w:type="dxa"/>
            <w:shd w:val="clear" w:color="auto" w:fill="auto"/>
            <w:vAlign w:val="center"/>
          </w:tcPr>
          <w:p>
            <w:pPr>
              <w:widowControl/>
              <w:jc w:val="center"/>
              <w:rPr>
                <w:b/>
                <w:kern w:val="0"/>
                <w:szCs w:val="21"/>
              </w:rPr>
            </w:pPr>
            <w:r>
              <w:rPr>
                <w:b/>
                <w:kern w:val="0"/>
                <w:szCs w:val="21"/>
              </w:rPr>
              <w:t>95%</w:t>
            </w:r>
          </w:p>
        </w:tc>
        <w:tc>
          <w:tcPr>
            <w:tcW w:w="1768" w:type="dxa"/>
            <w:vMerge w:val="continue"/>
            <w:vAlign w:val="center"/>
          </w:tcPr>
          <w:p>
            <w:pPr>
              <w:widowControl/>
              <w:jc w:val="left"/>
              <w:rPr>
                <w:kern w:val="0"/>
                <w:szCs w:val="21"/>
              </w:rPr>
            </w:pPr>
          </w:p>
        </w:tc>
        <w:tc>
          <w:tcPr>
            <w:tcW w:w="751" w:type="dxa"/>
            <w:vMerge w:val="continue"/>
            <w:vAlign w:val="center"/>
          </w:tcPr>
          <w:p>
            <w:pPr>
              <w:widowControl/>
              <w:jc w:val="left"/>
              <w:rPr>
                <w:kern w:val="0"/>
                <w:szCs w:val="21"/>
              </w:rPr>
            </w:pPr>
          </w:p>
        </w:tc>
        <w:tc>
          <w:tcPr>
            <w:tcW w:w="873" w:type="dxa"/>
            <w:vMerge w:val="continue"/>
            <w:vAlign w:val="center"/>
          </w:tcPr>
          <w:p>
            <w:pPr>
              <w:widowControl/>
              <w:jc w:val="left"/>
              <w:rPr>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22" w:type="dxa"/>
            <w:shd w:val="clear" w:color="auto" w:fill="auto"/>
            <w:vAlign w:val="center"/>
          </w:tcPr>
          <w:p>
            <w:pPr>
              <w:widowControl/>
              <w:jc w:val="center"/>
              <w:rPr>
                <w:kern w:val="0"/>
                <w:szCs w:val="21"/>
              </w:rPr>
            </w:pPr>
            <w:r>
              <w:rPr>
                <w:kern w:val="0"/>
                <w:szCs w:val="21"/>
              </w:rPr>
              <w:t>降水量(mm)</w:t>
            </w:r>
          </w:p>
        </w:tc>
        <w:tc>
          <w:tcPr>
            <w:tcW w:w="895" w:type="dxa"/>
            <w:shd w:val="clear" w:color="auto" w:fill="auto"/>
            <w:vAlign w:val="center"/>
          </w:tcPr>
          <w:p>
            <w:pPr>
              <w:widowControl/>
              <w:jc w:val="center"/>
              <w:rPr>
                <w:kern w:val="0"/>
                <w:szCs w:val="21"/>
              </w:rPr>
            </w:pPr>
            <w:r>
              <w:rPr>
                <w:kern w:val="0"/>
                <w:szCs w:val="21"/>
              </w:rPr>
              <w:t>582</w:t>
            </w:r>
          </w:p>
        </w:tc>
        <w:tc>
          <w:tcPr>
            <w:tcW w:w="856" w:type="dxa"/>
            <w:shd w:val="clear" w:color="auto" w:fill="auto"/>
            <w:vAlign w:val="center"/>
          </w:tcPr>
          <w:p>
            <w:pPr>
              <w:widowControl/>
              <w:jc w:val="center"/>
              <w:rPr>
                <w:kern w:val="0"/>
                <w:szCs w:val="21"/>
              </w:rPr>
            </w:pPr>
            <w:r>
              <w:rPr>
                <w:kern w:val="0"/>
                <w:szCs w:val="21"/>
              </w:rPr>
              <w:t>487</w:t>
            </w:r>
          </w:p>
        </w:tc>
        <w:tc>
          <w:tcPr>
            <w:tcW w:w="703" w:type="dxa"/>
            <w:shd w:val="clear" w:color="auto" w:fill="auto"/>
            <w:vAlign w:val="center"/>
          </w:tcPr>
          <w:p>
            <w:pPr>
              <w:widowControl/>
              <w:jc w:val="center"/>
              <w:rPr>
                <w:kern w:val="0"/>
                <w:szCs w:val="21"/>
              </w:rPr>
            </w:pPr>
            <w:r>
              <w:rPr>
                <w:kern w:val="0"/>
                <w:szCs w:val="21"/>
              </w:rPr>
              <w:t>408</w:t>
            </w:r>
          </w:p>
        </w:tc>
        <w:tc>
          <w:tcPr>
            <w:tcW w:w="856" w:type="dxa"/>
            <w:shd w:val="clear" w:color="auto" w:fill="auto"/>
            <w:vAlign w:val="center"/>
          </w:tcPr>
          <w:p>
            <w:pPr>
              <w:widowControl/>
              <w:jc w:val="center"/>
              <w:rPr>
                <w:kern w:val="0"/>
                <w:szCs w:val="21"/>
              </w:rPr>
            </w:pPr>
            <w:r>
              <w:rPr>
                <w:kern w:val="0"/>
                <w:szCs w:val="21"/>
              </w:rPr>
              <w:t>349</w:t>
            </w:r>
          </w:p>
        </w:tc>
        <w:tc>
          <w:tcPr>
            <w:tcW w:w="704" w:type="dxa"/>
            <w:shd w:val="clear" w:color="auto" w:fill="auto"/>
            <w:vAlign w:val="center"/>
          </w:tcPr>
          <w:p>
            <w:pPr>
              <w:widowControl/>
              <w:jc w:val="center"/>
              <w:rPr>
                <w:kern w:val="0"/>
                <w:szCs w:val="21"/>
              </w:rPr>
            </w:pPr>
            <w:r>
              <w:rPr>
                <w:kern w:val="0"/>
                <w:szCs w:val="21"/>
              </w:rPr>
              <w:t>319</w:t>
            </w:r>
          </w:p>
        </w:tc>
        <w:tc>
          <w:tcPr>
            <w:tcW w:w="1768" w:type="dxa"/>
            <w:shd w:val="clear" w:color="auto" w:fill="auto"/>
            <w:vAlign w:val="center"/>
          </w:tcPr>
          <w:p>
            <w:pPr>
              <w:widowControl/>
              <w:jc w:val="center"/>
              <w:rPr>
                <w:kern w:val="0"/>
                <w:szCs w:val="21"/>
              </w:rPr>
            </w:pPr>
            <w:r>
              <w:rPr>
                <w:kern w:val="0"/>
                <w:szCs w:val="21"/>
              </w:rPr>
              <w:t>504</w:t>
            </w:r>
          </w:p>
        </w:tc>
        <w:tc>
          <w:tcPr>
            <w:tcW w:w="751" w:type="dxa"/>
            <w:shd w:val="clear" w:color="auto" w:fill="auto"/>
            <w:vAlign w:val="center"/>
          </w:tcPr>
          <w:p>
            <w:pPr>
              <w:widowControl/>
              <w:jc w:val="center"/>
              <w:rPr>
                <w:kern w:val="0"/>
                <w:szCs w:val="21"/>
              </w:rPr>
            </w:pPr>
            <w:r>
              <w:rPr>
                <w:kern w:val="0"/>
                <w:szCs w:val="21"/>
              </w:rPr>
              <w:t>　</w:t>
            </w:r>
          </w:p>
        </w:tc>
        <w:tc>
          <w:tcPr>
            <w:tcW w:w="873" w:type="dxa"/>
            <w:shd w:val="clear" w:color="auto" w:fill="auto"/>
            <w:vAlign w:val="center"/>
          </w:tcPr>
          <w:p>
            <w:pPr>
              <w:widowControl/>
              <w:jc w:val="center"/>
              <w:rPr>
                <w:kern w:val="0"/>
                <w:szCs w:val="21"/>
              </w:rPr>
            </w:pPr>
            <w:r>
              <w:rPr>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22" w:type="dxa"/>
            <w:shd w:val="clear" w:color="auto" w:fill="auto"/>
            <w:vAlign w:val="center"/>
          </w:tcPr>
          <w:p>
            <w:pPr>
              <w:widowControl/>
              <w:jc w:val="center"/>
              <w:rPr>
                <w:kern w:val="0"/>
                <w:szCs w:val="21"/>
              </w:rPr>
            </w:pPr>
            <w:r>
              <w:rPr>
                <w:kern w:val="0"/>
                <w:szCs w:val="21"/>
              </w:rPr>
              <w:t>河漫滩</w:t>
            </w:r>
          </w:p>
        </w:tc>
        <w:tc>
          <w:tcPr>
            <w:tcW w:w="895" w:type="dxa"/>
            <w:shd w:val="clear" w:color="auto" w:fill="auto"/>
            <w:vAlign w:val="center"/>
          </w:tcPr>
          <w:p>
            <w:pPr>
              <w:widowControl/>
              <w:jc w:val="center"/>
              <w:rPr>
                <w:kern w:val="0"/>
                <w:szCs w:val="21"/>
              </w:rPr>
            </w:pPr>
            <w:r>
              <w:rPr>
                <w:kern w:val="0"/>
                <w:szCs w:val="21"/>
              </w:rPr>
              <w:t xml:space="preserve">1.12 </w:t>
            </w:r>
          </w:p>
        </w:tc>
        <w:tc>
          <w:tcPr>
            <w:tcW w:w="856" w:type="dxa"/>
            <w:shd w:val="clear" w:color="auto" w:fill="auto"/>
            <w:vAlign w:val="center"/>
          </w:tcPr>
          <w:p>
            <w:pPr>
              <w:widowControl/>
              <w:jc w:val="center"/>
              <w:rPr>
                <w:kern w:val="0"/>
                <w:szCs w:val="21"/>
              </w:rPr>
            </w:pPr>
            <w:r>
              <w:rPr>
                <w:kern w:val="0"/>
                <w:szCs w:val="21"/>
              </w:rPr>
              <w:t xml:space="preserve">0.94 </w:t>
            </w:r>
          </w:p>
        </w:tc>
        <w:tc>
          <w:tcPr>
            <w:tcW w:w="703" w:type="dxa"/>
            <w:shd w:val="clear" w:color="auto" w:fill="auto"/>
            <w:vAlign w:val="center"/>
          </w:tcPr>
          <w:p>
            <w:pPr>
              <w:widowControl/>
              <w:jc w:val="center"/>
              <w:rPr>
                <w:kern w:val="0"/>
                <w:szCs w:val="21"/>
              </w:rPr>
            </w:pPr>
            <w:r>
              <w:rPr>
                <w:kern w:val="0"/>
                <w:szCs w:val="21"/>
              </w:rPr>
              <w:t xml:space="preserve">0.79 </w:t>
            </w:r>
          </w:p>
        </w:tc>
        <w:tc>
          <w:tcPr>
            <w:tcW w:w="856" w:type="dxa"/>
            <w:shd w:val="clear" w:color="auto" w:fill="auto"/>
            <w:vAlign w:val="center"/>
          </w:tcPr>
          <w:p>
            <w:pPr>
              <w:widowControl/>
              <w:jc w:val="center"/>
              <w:rPr>
                <w:kern w:val="0"/>
                <w:szCs w:val="21"/>
              </w:rPr>
            </w:pPr>
            <w:r>
              <w:rPr>
                <w:kern w:val="0"/>
                <w:szCs w:val="21"/>
              </w:rPr>
              <w:t xml:space="preserve">0.67 </w:t>
            </w:r>
          </w:p>
        </w:tc>
        <w:tc>
          <w:tcPr>
            <w:tcW w:w="704" w:type="dxa"/>
            <w:shd w:val="clear" w:color="auto" w:fill="auto"/>
            <w:vAlign w:val="center"/>
          </w:tcPr>
          <w:p>
            <w:pPr>
              <w:widowControl/>
              <w:jc w:val="center"/>
              <w:rPr>
                <w:kern w:val="0"/>
                <w:szCs w:val="21"/>
              </w:rPr>
            </w:pPr>
            <w:r>
              <w:rPr>
                <w:kern w:val="0"/>
                <w:szCs w:val="21"/>
              </w:rPr>
              <w:t xml:space="preserve">0.62 </w:t>
            </w:r>
          </w:p>
        </w:tc>
        <w:tc>
          <w:tcPr>
            <w:tcW w:w="1768" w:type="dxa"/>
            <w:shd w:val="clear" w:color="auto" w:fill="auto"/>
            <w:vAlign w:val="center"/>
          </w:tcPr>
          <w:p>
            <w:pPr>
              <w:widowControl/>
              <w:jc w:val="center"/>
              <w:rPr>
                <w:kern w:val="0"/>
                <w:szCs w:val="21"/>
              </w:rPr>
            </w:pPr>
            <w:r>
              <w:rPr>
                <w:kern w:val="0"/>
                <w:szCs w:val="21"/>
              </w:rPr>
              <w:t xml:space="preserve">0.97 </w:t>
            </w:r>
          </w:p>
        </w:tc>
        <w:tc>
          <w:tcPr>
            <w:tcW w:w="751" w:type="dxa"/>
            <w:shd w:val="clear" w:color="auto" w:fill="auto"/>
            <w:vAlign w:val="center"/>
          </w:tcPr>
          <w:p>
            <w:pPr>
              <w:widowControl/>
              <w:jc w:val="center"/>
              <w:rPr>
                <w:kern w:val="0"/>
                <w:szCs w:val="21"/>
              </w:rPr>
            </w:pPr>
            <w:r>
              <w:rPr>
                <w:kern w:val="0"/>
                <w:szCs w:val="21"/>
              </w:rPr>
              <w:t xml:space="preserve">0.30 </w:t>
            </w:r>
          </w:p>
        </w:tc>
        <w:tc>
          <w:tcPr>
            <w:tcW w:w="873" w:type="dxa"/>
            <w:shd w:val="clear" w:color="auto" w:fill="auto"/>
            <w:vAlign w:val="center"/>
          </w:tcPr>
          <w:p>
            <w:pPr>
              <w:widowControl/>
              <w:jc w:val="center"/>
              <w:rPr>
                <w:kern w:val="0"/>
                <w:szCs w:val="21"/>
              </w:rPr>
            </w:pPr>
            <w:r>
              <w:rPr>
                <w:kern w:val="0"/>
                <w:szCs w:val="21"/>
              </w:rPr>
              <w:t xml:space="preserve">23.49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22" w:type="dxa"/>
            <w:shd w:val="clear" w:color="auto" w:fill="auto"/>
            <w:vAlign w:val="center"/>
          </w:tcPr>
          <w:p>
            <w:pPr>
              <w:widowControl/>
              <w:jc w:val="center"/>
              <w:rPr>
                <w:kern w:val="0"/>
                <w:szCs w:val="21"/>
              </w:rPr>
            </w:pPr>
            <w:r>
              <w:rPr>
                <w:kern w:val="0"/>
                <w:szCs w:val="21"/>
              </w:rPr>
              <w:t>一级阶地</w:t>
            </w:r>
          </w:p>
        </w:tc>
        <w:tc>
          <w:tcPr>
            <w:tcW w:w="895" w:type="dxa"/>
            <w:shd w:val="clear" w:color="auto" w:fill="auto"/>
            <w:vAlign w:val="center"/>
          </w:tcPr>
          <w:p>
            <w:pPr>
              <w:widowControl/>
              <w:jc w:val="center"/>
              <w:rPr>
                <w:kern w:val="0"/>
                <w:szCs w:val="21"/>
              </w:rPr>
            </w:pPr>
            <w:r>
              <w:rPr>
                <w:kern w:val="0"/>
                <w:szCs w:val="21"/>
              </w:rPr>
              <w:t xml:space="preserve">3.13 </w:t>
            </w:r>
          </w:p>
        </w:tc>
        <w:tc>
          <w:tcPr>
            <w:tcW w:w="856" w:type="dxa"/>
            <w:shd w:val="clear" w:color="auto" w:fill="auto"/>
            <w:vAlign w:val="center"/>
          </w:tcPr>
          <w:p>
            <w:pPr>
              <w:widowControl/>
              <w:jc w:val="center"/>
              <w:rPr>
                <w:kern w:val="0"/>
                <w:szCs w:val="21"/>
              </w:rPr>
            </w:pPr>
            <w:r>
              <w:rPr>
                <w:kern w:val="0"/>
                <w:szCs w:val="21"/>
              </w:rPr>
              <w:t xml:space="preserve">2.62 </w:t>
            </w:r>
          </w:p>
        </w:tc>
        <w:tc>
          <w:tcPr>
            <w:tcW w:w="703" w:type="dxa"/>
            <w:shd w:val="clear" w:color="auto" w:fill="auto"/>
            <w:vAlign w:val="center"/>
          </w:tcPr>
          <w:p>
            <w:pPr>
              <w:widowControl/>
              <w:jc w:val="center"/>
              <w:rPr>
                <w:kern w:val="0"/>
                <w:szCs w:val="21"/>
              </w:rPr>
            </w:pPr>
            <w:r>
              <w:rPr>
                <w:kern w:val="0"/>
                <w:szCs w:val="21"/>
              </w:rPr>
              <w:t xml:space="preserve">2.19 </w:t>
            </w:r>
          </w:p>
        </w:tc>
        <w:tc>
          <w:tcPr>
            <w:tcW w:w="856" w:type="dxa"/>
            <w:shd w:val="clear" w:color="auto" w:fill="auto"/>
            <w:vAlign w:val="center"/>
          </w:tcPr>
          <w:p>
            <w:pPr>
              <w:widowControl/>
              <w:jc w:val="center"/>
              <w:rPr>
                <w:kern w:val="0"/>
                <w:szCs w:val="21"/>
              </w:rPr>
            </w:pPr>
            <w:r>
              <w:rPr>
                <w:kern w:val="0"/>
                <w:szCs w:val="21"/>
              </w:rPr>
              <w:t xml:space="preserve">1.88 </w:t>
            </w:r>
          </w:p>
        </w:tc>
        <w:tc>
          <w:tcPr>
            <w:tcW w:w="704" w:type="dxa"/>
            <w:shd w:val="clear" w:color="auto" w:fill="auto"/>
            <w:vAlign w:val="center"/>
          </w:tcPr>
          <w:p>
            <w:pPr>
              <w:widowControl/>
              <w:jc w:val="center"/>
              <w:rPr>
                <w:kern w:val="0"/>
                <w:szCs w:val="21"/>
              </w:rPr>
            </w:pPr>
            <w:r>
              <w:rPr>
                <w:kern w:val="0"/>
                <w:szCs w:val="21"/>
              </w:rPr>
              <w:t xml:space="preserve">1.72 </w:t>
            </w:r>
          </w:p>
        </w:tc>
        <w:tc>
          <w:tcPr>
            <w:tcW w:w="1768" w:type="dxa"/>
            <w:shd w:val="clear" w:color="auto" w:fill="auto"/>
            <w:vAlign w:val="center"/>
          </w:tcPr>
          <w:p>
            <w:pPr>
              <w:widowControl/>
              <w:jc w:val="center"/>
              <w:rPr>
                <w:kern w:val="0"/>
                <w:szCs w:val="21"/>
              </w:rPr>
            </w:pPr>
            <w:r>
              <w:rPr>
                <w:kern w:val="0"/>
                <w:szCs w:val="21"/>
              </w:rPr>
              <w:t xml:space="preserve">2.71 </w:t>
            </w:r>
          </w:p>
        </w:tc>
        <w:tc>
          <w:tcPr>
            <w:tcW w:w="751" w:type="dxa"/>
            <w:shd w:val="clear" w:color="auto" w:fill="auto"/>
            <w:vAlign w:val="center"/>
          </w:tcPr>
          <w:p>
            <w:pPr>
              <w:widowControl/>
              <w:jc w:val="center"/>
              <w:rPr>
                <w:kern w:val="0"/>
                <w:szCs w:val="21"/>
              </w:rPr>
            </w:pPr>
            <w:r>
              <w:rPr>
                <w:kern w:val="0"/>
                <w:szCs w:val="21"/>
              </w:rPr>
              <w:t xml:space="preserve">0.20 </w:t>
            </w:r>
          </w:p>
        </w:tc>
        <w:tc>
          <w:tcPr>
            <w:tcW w:w="873" w:type="dxa"/>
            <w:shd w:val="clear" w:color="auto" w:fill="auto"/>
            <w:vAlign w:val="center"/>
          </w:tcPr>
          <w:p>
            <w:pPr>
              <w:widowControl/>
              <w:jc w:val="center"/>
              <w:rPr>
                <w:kern w:val="0"/>
                <w:szCs w:val="21"/>
              </w:rPr>
            </w:pPr>
            <w:r>
              <w:rPr>
                <w:kern w:val="0"/>
                <w:szCs w:val="21"/>
              </w:rPr>
              <w:t xml:space="preserve">98.17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22" w:type="dxa"/>
            <w:shd w:val="clear" w:color="auto" w:fill="auto"/>
            <w:vAlign w:val="center"/>
          </w:tcPr>
          <w:p>
            <w:pPr>
              <w:widowControl/>
              <w:jc w:val="center"/>
              <w:rPr>
                <w:kern w:val="0"/>
                <w:szCs w:val="21"/>
              </w:rPr>
            </w:pPr>
            <w:r>
              <w:rPr>
                <w:kern w:val="0"/>
                <w:szCs w:val="21"/>
              </w:rPr>
              <w:t>三级阶地</w:t>
            </w:r>
          </w:p>
        </w:tc>
        <w:tc>
          <w:tcPr>
            <w:tcW w:w="895" w:type="dxa"/>
            <w:shd w:val="clear" w:color="auto" w:fill="auto"/>
            <w:vAlign w:val="center"/>
          </w:tcPr>
          <w:p>
            <w:pPr>
              <w:widowControl/>
              <w:jc w:val="center"/>
              <w:rPr>
                <w:kern w:val="0"/>
                <w:szCs w:val="21"/>
              </w:rPr>
            </w:pPr>
            <w:r>
              <w:rPr>
                <w:kern w:val="0"/>
                <w:szCs w:val="21"/>
              </w:rPr>
              <w:t xml:space="preserve">0.01 </w:t>
            </w:r>
          </w:p>
        </w:tc>
        <w:tc>
          <w:tcPr>
            <w:tcW w:w="856" w:type="dxa"/>
            <w:shd w:val="clear" w:color="auto" w:fill="auto"/>
            <w:vAlign w:val="center"/>
          </w:tcPr>
          <w:p>
            <w:pPr>
              <w:widowControl/>
              <w:jc w:val="center"/>
              <w:rPr>
                <w:kern w:val="0"/>
                <w:szCs w:val="21"/>
              </w:rPr>
            </w:pPr>
            <w:r>
              <w:rPr>
                <w:kern w:val="0"/>
                <w:szCs w:val="21"/>
              </w:rPr>
              <w:t xml:space="preserve">0.01 </w:t>
            </w:r>
          </w:p>
        </w:tc>
        <w:tc>
          <w:tcPr>
            <w:tcW w:w="703" w:type="dxa"/>
            <w:shd w:val="clear" w:color="auto" w:fill="auto"/>
            <w:vAlign w:val="center"/>
          </w:tcPr>
          <w:p>
            <w:pPr>
              <w:widowControl/>
              <w:jc w:val="center"/>
              <w:rPr>
                <w:kern w:val="0"/>
                <w:szCs w:val="21"/>
              </w:rPr>
            </w:pPr>
            <w:r>
              <w:rPr>
                <w:kern w:val="0"/>
                <w:szCs w:val="21"/>
              </w:rPr>
              <w:t xml:space="preserve">0.00 </w:t>
            </w:r>
          </w:p>
        </w:tc>
        <w:tc>
          <w:tcPr>
            <w:tcW w:w="856" w:type="dxa"/>
            <w:shd w:val="clear" w:color="auto" w:fill="auto"/>
            <w:vAlign w:val="center"/>
          </w:tcPr>
          <w:p>
            <w:pPr>
              <w:widowControl/>
              <w:jc w:val="center"/>
              <w:rPr>
                <w:kern w:val="0"/>
                <w:szCs w:val="21"/>
              </w:rPr>
            </w:pPr>
            <w:r>
              <w:rPr>
                <w:kern w:val="0"/>
                <w:szCs w:val="21"/>
              </w:rPr>
              <w:t xml:space="preserve">0.00 </w:t>
            </w:r>
          </w:p>
        </w:tc>
        <w:tc>
          <w:tcPr>
            <w:tcW w:w="704" w:type="dxa"/>
            <w:shd w:val="clear" w:color="auto" w:fill="auto"/>
            <w:vAlign w:val="center"/>
          </w:tcPr>
          <w:p>
            <w:pPr>
              <w:widowControl/>
              <w:jc w:val="center"/>
              <w:rPr>
                <w:kern w:val="0"/>
                <w:szCs w:val="21"/>
              </w:rPr>
            </w:pPr>
            <w:r>
              <w:rPr>
                <w:kern w:val="0"/>
                <w:szCs w:val="21"/>
              </w:rPr>
              <w:t xml:space="preserve">0.00 </w:t>
            </w:r>
          </w:p>
        </w:tc>
        <w:tc>
          <w:tcPr>
            <w:tcW w:w="1768" w:type="dxa"/>
            <w:shd w:val="clear" w:color="auto" w:fill="auto"/>
            <w:vAlign w:val="center"/>
          </w:tcPr>
          <w:p>
            <w:pPr>
              <w:widowControl/>
              <w:jc w:val="center"/>
              <w:rPr>
                <w:kern w:val="0"/>
                <w:szCs w:val="21"/>
              </w:rPr>
            </w:pPr>
            <w:r>
              <w:rPr>
                <w:kern w:val="0"/>
                <w:szCs w:val="21"/>
              </w:rPr>
              <w:t xml:space="preserve">0.01 </w:t>
            </w:r>
          </w:p>
        </w:tc>
        <w:tc>
          <w:tcPr>
            <w:tcW w:w="751" w:type="dxa"/>
            <w:shd w:val="clear" w:color="auto" w:fill="auto"/>
            <w:vAlign w:val="center"/>
          </w:tcPr>
          <w:p>
            <w:pPr>
              <w:widowControl/>
              <w:jc w:val="center"/>
              <w:rPr>
                <w:kern w:val="0"/>
                <w:szCs w:val="21"/>
              </w:rPr>
            </w:pPr>
            <w:r>
              <w:rPr>
                <w:kern w:val="0"/>
                <w:szCs w:val="21"/>
              </w:rPr>
              <w:t xml:space="preserve">0.15 </w:t>
            </w:r>
          </w:p>
        </w:tc>
        <w:tc>
          <w:tcPr>
            <w:tcW w:w="873" w:type="dxa"/>
            <w:shd w:val="clear" w:color="auto" w:fill="auto"/>
            <w:vAlign w:val="center"/>
          </w:tcPr>
          <w:p>
            <w:pPr>
              <w:widowControl/>
              <w:jc w:val="center"/>
              <w:rPr>
                <w:kern w:val="0"/>
                <w:szCs w:val="21"/>
              </w:rPr>
            </w:pPr>
            <w:r>
              <w:rPr>
                <w:kern w:val="0"/>
                <w:szCs w:val="21"/>
              </w:rPr>
              <w:t xml:space="preserve">0.28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22" w:type="dxa"/>
            <w:shd w:val="clear" w:color="auto" w:fill="auto"/>
            <w:vAlign w:val="center"/>
          </w:tcPr>
          <w:p>
            <w:pPr>
              <w:widowControl/>
              <w:jc w:val="center"/>
              <w:rPr>
                <w:kern w:val="0"/>
                <w:szCs w:val="21"/>
              </w:rPr>
            </w:pPr>
            <w:r>
              <w:rPr>
                <w:kern w:val="0"/>
                <w:szCs w:val="21"/>
              </w:rPr>
              <w:t>一级冲洪积平原</w:t>
            </w:r>
          </w:p>
        </w:tc>
        <w:tc>
          <w:tcPr>
            <w:tcW w:w="895" w:type="dxa"/>
            <w:shd w:val="clear" w:color="auto" w:fill="auto"/>
            <w:vAlign w:val="center"/>
          </w:tcPr>
          <w:p>
            <w:pPr>
              <w:widowControl/>
              <w:jc w:val="center"/>
              <w:rPr>
                <w:kern w:val="0"/>
                <w:szCs w:val="21"/>
              </w:rPr>
            </w:pPr>
            <w:r>
              <w:rPr>
                <w:kern w:val="0"/>
                <w:szCs w:val="21"/>
              </w:rPr>
              <w:t xml:space="preserve">8.00 </w:t>
            </w:r>
          </w:p>
        </w:tc>
        <w:tc>
          <w:tcPr>
            <w:tcW w:w="856" w:type="dxa"/>
            <w:shd w:val="clear" w:color="auto" w:fill="auto"/>
            <w:vAlign w:val="center"/>
          </w:tcPr>
          <w:p>
            <w:pPr>
              <w:widowControl/>
              <w:jc w:val="center"/>
              <w:rPr>
                <w:kern w:val="0"/>
                <w:szCs w:val="21"/>
              </w:rPr>
            </w:pPr>
            <w:r>
              <w:rPr>
                <w:kern w:val="0"/>
                <w:szCs w:val="21"/>
              </w:rPr>
              <w:t xml:space="preserve">6.70 </w:t>
            </w:r>
          </w:p>
        </w:tc>
        <w:tc>
          <w:tcPr>
            <w:tcW w:w="703" w:type="dxa"/>
            <w:shd w:val="clear" w:color="auto" w:fill="auto"/>
            <w:vAlign w:val="center"/>
          </w:tcPr>
          <w:p>
            <w:pPr>
              <w:widowControl/>
              <w:jc w:val="center"/>
              <w:rPr>
                <w:kern w:val="0"/>
                <w:szCs w:val="21"/>
              </w:rPr>
            </w:pPr>
            <w:r>
              <w:rPr>
                <w:kern w:val="0"/>
                <w:szCs w:val="21"/>
              </w:rPr>
              <w:t xml:space="preserve">5.61 </w:t>
            </w:r>
          </w:p>
        </w:tc>
        <w:tc>
          <w:tcPr>
            <w:tcW w:w="856" w:type="dxa"/>
            <w:shd w:val="clear" w:color="auto" w:fill="auto"/>
            <w:vAlign w:val="center"/>
          </w:tcPr>
          <w:p>
            <w:pPr>
              <w:widowControl/>
              <w:jc w:val="center"/>
              <w:rPr>
                <w:kern w:val="0"/>
                <w:szCs w:val="21"/>
              </w:rPr>
            </w:pPr>
            <w:r>
              <w:rPr>
                <w:kern w:val="0"/>
                <w:szCs w:val="21"/>
              </w:rPr>
              <w:t xml:space="preserve">4.80 </w:t>
            </w:r>
          </w:p>
        </w:tc>
        <w:tc>
          <w:tcPr>
            <w:tcW w:w="704" w:type="dxa"/>
            <w:shd w:val="clear" w:color="auto" w:fill="auto"/>
            <w:vAlign w:val="center"/>
          </w:tcPr>
          <w:p>
            <w:pPr>
              <w:widowControl/>
              <w:jc w:val="center"/>
              <w:rPr>
                <w:kern w:val="0"/>
                <w:szCs w:val="21"/>
              </w:rPr>
            </w:pPr>
            <w:r>
              <w:rPr>
                <w:kern w:val="0"/>
                <w:szCs w:val="21"/>
              </w:rPr>
              <w:t xml:space="preserve">4.39 </w:t>
            </w:r>
          </w:p>
        </w:tc>
        <w:tc>
          <w:tcPr>
            <w:tcW w:w="1768" w:type="dxa"/>
            <w:shd w:val="clear" w:color="auto" w:fill="auto"/>
            <w:vAlign w:val="center"/>
          </w:tcPr>
          <w:p>
            <w:pPr>
              <w:widowControl/>
              <w:jc w:val="center"/>
              <w:rPr>
                <w:kern w:val="0"/>
                <w:szCs w:val="21"/>
              </w:rPr>
            </w:pPr>
            <w:r>
              <w:rPr>
                <w:kern w:val="0"/>
                <w:szCs w:val="21"/>
              </w:rPr>
              <w:t xml:space="preserve">0.45 </w:t>
            </w:r>
          </w:p>
        </w:tc>
        <w:tc>
          <w:tcPr>
            <w:tcW w:w="751" w:type="dxa"/>
            <w:shd w:val="clear" w:color="auto" w:fill="auto"/>
            <w:vAlign w:val="center"/>
          </w:tcPr>
          <w:p>
            <w:pPr>
              <w:widowControl/>
              <w:jc w:val="center"/>
              <w:rPr>
                <w:kern w:val="0"/>
                <w:szCs w:val="21"/>
              </w:rPr>
            </w:pPr>
            <w:r>
              <w:rPr>
                <w:kern w:val="0"/>
                <w:szCs w:val="21"/>
              </w:rPr>
              <w:t xml:space="preserve">0.21 </w:t>
            </w:r>
          </w:p>
        </w:tc>
        <w:tc>
          <w:tcPr>
            <w:tcW w:w="873" w:type="dxa"/>
            <w:shd w:val="clear" w:color="auto" w:fill="auto"/>
            <w:vAlign w:val="center"/>
          </w:tcPr>
          <w:p>
            <w:pPr>
              <w:widowControl/>
              <w:jc w:val="center"/>
              <w:rPr>
                <w:kern w:val="0"/>
                <w:szCs w:val="21"/>
              </w:rPr>
            </w:pPr>
            <w:r>
              <w:rPr>
                <w:kern w:val="0"/>
                <w:szCs w:val="21"/>
              </w:rPr>
              <w:t xml:space="preserve">15.52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22" w:type="dxa"/>
            <w:shd w:val="clear" w:color="auto" w:fill="auto"/>
            <w:vAlign w:val="center"/>
          </w:tcPr>
          <w:p>
            <w:pPr>
              <w:widowControl/>
              <w:jc w:val="center"/>
              <w:rPr>
                <w:kern w:val="0"/>
                <w:szCs w:val="21"/>
              </w:rPr>
            </w:pPr>
            <w:r>
              <w:rPr>
                <w:kern w:val="0"/>
                <w:szCs w:val="21"/>
              </w:rPr>
              <w:t>二级冲洪积平原</w:t>
            </w:r>
          </w:p>
        </w:tc>
        <w:tc>
          <w:tcPr>
            <w:tcW w:w="895" w:type="dxa"/>
            <w:shd w:val="clear" w:color="auto" w:fill="auto"/>
            <w:vAlign w:val="center"/>
          </w:tcPr>
          <w:p>
            <w:pPr>
              <w:widowControl/>
              <w:jc w:val="center"/>
              <w:rPr>
                <w:kern w:val="0"/>
                <w:szCs w:val="21"/>
              </w:rPr>
            </w:pPr>
            <w:r>
              <w:rPr>
                <w:kern w:val="0"/>
                <w:szCs w:val="21"/>
              </w:rPr>
              <w:t xml:space="preserve">0.76 </w:t>
            </w:r>
          </w:p>
        </w:tc>
        <w:tc>
          <w:tcPr>
            <w:tcW w:w="856" w:type="dxa"/>
            <w:shd w:val="clear" w:color="auto" w:fill="auto"/>
            <w:vAlign w:val="center"/>
          </w:tcPr>
          <w:p>
            <w:pPr>
              <w:widowControl/>
              <w:jc w:val="center"/>
              <w:rPr>
                <w:kern w:val="0"/>
                <w:szCs w:val="21"/>
              </w:rPr>
            </w:pPr>
            <w:r>
              <w:rPr>
                <w:kern w:val="0"/>
                <w:szCs w:val="21"/>
              </w:rPr>
              <w:t xml:space="preserve">0.64 </w:t>
            </w:r>
          </w:p>
        </w:tc>
        <w:tc>
          <w:tcPr>
            <w:tcW w:w="703" w:type="dxa"/>
            <w:shd w:val="clear" w:color="auto" w:fill="auto"/>
            <w:vAlign w:val="center"/>
          </w:tcPr>
          <w:p>
            <w:pPr>
              <w:widowControl/>
              <w:jc w:val="center"/>
              <w:rPr>
                <w:kern w:val="0"/>
                <w:szCs w:val="21"/>
              </w:rPr>
            </w:pPr>
            <w:r>
              <w:rPr>
                <w:kern w:val="0"/>
                <w:szCs w:val="21"/>
              </w:rPr>
              <w:t xml:space="preserve">0.54 </w:t>
            </w:r>
          </w:p>
        </w:tc>
        <w:tc>
          <w:tcPr>
            <w:tcW w:w="856" w:type="dxa"/>
            <w:shd w:val="clear" w:color="auto" w:fill="auto"/>
            <w:vAlign w:val="center"/>
          </w:tcPr>
          <w:p>
            <w:pPr>
              <w:widowControl/>
              <w:jc w:val="center"/>
              <w:rPr>
                <w:kern w:val="0"/>
                <w:szCs w:val="21"/>
              </w:rPr>
            </w:pPr>
            <w:r>
              <w:rPr>
                <w:kern w:val="0"/>
                <w:szCs w:val="21"/>
              </w:rPr>
              <w:t xml:space="preserve">0.46 </w:t>
            </w:r>
          </w:p>
        </w:tc>
        <w:tc>
          <w:tcPr>
            <w:tcW w:w="704" w:type="dxa"/>
            <w:shd w:val="clear" w:color="auto" w:fill="auto"/>
            <w:vAlign w:val="center"/>
          </w:tcPr>
          <w:p>
            <w:pPr>
              <w:widowControl/>
              <w:jc w:val="center"/>
              <w:rPr>
                <w:kern w:val="0"/>
                <w:szCs w:val="21"/>
              </w:rPr>
            </w:pPr>
            <w:r>
              <w:rPr>
                <w:kern w:val="0"/>
                <w:szCs w:val="21"/>
              </w:rPr>
              <w:t xml:space="preserve">0.42 </w:t>
            </w:r>
          </w:p>
        </w:tc>
        <w:tc>
          <w:tcPr>
            <w:tcW w:w="1768" w:type="dxa"/>
            <w:shd w:val="clear" w:color="auto" w:fill="auto"/>
            <w:vAlign w:val="center"/>
          </w:tcPr>
          <w:p>
            <w:pPr>
              <w:widowControl/>
              <w:jc w:val="center"/>
              <w:rPr>
                <w:kern w:val="0"/>
                <w:szCs w:val="21"/>
              </w:rPr>
            </w:pPr>
            <w:r>
              <w:rPr>
                <w:kern w:val="0"/>
                <w:szCs w:val="21"/>
              </w:rPr>
              <w:t xml:space="preserve">0.66 </w:t>
            </w:r>
          </w:p>
        </w:tc>
        <w:tc>
          <w:tcPr>
            <w:tcW w:w="751" w:type="dxa"/>
            <w:shd w:val="clear" w:color="auto" w:fill="auto"/>
            <w:vAlign w:val="center"/>
          </w:tcPr>
          <w:p>
            <w:pPr>
              <w:widowControl/>
              <w:jc w:val="center"/>
              <w:rPr>
                <w:kern w:val="0"/>
                <w:szCs w:val="21"/>
              </w:rPr>
            </w:pPr>
            <w:r>
              <w:rPr>
                <w:kern w:val="0"/>
                <w:szCs w:val="21"/>
              </w:rPr>
              <w:t xml:space="preserve">0.21 </w:t>
            </w:r>
          </w:p>
        </w:tc>
        <w:tc>
          <w:tcPr>
            <w:tcW w:w="873" w:type="dxa"/>
            <w:shd w:val="clear" w:color="auto" w:fill="auto"/>
            <w:vAlign w:val="center"/>
          </w:tcPr>
          <w:p>
            <w:pPr>
              <w:widowControl/>
              <w:jc w:val="center"/>
              <w:rPr>
                <w:kern w:val="0"/>
                <w:szCs w:val="21"/>
              </w:rPr>
            </w:pPr>
            <w:r>
              <w:rPr>
                <w:kern w:val="0"/>
                <w:szCs w:val="21"/>
              </w:rPr>
              <w:t xml:space="preserve">13.85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22" w:type="dxa"/>
            <w:shd w:val="clear" w:color="auto" w:fill="auto"/>
            <w:vAlign w:val="center"/>
          </w:tcPr>
          <w:p>
            <w:pPr>
              <w:widowControl/>
              <w:jc w:val="center"/>
              <w:rPr>
                <w:kern w:val="0"/>
                <w:szCs w:val="21"/>
              </w:rPr>
            </w:pPr>
            <w:r>
              <w:rPr>
                <w:kern w:val="0"/>
                <w:szCs w:val="21"/>
              </w:rPr>
              <w:t>近代冲洪积扇</w:t>
            </w:r>
          </w:p>
        </w:tc>
        <w:tc>
          <w:tcPr>
            <w:tcW w:w="895" w:type="dxa"/>
            <w:shd w:val="clear" w:color="auto" w:fill="auto"/>
            <w:vAlign w:val="center"/>
          </w:tcPr>
          <w:p>
            <w:pPr>
              <w:widowControl/>
              <w:jc w:val="center"/>
              <w:rPr>
                <w:kern w:val="0"/>
                <w:szCs w:val="21"/>
              </w:rPr>
            </w:pPr>
            <w:r>
              <w:rPr>
                <w:kern w:val="0"/>
                <w:szCs w:val="21"/>
              </w:rPr>
              <w:t xml:space="preserve">0.06 </w:t>
            </w:r>
          </w:p>
        </w:tc>
        <w:tc>
          <w:tcPr>
            <w:tcW w:w="856" w:type="dxa"/>
            <w:shd w:val="clear" w:color="auto" w:fill="auto"/>
            <w:vAlign w:val="center"/>
          </w:tcPr>
          <w:p>
            <w:pPr>
              <w:widowControl/>
              <w:jc w:val="center"/>
              <w:rPr>
                <w:kern w:val="0"/>
                <w:szCs w:val="21"/>
              </w:rPr>
            </w:pPr>
            <w:r>
              <w:rPr>
                <w:kern w:val="0"/>
                <w:szCs w:val="21"/>
              </w:rPr>
              <w:t xml:space="preserve">0.05 </w:t>
            </w:r>
          </w:p>
        </w:tc>
        <w:tc>
          <w:tcPr>
            <w:tcW w:w="703" w:type="dxa"/>
            <w:shd w:val="clear" w:color="auto" w:fill="auto"/>
            <w:vAlign w:val="center"/>
          </w:tcPr>
          <w:p>
            <w:pPr>
              <w:widowControl/>
              <w:jc w:val="center"/>
              <w:rPr>
                <w:kern w:val="0"/>
                <w:szCs w:val="21"/>
              </w:rPr>
            </w:pPr>
            <w:r>
              <w:rPr>
                <w:kern w:val="0"/>
                <w:szCs w:val="21"/>
              </w:rPr>
              <w:t xml:space="preserve">0.04 </w:t>
            </w:r>
          </w:p>
        </w:tc>
        <w:tc>
          <w:tcPr>
            <w:tcW w:w="856" w:type="dxa"/>
            <w:shd w:val="clear" w:color="auto" w:fill="auto"/>
            <w:vAlign w:val="center"/>
          </w:tcPr>
          <w:p>
            <w:pPr>
              <w:widowControl/>
              <w:jc w:val="center"/>
              <w:rPr>
                <w:kern w:val="0"/>
                <w:szCs w:val="21"/>
              </w:rPr>
            </w:pPr>
            <w:r>
              <w:rPr>
                <w:kern w:val="0"/>
                <w:szCs w:val="21"/>
              </w:rPr>
              <w:t xml:space="preserve">0.04 </w:t>
            </w:r>
          </w:p>
        </w:tc>
        <w:tc>
          <w:tcPr>
            <w:tcW w:w="704" w:type="dxa"/>
            <w:shd w:val="clear" w:color="auto" w:fill="auto"/>
            <w:vAlign w:val="center"/>
          </w:tcPr>
          <w:p>
            <w:pPr>
              <w:widowControl/>
              <w:jc w:val="center"/>
              <w:rPr>
                <w:kern w:val="0"/>
                <w:szCs w:val="21"/>
              </w:rPr>
            </w:pPr>
            <w:r>
              <w:rPr>
                <w:kern w:val="0"/>
                <w:szCs w:val="21"/>
              </w:rPr>
              <w:t xml:space="preserve">0.03 </w:t>
            </w:r>
          </w:p>
        </w:tc>
        <w:tc>
          <w:tcPr>
            <w:tcW w:w="1768" w:type="dxa"/>
            <w:shd w:val="clear" w:color="auto" w:fill="auto"/>
            <w:vAlign w:val="center"/>
          </w:tcPr>
          <w:p>
            <w:pPr>
              <w:widowControl/>
              <w:jc w:val="center"/>
              <w:rPr>
                <w:kern w:val="0"/>
                <w:szCs w:val="21"/>
              </w:rPr>
            </w:pPr>
            <w:r>
              <w:rPr>
                <w:kern w:val="0"/>
                <w:szCs w:val="21"/>
              </w:rPr>
              <w:t xml:space="preserve">0.05 </w:t>
            </w:r>
          </w:p>
        </w:tc>
        <w:tc>
          <w:tcPr>
            <w:tcW w:w="751" w:type="dxa"/>
            <w:shd w:val="clear" w:color="auto" w:fill="auto"/>
            <w:vAlign w:val="center"/>
          </w:tcPr>
          <w:p>
            <w:pPr>
              <w:widowControl/>
              <w:jc w:val="center"/>
              <w:rPr>
                <w:kern w:val="0"/>
                <w:szCs w:val="21"/>
              </w:rPr>
            </w:pPr>
            <w:r>
              <w:rPr>
                <w:kern w:val="0"/>
                <w:szCs w:val="21"/>
              </w:rPr>
              <w:t xml:space="preserve">0.12 </w:t>
            </w:r>
          </w:p>
        </w:tc>
        <w:tc>
          <w:tcPr>
            <w:tcW w:w="873" w:type="dxa"/>
            <w:shd w:val="clear" w:color="auto" w:fill="auto"/>
            <w:vAlign w:val="center"/>
          </w:tcPr>
          <w:p>
            <w:pPr>
              <w:widowControl/>
              <w:jc w:val="center"/>
              <w:rPr>
                <w:kern w:val="0"/>
                <w:szCs w:val="21"/>
              </w:rPr>
            </w:pPr>
            <w:r>
              <w:rPr>
                <w:kern w:val="0"/>
                <w:szCs w:val="21"/>
              </w:rPr>
              <w:t xml:space="preserve">3.08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22" w:type="dxa"/>
            <w:shd w:val="clear" w:color="auto" w:fill="auto"/>
            <w:vAlign w:val="center"/>
          </w:tcPr>
          <w:p>
            <w:pPr>
              <w:widowControl/>
              <w:jc w:val="center"/>
              <w:rPr>
                <w:kern w:val="0"/>
                <w:szCs w:val="21"/>
              </w:rPr>
            </w:pPr>
            <w:r>
              <w:rPr>
                <w:kern w:val="0"/>
                <w:szCs w:val="21"/>
              </w:rPr>
              <w:t>合计</w:t>
            </w:r>
          </w:p>
        </w:tc>
        <w:tc>
          <w:tcPr>
            <w:tcW w:w="895" w:type="dxa"/>
            <w:shd w:val="clear" w:color="auto" w:fill="auto"/>
            <w:vAlign w:val="center"/>
          </w:tcPr>
          <w:p>
            <w:pPr>
              <w:widowControl/>
              <w:jc w:val="center"/>
              <w:rPr>
                <w:kern w:val="0"/>
                <w:szCs w:val="21"/>
              </w:rPr>
            </w:pPr>
            <w:r>
              <w:rPr>
                <w:kern w:val="0"/>
                <w:szCs w:val="21"/>
              </w:rPr>
              <w:t xml:space="preserve">13.09 </w:t>
            </w:r>
          </w:p>
        </w:tc>
        <w:tc>
          <w:tcPr>
            <w:tcW w:w="856" w:type="dxa"/>
            <w:shd w:val="clear" w:color="auto" w:fill="auto"/>
            <w:vAlign w:val="center"/>
          </w:tcPr>
          <w:p>
            <w:pPr>
              <w:widowControl/>
              <w:jc w:val="center"/>
              <w:rPr>
                <w:kern w:val="0"/>
                <w:szCs w:val="21"/>
              </w:rPr>
            </w:pPr>
            <w:r>
              <w:rPr>
                <w:kern w:val="0"/>
                <w:szCs w:val="21"/>
              </w:rPr>
              <w:t xml:space="preserve">10.95 </w:t>
            </w:r>
          </w:p>
        </w:tc>
        <w:tc>
          <w:tcPr>
            <w:tcW w:w="703" w:type="dxa"/>
            <w:shd w:val="clear" w:color="auto" w:fill="auto"/>
            <w:vAlign w:val="center"/>
          </w:tcPr>
          <w:p>
            <w:pPr>
              <w:widowControl/>
              <w:jc w:val="center"/>
              <w:rPr>
                <w:kern w:val="0"/>
                <w:szCs w:val="21"/>
              </w:rPr>
            </w:pPr>
            <w:r>
              <w:rPr>
                <w:kern w:val="0"/>
                <w:szCs w:val="21"/>
              </w:rPr>
              <w:t xml:space="preserve">9.18 </w:t>
            </w:r>
          </w:p>
        </w:tc>
        <w:tc>
          <w:tcPr>
            <w:tcW w:w="856" w:type="dxa"/>
            <w:shd w:val="clear" w:color="auto" w:fill="auto"/>
            <w:vAlign w:val="center"/>
          </w:tcPr>
          <w:p>
            <w:pPr>
              <w:widowControl/>
              <w:jc w:val="center"/>
              <w:rPr>
                <w:kern w:val="0"/>
                <w:szCs w:val="21"/>
              </w:rPr>
            </w:pPr>
            <w:r>
              <w:rPr>
                <w:kern w:val="0"/>
                <w:szCs w:val="21"/>
              </w:rPr>
              <w:t xml:space="preserve">7.85 </w:t>
            </w:r>
          </w:p>
        </w:tc>
        <w:tc>
          <w:tcPr>
            <w:tcW w:w="704" w:type="dxa"/>
            <w:shd w:val="clear" w:color="auto" w:fill="auto"/>
            <w:vAlign w:val="center"/>
          </w:tcPr>
          <w:p>
            <w:pPr>
              <w:widowControl/>
              <w:jc w:val="center"/>
              <w:rPr>
                <w:kern w:val="0"/>
                <w:szCs w:val="21"/>
              </w:rPr>
            </w:pPr>
            <w:r>
              <w:rPr>
                <w:kern w:val="0"/>
                <w:szCs w:val="21"/>
              </w:rPr>
              <w:t xml:space="preserve">7.17 </w:t>
            </w:r>
          </w:p>
        </w:tc>
        <w:tc>
          <w:tcPr>
            <w:tcW w:w="1768" w:type="dxa"/>
            <w:shd w:val="clear" w:color="auto" w:fill="auto"/>
            <w:vAlign w:val="center"/>
          </w:tcPr>
          <w:p>
            <w:pPr>
              <w:widowControl/>
              <w:jc w:val="center"/>
              <w:rPr>
                <w:kern w:val="0"/>
                <w:szCs w:val="21"/>
              </w:rPr>
            </w:pPr>
            <w:r>
              <w:rPr>
                <w:kern w:val="0"/>
                <w:szCs w:val="21"/>
              </w:rPr>
              <w:t xml:space="preserve">4.85 </w:t>
            </w:r>
          </w:p>
        </w:tc>
        <w:tc>
          <w:tcPr>
            <w:tcW w:w="751" w:type="dxa"/>
            <w:shd w:val="clear" w:color="auto" w:fill="auto"/>
            <w:vAlign w:val="center"/>
          </w:tcPr>
          <w:p>
            <w:pPr>
              <w:widowControl/>
              <w:jc w:val="center"/>
              <w:rPr>
                <w:kern w:val="0"/>
                <w:szCs w:val="21"/>
              </w:rPr>
            </w:pPr>
            <w:r>
              <w:rPr>
                <w:kern w:val="0"/>
                <w:szCs w:val="21"/>
              </w:rPr>
              <w:t>　</w:t>
            </w:r>
          </w:p>
        </w:tc>
        <w:tc>
          <w:tcPr>
            <w:tcW w:w="873" w:type="dxa"/>
            <w:shd w:val="clear" w:color="auto" w:fill="auto"/>
            <w:vAlign w:val="center"/>
          </w:tcPr>
          <w:p>
            <w:pPr>
              <w:widowControl/>
              <w:jc w:val="center"/>
              <w:rPr>
                <w:kern w:val="0"/>
                <w:szCs w:val="21"/>
              </w:rPr>
            </w:pPr>
            <w:r>
              <w:rPr>
                <w:kern w:val="0"/>
                <w:szCs w:val="21"/>
              </w:rPr>
              <w:t xml:space="preserve">154.39 </w:t>
            </w:r>
          </w:p>
        </w:tc>
      </w:tr>
    </w:tbl>
    <w:p>
      <w:pPr>
        <w:pStyle w:val="63"/>
        <w:ind w:firstLine="480"/>
        <w:rPr>
          <w:color w:val="auto"/>
        </w:rPr>
      </w:pPr>
      <w:r>
        <w:rPr>
          <w:rFonts w:hint="eastAsia"/>
          <w:color w:val="auto"/>
        </w:rPr>
        <w:t>由上表可知，开采区内大气降水入渗补给量为4</w:t>
      </w:r>
      <w:r>
        <w:rPr>
          <w:color w:val="auto"/>
        </w:rPr>
        <w:t>.8</w:t>
      </w:r>
      <w:r>
        <w:rPr>
          <w:rFonts w:hint="eastAsia"/>
          <w:color w:val="auto"/>
        </w:rPr>
        <w:t>5</w:t>
      </w:r>
      <w:r>
        <w:rPr>
          <w:color w:val="auto"/>
        </w:rPr>
        <w:t>×10</w:t>
      </w:r>
      <w:r>
        <w:rPr>
          <w:color w:val="auto"/>
          <w:vertAlign w:val="superscript"/>
        </w:rPr>
        <w:t>4</w:t>
      </w:r>
      <w:r>
        <w:rPr>
          <w:color w:val="auto"/>
        </w:rPr>
        <w:t>m</w:t>
      </w:r>
      <w:r>
        <w:rPr>
          <w:color w:val="auto"/>
          <w:vertAlign w:val="superscript"/>
        </w:rPr>
        <w:t>3</w:t>
      </w:r>
      <w:r>
        <w:rPr>
          <w:color w:val="auto"/>
        </w:rPr>
        <w:t>/d</w:t>
      </w:r>
      <w:r>
        <w:rPr>
          <w:rFonts w:hint="eastAsia"/>
          <w:color w:val="auto"/>
        </w:rPr>
        <w:t>。其中河漫滩（面积百分比</w:t>
      </w:r>
      <w:r>
        <w:rPr>
          <w:color w:val="auto"/>
        </w:rPr>
        <w:t>15.21%</w:t>
      </w:r>
      <w:r>
        <w:rPr>
          <w:rFonts w:hint="eastAsia"/>
          <w:color w:val="auto"/>
        </w:rPr>
        <w:t>）补给量为</w:t>
      </w:r>
      <w:r>
        <w:rPr>
          <w:color w:val="auto"/>
        </w:rPr>
        <w:t>0.97×10</w:t>
      </w:r>
      <w:r>
        <w:rPr>
          <w:color w:val="auto"/>
          <w:vertAlign w:val="superscript"/>
        </w:rPr>
        <w:t>4</w:t>
      </w:r>
      <w:r>
        <w:rPr>
          <w:color w:val="auto"/>
        </w:rPr>
        <w:t>m</w:t>
      </w:r>
      <w:r>
        <w:rPr>
          <w:color w:val="auto"/>
          <w:vertAlign w:val="superscript"/>
        </w:rPr>
        <w:t>3</w:t>
      </w:r>
      <w:r>
        <w:rPr>
          <w:color w:val="auto"/>
        </w:rPr>
        <w:t>/d</w:t>
      </w:r>
      <w:r>
        <w:rPr>
          <w:rFonts w:hint="eastAsia"/>
          <w:color w:val="auto"/>
        </w:rPr>
        <w:t>，占降水入渗补给总量的</w:t>
      </w:r>
      <w:r>
        <w:rPr>
          <w:color w:val="auto"/>
        </w:rPr>
        <w:t>20.05%</w:t>
      </w:r>
      <w:r>
        <w:rPr>
          <w:rFonts w:hint="eastAsia"/>
          <w:color w:val="auto"/>
        </w:rPr>
        <w:t>，一级阶地（面积百分比</w:t>
      </w:r>
      <w:r>
        <w:rPr>
          <w:color w:val="auto"/>
        </w:rPr>
        <w:t>63.59%</w:t>
      </w:r>
      <w:r>
        <w:rPr>
          <w:rFonts w:hint="eastAsia"/>
          <w:color w:val="auto"/>
        </w:rPr>
        <w:t>）补给量为</w:t>
      </w:r>
      <w:r>
        <w:rPr>
          <w:color w:val="auto"/>
        </w:rPr>
        <w:t>2.71×10</w:t>
      </w:r>
      <w:r>
        <w:rPr>
          <w:color w:val="auto"/>
          <w:vertAlign w:val="superscript"/>
        </w:rPr>
        <w:t>4</w:t>
      </w:r>
      <w:r>
        <w:rPr>
          <w:color w:val="auto"/>
        </w:rPr>
        <w:t>m</w:t>
      </w:r>
      <w:r>
        <w:rPr>
          <w:color w:val="auto"/>
          <w:vertAlign w:val="superscript"/>
        </w:rPr>
        <w:t>3</w:t>
      </w:r>
      <w:r>
        <w:rPr>
          <w:color w:val="auto"/>
        </w:rPr>
        <w:t>/d</w:t>
      </w:r>
      <w:r>
        <w:rPr>
          <w:rFonts w:hint="eastAsia"/>
          <w:color w:val="auto"/>
        </w:rPr>
        <w:t>，占降水入渗补给总量的</w:t>
      </w:r>
      <w:r>
        <w:rPr>
          <w:color w:val="auto"/>
        </w:rPr>
        <w:t>55.86%</w:t>
      </w:r>
      <w:r>
        <w:rPr>
          <w:rFonts w:hint="eastAsia"/>
          <w:color w:val="auto"/>
        </w:rPr>
        <w:t>，三级阶地（面积百分比</w:t>
      </w:r>
      <w:r>
        <w:rPr>
          <w:color w:val="auto"/>
        </w:rPr>
        <w:t>0.18%</w:t>
      </w:r>
      <w:r>
        <w:rPr>
          <w:rFonts w:hint="eastAsia"/>
          <w:color w:val="auto"/>
        </w:rPr>
        <w:t>）补给量为</w:t>
      </w:r>
      <w:r>
        <w:rPr>
          <w:color w:val="auto"/>
        </w:rPr>
        <w:t>0.01×10</w:t>
      </w:r>
      <w:r>
        <w:rPr>
          <w:color w:val="auto"/>
          <w:vertAlign w:val="superscript"/>
        </w:rPr>
        <w:t>4</w:t>
      </w:r>
      <w:r>
        <w:rPr>
          <w:color w:val="auto"/>
        </w:rPr>
        <w:t>m</w:t>
      </w:r>
      <w:r>
        <w:rPr>
          <w:color w:val="auto"/>
          <w:vertAlign w:val="superscript"/>
        </w:rPr>
        <w:t>3</w:t>
      </w:r>
      <w:r>
        <w:rPr>
          <w:color w:val="auto"/>
        </w:rPr>
        <w:t>/d</w:t>
      </w:r>
      <w:r>
        <w:rPr>
          <w:rFonts w:hint="eastAsia"/>
          <w:color w:val="auto"/>
        </w:rPr>
        <w:t>，占降水入渗补给总量的</w:t>
      </w:r>
      <w:r>
        <w:rPr>
          <w:color w:val="auto"/>
        </w:rPr>
        <w:t>0.12%</w:t>
      </w:r>
      <w:r>
        <w:rPr>
          <w:rFonts w:hint="eastAsia"/>
          <w:color w:val="auto"/>
        </w:rPr>
        <w:t>，一级冲洪积平原（面积百分比</w:t>
      </w:r>
      <w:r>
        <w:rPr>
          <w:color w:val="auto"/>
        </w:rPr>
        <w:t>10.05%</w:t>
      </w:r>
      <w:r>
        <w:rPr>
          <w:rFonts w:hint="eastAsia"/>
          <w:color w:val="auto"/>
        </w:rPr>
        <w:t>）补给量为</w:t>
      </w:r>
      <w:r>
        <w:rPr>
          <w:color w:val="auto"/>
        </w:rPr>
        <w:t>0.45×10</w:t>
      </w:r>
      <w:r>
        <w:rPr>
          <w:color w:val="auto"/>
          <w:vertAlign w:val="superscript"/>
        </w:rPr>
        <w:t>4</w:t>
      </w:r>
      <w:r>
        <w:rPr>
          <w:color w:val="auto"/>
        </w:rPr>
        <w:t>m</w:t>
      </w:r>
      <w:r>
        <w:rPr>
          <w:color w:val="auto"/>
          <w:vertAlign w:val="superscript"/>
        </w:rPr>
        <w:t>3</w:t>
      </w:r>
      <w:r>
        <w:rPr>
          <w:color w:val="auto"/>
        </w:rPr>
        <w:t>/d</w:t>
      </w:r>
      <w:r>
        <w:rPr>
          <w:rFonts w:hint="eastAsia"/>
          <w:color w:val="auto"/>
        </w:rPr>
        <w:t>，占降水入渗补给总量的</w:t>
      </w:r>
      <w:r>
        <w:rPr>
          <w:color w:val="auto"/>
        </w:rPr>
        <w:t>9.27%</w:t>
      </w:r>
      <w:r>
        <w:rPr>
          <w:rFonts w:hint="eastAsia"/>
          <w:color w:val="auto"/>
        </w:rPr>
        <w:t>，二级冲洪积平原（面积百分比</w:t>
      </w:r>
      <w:r>
        <w:rPr>
          <w:color w:val="auto"/>
        </w:rPr>
        <w:t>8.97%</w:t>
      </w:r>
      <w:r>
        <w:rPr>
          <w:rFonts w:hint="eastAsia"/>
          <w:color w:val="auto"/>
        </w:rPr>
        <w:t>）补给量为</w:t>
      </w:r>
      <w:r>
        <w:rPr>
          <w:color w:val="auto"/>
        </w:rPr>
        <w:t>0.66×10</w:t>
      </w:r>
      <w:r>
        <w:rPr>
          <w:color w:val="auto"/>
          <w:vertAlign w:val="superscript"/>
        </w:rPr>
        <w:t>4</w:t>
      </w:r>
      <w:r>
        <w:rPr>
          <w:color w:val="auto"/>
        </w:rPr>
        <w:t>m</w:t>
      </w:r>
      <w:r>
        <w:rPr>
          <w:color w:val="auto"/>
          <w:vertAlign w:val="superscript"/>
        </w:rPr>
        <w:t>3</w:t>
      </w:r>
      <w:r>
        <w:rPr>
          <w:color w:val="auto"/>
        </w:rPr>
        <w:t>/d</w:t>
      </w:r>
      <w:r>
        <w:rPr>
          <w:rFonts w:hint="eastAsia"/>
          <w:color w:val="auto"/>
        </w:rPr>
        <w:t>，占降水入渗补给总量的</w:t>
      </w:r>
      <w:r>
        <w:rPr>
          <w:color w:val="auto"/>
        </w:rPr>
        <w:t>13.65%</w:t>
      </w:r>
      <w:r>
        <w:rPr>
          <w:rFonts w:hint="eastAsia"/>
          <w:color w:val="auto"/>
        </w:rPr>
        <w:t>，近代冲洪积扇（面积百分比</w:t>
      </w:r>
      <w:r>
        <w:rPr>
          <w:color w:val="auto"/>
        </w:rPr>
        <w:t>1.99%</w:t>
      </w:r>
      <w:r>
        <w:rPr>
          <w:rFonts w:hint="eastAsia"/>
          <w:color w:val="auto"/>
        </w:rPr>
        <w:t>）补给量为</w:t>
      </w:r>
      <w:r>
        <w:rPr>
          <w:color w:val="auto"/>
        </w:rPr>
        <w:t>0.05×10</w:t>
      </w:r>
      <w:r>
        <w:rPr>
          <w:color w:val="auto"/>
          <w:vertAlign w:val="superscript"/>
        </w:rPr>
        <w:t>4</w:t>
      </w:r>
      <w:r>
        <w:rPr>
          <w:color w:val="auto"/>
        </w:rPr>
        <w:t>m</w:t>
      </w:r>
      <w:r>
        <w:rPr>
          <w:color w:val="auto"/>
          <w:vertAlign w:val="superscript"/>
        </w:rPr>
        <w:t>3</w:t>
      </w:r>
      <w:r>
        <w:rPr>
          <w:color w:val="auto"/>
        </w:rPr>
        <w:t>/d</w:t>
      </w:r>
      <w:r>
        <w:rPr>
          <w:rFonts w:hint="eastAsia"/>
          <w:color w:val="auto"/>
        </w:rPr>
        <w:t>，占降水入渗补给总量的</w:t>
      </w:r>
      <w:r>
        <w:rPr>
          <w:color w:val="auto"/>
        </w:rPr>
        <w:t>1.05%</w:t>
      </w:r>
      <w:r>
        <w:rPr>
          <w:rFonts w:hint="eastAsia"/>
          <w:color w:val="auto"/>
        </w:rPr>
        <w:t>。</w:t>
      </w:r>
    </w:p>
    <w:p>
      <w:pPr>
        <w:pStyle w:val="63"/>
        <w:ind w:firstLine="480"/>
        <w:rPr>
          <w:color w:val="auto"/>
        </w:rPr>
      </w:pPr>
      <w:r>
        <w:rPr>
          <w:rFonts w:hint="eastAsia"/>
          <w:color w:val="auto"/>
        </w:rPr>
        <w:t>⑵地下水侧向径流补给量</w:t>
      </w:r>
    </w:p>
    <w:p>
      <w:pPr>
        <w:pStyle w:val="63"/>
        <w:ind w:firstLine="480"/>
        <w:rPr>
          <w:color w:val="auto"/>
        </w:rPr>
      </w:pPr>
      <w:r>
        <w:rPr>
          <w:rFonts w:hint="eastAsia"/>
          <w:color w:val="auto"/>
        </w:rPr>
        <w:t>水源地侧向补给量发生在水源地的西边界，可采用达西定律计算，公式为：</w:t>
      </w:r>
    </w:p>
    <w:p>
      <w:pPr>
        <w:spacing w:line="360" w:lineRule="auto"/>
        <w:ind w:firstLine="480" w:firstLineChars="200"/>
        <w:jc w:val="center"/>
        <w:rPr>
          <w:sz w:val="24"/>
        </w:rPr>
      </w:pPr>
      <w:r>
        <w:rPr>
          <w:sz w:val="24"/>
        </w:rPr>
        <w:object>
          <v:shape id="_x0000_i1029" o:spt="75" type="#_x0000_t75" style="height:28.05pt;width:101pt;" o:ole="t" filled="f" o:preferrelative="t" stroked="f" coordsize="21600,21600">
            <v:path/>
            <v:fill on="f" focussize="0,0"/>
            <v:stroke on="f" joinstyle="miter"/>
            <v:imagedata r:id="rId42" o:title=""/>
            <o:lock v:ext="edit" aspectratio="t"/>
            <w10:wrap type="none"/>
            <w10:anchorlock/>
          </v:shape>
          <o:OLEObject Type="Embed" ProgID="Equation.3" ShapeID="_x0000_i1029" DrawAspect="Content" ObjectID="_1468075729" r:id="rId41">
            <o:LockedField>false</o:LockedField>
          </o:OLEObject>
        </w:object>
      </w:r>
    </w:p>
    <w:p>
      <w:pPr>
        <w:spacing w:line="360" w:lineRule="auto"/>
        <w:ind w:firstLine="480" w:firstLineChars="200"/>
        <w:rPr>
          <w:sz w:val="24"/>
        </w:rPr>
      </w:pPr>
      <w:r>
        <w:rPr>
          <w:rFonts w:hint="eastAsia"/>
          <w:sz w:val="24"/>
        </w:rPr>
        <w:t>式中：</w:t>
      </w:r>
    </w:p>
    <w:tbl>
      <w:tblPr>
        <w:tblStyle w:val="24"/>
        <w:tblW w:w="0" w:type="auto"/>
        <w:tblInd w:w="108" w:type="dxa"/>
        <w:tblLayout w:type="fixed"/>
        <w:tblCellMar>
          <w:top w:w="0" w:type="dxa"/>
          <w:left w:w="108" w:type="dxa"/>
          <w:bottom w:w="0" w:type="dxa"/>
          <w:right w:w="108" w:type="dxa"/>
        </w:tblCellMar>
      </w:tblPr>
      <w:tblGrid>
        <w:gridCol w:w="1368"/>
        <w:gridCol w:w="360"/>
        <w:gridCol w:w="6794"/>
      </w:tblGrid>
      <w:tr>
        <w:tblPrEx>
          <w:tblCellMar>
            <w:top w:w="0" w:type="dxa"/>
            <w:left w:w="108" w:type="dxa"/>
            <w:bottom w:w="0" w:type="dxa"/>
            <w:right w:w="108" w:type="dxa"/>
          </w:tblCellMar>
        </w:tblPrEx>
        <w:tc>
          <w:tcPr>
            <w:tcW w:w="1368" w:type="dxa"/>
          </w:tcPr>
          <w:p>
            <w:pPr>
              <w:adjustRightInd w:val="0"/>
              <w:snapToGrid w:val="0"/>
              <w:spacing w:line="360" w:lineRule="auto"/>
              <w:jc w:val="right"/>
              <w:rPr>
                <w:i/>
                <w:sz w:val="24"/>
              </w:rPr>
            </w:pPr>
            <w:r>
              <w:rPr>
                <w:rFonts w:hint="eastAsia"/>
                <w:i/>
                <w:sz w:val="24"/>
              </w:rPr>
              <w:object>
                <v:shape id="_x0000_i1030" o:spt="75" type="#_x0000_t75" style="height:17.75pt;width:27.1pt;" o:ole="t" filled="f" o:preferrelative="t" stroked="f" coordsize="21600,21600">
                  <v:path/>
                  <v:fill on="f" focussize="0,0"/>
                  <v:stroke on="f" joinstyle="miter"/>
                  <v:imagedata r:id="rId44" o:title=""/>
                  <o:lock v:ext="edit" aspectratio="t"/>
                  <w10:wrap type="none"/>
                  <w10:anchorlock/>
                </v:shape>
                <o:OLEObject Type="Embed" ProgID="Equation.3" ShapeID="_x0000_i1030" DrawAspect="Content" ObjectID="_1468075730" r:id="rId43">
                  <o:LockedField>false</o:LockedField>
                </o:OLEObject>
              </w:object>
            </w:r>
          </w:p>
        </w:tc>
        <w:tc>
          <w:tcPr>
            <w:tcW w:w="360" w:type="dxa"/>
          </w:tcPr>
          <w:p>
            <w:pPr>
              <w:adjustRightInd w:val="0"/>
              <w:snapToGrid w:val="0"/>
              <w:spacing w:line="360" w:lineRule="auto"/>
              <w:rPr>
                <w:sz w:val="24"/>
              </w:rPr>
            </w:pPr>
            <w:r>
              <w:rPr>
                <w:sz w:val="24"/>
              </w:rPr>
              <w:t>—</w:t>
            </w:r>
          </w:p>
        </w:tc>
        <w:tc>
          <w:tcPr>
            <w:tcW w:w="6794" w:type="dxa"/>
          </w:tcPr>
          <w:p>
            <w:pPr>
              <w:adjustRightInd w:val="0"/>
              <w:snapToGrid w:val="0"/>
              <w:spacing w:line="360" w:lineRule="auto"/>
              <w:rPr>
                <w:sz w:val="24"/>
              </w:rPr>
            </w:pPr>
            <w:r>
              <w:rPr>
                <w:rFonts w:hint="eastAsia"/>
                <w:sz w:val="24"/>
              </w:rPr>
              <w:t>地下水侧向径流补给量</w:t>
            </w:r>
            <w:r>
              <w:rPr>
                <w:rFonts w:ascii="宋体" w:hAnsi="宋体"/>
                <w:sz w:val="24"/>
              </w:rPr>
              <w:t>(</w:t>
            </w:r>
            <w:r>
              <w:rPr>
                <w:sz w:val="24"/>
              </w:rPr>
              <w:t>m</w:t>
            </w:r>
            <w:r>
              <w:rPr>
                <w:sz w:val="24"/>
                <w:vertAlign w:val="superscript"/>
              </w:rPr>
              <w:t>3</w:t>
            </w:r>
            <w:r>
              <w:rPr>
                <w:sz w:val="24"/>
              </w:rPr>
              <w:t>/d</w:t>
            </w:r>
            <w:r>
              <w:rPr>
                <w:rFonts w:ascii="宋体" w:hAnsi="宋体"/>
                <w:sz w:val="24"/>
              </w:rPr>
              <w:t>)</w:t>
            </w:r>
            <w:r>
              <w:rPr>
                <w:rFonts w:hint="eastAsia"/>
                <w:sz w:val="24"/>
              </w:rPr>
              <w:t>；</w:t>
            </w:r>
          </w:p>
        </w:tc>
      </w:tr>
      <w:tr>
        <w:tblPrEx>
          <w:tblCellMar>
            <w:top w:w="0" w:type="dxa"/>
            <w:left w:w="108" w:type="dxa"/>
            <w:bottom w:w="0" w:type="dxa"/>
            <w:right w:w="108" w:type="dxa"/>
          </w:tblCellMar>
        </w:tblPrEx>
        <w:tc>
          <w:tcPr>
            <w:tcW w:w="1368" w:type="dxa"/>
          </w:tcPr>
          <w:p>
            <w:pPr>
              <w:adjustRightInd w:val="0"/>
              <w:snapToGrid w:val="0"/>
              <w:spacing w:line="360" w:lineRule="auto"/>
              <w:jc w:val="right"/>
              <w:rPr>
                <w:i/>
                <w:sz w:val="24"/>
              </w:rPr>
            </w:pPr>
            <w:r>
              <w:rPr>
                <w:i/>
                <w:sz w:val="24"/>
              </w:rPr>
              <w:t>K</w:t>
            </w:r>
            <w:r>
              <w:rPr>
                <w:i/>
                <w:sz w:val="24"/>
                <w:vertAlign w:val="subscript"/>
              </w:rPr>
              <w:t>i</w:t>
            </w:r>
          </w:p>
        </w:tc>
        <w:tc>
          <w:tcPr>
            <w:tcW w:w="360" w:type="dxa"/>
          </w:tcPr>
          <w:p>
            <w:pPr>
              <w:adjustRightInd w:val="0"/>
              <w:snapToGrid w:val="0"/>
              <w:spacing w:line="360" w:lineRule="auto"/>
              <w:rPr>
                <w:sz w:val="24"/>
              </w:rPr>
            </w:pPr>
            <w:r>
              <w:rPr>
                <w:sz w:val="24"/>
              </w:rPr>
              <w:t>—</w:t>
            </w:r>
          </w:p>
        </w:tc>
        <w:tc>
          <w:tcPr>
            <w:tcW w:w="6794" w:type="dxa"/>
          </w:tcPr>
          <w:p>
            <w:pPr>
              <w:adjustRightInd w:val="0"/>
              <w:snapToGrid w:val="0"/>
              <w:spacing w:line="360" w:lineRule="auto"/>
              <w:rPr>
                <w:sz w:val="24"/>
              </w:rPr>
            </w:pPr>
            <w:r>
              <w:rPr>
                <w:rFonts w:hint="eastAsia"/>
                <w:sz w:val="24"/>
              </w:rPr>
              <w:t>第</w:t>
            </w:r>
            <w:r>
              <w:rPr>
                <w:sz w:val="24"/>
              </w:rPr>
              <w:t>i</w:t>
            </w:r>
            <w:r>
              <w:rPr>
                <w:rFonts w:hint="eastAsia"/>
                <w:sz w:val="24"/>
              </w:rPr>
              <w:t>分段含水层渗透系数</w:t>
            </w:r>
            <w:r>
              <w:rPr>
                <w:rFonts w:ascii="宋体" w:hAnsi="宋体"/>
                <w:sz w:val="24"/>
              </w:rPr>
              <w:t>(</w:t>
            </w:r>
            <w:r>
              <w:rPr>
                <w:sz w:val="24"/>
              </w:rPr>
              <w:t>m/d</w:t>
            </w:r>
            <w:r>
              <w:rPr>
                <w:rFonts w:ascii="宋体" w:hAnsi="宋体"/>
                <w:sz w:val="24"/>
              </w:rPr>
              <w:t>)</w:t>
            </w:r>
            <w:r>
              <w:rPr>
                <w:rFonts w:hint="eastAsia"/>
                <w:sz w:val="24"/>
              </w:rPr>
              <w:t>；</w:t>
            </w:r>
          </w:p>
        </w:tc>
      </w:tr>
      <w:tr>
        <w:tblPrEx>
          <w:tblCellMar>
            <w:top w:w="0" w:type="dxa"/>
            <w:left w:w="108" w:type="dxa"/>
            <w:bottom w:w="0" w:type="dxa"/>
            <w:right w:w="108" w:type="dxa"/>
          </w:tblCellMar>
        </w:tblPrEx>
        <w:tc>
          <w:tcPr>
            <w:tcW w:w="1368" w:type="dxa"/>
          </w:tcPr>
          <w:p>
            <w:pPr>
              <w:adjustRightInd w:val="0"/>
              <w:snapToGrid w:val="0"/>
              <w:spacing w:line="360" w:lineRule="auto"/>
              <w:jc w:val="right"/>
              <w:rPr>
                <w:i/>
                <w:sz w:val="24"/>
              </w:rPr>
            </w:pPr>
            <w:r>
              <w:rPr>
                <w:i/>
                <w:sz w:val="24"/>
              </w:rPr>
              <w:t>I</w:t>
            </w:r>
            <w:r>
              <w:rPr>
                <w:i/>
                <w:sz w:val="24"/>
                <w:vertAlign w:val="subscript"/>
              </w:rPr>
              <w:t>i</w:t>
            </w:r>
          </w:p>
        </w:tc>
        <w:tc>
          <w:tcPr>
            <w:tcW w:w="360" w:type="dxa"/>
          </w:tcPr>
          <w:p>
            <w:pPr>
              <w:adjustRightInd w:val="0"/>
              <w:snapToGrid w:val="0"/>
              <w:spacing w:line="360" w:lineRule="auto"/>
              <w:rPr>
                <w:sz w:val="24"/>
              </w:rPr>
            </w:pPr>
          </w:p>
        </w:tc>
        <w:tc>
          <w:tcPr>
            <w:tcW w:w="6794" w:type="dxa"/>
          </w:tcPr>
          <w:p>
            <w:pPr>
              <w:adjustRightInd w:val="0"/>
              <w:snapToGrid w:val="0"/>
              <w:spacing w:line="360" w:lineRule="auto"/>
              <w:rPr>
                <w:sz w:val="24"/>
              </w:rPr>
            </w:pPr>
            <w:r>
              <w:rPr>
                <w:rFonts w:hint="eastAsia"/>
                <w:sz w:val="24"/>
              </w:rPr>
              <w:t>第</w:t>
            </w:r>
            <w:r>
              <w:rPr>
                <w:sz w:val="24"/>
              </w:rPr>
              <w:t>i</w:t>
            </w:r>
            <w:r>
              <w:rPr>
                <w:rFonts w:hint="eastAsia"/>
                <w:sz w:val="24"/>
              </w:rPr>
              <w:t>分段断面的法向水力坡度；</w:t>
            </w:r>
          </w:p>
        </w:tc>
      </w:tr>
      <w:tr>
        <w:tblPrEx>
          <w:tblCellMar>
            <w:top w:w="0" w:type="dxa"/>
            <w:left w:w="108" w:type="dxa"/>
            <w:bottom w:w="0" w:type="dxa"/>
            <w:right w:w="108" w:type="dxa"/>
          </w:tblCellMar>
        </w:tblPrEx>
        <w:tc>
          <w:tcPr>
            <w:tcW w:w="1368" w:type="dxa"/>
          </w:tcPr>
          <w:p>
            <w:pPr>
              <w:adjustRightInd w:val="0"/>
              <w:snapToGrid w:val="0"/>
              <w:spacing w:line="360" w:lineRule="auto"/>
              <w:jc w:val="right"/>
              <w:rPr>
                <w:i/>
                <w:sz w:val="24"/>
              </w:rPr>
            </w:pPr>
            <w:r>
              <w:rPr>
                <w:i/>
                <w:sz w:val="24"/>
              </w:rPr>
              <w:t>A</w:t>
            </w:r>
            <w:r>
              <w:rPr>
                <w:i/>
                <w:sz w:val="24"/>
                <w:vertAlign w:val="subscript"/>
              </w:rPr>
              <w:t>i</w:t>
            </w:r>
          </w:p>
        </w:tc>
        <w:tc>
          <w:tcPr>
            <w:tcW w:w="360" w:type="dxa"/>
          </w:tcPr>
          <w:p>
            <w:pPr>
              <w:adjustRightInd w:val="0"/>
              <w:snapToGrid w:val="0"/>
              <w:spacing w:line="360" w:lineRule="auto"/>
              <w:rPr>
                <w:sz w:val="24"/>
              </w:rPr>
            </w:pPr>
            <w:r>
              <w:rPr>
                <w:sz w:val="24"/>
              </w:rPr>
              <w:t>—</w:t>
            </w:r>
          </w:p>
        </w:tc>
        <w:tc>
          <w:tcPr>
            <w:tcW w:w="6794" w:type="dxa"/>
          </w:tcPr>
          <w:p>
            <w:pPr>
              <w:adjustRightInd w:val="0"/>
              <w:snapToGrid w:val="0"/>
              <w:spacing w:line="360" w:lineRule="auto"/>
              <w:rPr>
                <w:sz w:val="24"/>
              </w:rPr>
            </w:pPr>
            <w:r>
              <w:rPr>
                <w:rFonts w:hint="eastAsia"/>
                <w:sz w:val="24"/>
              </w:rPr>
              <w:t>第</w:t>
            </w:r>
            <w:r>
              <w:rPr>
                <w:sz w:val="24"/>
              </w:rPr>
              <w:t>i</w:t>
            </w:r>
            <w:r>
              <w:rPr>
                <w:rFonts w:hint="eastAsia"/>
                <w:sz w:val="24"/>
              </w:rPr>
              <w:t>分段含水层断面面积</w:t>
            </w:r>
            <w:r>
              <w:rPr>
                <w:rFonts w:ascii="宋体" w:hAnsi="宋体"/>
                <w:sz w:val="24"/>
              </w:rPr>
              <w:t>(</w:t>
            </w:r>
            <w:r>
              <w:rPr>
                <w:sz w:val="24"/>
              </w:rPr>
              <w:t>m</w:t>
            </w:r>
            <w:r>
              <w:rPr>
                <w:sz w:val="24"/>
                <w:vertAlign w:val="superscript"/>
              </w:rPr>
              <w:t>2</w:t>
            </w:r>
            <w:r>
              <w:rPr>
                <w:rFonts w:ascii="宋体" w:hAnsi="宋体"/>
                <w:sz w:val="24"/>
              </w:rPr>
              <w:t>)</w:t>
            </w:r>
            <w:r>
              <w:rPr>
                <w:rFonts w:hint="eastAsia"/>
                <w:sz w:val="24"/>
              </w:rPr>
              <w:t>；</w:t>
            </w:r>
          </w:p>
        </w:tc>
      </w:tr>
    </w:tbl>
    <w:p>
      <w:pPr>
        <w:pStyle w:val="63"/>
        <w:ind w:firstLine="480"/>
        <w:rPr>
          <w:color w:val="auto"/>
        </w:rPr>
      </w:pPr>
      <w:r>
        <w:rPr>
          <w:rFonts w:hint="eastAsia"/>
          <w:color w:val="auto"/>
        </w:rPr>
        <w:t>式中各分段的渗透系数采用控制性钻孔抽水试验求参结果，水力坡度由《西咸新区泾河新城城市供水工程应急水源地可行性研究报告》中获得，断面面积可在剖面图上量取，计算结果见表7.5-2。</w:t>
      </w:r>
    </w:p>
    <w:p>
      <w:pPr>
        <w:pStyle w:val="65"/>
      </w:pPr>
      <w:r>
        <w:rPr>
          <w:rFonts w:hint="eastAsia"/>
        </w:rPr>
        <w:t>表7.5-2侧向径流补给量计算成果表</w:t>
      </w:r>
    </w:p>
    <w:tbl>
      <w:tblPr>
        <w:tblStyle w:val="24"/>
        <w:tblW w:w="5000" w:type="pct"/>
        <w:tblInd w:w="0" w:type="dxa"/>
        <w:tblLayout w:type="autofit"/>
        <w:tblCellMar>
          <w:top w:w="0" w:type="dxa"/>
          <w:left w:w="108" w:type="dxa"/>
          <w:bottom w:w="0" w:type="dxa"/>
          <w:right w:w="108" w:type="dxa"/>
        </w:tblCellMar>
      </w:tblPr>
      <w:tblGrid>
        <w:gridCol w:w="698"/>
        <w:gridCol w:w="539"/>
        <w:gridCol w:w="1668"/>
        <w:gridCol w:w="1158"/>
        <w:gridCol w:w="1292"/>
        <w:gridCol w:w="1400"/>
        <w:gridCol w:w="1668"/>
        <w:gridCol w:w="819"/>
      </w:tblGrid>
      <w:tr>
        <w:tblPrEx>
          <w:tblCellMar>
            <w:top w:w="0" w:type="dxa"/>
            <w:left w:w="108" w:type="dxa"/>
            <w:bottom w:w="0" w:type="dxa"/>
            <w:right w:w="108" w:type="dxa"/>
          </w:tblCellMar>
        </w:tblPrEx>
        <w:trPr>
          <w:trHeight w:val="481" w:hRule="atLeast"/>
        </w:trPr>
        <w:tc>
          <w:tcPr>
            <w:tcW w:w="632" w:type="pct"/>
            <w:tcBorders>
              <w:top w:val="single" w:color="auto" w:sz="12" w:space="0"/>
              <w:left w:val="single" w:color="auto" w:sz="12" w:space="0"/>
              <w:bottom w:val="single" w:color="auto" w:sz="8" w:space="0"/>
              <w:right w:val="single" w:color="auto" w:sz="8" w:space="0"/>
            </w:tcBorders>
            <w:shd w:val="clear" w:color="auto" w:fill="auto"/>
            <w:noWrap/>
            <w:vAlign w:val="center"/>
          </w:tcPr>
          <w:p>
            <w:pPr>
              <w:widowControl/>
              <w:jc w:val="center"/>
              <w:rPr>
                <w:b/>
                <w:kern w:val="0"/>
                <w:szCs w:val="21"/>
              </w:rPr>
            </w:pPr>
            <w:r>
              <w:rPr>
                <w:b/>
                <w:kern w:val="0"/>
                <w:szCs w:val="21"/>
              </w:rPr>
              <w:t>位置</w:t>
            </w:r>
          </w:p>
        </w:tc>
        <w:tc>
          <w:tcPr>
            <w:tcW w:w="500" w:type="pct"/>
            <w:tcBorders>
              <w:top w:val="single" w:color="auto" w:sz="12" w:space="0"/>
              <w:left w:val="nil"/>
              <w:bottom w:val="single" w:color="auto" w:sz="8" w:space="0"/>
              <w:right w:val="single" w:color="auto" w:sz="8" w:space="0"/>
            </w:tcBorders>
            <w:shd w:val="clear" w:color="auto" w:fill="auto"/>
            <w:noWrap/>
            <w:vAlign w:val="center"/>
          </w:tcPr>
          <w:p>
            <w:pPr>
              <w:widowControl/>
              <w:jc w:val="center"/>
              <w:rPr>
                <w:b/>
                <w:kern w:val="0"/>
                <w:szCs w:val="21"/>
              </w:rPr>
            </w:pPr>
            <w:r>
              <w:rPr>
                <w:b/>
                <w:kern w:val="0"/>
                <w:szCs w:val="21"/>
              </w:rPr>
              <w:t>序号</w:t>
            </w:r>
          </w:p>
        </w:tc>
        <w:tc>
          <w:tcPr>
            <w:tcW w:w="644" w:type="pct"/>
            <w:tcBorders>
              <w:top w:val="single" w:color="auto" w:sz="12" w:space="0"/>
              <w:left w:val="nil"/>
              <w:bottom w:val="single" w:color="auto" w:sz="8" w:space="0"/>
              <w:right w:val="single" w:color="auto" w:sz="8" w:space="0"/>
            </w:tcBorders>
            <w:shd w:val="clear" w:color="auto" w:fill="auto"/>
            <w:noWrap/>
            <w:vAlign w:val="center"/>
          </w:tcPr>
          <w:p>
            <w:pPr>
              <w:widowControl/>
              <w:jc w:val="center"/>
              <w:rPr>
                <w:b/>
                <w:kern w:val="0"/>
                <w:szCs w:val="21"/>
              </w:rPr>
            </w:pPr>
            <w:r>
              <w:rPr>
                <w:b/>
                <w:kern w:val="0"/>
                <w:szCs w:val="21"/>
              </w:rPr>
              <w:t>法向水力梯度（‰）</w:t>
            </w:r>
          </w:p>
        </w:tc>
        <w:tc>
          <w:tcPr>
            <w:tcW w:w="645" w:type="pct"/>
            <w:tcBorders>
              <w:top w:val="single" w:color="auto" w:sz="12" w:space="0"/>
              <w:left w:val="nil"/>
              <w:bottom w:val="single" w:color="auto" w:sz="8" w:space="0"/>
              <w:right w:val="single" w:color="auto" w:sz="8" w:space="0"/>
            </w:tcBorders>
            <w:shd w:val="clear" w:color="auto" w:fill="auto"/>
            <w:noWrap/>
            <w:vAlign w:val="center"/>
          </w:tcPr>
          <w:p>
            <w:pPr>
              <w:widowControl/>
              <w:jc w:val="center"/>
              <w:rPr>
                <w:b/>
                <w:kern w:val="0"/>
                <w:szCs w:val="21"/>
              </w:rPr>
            </w:pPr>
            <w:r>
              <w:rPr>
                <w:b/>
                <w:kern w:val="0"/>
                <w:szCs w:val="21"/>
              </w:rPr>
              <w:t>剖面长度</w:t>
            </w:r>
            <w:r>
              <w:rPr>
                <w:rFonts w:ascii="宋体" w:hAnsi="宋体"/>
                <w:b/>
                <w:kern w:val="0"/>
                <w:szCs w:val="21"/>
              </w:rPr>
              <w:t>(</w:t>
            </w:r>
            <w:r>
              <w:rPr>
                <w:b/>
                <w:kern w:val="0"/>
                <w:szCs w:val="21"/>
              </w:rPr>
              <w:t>m</w:t>
            </w:r>
            <w:r>
              <w:rPr>
                <w:rFonts w:ascii="宋体" w:hAnsi="宋体"/>
                <w:b/>
                <w:kern w:val="0"/>
                <w:szCs w:val="21"/>
              </w:rPr>
              <w:t>)</w:t>
            </w:r>
          </w:p>
        </w:tc>
        <w:tc>
          <w:tcPr>
            <w:tcW w:w="645" w:type="pct"/>
            <w:tcBorders>
              <w:top w:val="single" w:color="auto" w:sz="12" w:space="0"/>
              <w:left w:val="nil"/>
              <w:bottom w:val="single" w:color="auto" w:sz="8" w:space="0"/>
              <w:right w:val="single" w:color="auto" w:sz="8" w:space="0"/>
            </w:tcBorders>
            <w:shd w:val="clear" w:color="auto" w:fill="auto"/>
            <w:noWrap/>
            <w:vAlign w:val="center"/>
          </w:tcPr>
          <w:p>
            <w:pPr>
              <w:widowControl/>
              <w:jc w:val="center"/>
              <w:rPr>
                <w:b/>
                <w:kern w:val="0"/>
                <w:szCs w:val="21"/>
              </w:rPr>
            </w:pPr>
            <w:r>
              <w:rPr>
                <w:b/>
                <w:kern w:val="0"/>
                <w:szCs w:val="21"/>
              </w:rPr>
              <w:t>渗透系数</w:t>
            </w:r>
            <w:r>
              <w:rPr>
                <w:rFonts w:ascii="宋体" w:hAnsi="宋体"/>
                <w:b/>
                <w:kern w:val="0"/>
                <w:szCs w:val="21"/>
              </w:rPr>
              <w:t>(</w:t>
            </w:r>
            <w:r>
              <w:rPr>
                <w:b/>
                <w:kern w:val="0"/>
                <w:szCs w:val="21"/>
              </w:rPr>
              <w:t>m/d</w:t>
            </w:r>
            <w:r>
              <w:rPr>
                <w:rFonts w:ascii="宋体" w:hAnsi="宋体"/>
                <w:b/>
                <w:kern w:val="0"/>
                <w:szCs w:val="21"/>
              </w:rPr>
              <w:t>)</w:t>
            </w:r>
          </w:p>
        </w:tc>
        <w:tc>
          <w:tcPr>
            <w:tcW w:w="645" w:type="pct"/>
            <w:tcBorders>
              <w:top w:val="single" w:color="auto" w:sz="12" w:space="0"/>
              <w:left w:val="nil"/>
              <w:bottom w:val="single" w:color="auto" w:sz="8" w:space="0"/>
              <w:right w:val="single" w:color="auto" w:sz="8" w:space="0"/>
            </w:tcBorders>
            <w:shd w:val="clear" w:color="auto" w:fill="auto"/>
            <w:noWrap/>
            <w:vAlign w:val="center"/>
          </w:tcPr>
          <w:p>
            <w:pPr>
              <w:widowControl/>
              <w:jc w:val="center"/>
              <w:rPr>
                <w:b/>
                <w:kern w:val="0"/>
                <w:szCs w:val="21"/>
              </w:rPr>
            </w:pPr>
            <w:r>
              <w:rPr>
                <w:b/>
                <w:kern w:val="0"/>
                <w:szCs w:val="21"/>
              </w:rPr>
              <w:t>含水层厚度（m</w:t>
            </w:r>
            <w:r>
              <w:rPr>
                <w:rFonts w:ascii="宋体" w:hAnsi="宋体"/>
                <w:b/>
                <w:kern w:val="0"/>
                <w:szCs w:val="21"/>
              </w:rPr>
              <w:t>)</w:t>
            </w:r>
          </w:p>
        </w:tc>
        <w:tc>
          <w:tcPr>
            <w:tcW w:w="645" w:type="pct"/>
            <w:tcBorders>
              <w:top w:val="single" w:color="auto" w:sz="12" w:space="0"/>
              <w:left w:val="nil"/>
              <w:bottom w:val="single" w:color="auto" w:sz="8" w:space="0"/>
              <w:right w:val="single" w:color="auto" w:sz="8" w:space="0"/>
            </w:tcBorders>
            <w:shd w:val="clear" w:color="auto" w:fill="auto"/>
            <w:noWrap/>
            <w:vAlign w:val="center"/>
          </w:tcPr>
          <w:p>
            <w:pPr>
              <w:widowControl/>
              <w:jc w:val="center"/>
              <w:rPr>
                <w:b/>
                <w:kern w:val="0"/>
                <w:szCs w:val="21"/>
              </w:rPr>
            </w:pPr>
            <w:r>
              <w:rPr>
                <w:b/>
                <w:kern w:val="0"/>
                <w:szCs w:val="21"/>
              </w:rPr>
              <w:t>侧向径流量（m</w:t>
            </w:r>
            <w:r>
              <w:rPr>
                <w:b/>
                <w:kern w:val="0"/>
                <w:szCs w:val="21"/>
                <w:vertAlign w:val="superscript"/>
              </w:rPr>
              <w:t>3</w:t>
            </w:r>
            <w:r>
              <w:rPr>
                <w:b/>
                <w:kern w:val="0"/>
                <w:szCs w:val="21"/>
              </w:rPr>
              <w:t>/d）</w:t>
            </w:r>
          </w:p>
        </w:tc>
        <w:tc>
          <w:tcPr>
            <w:tcW w:w="645" w:type="pct"/>
            <w:tcBorders>
              <w:top w:val="single" w:color="auto" w:sz="12" w:space="0"/>
              <w:left w:val="nil"/>
              <w:bottom w:val="single" w:color="auto" w:sz="8" w:space="0"/>
              <w:right w:val="single" w:color="auto" w:sz="12" w:space="0"/>
            </w:tcBorders>
            <w:shd w:val="clear" w:color="auto" w:fill="auto"/>
            <w:noWrap/>
            <w:vAlign w:val="center"/>
          </w:tcPr>
          <w:p>
            <w:pPr>
              <w:widowControl/>
              <w:jc w:val="center"/>
              <w:rPr>
                <w:b/>
                <w:kern w:val="0"/>
                <w:szCs w:val="21"/>
              </w:rPr>
            </w:pPr>
            <w:r>
              <w:rPr>
                <w:b/>
                <w:kern w:val="0"/>
                <w:szCs w:val="21"/>
              </w:rPr>
              <w:t>合计</w:t>
            </w:r>
          </w:p>
        </w:tc>
      </w:tr>
      <w:tr>
        <w:tblPrEx>
          <w:tblCellMar>
            <w:top w:w="0" w:type="dxa"/>
            <w:left w:w="108" w:type="dxa"/>
            <w:bottom w:w="0" w:type="dxa"/>
            <w:right w:w="108" w:type="dxa"/>
          </w:tblCellMar>
        </w:tblPrEx>
        <w:trPr>
          <w:trHeight w:val="416" w:hRule="atLeast"/>
        </w:trPr>
        <w:tc>
          <w:tcPr>
            <w:tcW w:w="632" w:type="pct"/>
            <w:vMerge w:val="restart"/>
            <w:tcBorders>
              <w:top w:val="nil"/>
              <w:left w:val="single" w:color="auto" w:sz="12" w:space="0"/>
              <w:bottom w:val="single" w:color="000000" w:sz="8" w:space="0"/>
              <w:right w:val="single" w:color="auto" w:sz="8" w:space="0"/>
            </w:tcBorders>
            <w:shd w:val="clear" w:color="auto" w:fill="auto"/>
            <w:noWrap/>
            <w:vAlign w:val="center"/>
          </w:tcPr>
          <w:p>
            <w:pPr>
              <w:widowControl/>
              <w:jc w:val="center"/>
              <w:rPr>
                <w:kern w:val="0"/>
                <w:szCs w:val="21"/>
              </w:rPr>
            </w:pPr>
            <w:r>
              <w:rPr>
                <w:kern w:val="0"/>
                <w:szCs w:val="21"/>
              </w:rPr>
              <w:t>潜水</w:t>
            </w:r>
          </w:p>
        </w:tc>
        <w:tc>
          <w:tcPr>
            <w:tcW w:w="500"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4</w:t>
            </w:r>
          </w:p>
        </w:tc>
        <w:tc>
          <w:tcPr>
            <w:tcW w:w="644"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2</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14292</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24.58</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25</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17564.87</w:t>
            </w:r>
          </w:p>
        </w:tc>
        <w:tc>
          <w:tcPr>
            <w:tcW w:w="645" w:type="pct"/>
            <w:vMerge w:val="restart"/>
            <w:tcBorders>
              <w:top w:val="nil"/>
              <w:left w:val="single" w:color="auto" w:sz="8" w:space="0"/>
              <w:bottom w:val="single" w:color="000000" w:sz="8" w:space="0"/>
              <w:right w:val="single" w:color="auto" w:sz="12" w:space="0"/>
            </w:tcBorders>
            <w:shd w:val="clear" w:color="auto" w:fill="auto"/>
            <w:noWrap/>
            <w:vAlign w:val="center"/>
          </w:tcPr>
          <w:p>
            <w:pPr>
              <w:widowControl/>
              <w:jc w:val="center"/>
              <w:rPr>
                <w:kern w:val="0"/>
                <w:szCs w:val="21"/>
              </w:rPr>
            </w:pPr>
            <w:r>
              <w:rPr>
                <w:kern w:val="0"/>
                <w:szCs w:val="21"/>
              </w:rPr>
              <w:t>22780.13</w:t>
            </w:r>
          </w:p>
        </w:tc>
      </w:tr>
      <w:tr>
        <w:tblPrEx>
          <w:tblCellMar>
            <w:top w:w="0" w:type="dxa"/>
            <w:left w:w="108" w:type="dxa"/>
            <w:bottom w:w="0" w:type="dxa"/>
            <w:right w:w="108" w:type="dxa"/>
          </w:tblCellMar>
        </w:tblPrEx>
        <w:trPr>
          <w:trHeight w:val="416" w:hRule="atLeast"/>
        </w:trPr>
        <w:tc>
          <w:tcPr>
            <w:tcW w:w="632" w:type="pct"/>
            <w:vMerge w:val="continue"/>
            <w:tcBorders>
              <w:top w:val="nil"/>
              <w:left w:val="single" w:color="auto" w:sz="12" w:space="0"/>
              <w:bottom w:val="single" w:color="000000" w:sz="8" w:space="0"/>
              <w:right w:val="single" w:color="auto" w:sz="8" w:space="0"/>
            </w:tcBorders>
            <w:vAlign w:val="center"/>
          </w:tcPr>
          <w:p>
            <w:pPr>
              <w:widowControl/>
              <w:jc w:val="center"/>
              <w:rPr>
                <w:kern w:val="0"/>
                <w:szCs w:val="21"/>
              </w:rPr>
            </w:pPr>
          </w:p>
        </w:tc>
        <w:tc>
          <w:tcPr>
            <w:tcW w:w="500"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5</w:t>
            </w:r>
          </w:p>
        </w:tc>
        <w:tc>
          <w:tcPr>
            <w:tcW w:w="644"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1.8</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4715</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24.58</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25</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5215.26</w:t>
            </w:r>
          </w:p>
        </w:tc>
        <w:tc>
          <w:tcPr>
            <w:tcW w:w="645" w:type="pct"/>
            <w:vMerge w:val="continue"/>
            <w:tcBorders>
              <w:top w:val="nil"/>
              <w:left w:val="single" w:color="auto" w:sz="8" w:space="0"/>
              <w:bottom w:val="single" w:color="000000" w:sz="8" w:space="0"/>
              <w:right w:val="single" w:color="auto" w:sz="12" w:space="0"/>
            </w:tcBorders>
            <w:vAlign w:val="center"/>
          </w:tcPr>
          <w:p>
            <w:pPr>
              <w:widowControl/>
              <w:jc w:val="center"/>
              <w:rPr>
                <w:kern w:val="0"/>
                <w:szCs w:val="21"/>
              </w:rPr>
            </w:pPr>
          </w:p>
        </w:tc>
      </w:tr>
      <w:tr>
        <w:tblPrEx>
          <w:tblCellMar>
            <w:top w:w="0" w:type="dxa"/>
            <w:left w:w="108" w:type="dxa"/>
            <w:bottom w:w="0" w:type="dxa"/>
            <w:right w:w="108" w:type="dxa"/>
          </w:tblCellMar>
        </w:tblPrEx>
        <w:trPr>
          <w:trHeight w:val="416" w:hRule="atLeast"/>
        </w:trPr>
        <w:tc>
          <w:tcPr>
            <w:tcW w:w="632" w:type="pct"/>
            <w:vMerge w:val="restart"/>
            <w:tcBorders>
              <w:top w:val="nil"/>
              <w:left w:val="single" w:color="auto" w:sz="12" w:space="0"/>
              <w:bottom w:val="single" w:color="000000" w:sz="8" w:space="0"/>
              <w:right w:val="single" w:color="auto" w:sz="8" w:space="0"/>
            </w:tcBorders>
            <w:shd w:val="clear" w:color="auto" w:fill="auto"/>
            <w:noWrap/>
            <w:vAlign w:val="center"/>
          </w:tcPr>
          <w:p>
            <w:pPr>
              <w:widowControl/>
              <w:jc w:val="center"/>
              <w:rPr>
                <w:kern w:val="0"/>
                <w:szCs w:val="21"/>
              </w:rPr>
            </w:pPr>
            <w:r>
              <w:rPr>
                <w:kern w:val="0"/>
                <w:szCs w:val="21"/>
              </w:rPr>
              <w:t>浅层</w:t>
            </w:r>
          </w:p>
          <w:p>
            <w:pPr>
              <w:widowControl/>
              <w:jc w:val="center"/>
              <w:rPr>
                <w:kern w:val="0"/>
                <w:szCs w:val="21"/>
              </w:rPr>
            </w:pPr>
            <w:r>
              <w:rPr>
                <w:kern w:val="0"/>
                <w:szCs w:val="21"/>
              </w:rPr>
              <w:t>承压水</w:t>
            </w:r>
          </w:p>
        </w:tc>
        <w:tc>
          <w:tcPr>
            <w:tcW w:w="500"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4</w:t>
            </w:r>
          </w:p>
        </w:tc>
        <w:tc>
          <w:tcPr>
            <w:tcW w:w="644"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2.2</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14292</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1.63</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107</w:t>
            </w:r>
          </w:p>
        </w:tc>
        <w:tc>
          <w:tcPr>
            <w:tcW w:w="645" w:type="pct"/>
            <w:tcBorders>
              <w:top w:val="nil"/>
              <w:left w:val="nil"/>
              <w:bottom w:val="single" w:color="auto" w:sz="8" w:space="0"/>
              <w:right w:val="single" w:color="auto" w:sz="8" w:space="0"/>
            </w:tcBorders>
            <w:shd w:val="clear" w:color="auto" w:fill="auto"/>
            <w:noWrap/>
            <w:vAlign w:val="center"/>
          </w:tcPr>
          <w:p>
            <w:pPr>
              <w:widowControl/>
              <w:jc w:val="center"/>
              <w:rPr>
                <w:kern w:val="0"/>
                <w:szCs w:val="21"/>
              </w:rPr>
            </w:pPr>
            <w:r>
              <w:rPr>
                <w:kern w:val="0"/>
                <w:szCs w:val="21"/>
              </w:rPr>
              <w:t>5483.87</w:t>
            </w:r>
          </w:p>
        </w:tc>
        <w:tc>
          <w:tcPr>
            <w:tcW w:w="645" w:type="pct"/>
            <w:vMerge w:val="restart"/>
            <w:tcBorders>
              <w:top w:val="nil"/>
              <w:left w:val="single" w:color="auto" w:sz="8" w:space="0"/>
              <w:bottom w:val="single" w:color="000000" w:sz="8" w:space="0"/>
              <w:right w:val="single" w:color="auto" w:sz="12" w:space="0"/>
            </w:tcBorders>
            <w:shd w:val="clear" w:color="auto" w:fill="auto"/>
            <w:noWrap/>
            <w:vAlign w:val="center"/>
          </w:tcPr>
          <w:p>
            <w:pPr>
              <w:widowControl/>
              <w:jc w:val="center"/>
              <w:rPr>
                <w:kern w:val="0"/>
                <w:szCs w:val="21"/>
              </w:rPr>
            </w:pPr>
            <w:r>
              <w:rPr>
                <w:kern w:val="0"/>
                <w:szCs w:val="21"/>
              </w:rPr>
              <w:t>7469.02</w:t>
            </w:r>
          </w:p>
        </w:tc>
      </w:tr>
      <w:tr>
        <w:tblPrEx>
          <w:tblCellMar>
            <w:top w:w="0" w:type="dxa"/>
            <w:left w:w="108" w:type="dxa"/>
            <w:bottom w:w="0" w:type="dxa"/>
            <w:right w:w="108" w:type="dxa"/>
          </w:tblCellMar>
        </w:tblPrEx>
        <w:trPr>
          <w:trHeight w:val="416" w:hRule="atLeast"/>
        </w:trPr>
        <w:tc>
          <w:tcPr>
            <w:tcW w:w="632" w:type="pct"/>
            <w:vMerge w:val="continue"/>
            <w:tcBorders>
              <w:top w:val="nil"/>
              <w:left w:val="single" w:color="auto" w:sz="12" w:space="0"/>
              <w:bottom w:val="single" w:color="auto" w:sz="12" w:space="0"/>
              <w:right w:val="single" w:color="auto" w:sz="8" w:space="0"/>
            </w:tcBorders>
            <w:vAlign w:val="center"/>
          </w:tcPr>
          <w:p>
            <w:pPr>
              <w:widowControl/>
              <w:jc w:val="center"/>
              <w:rPr>
                <w:kern w:val="0"/>
                <w:szCs w:val="21"/>
              </w:rPr>
            </w:pPr>
          </w:p>
        </w:tc>
        <w:tc>
          <w:tcPr>
            <w:tcW w:w="500" w:type="pct"/>
            <w:tcBorders>
              <w:top w:val="nil"/>
              <w:left w:val="nil"/>
              <w:bottom w:val="single" w:color="auto" w:sz="12" w:space="0"/>
              <w:right w:val="single" w:color="auto" w:sz="8" w:space="0"/>
            </w:tcBorders>
            <w:shd w:val="clear" w:color="auto" w:fill="auto"/>
            <w:noWrap/>
            <w:vAlign w:val="center"/>
          </w:tcPr>
          <w:p>
            <w:pPr>
              <w:widowControl/>
              <w:jc w:val="center"/>
              <w:rPr>
                <w:kern w:val="0"/>
                <w:szCs w:val="21"/>
              </w:rPr>
            </w:pPr>
            <w:r>
              <w:rPr>
                <w:kern w:val="0"/>
                <w:szCs w:val="21"/>
              </w:rPr>
              <w:t>5</w:t>
            </w:r>
          </w:p>
        </w:tc>
        <w:tc>
          <w:tcPr>
            <w:tcW w:w="644" w:type="pct"/>
            <w:tcBorders>
              <w:top w:val="nil"/>
              <w:left w:val="nil"/>
              <w:bottom w:val="single" w:color="auto" w:sz="12" w:space="0"/>
              <w:right w:val="single" w:color="auto" w:sz="8" w:space="0"/>
            </w:tcBorders>
            <w:shd w:val="clear" w:color="auto" w:fill="auto"/>
            <w:noWrap/>
            <w:vAlign w:val="center"/>
          </w:tcPr>
          <w:p>
            <w:pPr>
              <w:widowControl/>
              <w:jc w:val="center"/>
              <w:rPr>
                <w:kern w:val="0"/>
                <w:szCs w:val="21"/>
              </w:rPr>
            </w:pPr>
            <w:r>
              <w:rPr>
                <w:kern w:val="0"/>
                <w:szCs w:val="21"/>
              </w:rPr>
              <w:t>2.1</w:t>
            </w:r>
          </w:p>
        </w:tc>
        <w:tc>
          <w:tcPr>
            <w:tcW w:w="645" w:type="pct"/>
            <w:tcBorders>
              <w:top w:val="nil"/>
              <w:left w:val="nil"/>
              <w:bottom w:val="single" w:color="auto" w:sz="12" w:space="0"/>
              <w:right w:val="single" w:color="auto" w:sz="8" w:space="0"/>
            </w:tcBorders>
            <w:shd w:val="clear" w:color="auto" w:fill="auto"/>
            <w:noWrap/>
            <w:vAlign w:val="center"/>
          </w:tcPr>
          <w:p>
            <w:pPr>
              <w:widowControl/>
              <w:jc w:val="center"/>
              <w:rPr>
                <w:kern w:val="0"/>
                <w:szCs w:val="21"/>
              </w:rPr>
            </w:pPr>
            <w:r>
              <w:rPr>
                <w:kern w:val="0"/>
                <w:szCs w:val="21"/>
              </w:rPr>
              <w:t>4715</w:t>
            </w:r>
          </w:p>
        </w:tc>
        <w:tc>
          <w:tcPr>
            <w:tcW w:w="645" w:type="pct"/>
            <w:tcBorders>
              <w:top w:val="nil"/>
              <w:left w:val="nil"/>
              <w:bottom w:val="single" w:color="auto" w:sz="12" w:space="0"/>
              <w:right w:val="single" w:color="auto" w:sz="8" w:space="0"/>
            </w:tcBorders>
            <w:shd w:val="clear" w:color="auto" w:fill="auto"/>
            <w:noWrap/>
            <w:vAlign w:val="center"/>
          </w:tcPr>
          <w:p>
            <w:pPr>
              <w:widowControl/>
              <w:jc w:val="center"/>
              <w:rPr>
                <w:kern w:val="0"/>
                <w:szCs w:val="21"/>
              </w:rPr>
            </w:pPr>
            <w:r>
              <w:rPr>
                <w:kern w:val="0"/>
                <w:szCs w:val="21"/>
              </w:rPr>
              <w:t>1.63</w:t>
            </w:r>
          </w:p>
        </w:tc>
        <w:tc>
          <w:tcPr>
            <w:tcW w:w="645" w:type="pct"/>
            <w:tcBorders>
              <w:top w:val="nil"/>
              <w:left w:val="nil"/>
              <w:bottom w:val="single" w:color="auto" w:sz="12" w:space="0"/>
              <w:right w:val="single" w:color="auto" w:sz="8" w:space="0"/>
            </w:tcBorders>
            <w:shd w:val="clear" w:color="auto" w:fill="auto"/>
            <w:noWrap/>
            <w:vAlign w:val="center"/>
          </w:tcPr>
          <w:p>
            <w:pPr>
              <w:widowControl/>
              <w:jc w:val="center"/>
              <w:rPr>
                <w:kern w:val="0"/>
                <w:szCs w:val="21"/>
              </w:rPr>
            </w:pPr>
            <w:r>
              <w:rPr>
                <w:kern w:val="0"/>
                <w:szCs w:val="21"/>
              </w:rPr>
              <w:t>123</w:t>
            </w:r>
          </w:p>
        </w:tc>
        <w:tc>
          <w:tcPr>
            <w:tcW w:w="645" w:type="pct"/>
            <w:tcBorders>
              <w:top w:val="nil"/>
              <w:left w:val="nil"/>
              <w:bottom w:val="single" w:color="auto" w:sz="12" w:space="0"/>
              <w:right w:val="single" w:color="auto" w:sz="8" w:space="0"/>
            </w:tcBorders>
            <w:shd w:val="clear" w:color="auto" w:fill="auto"/>
            <w:noWrap/>
            <w:vAlign w:val="center"/>
          </w:tcPr>
          <w:p>
            <w:pPr>
              <w:widowControl/>
              <w:jc w:val="center"/>
              <w:rPr>
                <w:kern w:val="0"/>
                <w:szCs w:val="21"/>
              </w:rPr>
            </w:pPr>
            <w:r>
              <w:rPr>
                <w:kern w:val="0"/>
                <w:szCs w:val="21"/>
              </w:rPr>
              <w:t>1985.15</w:t>
            </w:r>
          </w:p>
        </w:tc>
        <w:tc>
          <w:tcPr>
            <w:tcW w:w="645" w:type="pct"/>
            <w:vMerge w:val="continue"/>
            <w:tcBorders>
              <w:top w:val="nil"/>
              <w:left w:val="single" w:color="auto" w:sz="8" w:space="0"/>
              <w:bottom w:val="single" w:color="auto" w:sz="12" w:space="0"/>
              <w:right w:val="single" w:color="auto" w:sz="12" w:space="0"/>
            </w:tcBorders>
            <w:vAlign w:val="center"/>
          </w:tcPr>
          <w:p>
            <w:pPr>
              <w:widowControl/>
              <w:jc w:val="center"/>
              <w:rPr>
                <w:kern w:val="0"/>
                <w:szCs w:val="21"/>
              </w:rPr>
            </w:pPr>
          </w:p>
        </w:tc>
      </w:tr>
    </w:tbl>
    <w:p>
      <w:pPr>
        <w:pStyle w:val="63"/>
        <w:ind w:firstLine="480"/>
        <w:rPr>
          <w:color w:val="auto"/>
        </w:rPr>
      </w:pPr>
      <w:r>
        <w:rPr>
          <w:rFonts w:hint="eastAsia"/>
          <w:color w:val="auto"/>
        </w:rPr>
        <w:t>由表7.5-2可知，项目区上游边界处潜水侧向径流补给总量为</w:t>
      </w:r>
      <w:r>
        <w:rPr>
          <w:color w:val="auto"/>
        </w:rPr>
        <w:t>2.28×10</w:t>
      </w:r>
      <w:r>
        <w:rPr>
          <w:color w:val="auto"/>
          <w:vertAlign w:val="superscript"/>
        </w:rPr>
        <w:t>4</w:t>
      </w:r>
      <w:r>
        <w:rPr>
          <w:color w:val="auto"/>
        </w:rPr>
        <w:t>m</w:t>
      </w:r>
      <w:r>
        <w:rPr>
          <w:color w:val="auto"/>
          <w:vertAlign w:val="superscript"/>
        </w:rPr>
        <w:t>3</w:t>
      </w:r>
      <w:r>
        <w:rPr>
          <w:color w:val="auto"/>
        </w:rPr>
        <w:t>/d</w:t>
      </w:r>
      <w:r>
        <w:rPr>
          <w:rFonts w:hint="eastAsia"/>
          <w:color w:val="auto"/>
        </w:rPr>
        <w:t>，浅层承压含水层侧向径流补给量为</w:t>
      </w:r>
      <w:r>
        <w:rPr>
          <w:color w:val="auto"/>
        </w:rPr>
        <w:t>0.75×10</w:t>
      </w:r>
      <w:r>
        <w:rPr>
          <w:color w:val="auto"/>
          <w:vertAlign w:val="superscript"/>
        </w:rPr>
        <w:t>4</w:t>
      </w:r>
      <w:r>
        <w:rPr>
          <w:color w:val="auto"/>
        </w:rPr>
        <w:t>m</w:t>
      </w:r>
      <w:r>
        <w:rPr>
          <w:color w:val="auto"/>
          <w:vertAlign w:val="superscript"/>
        </w:rPr>
        <w:t>3</w:t>
      </w:r>
      <w:r>
        <w:rPr>
          <w:color w:val="auto"/>
        </w:rPr>
        <w:t>/d</w:t>
      </w:r>
      <w:r>
        <w:rPr>
          <w:rFonts w:hint="eastAsia"/>
          <w:color w:val="auto"/>
        </w:rPr>
        <w:t>，总的侧向补给量为</w:t>
      </w:r>
      <w:r>
        <w:rPr>
          <w:color w:val="auto"/>
        </w:rPr>
        <w:t>3.03 m</w:t>
      </w:r>
      <w:r>
        <w:rPr>
          <w:color w:val="auto"/>
          <w:vertAlign w:val="superscript"/>
        </w:rPr>
        <w:t>3</w:t>
      </w:r>
      <w:r>
        <w:rPr>
          <w:color w:val="auto"/>
        </w:rPr>
        <w:t>/d</w:t>
      </w:r>
      <w:r>
        <w:rPr>
          <w:rFonts w:hint="eastAsia"/>
          <w:color w:val="auto"/>
        </w:rPr>
        <w:t>。</w:t>
      </w:r>
    </w:p>
    <w:p>
      <w:pPr>
        <w:pStyle w:val="63"/>
        <w:ind w:firstLine="480"/>
        <w:rPr>
          <w:color w:val="auto"/>
        </w:rPr>
      </w:pPr>
      <w:r>
        <w:rPr>
          <w:rFonts w:hint="eastAsia"/>
          <w:color w:val="auto"/>
        </w:rPr>
        <w:t>⑶</w:t>
      </w:r>
      <w:r>
        <w:rPr>
          <w:color w:val="auto"/>
        </w:rPr>
        <w:t>灌溉回归补给量Q</w:t>
      </w:r>
      <w:r>
        <w:rPr>
          <w:color w:val="auto"/>
          <w:vertAlign w:val="subscript"/>
        </w:rPr>
        <w:t>灌</w:t>
      </w:r>
    </w:p>
    <w:p>
      <w:pPr>
        <w:pStyle w:val="63"/>
        <w:ind w:firstLine="480"/>
        <w:rPr>
          <w:color w:val="auto"/>
        </w:rPr>
      </w:pPr>
      <w:r>
        <w:rPr>
          <w:color w:val="auto"/>
        </w:rPr>
        <w:t>结合前人的研究成果及与区内条件类似地区供水水文地质勘查中所取得的成果，</w:t>
      </w:r>
      <w:r>
        <w:rPr>
          <w:rFonts w:hint="eastAsia"/>
          <w:color w:val="auto"/>
        </w:rPr>
        <w:t>项目区</w:t>
      </w:r>
      <w:r>
        <w:rPr>
          <w:color w:val="auto"/>
        </w:rPr>
        <w:t>内灌溉入渗补给量为2.74×10</w:t>
      </w:r>
      <w:r>
        <w:rPr>
          <w:color w:val="auto"/>
          <w:vertAlign w:val="superscript"/>
        </w:rPr>
        <w:t>4</w:t>
      </w:r>
      <w:r>
        <w:rPr>
          <w:color w:val="auto"/>
        </w:rPr>
        <w:t>m</w:t>
      </w:r>
      <w:r>
        <w:rPr>
          <w:color w:val="auto"/>
          <w:vertAlign w:val="superscript"/>
        </w:rPr>
        <w:t>3</w:t>
      </w:r>
      <w:r>
        <w:rPr>
          <w:color w:val="auto"/>
        </w:rPr>
        <w:t>/d。</w:t>
      </w:r>
    </w:p>
    <w:p>
      <w:pPr>
        <w:pStyle w:val="63"/>
        <w:ind w:firstLine="480"/>
        <w:rPr>
          <w:color w:val="auto"/>
        </w:rPr>
      </w:pPr>
      <w:r>
        <w:rPr>
          <w:rFonts w:hint="eastAsia"/>
          <w:color w:val="auto"/>
        </w:rPr>
        <w:t>综合以上，</w:t>
      </w:r>
      <w:r>
        <w:rPr>
          <w:color w:val="auto"/>
        </w:rPr>
        <w:t>区内地下水补给总量为</w:t>
      </w:r>
      <w:r>
        <w:rPr>
          <w:rFonts w:hint="eastAsia"/>
          <w:color w:val="auto"/>
        </w:rPr>
        <w:t>10.62</w:t>
      </w:r>
      <w:r>
        <w:rPr>
          <w:color w:val="auto"/>
        </w:rPr>
        <w:t>×10</w:t>
      </w:r>
      <w:r>
        <w:rPr>
          <w:color w:val="auto"/>
          <w:vertAlign w:val="superscript"/>
        </w:rPr>
        <w:t>4</w:t>
      </w:r>
      <w:r>
        <w:rPr>
          <w:color w:val="auto"/>
        </w:rPr>
        <w:t>m</w:t>
      </w:r>
      <w:r>
        <w:rPr>
          <w:color w:val="auto"/>
          <w:vertAlign w:val="superscript"/>
        </w:rPr>
        <w:t>3</w:t>
      </w:r>
      <w:r>
        <w:rPr>
          <w:color w:val="auto"/>
        </w:rPr>
        <w:t>/d，其中大气降水入渗补给量为4.85×10</w:t>
      </w:r>
      <w:r>
        <w:rPr>
          <w:color w:val="auto"/>
          <w:vertAlign w:val="superscript"/>
        </w:rPr>
        <w:t>4</w:t>
      </w:r>
      <w:r>
        <w:rPr>
          <w:color w:val="auto"/>
        </w:rPr>
        <w:t>m</w:t>
      </w:r>
      <w:r>
        <w:rPr>
          <w:color w:val="auto"/>
          <w:vertAlign w:val="superscript"/>
        </w:rPr>
        <w:t>3</w:t>
      </w:r>
      <w:r>
        <w:rPr>
          <w:color w:val="auto"/>
        </w:rPr>
        <w:t>/d，侧向径流补给量为3.03×10</w:t>
      </w:r>
      <w:r>
        <w:rPr>
          <w:color w:val="auto"/>
          <w:vertAlign w:val="superscript"/>
        </w:rPr>
        <w:t>4</w:t>
      </w:r>
      <w:r>
        <w:rPr>
          <w:color w:val="auto"/>
        </w:rPr>
        <w:t>m</w:t>
      </w:r>
      <w:r>
        <w:rPr>
          <w:color w:val="auto"/>
          <w:vertAlign w:val="superscript"/>
        </w:rPr>
        <w:t>3</w:t>
      </w:r>
      <w:r>
        <w:rPr>
          <w:color w:val="auto"/>
        </w:rPr>
        <w:t>/d，灌溉入渗补给量为2.74×10</w:t>
      </w:r>
      <w:r>
        <w:rPr>
          <w:color w:val="auto"/>
          <w:vertAlign w:val="superscript"/>
        </w:rPr>
        <w:t>4</w:t>
      </w:r>
      <w:r>
        <w:rPr>
          <w:color w:val="auto"/>
        </w:rPr>
        <w:t xml:space="preserve"> m</w:t>
      </w:r>
      <w:r>
        <w:rPr>
          <w:color w:val="auto"/>
          <w:vertAlign w:val="superscript"/>
        </w:rPr>
        <w:t>3</w:t>
      </w:r>
      <w:r>
        <w:rPr>
          <w:color w:val="auto"/>
        </w:rPr>
        <w:t>/d。</w:t>
      </w:r>
    </w:p>
    <w:p>
      <w:pPr>
        <w:pStyle w:val="63"/>
        <w:ind w:firstLine="480"/>
        <w:rPr>
          <w:color w:val="auto"/>
          <w:lang w:val="zh-CN"/>
        </w:rPr>
      </w:pPr>
      <w:r>
        <w:rPr>
          <w:rFonts w:hint="eastAsia"/>
          <w:color w:val="auto"/>
          <w:lang w:val="zh-CN"/>
        </w:rPr>
        <w:t>7.5.2 地下水允许开采量</w:t>
      </w:r>
    </w:p>
    <w:p>
      <w:pPr>
        <w:pStyle w:val="63"/>
        <w:ind w:firstLine="480"/>
        <w:rPr>
          <w:color w:val="auto"/>
        </w:rPr>
      </w:pPr>
      <w:r>
        <w:rPr>
          <w:rFonts w:hint="eastAsia"/>
          <w:color w:val="auto"/>
        </w:rPr>
        <w:t>根据</w:t>
      </w:r>
      <w:r>
        <w:rPr>
          <w:color w:val="auto"/>
        </w:rPr>
        <w:t>上节知，</w:t>
      </w:r>
      <w:r>
        <w:rPr>
          <w:rFonts w:hint="eastAsia"/>
          <w:color w:val="auto"/>
        </w:rPr>
        <w:t>区域内</w:t>
      </w:r>
      <w:r>
        <w:rPr>
          <w:color w:val="auto"/>
        </w:rPr>
        <w:t>地下水储量为</w:t>
      </w:r>
      <w:r>
        <w:rPr>
          <w:rFonts w:hint="eastAsia"/>
          <w:color w:val="auto"/>
        </w:rPr>
        <w:t>10.62万</w:t>
      </w:r>
      <w:r>
        <w:rPr>
          <w:color w:val="auto"/>
        </w:rPr>
        <w:t>m</w:t>
      </w:r>
      <w:r>
        <w:rPr>
          <w:color w:val="auto"/>
          <w:vertAlign w:val="superscript"/>
        </w:rPr>
        <w:t>3</w:t>
      </w:r>
      <w:r>
        <w:rPr>
          <w:color w:val="auto"/>
        </w:rPr>
        <w:t>/d</w:t>
      </w:r>
      <w:r>
        <w:rPr>
          <w:rFonts w:hint="eastAsia"/>
          <w:color w:val="auto"/>
        </w:rPr>
        <w:t>，</w:t>
      </w:r>
      <w:r>
        <w:rPr>
          <w:color w:val="auto"/>
        </w:rPr>
        <w:t>采用可开采系数法确定允许开采量，按</w:t>
      </w:r>
      <w:r>
        <w:rPr>
          <w:rFonts w:hint="eastAsia"/>
          <w:color w:val="auto"/>
        </w:rPr>
        <w:t>下述</w:t>
      </w:r>
      <w:r>
        <w:rPr>
          <w:color w:val="auto"/>
        </w:rPr>
        <w:t>公式计算：</w:t>
      </w:r>
    </w:p>
    <w:p>
      <w:pPr>
        <w:spacing w:line="440" w:lineRule="exact"/>
        <w:ind w:firstLine="480" w:firstLineChars="200"/>
        <w:jc w:val="center"/>
        <w:rPr>
          <w:bCs/>
          <w:sz w:val="24"/>
        </w:rPr>
      </w:pPr>
      <w:r>
        <w:rPr>
          <w:bCs/>
          <w:sz w:val="24"/>
        </w:rPr>
        <w:object>
          <v:shape id="_x0000_i1031" o:spt="75" type="#_x0000_t75" style="height:18.7pt;width:78.55pt;" o:ole="t" filled="f" o:preferrelative="t" stroked="f" coordsize="21600,21600">
            <v:path/>
            <v:fill on="f" focussize="0,0"/>
            <v:stroke on="f" joinstyle="miter"/>
            <v:imagedata r:id="rId46" o:title=""/>
            <o:lock v:ext="edit" aspectratio="t"/>
            <w10:wrap type="none"/>
            <w10:anchorlock/>
          </v:shape>
          <o:OLEObject Type="Embed" ProgID="Equation.3" ShapeID="_x0000_i1031" DrawAspect="Content" ObjectID="_1468075731" r:id="rId45">
            <o:LockedField>false</o:LockedField>
          </o:OLEObject>
        </w:object>
      </w:r>
    </w:p>
    <w:p>
      <w:pPr>
        <w:spacing w:line="440" w:lineRule="exact"/>
        <w:ind w:firstLine="480" w:firstLineChars="200"/>
        <w:rPr>
          <w:bCs/>
          <w:sz w:val="24"/>
        </w:rPr>
      </w:pPr>
      <w:r>
        <w:rPr>
          <w:bCs/>
          <w:sz w:val="24"/>
        </w:rPr>
        <w:t>式中:</w:t>
      </w:r>
      <w:r>
        <w:rPr>
          <w:bCs/>
          <w:sz w:val="24"/>
        </w:rPr>
        <w:object>
          <v:shape id="_x0000_i1032" o:spt="75" type="#_x0000_t75" style="height:15.9pt;width:12.15pt;" o:ole="t" filled="f" o:preferrelative="t" stroked="f" coordsize="21600,21600">
            <v:path/>
            <v:fill on="f" focussize="0,0"/>
            <v:stroke on="f" joinstyle="miter"/>
            <v:imagedata r:id="rId48" o:title=""/>
            <o:lock v:ext="edit" aspectratio="t"/>
            <w10:wrap type="none"/>
            <w10:anchorlock/>
          </v:shape>
          <o:OLEObject Type="Embed" ProgID="Equation.3" ShapeID="_x0000_i1032" DrawAspect="Content" ObjectID="_1468075732" r:id="rId47">
            <o:LockedField>false</o:LockedField>
          </o:OLEObject>
        </w:object>
      </w:r>
      <w:r>
        <w:rPr>
          <w:bCs/>
          <w:sz w:val="24"/>
          <w:vertAlign w:val="subscript"/>
        </w:rPr>
        <w:t>可</w:t>
      </w:r>
      <w:r>
        <w:rPr>
          <w:bCs/>
          <w:sz w:val="24"/>
        </w:rPr>
        <w:t>—可开采量，m³/</w:t>
      </w:r>
      <w:r>
        <w:rPr>
          <w:rFonts w:hint="eastAsia"/>
          <w:bCs/>
          <w:sz w:val="24"/>
        </w:rPr>
        <w:t>d</w:t>
      </w:r>
      <w:r>
        <w:rPr>
          <w:bCs/>
          <w:sz w:val="24"/>
        </w:rPr>
        <w:t>；</w:t>
      </w:r>
    </w:p>
    <w:p>
      <w:pPr>
        <w:pStyle w:val="63"/>
        <w:ind w:firstLine="1080" w:firstLineChars="450"/>
        <w:rPr>
          <w:color w:val="auto"/>
        </w:rPr>
      </w:pPr>
      <w:r>
        <w:rPr>
          <w:color w:val="auto"/>
        </w:rPr>
        <w:t>ρ—可开采系数，</w:t>
      </w:r>
      <w:r>
        <w:rPr>
          <w:rFonts w:hint="eastAsia"/>
          <w:color w:val="auto"/>
        </w:rPr>
        <w:t>参考咸阳市《水资源开发利用规划》咸阳至潼关北岸水资源四级区内泾阳县地下水可开采系数取0.70。</w:t>
      </w:r>
    </w:p>
    <w:p>
      <w:pPr>
        <w:pStyle w:val="63"/>
        <w:ind w:firstLine="1080" w:firstLineChars="450"/>
        <w:rPr>
          <w:color w:val="auto"/>
        </w:rPr>
      </w:pPr>
      <w:r>
        <w:rPr>
          <w:color w:val="auto"/>
        </w:rPr>
        <w:t>Wa—地下水</w:t>
      </w:r>
      <w:r>
        <w:rPr>
          <w:rFonts w:hint="eastAsia"/>
          <w:color w:val="auto"/>
        </w:rPr>
        <w:t>储量</w:t>
      </w:r>
      <w:r>
        <w:rPr>
          <w:color w:val="auto"/>
        </w:rPr>
        <w:t>，m³/</w:t>
      </w:r>
      <w:r>
        <w:rPr>
          <w:rFonts w:hint="eastAsia"/>
          <w:color w:val="auto"/>
        </w:rPr>
        <w:t>d</w:t>
      </w:r>
      <w:r>
        <w:rPr>
          <w:color w:val="auto"/>
        </w:rPr>
        <w:t>。</w:t>
      </w:r>
    </w:p>
    <w:p>
      <w:pPr>
        <w:pStyle w:val="63"/>
        <w:ind w:firstLine="480"/>
        <w:rPr>
          <w:color w:val="auto"/>
        </w:rPr>
      </w:pPr>
      <w:r>
        <w:rPr>
          <w:rFonts w:hint="eastAsia"/>
          <w:color w:val="auto"/>
        </w:rPr>
        <w:t>经</w:t>
      </w:r>
      <w:r>
        <w:rPr>
          <w:color w:val="auto"/>
        </w:rPr>
        <w:t>计算</w:t>
      </w:r>
      <w:r>
        <w:rPr>
          <w:rFonts w:hint="eastAsia"/>
          <w:color w:val="auto"/>
        </w:rPr>
        <w:t>可</w:t>
      </w:r>
      <w:r>
        <w:rPr>
          <w:color w:val="auto"/>
        </w:rPr>
        <w:t>得项目区</w:t>
      </w:r>
      <w:r>
        <w:rPr>
          <w:rFonts w:hint="eastAsia"/>
          <w:color w:val="auto"/>
        </w:rPr>
        <w:t>浅层承压水含</w:t>
      </w:r>
      <w:r>
        <w:rPr>
          <w:color w:val="auto"/>
        </w:rPr>
        <w:t>水</w:t>
      </w:r>
      <w:r>
        <w:rPr>
          <w:rFonts w:hint="eastAsia"/>
          <w:color w:val="auto"/>
        </w:rPr>
        <w:t>层日</w:t>
      </w:r>
      <w:r>
        <w:rPr>
          <w:color w:val="auto"/>
        </w:rPr>
        <w:t>平均可开采量为</w:t>
      </w:r>
      <w:r>
        <w:rPr>
          <w:rFonts w:hint="eastAsia"/>
          <w:color w:val="auto"/>
        </w:rPr>
        <w:t>7.43万</w:t>
      </w:r>
      <w:r>
        <w:rPr>
          <w:color w:val="auto"/>
        </w:rPr>
        <w:t>m³。</w:t>
      </w:r>
    </w:p>
    <w:p>
      <w:pPr>
        <w:pStyle w:val="61"/>
        <w:rPr>
          <w:color w:val="auto"/>
        </w:rPr>
      </w:pPr>
      <w:bookmarkStart w:id="90" w:name="_Toc436902177"/>
      <w:r>
        <w:rPr>
          <w:rFonts w:hint="eastAsia"/>
          <w:color w:val="auto"/>
        </w:rPr>
        <w:t>7.6施工期地下水环境影响分析</w:t>
      </w:r>
      <w:bookmarkEnd w:id="90"/>
    </w:p>
    <w:p>
      <w:pPr>
        <w:pStyle w:val="63"/>
        <w:ind w:firstLine="480"/>
        <w:rPr>
          <w:color w:val="auto"/>
        </w:rPr>
      </w:pPr>
      <w:r>
        <w:rPr>
          <w:rFonts w:hint="eastAsia"/>
          <w:color w:val="auto"/>
        </w:rPr>
        <w:t>项目施工期的主要废水来源为钻井废水和生活废水。</w:t>
      </w:r>
    </w:p>
    <w:p>
      <w:pPr>
        <w:pStyle w:val="63"/>
        <w:ind w:firstLine="480"/>
        <w:rPr>
          <w:color w:val="auto"/>
        </w:rPr>
      </w:pPr>
      <w:r>
        <w:rPr>
          <w:rFonts w:hint="eastAsia"/>
          <w:color w:val="auto"/>
        </w:rPr>
        <w:t>⑴钻井废水</w:t>
      </w:r>
    </w:p>
    <w:p>
      <w:pPr>
        <w:pStyle w:val="63"/>
        <w:ind w:firstLine="480"/>
        <w:rPr>
          <w:color w:val="auto"/>
        </w:rPr>
      </w:pPr>
      <w:r>
        <w:rPr>
          <w:rFonts w:hint="eastAsia"/>
          <w:color w:val="auto"/>
        </w:rPr>
        <w:t>钻井废水中主要污染物为SS、COD、石油类等。钻井废水排入防渗泥浆池中用于配制泥浆，沉淀后上清液循环使用。钻井废水不外排，不会对地表水及地下水产生影响。</w:t>
      </w:r>
    </w:p>
    <w:p>
      <w:pPr>
        <w:pStyle w:val="63"/>
        <w:ind w:firstLine="480"/>
        <w:rPr>
          <w:color w:val="auto"/>
        </w:rPr>
      </w:pPr>
      <w:r>
        <w:rPr>
          <w:rFonts w:hint="eastAsia"/>
          <w:color w:val="auto"/>
        </w:rPr>
        <w:t>在钻井过程中，为防止黄土地层坍塌和钻遇含水层时泥浆漏失，会随时调整泥浆浓度，以泥浆护壁，泥浆中的主要成分为粘土，将井壁维护后，钻井废水漏失量少，评价认为钻井废水对地下水影响较小。</w:t>
      </w:r>
    </w:p>
    <w:p>
      <w:pPr>
        <w:pStyle w:val="63"/>
        <w:ind w:firstLine="480"/>
        <w:rPr>
          <w:color w:val="auto"/>
        </w:rPr>
      </w:pPr>
      <w:r>
        <w:rPr>
          <w:rFonts w:hint="eastAsia"/>
          <w:color w:val="auto"/>
        </w:rPr>
        <w:t>钻井过程中穿过含水层时，会有地下水混入泥浆中带出，但是因为在钻井的同时，钻井泥浆在井内循环，钻井泥浆中含膨润土等成分，粘稠细腻，当其吸附于井壁表面时，可堵塞砂岩含水层表面孔隙，阻止地下水向钻井的渗透，因此能进入钻井的地下水量少，对区域地下水资源影响很小。</w:t>
      </w:r>
    </w:p>
    <w:p>
      <w:pPr>
        <w:pStyle w:val="63"/>
        <w:ind w:firstLine="480"/>
        <w:rPr>
          <w:color w:val="auto"/>
        </w:rPr>
      </w:pPr>
      <w:r>
        <w:rPr>
          <w:rFonts w:hint="eastAsia"/>
          <w:color w:val="auto"/>
        </w:rPr>
        <w:t>⑵生活污水</w:t>
      </w:r>
    </w:p>
    <w:p>
      <w:pPr>
        <w:pStyle w:val="63"/>
        <w:ind w:firstLine="480"/>
        <w:rPr>
          <w:rFonts w:ascii="宋体" w:hAnsi="宋体"/>
          <w:b/>
          <w:bCs/>
          <w:color w:val="auto"/>
          <w:sz w:val="28"/>
          <w:szCs w:val="32"/>
        </w:rPr>
      </w:pPr>
      <w:r>
        <w:rPr>
          <w:rFonts w:hint="eastAsia"/>
          <w:color w:val="auto"/>
        </w:rPr>
        <w:t>施工场地设置旱厕，单井施工高峰期日生活污水产生量小，就地泼洒蒸发或用于农田及周边绿化，生活污水对水环境的影响小。</w:t>
      </w:r>
    </w:p>
    <w:p>
      <w:pPr>
        <w:pStyle w:val="61"/>
        <w:rPr>
          <w:color w:val="auto"/>
        </w:rPr>
      </w:pPr>
      <w:bookmarkStart w:id="91" w:name="_Toc436902178"/>
      <w:r>
        <w:rPr>
          <w:rFonts w:hint="eastAsia"/>
          <w:color w:val="auto"/>
        </w:rPr>
        <w:t>7.7运营期地下水环境影响分析</w:t>
      </w:r>
      <w:bookmarkEnd w:id="91"/>
    </w:p>
    <w:p>
      <w:pPr>
        <w:pStyle w:val="62"/>
        <w:rPr>
          <w:color w:val="auto"/>
          <w:lang w:val="zh-CN"/>
        </w:rPr>
      </w:pPr>
      <w:r>
        <w:rPr>
          <w:rFonts w:hint="eastAsia"/>
          <w:color w:val="auto"/>
          <w:lang w:val="zh-CN"/>
        </w:rPr>
        <w:t>7.7.1地下水环境影响途径分析</w:t>
      </w:r>
    </w:p>
    <w:p>
      <w:pPr>
        <w:pStyle w:val="63"/>
        <w:ind w:firstLine="480"/>
        <w:rPr>
          <w:color w:val="auto"/>
        </w:rPr>
      </w:pPr>
      <w:r>
        <w:rPr>
          <w:rFonts w:hint="eastAsia"/>
          <w:color w:val="auto"/>
        </w:rPr>
        <w:t>本项目为应急供水工程，运营期无废水废渣等产生，因此不会对项目区内地下水水质产生影响。项目运行期采用地下水作为水源，对地下水环境影响途径主要来自以下几个方面：</w:t>
      </w:r>
    </w:p>
    <w:p>
      <w:pPr>
        <w:pStyle w:val="63"/>
        <w:ind w:firstLine="480"/>
        <w:rPr>
          <w:color w:val="auto"/>
        </w:rPr>
      </w:pPr>
      <w:r>
        <w:rPr>
          <w:rFonts w:hint="eastAsia"/>
          <w:color w:val="auto"/>
        </w:rPr>
        <w:t>⑴ 项目采用地下水作为水源，取水会造成周围地下水位下降，并对地下水资源造成一定影响；</w:t>
      </w:r>
    </w:p>
    <w:p>
      <w:pPr>
        <w:pStyle w:val="63"/>
        <w:ind w:firstLine="480"/>
        <w:rPr>
          <w:color w:val="auto"/>
        </w:rPr>
      </w:pPr>
      <w:r>
        <w:rPr>
          <w:rFonts w:hint="eastAsia"/>
          <w:color w:val="auto"/>
        </w:rPr>
        <w:t>⑵ 项目取水引起地下水水位变化而可能产生的环境水文地质问题；</w:t>
      </w:r>
    </w:p>
    <w:p>
      <w:pPr>
        <w:pStyle w:val="63"/>
        <w:ind w:firstLine="480"/>
        <w:rPr>
          <w:color w:val="auto"/>
        </w:rPr>
      </w:pPr>
      <w:r>
        <w:rPr>
          <w:rFonts w:hint="eastAsia"/>
          <w:color w:val="auto"/>
        </w:rPr>
        <w:t>⑶ 项目取水对地下水水质的影响。</w:t>
      </w:r>
    </w:p>
    <w:p>
      <w:pPr>
        <w:pStyle w:val="62"/>
        <w:rPr>
          <w:color w:val="auto"/>
          <w:lang w:val="zh-CN"/>
        </w:rPr>
      </w:pPr>
      <w:bookmarkStart w:id="92" w:name="_Toc406084843"/>
      <w:r>
        <w:rPr>
          <w:rFonts w:hint="eastAsia"/>
          <w:color w:val="auto"/>
          <w:lang w:val="zh-CN"/>
        </w:rPr>
        <w:t>7.7.2开采后的地下水水位预测</w:t>
      </w:r>
      <w:bookmarkEnd w:id="92"/>
    </w:p>
    <w:p>
      <w:pPr>
        <w:pStyle w:val="63"/>
        <w:ind w:firstLine="480"/>
        <w:rPr>
          <w:rFonts w:ascii="宋体" w:hAnsi="宋体"/>
          <w:color w:val="auto"/>
          <w:szCs w:val="20"/>
        </w:rPr>
      </w:pPr>
      <w:r>
        <w:rPr>
          <w:rFonts w:hint="eastAsia"/>
          <w:color w:val="auto"/>
        </w:rPr>
        <w:t>以下内容</w:t>
      </w:r>
      <w:r>
        <w:rPr>
          <w:color w:val="auto"/>
        </w:rPr>
        <w:t>引自《西咸新区泾河新城水资源论证报告》。</w:t>
      </w:r>
    </w:p>
    <w:p>
      <w:pPr>
        <w:pStyle w:val="63"/>
        <w:ind w:firstLine="480"/>
        <w:rPr>
          <w:color w:val="auto"/>
        </w:rPr>
      </w:pPr>
      <w:r>
        <w:rPr>
          <w:rFonts w:hint="eastAsia" w:ascii="宋体" w:hAnsi="宋体"/>
          <w:color w:val="auto"/>
        </w:rPr>
        <w:t>⑴</w:t>
      </w:r>
      <w:r>
        <w:rPr>
          <w:color w:val="auto"/>
        </w:rPr>
        <w:t>水文地质参数的确定</w:t>
      </w:r>
    </w:p>
    <w:p>
      <w:pPr>
        <w:pStyle w:val="63"/>
        <w:ind w:firstLine="480"/>
        <w:rPr>
          <w:b/>
          <w:color w:val="auto"/>
        </w:rPr>
      </w:pPr>
      <w:r>
        <w:rPr>
          <w:color w:val="auto"/>
        </w:rPr>
        <w:t>本项目所在区域的地下水资源论证主要集中于第四系松散岩类孔隙水，根据各地层分布特征，将本项目区的地层结构划分为三层：</w:t>
      </w:r>
    </w:p>
    <w:p>
      <w:pPr>
        <w:pStyle w:val="63"/>
        <w:ind w:firstLine="480"/>
        <w:rPr>
          <w:color w:val="auto"/>
        </w:rPr>
      </w:pPr>
      <w:r>
        <w:rPr>
          <w:rFonts w:hint="eastAsia" w:ascii="宋体" w:hAnsi="宋体"/>
          <w:color w:val="auto"/>
        </w:rPr>
        <w:t>①</w:t>
      </w:r>
      <w:r>
        <w:rPr>
          <w:color w:val="auto"/>
        </w:rPr>
        <w:t>第四系松散岩类孔隙潜水</w:t>
      </w:r>
    </w:p>
    <w:p>
      <w:pPr>
        <w:pStyle w:val="63"/>
        <w:ind w:firstLine="480"/>
        <w:rPr>
          <w:color w:val="auto"/>
        </w:rPr>
      </w:pPr>
      <w:r>
        <w:rPr>
          <w:color w:val="auto"/>
        </w:rPr>
        <w:t>按含水层成因类型及地层时代，将</w:t>
      </w:r>
      <w:r>
        <w:rPr>
          <w:rFonts w:hint="eastAsia"/>
          <w:color w:val="auto"/>
        </w:rPr>
        <w:t>评价区</w:t>
      </w:r>
      <w:r>
        <w:rPr>
          <w:color w:val="auto"/>
        </w:rPr>
        <w:t>内第四系松散岩类孔隙潜水划分成全新统、更新统冲积砂、砂砾卵石孔隙潜水和全新统、更新统冲洪积粉细砂、粉土孔隙潜水，平均厚度25-65m，平均渗透系数为20m/d。</w:t>
      </w:r>
    </w:p>
    <w:p>
      <w:pPr>
        <w:pStyle w:val="63"/>
        <w:ind w:firstLine="480"/>
        <w:rPr>
          <w:color w:val="auto"/>
        </w:rPr>
      </w:pPr>
      <w:r>
        <w:rPr>
          <w:rFonts w:hint="eastAsia" w:ascii="宋体" w:hAnsi="宋体"/>
          <w:color w:val="auto"/>
        </w:rPr>
        <w:t>②</w:t>
      </w:r>
      <w:r>
        <w:rPr>
          <w:color w:val="auto"/>
        </w:rPr>
        <w:t>含水层中有稳定的粉质粘土层作为区域隔水层，将第四系孔隙水分为潜水与承压水。</w:t>
      </w:r>
    </w:p>
    <w:p>
      <w:pPr>
        <w:spacing w:line="360" w:lineRule="auto"/>
        <w:ind w:firstLine="360" w:firstLineChars="150"/>
        <w:rPr>
          <w:sz w:val="24"/>
        </w:rPr>
      </w:pPr>
      <w:r>
        <w:rPr>
          <w:rFonts w:hint="eastAsia" w:ascii="宋体" w:hAnsi="宋体" w:cs="宋体"/>
          <w:sz w:val="24"/>
        </w:rPr>
        <w:t>③</w:t>
      </w:r>
      <w:r>
        <w:rPr>
          <w:sz w:val="24"/>
        </w:rPr>
        <w:t>第四系松散岩类孔隙浅层承压水</w:t>
      </w:r>
    </w:p>
    <w:p>
      <w:pPr>
        <w:pStyle w:val="63"/>
        <w:ind w:firstLine="480"/>
        <w:rPr>
          <w:color w:val="auto"/>
        </w:rPr>
      </w:pPr>
      <w:r>
        <w:rPr>
          <w:color w:val="auto"/>
        </w:rPr>
        <w:t>分布于全区50-60m以下至200m，含水层岩性为粉土、含砾中细砂层夹粉质粘土透镜体，地下水赋存条件较好，水量较丰富，平均渗透系数为15m/d。</w:t>
      </w:r>
    </w:p>
    <w:p>
      <w:pPr>
        <w:pStyle w:val="63"/>
        <w:ind w:firstLine="480"/>
        <w:rPr>
          <w:color w:val="auto"/>
        </w:rPr>
      </w:pPr>
      <w:r>
        <w:rPr>
          <w:rFonts w:hint="eastAsia"/>
          <w:color w:val="auto"/>
        </w:rPr>
        <w:t>⑵地下水初始水位模拟</w:t>
      </w:r>
    </w:p>
    <w:p>
      <w:pPr>
        <w:pStyle w:val="63"/>
        <w:ind w:firstLine="480"/>
        <w:rPr>
          <w:color w:val="auto"/>
        </w:rPr>
      </w:pPr>
      <w:r>
        <w:rPr>
          <w:rFonts w:hint="eastAsia"/>
          <w:color w:val="auto"/>
        </w:rPr>
        <w:t>按区域地勘所得的水文地质剖面图</w:t>
      </w:r>
      <w:r>
        <w:rPr>
          <w:color w:val="auto"/>
        </w:rPr>
        <w:t>，</w:t>
      </w:r>
      <w:r>
        <w:rPr>
          <w:rFonts w:hint="eastAsia"/>
          <w:color w:val="auto"/>
        </w:rPr>
        <w:t>在地下水数据模拟中将地层分为潜水含水层、隔水层、浅层承压水含水层三</w:t>
      </w:r>
      <w:r>
        <w:rPr>
          <w:color w:val="auto"/>
        </w:rPr>
        <w:t>层，</w:t>
      </w:r>
      <w:r>
        <w:rPr>
          <w:rFonts w:hint="eastAsia"/>
          <w:color w:val="auto"/>
        </w:rPr>
        <w:t>地下水模拟范围取冶峪河、清峪河、石川河和渭河所包围的部分如图7.7-1所示。即水文地质单元北侧为冶峪河、清峪河、东侧为石川河，南侧为渭河，均为定水头边界；其余边界取在分水岭，为零流量边界。</w:t>
      </w:r>
    </w:p>
    <w:p>
      <w:pPr>
        <w:pStyle w:val="63"/>
        <w:wordWrap w:val="0"/>
        <w:ind w:firstLine="480"/>
        <w:rPr>
          <w:color w:val="auto"/>
        </w:rPr>
      </w:pPr>
      <w:r>
        <w:rPr>
          <w:rFonts w:hint="eastAsia"/>
          <w:color w:val="auto"/>
        </w:rPr>
        <w:t>区域水文地质单元地下水资源模拟网格剖分见图7.7-2所示，</w:t>
      </w:r>
      <w:r>
        <w:rPr>
          <w:color w:val="auto"/>
        </w:rPr>
        <w:t>共剖分</w:t>
      </w:r>
      <w:r>
        <w:rPr>
          <w:rFonts w:hint="eastAsia"/>
          <w:color w:val="auto"/>
        </w:rPr>
        <w:t>20</w:t>
      </w:r>
      <w:r>
        <w:rPr>
          <w:color w:val="auto"/>
        </w:rPr>
        <w:t>0*1</w:t>
      </w:r>
      <w:r>
        <w:rPr>
          <w:rFonts w:hint="eastAsia"/>
          <w:color w:val="auto"/>
        </w:rPr>
        <w:t>0</w:t>
      </w:r>
      <w:r>
        <w:rPr>
          <w:color w:val="auto"/>
        </w:rPr>
        <w:t>0*</w:t>
      </w:r>
      <w:r>
        <w:rPr>
          <w:rFonts w:hint="eastAsia"/>
          <w:color w:val="auto"/>
        </w:rPr>
        <w:t>3</w:t>
      </w:r>
      <w:r>
        <w:rPr>
          <w:color w:val="auto"/>
        </w:rPr>
        <w:t>=</w:t>
      </w:r>
      <w:r>
        <w:rPr>
          <w:rFonts w:hint="eastAsia"/>
          <w:color w:val="auto"/>
        </w:rPr>
        <w:t>600</w:t>
      </w:r>
      <w:r>
        <w:rPr>
          <w:color w:val="auto"/>
        </w:rPr>
        <w:t>00个单元。</w:t>
      </w:r>
      <w:r>
        <w:rPr>
          <w:rFonts w:hint="eastAsia"/>
          <w:color w:val="auto"/>
        </w:rPr>
        <w:t>经高程数据插值后，分析区域内各分层面等高线分布见图7.7-3—7.7-6。</w:t>
      </w:r>
    </w:p>
    <w:p>
      <w:pPr>
        <w:pStyle w:val="63"/>
        <w:ind w:firstLine="480"/>
        <w:rPr>
          <w:color w:val="auto"/>
        </w:rPr>
      </w:pPr>
      <w:r>
        <w:rPr>
          <w:color w:val="auto"/>
        </w:rPr>
        <w:t>计算过程中，年降雨量</w:t>
      </w:r>
      <w:r>
        <w:rPr>
          <w:rFonts w:hint="eastAsia"/>
          <w:color w:val="auto"/>
        </w:rPr>
        <w:t>取</w:t>
      </w:r>
      <w:r>
        <w:rPr>
          <w:color w:val="auto"/>
        </w:rPr>
        <w:t>504.7mm，入渗系数</w:t>
      </w:r>
      <w:r>
        <w:rPr>
          <w:rFonts w:hint="eastAsia"/>
          <w:color w:val="auto"/>
        </w:rPr>
        <w:t>根据《陕西省水文手册》并适当修正后，</w:t>
      </w:r>
      <w:r>
        <w:rPr>
          <w:color w:val="auto"/>
        </w:rPr>
        <w:t>取0.</w:t>
      </w:r>
      <w:r>
        <w:rPr>
          <w:rFonts w:hint="eastAsia"/>
          <w:color w:val="auto"/>
        </w:rPr>
        <w:t>35</w:t>
      </w:r>
      <w:r>
        <w:rPr>
          <w:color w:val="auto"/>
        </w:rPr>
        <w:t>；蒸发深度取1316.0</w:t>
      </w:r>
      <w:r>
        <w:rPr>
          <w:rFonts w:hint="eastAsia"/>
          <w:color w:val="auto"/>
        </w:rPr>
        <w:t>m</w:t>
      </w:r>
      <w:r>
        <w:rPr>
          <w:color w:val="auto"/>
        </w:rPr>
        <w:t>m,潜水蒸发系数取0.08。降雨量大于蒸发量，因此模型计算时二者相减，输入</w:t>
      </w:r>
      <w:r>
        <w:rPr>
          <w:rFonts w:hint="eastAsia"/>
          <w:color w:val="auto"/>
        </w:rPr>
        <w:t>降水</w:t>
      </w:r>
      <w:r>
        <w:rPr>
          <w:color w:val="auto"/>
        </w:rPr>
        <w:t>面源补给量为</w:t>
      </w:r>
      <w:r>
        <w:rPr>
          <w:rFonts w:hint="eastAsia"/>
          <w:color w:val="auto"/>
        </w:rPr>
        <w:t>0.0002</w:t>
      </w:r>
      <w:r>
        <w:rPr>
          <w:color w:val="auto"/>
        </w:rPr>
        <w:t>m/d</w:t>
      </w:r>
      <w:r>
        <w:rPr>
          <w:rFonts w:hint="eastAsia"/>
          <w:color w:val="auto"/>
        </w:rPr>
        <w:t>，考虑灌溉回归系数0.28，则灌溉回归面源补给量为0.000164</w:t>
      </w:r>
      <w:r>
        <w:rPr>
          <w:color w:val="auto"/>
        </w:rPr>
        <w:t xml:space="preserve"> m/d</w:t>
      </w:r>
      <w:r>
        <w:rPr>
          <w:rFonts w:hint="eastAsia"/>
          <w:color w:val="auto"/>
        </w:rPr>
        <w:t>。</w:t>
      </w:r>
    </w:p>
    <w:p>
      <w:pPr>
        <w:pStyle w:val="63"/>
        <w:ind w:firstLine="480"/>
        <w:rPr>
          <w:b/>
          <w:bCs/>
          <w:color w:val="auto"/>
        </w:rPr>
      </w:pPr>
      <w:r>
        <w:rPr>
          <w:rFonts w:hint="eastAsia"/>
          <w:color w:val="auto"/>
        </w:rPr>
        <w:t>冶峪河、清峪河、石川河及渭河取其多年平均水位做为</w:t>
      </w:r>
      <w:r>
        <w:rPr>
          <w:color w:val="auto"/>
        </w:rPr>
        <w:t>定水头边界</w:t>
      </w:r>
      <w:r>
        <w:rPr>
          <w:rFonts w:hint="eastAsia"/>
          <w:color w:val="auto"/>
        </w:rPr>
        <w:t>输入。其余为零流量边界。</w:t>
      </w:r>
    </w:p>
    <w:p>
      <w:pPr>
        <w:jc w:val="center"/>
        <w:rPr>
          <w:b/>
          <w:sz w:val="24"/>
        </w:rPr>
      </w:pPr>
      <w:bookmarkStart w:id="93" w:name="OLE_LINK1"/>
      <w:r>
        <w:drawing>
          <wp:inline distT="0" distB="0" distL="0" distR="0">
            <wp:extent cx="5229225" cy="3333750"/>
            <wp:effectExtent l="19050" t="19050" r="28575" b="19050"/>
            <wp:docPr id="33"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9"/>
                    <pic:cNvPicPr>
                      <a:picLocks noChangeAspect="1" noChangeArrowheads="1"/>
                    </pic:cNvPicPr>
                  </pic:nvPicPr>
                  <pic:blipFill>
                    <a:blip r:embed="rId49"/>
                    <a:srcRect/>
                    <a:stretch>
                      <a:fillRect/>
                    </a:stretch>
                  </pic:blipFill>
                  <pic:spPr>
                    <a:xfrm>
                      <a:off x="0" y="0"/>
                      <a:ext cx="5229225" cy="3333750"/>
                    </a:xfrm>
                    <a:prstGeom prst="rect">
                      <a:avLst/>
                    </a:prstGeom>
                    <a:noFill/>
                    <a:ln w="9525" cmpd="sng">
                      <a:solidFill>
                        <a:srgbClr val="000000"/>
                      </a:solidFill>
                      <a:miter lim="800000"/>
                      <a:headEnd/>
                      <a:tailEnd/>
                    </a:ln>
                    <a:effectLst/>
                  </pic:spPr>
                </pic:pic>
              </a:graphicData>
            </a:graphic>
          </wp:inline>
        </w:drawing>
      </w:r>
    </w:p>
    <w:p>
      <w:pPr>
        <w:pStyle w:val="65"/>
        <w:rPr>
          <w:sz w:val="24"/>
        </w:rPr>
      </w:pPr>
      <w:r>
        <w:rPr>
          <w:rFonts w:hint="eastAsia"/>
          <w:sz w:val="24"/>
        </w:rPr>
        <w:t>图</w:t>
      </w:r>
      <w:r>
        <w:rPr>
          <w:rFonts w:hint="eastAsia"/>
        </w:rPr>
        <w:t>7.7-1  模型计算水文地质单元范围图</w:t>
      </w:r>
      <w:bookmarkEnd w:id="93"/>
    </w:p>
    <w:p>
      <w:pPr>
        <w:jc w:val="center"/>
        <w:rPr>
          <w:sz w:val="24"/>
        </w:rPr>
      </w:pPr>
      <w:r>
        <w:drawing>
          <wp:inline distT="0" distB="0" distL="0" distR="0">
            <wp:extent cx="5276850" cy="3371850"/>
            <wp:effectExtent l="19050" t="19050" r="19050" b="19050"/>
            <wp:docPr id="34"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8"/>
                    <pic:cNvPicPr>
                      <a:picLocks noChangeAspect="1" noChangeArrowheads="1"/>
                    </pic:cNvPicPr>
                  </pic:nvPicPr>
                  <pic:blipFill>
                    <a:blip r:embed="rId50"/>
                    <a:srcRect/>
                    <a:stretch>
                      <a:fillRect/>
                    </a:stretch>
                  </pic:blipFill>
                  <pic:spPr>
                    <a:xfrm>
                      <a:off x="0" y="0"/>
                      <a:ext cx="5276850" cy="3371850"/>
                    </a:xfrm>
                    <a:prstGeom prst="rect">
                      <a:avLst/>
                    </a:prstGeom>
                    <a:noFill/>
                    <a:ln w="9525" cmpd="sng">
                      <a:solidFill>
                        <a:srgbClr val="000000"/>
                      </a:solidFill>
                      <a:miter lim="800000"/>
                      <a:headEnd/>
                      <a:tailEnd/>
                    </a:ln>
                    <a:effectLst/>
                  </pic:spPr>
                </pic:pic>
              </a:graphicData>
            </a:graphic>
          </wp:inline>
        </w:drawing>
      </w:r>
    </w:p>
    <w:p>
      <w:pPr>
        <w:pStyle w:val="65"/>
        <w:rPr>
          <w:sz w:val="24"/>
        </w:rPr>
      </w:pPr>
      <w:r>
        <w:rPr>
          <w:rFonts w:hint="eastAsia"/>
          <w:sz w:val="24"/>
        </w:rPr>
        <w:t>图</w:t>
      </w:r>
      <w:r>
        <w:rPr>
          <w:rFonts w:hint="eastAsia"/>
        </w:rPr>
        <w:t>7.7-2  区域水文地质单元</w:t>
      </w:r>
      <w:r>
        <w:t>三维</w:t>
      </w:r>
      <w:r>
        <w:rPr>
          <w:rFonts w:hint="eastAsia"/>
        </w:rPr>
        <w:t>计算</w:t>
      </w:r>
      <w:r>
        <w:t>模型图</w:t>
      </w:r>
    </w:p>
    <w:p>
      <w:pPr>
        <w:pStyle w:val="63"/>
        <w:ind w:firstLine="480"/>
        <w:rPr>
          <w:color w:val="auto"/>
        </w:rPr>
      </w:pPr>
    </w:p>
    <w:p>
      <w:pPr>
        <w:pStyle w:val="63"/>
        <w:spacing w:line="240" w:lineRule="auto"/>
        <w:ind w:firstLine="0" w:firstLineChars="0"/>
        <w:jc w:val="center"/>
        <w:rPr>
          <w:color w:val="auto"/>
        </w:rPr>
      </w:pPr>
      <w:r>
        <w:rPr>
          <w:color w:val="auto"/>
        </w:rPr>
        <w:drawing>
          <wp:inline distT="0" distB="0" distL="0" distR="0">
            <wp:extent cx="5629275" cy="3295650"/>
            <wp:effectExtent l="19050" t="19050" r="28575" b="19050"/>
            <wp:docPr id="3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7"/>
                    <pic:cNvPicPr>
                      <a:picLocks noChangeAspect="1" noChangeArrowheads="1"/>
                    </pic:cNvPicPr>
                  </pic:nvPicPr>
                  <pic:blipFill>
                    <a:blip r:embed="rId51"/>
                    <a:srcRect/>
                    <a:stretch>
                      <a:fillRect/>
                    </a:stretch>
                  </pic:blipFill>
                  <pic:spPr>
                    <a:xfrm>
                      <a:off x="0" y="0"/>
                      <a:ext cx="5629275" cy="3295650"/>
                    </a:xfrm>
                    <a:prstGeom prst="rect">
                      <a:avLst/>
                    </a:prstGeom>
                    <a:noFill/>
                    <a:ln w="9525" cmpd="sng">
                      <a:solidFill>
                        <a:srgbClr val="000000"/>
                      </a:solidFill>
                      <a:miter lim="800000"/>
                      <a:headEnd/>
                      <a:tailEnd/>
                    </a:ln>
                    <a:effectLst/>
                  </pic:spPr>
                </pic:pic>
              </a:graphicData>
            </a:graphic>
          </wp:inline>
        </w:drawing>
      </w:r>
    </w:p>
    <w:p>
      <w:pPr>
        <w:pStyle w:val="65"/>
      </w:pPr>
      <w:r>
        <w:rPr>
          <w:rFonts w:hint="eastAsia"/>
        </w:rPr>
        <w:t>图7.7-3  区域水文地质单元第一层顶部等高线分布图</w:t>
      </w:r>
    </w:p>
    <w:p>
      <w:pPr>
        <w:pStyle w:val="65"/>
      </w:pPr>
    </w:p>
    <w:p>
      <w:pPr>
        <w:pStyle w:val="65"/>
      </w:pPr>
    </w:p>
    <w:p>
      <w:pPr>
        <w:jc w:val="center"/>
        <w:rPr>
          <w:b/>
        </w:rPr>
      </w:pPr>
      <w:r>
        <w:drawing>
          <wp:inline distT="0" distB="0" distL="0" distR="0">
            <wp:extent cx="5600700" cy="3400425"/>
            <wp:effectExtent l="19050" t="19050" r="19050" b="28575"/>
            <wp:docPr id="3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6"/>
                    <pic:cNvPicPr>
                      <a:picLocks noChangeAspect="1" noChangeArrowheads="1"/>
                    </pic:cNvPicPr>
                  </pic:nvPicPr>
                  <pic:blipFill>
                    <a:blip r:embed="rId52"/>
                    <a:srcRect/>
                    <a:stretch>
                      <a:fillRect/>
                    </a:stretch>
                  </pic:blipFill>
                  <pic:spPr>
                    <a:xfrm>
                      <a:off x="0" y="0"/>
                      <a:ext cx="5600700" cy="3400425"/>
                    </a:xfrm>
                    <a:prstGeom prst="rect">
                      <a:avLst/>
                    </a:prstGeom>
                    <a:noFill/>
                    <a:ln w="9525" cmpd="sng">
                      <a:solidFill>
                        <a:srgbClr val="000000"/>
                      </a:solidFill>
                      <a:miter lim="800000"/>
                      <a:headEnd/>
                      <a:tailEnd/>
                    </a:ln>
                    <a:effectLst/>
                  </pic:spPr>
                </pic:pic>
              </a:graphicData>
            </a:graphic>
          </wp:inline>
        </w:drawing>
      </w:r>
    </w:p>
    <w:p>
      <w:pPr>
        <w:pStyle w:val="65"/>
      </w:pPr>
      <w:r>
        <w:rPr>
          <w:rFonts w:hint="eastAsia"/>
        </w:rPr>
        <w:t>图7.7-4  区域水文地质单元第二层顶部等高线分布图</w:t>
      </w:r>
    </w:p>
    <w:p>
      <w:pPr>
        <w:jc w:val="center"/>
        <w:rPr>
          <w:b/>
        </w:rPr>
      </w:pPr>
      <w:r>
        <w:rPr>
          <w:b/>
        </w:rPr>
        <w:drawing>
          <wp:inline distT="0" distB="0" distL="0" distR="0">
            <wp:extent cx="5334000" cy="3609975"/>
            <wp:effectExtent l="19050" t="19050" r="19050" b="28575"/>
            <wp:docPr id="37" name="图片 55" descr="QQ图片20141211093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5" descr="QQ图片20141211093723"/>
                    <pic:cNvPicPr>
                      <a:picLocks noChangeAspect="1" noChangeArrowheads="1"/>
                    </pic:cNvPicPr>
                  </pic:nvPicPr>
                  <pic:blipFill>
                    <a:blip r:embed="rId53"/>
                    <a:srcRect l="8408" r="6215"/>
                    <a:stretch>
                      <a:fillRect/>
                    </a:stretch>
                  </pic:blipFill>
                  <pic:spPr>
                    <a:xfrm>
                      <a:off x="0" y="0"/>
                      <a:ext cx="5334000" cy="3609975"/>
                    </a:xfrm>
                    <a:prstGeom prst="rect">
                      <a:avLst/>
                    </a:prstGeom>
                    <a:noFill/>
                    <a:ln w="9525" cmpd="sng">
                      <a:solidFill>
                        <a:srgbClr val="000000"/>
                      </a:solidFill>
                      <a:miter lim="800000"/>
                      <a:headEnd/>
                      <a:tailEnd/>
                    </a:ln>
                    <a:effectLst/>
                  </pic:spPr>
                </pic:pic>
              </a:graphicData>
            </a:graphic>
          </wp:inline>
        </w:drawing>
      </w:r>
    </w:p>
    <w:p>
      <w:pPr>
        <w:pStyle w:val="65"/>
      </w:pPr>
      <w:r>
        <w:rPr>
          <w:rFonts w:hint="eastAsia"/>
        </w:rPr>
        <w:t>图7.7-5  区域水文地质单元第三层顶部等高线分布图</w:t>
      </w:r>
    </w:p>
    <w:p>
      <w:pPr>
        <w:jc w:val="center"/>
        <w:rPr>
          <w:b/>
        </w:rPr>
      </w:pPr>
    </w:p>
    <w:p>
      <w:pPr>
        <w:jc w:val="center"/>
        <w:rPr>
          <w:b/>
        </w:rPr>
      </w:pPr>
      <w:r>
        <w:drawing>
          <wp:inline distT="0" distB="0" distL="0" distR="0">
            <wp:extent cx="5267325" cy="3467100"/>
            <wp:effectExtent l="19050" t="19050" r="28575" b="19050"/>
            <wp:docPr id="38"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4"/>
                    <pic:cNvPicPr>
                      <a:picLocks noChangeAspect="1" noChangeArrowheads="1"/>
                    </pic:cNvPicPr>
                  </pic:nvPicPr>
                  <pic:blipFill>
                    <a:blip r:embed="rId54"/>
                    <a:srcRect/>
                    <a:stretch>
                      <a:fillRect/>
                    </a:stretch>
                  </pic:blipFill>
                  <pic:spPr>
                    <a:xfrm>
                      <a:off x="0" y="0"/>
                      <a:ext cx="5267325" cy="3467100"/>
                    </a:xfrm>
                    <a:prstGeom prst="rect">
                      <a:avLst/>
                    </a:prstGeom>
                    <a:noFill/>
                    <a:ln w="9525" cmpd="sng">
                      <a:solidFill>
                        <a:srgbClr val="000000"/>
                      </a:solidFill>
                      <a:miter lim="800000"/>
                      <a:headEnd/>
                      <a:tailEnd/>
                    </a:ln>
                    <a:effectLst/>
                  </pic:spPr>
                </pic:pic>
              </a:graphicData>
            </a:graphic>
          </wp:inline>
        </w:drawing>
      </w:r>
    </w:p>
    <w:p>
      <w:pPr>
        <w:pStyle w:val="65"/>
      </w:pPr>
      <w:r>
        <w:rPr>
          <w:rFonts w:hint="eastAsia"/>
        </w:rPr>
        <w:t>图7.7-6  区域水文地质单元第三层底部等高线分布图</w:t>
      </w:r>
    </w:p>
    <w:p>
      <w:pPr>
        <w:pStyle w:val="63"/>
        <w:ind w:firstLine="480"/>
        <w:rPr>
          <w:color w:val="auto"/>
        </w:rPr>
      </w:pPr>
      <w:r>
        <w:rPr>
          <w:rFonts w:hint="eastAsia"/>
          <w:color w:val="auto"/>
        </w:rPr>
        <w:t>泾河新城项目区内地下水现状地下水集中抽水量约1万m</w:t>
      </w:r>
      <w:r>
        <w:rPr>
          <w:rFonts w:hint="eastAsia"/>
          <w:color w:val="auto"/>
          <w:vertAlign w:val="superscript"/>
        </w:rPr>
        <w:t>3</w:t>
      </w:r>
      <w:r>
        <w:rPr>
          <w:rFonts w:hint="eastAsia"/>
          <w:color w:val="auto"/>
        </w:rPr>
        <w:t>/d，主要供给泾阳县城用水。在模拟中将现状用水抽象为五口井。经建模及数值模拟后，模型1、3层，即含水层的地下水位等值线分布情况见图7.7-7—图7.7-8。项目区浅层承压水含水层天然水位等值线见图7.7-9。</w:t>
      </w:r>
    </w:p>
    <w:p>
      <w:pPr>
        <w:pStyle w:val="65"/>
      </w:pPr>
      <w:r>
        <w:rPr>
          <w:sz w:val="24"/>
        </w:rPr>
        <w:drawing>
          <wp:inline distT="0" distB="0" distL="0" distR="0">
            <wp:extent cx="5267325" cy="3362325"/>
            <wp:effectExtent l="19050" t="19050" r="28575" b="28575"/>
            <wp:docPr id="39" name="图片 69" descr="抽前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69" descr="抽前1"/>
                    <pic:cNvPicPr>
                      <a:picLocks noChangeAspect="1" noChangeArrowheads="1"/>
                    </pic:cNvPicPr>
                  </pic:nvPicPr>
                  <pic:blipFill>
                    <a:blip r:embed="rId55"/>
                    <a:srcRect/>
                    <a:stretch>
                      <a:fillRect/>
                    </a:stretch>
                  </pic:blipFill>
                  <pic:spPr>
                    <a:xfrm>
                      <a:off x="0" y="0"/>
                      <a:ext cx="5267325" cy="3362325"/>
                    </a:xfrm>
                    <a:prstGeom prst="rect">
                      <a:avLst/>
                    </a:prstGeom>
                    <a:noFill/>
                    <a:ln w="9525" cmpd="sng">
                      <a:solidFill>
                        <a:srgbClr val="000000"/>
                      </a:solidFill>
                      <a:miter lim="800000"/>
                      <a:headEnd/>
                      <a:tailEnd/>
                    </a:ln>
                    <a:effectLst/>
                  </pic:spPr>
                </pic:pic>
              </a:graphicData>
            </a:graphic>
          </wp:inline>
        </w:drawing>
      </w:r>
    </w:p>
    <w:p>
      <w:pPr>
        <w:pStyle w:val="65"/>
      </w:pPr>
      <w:r>
        <w:rPr>
          <w:rFonts w:hint="eastAsia"/>
        </w:rPr>
        <w:t>图7.7-7  第一层（潜水层）现状</w:t>
      </w:r>
      <w:r>
        <w:t>地下水位等值线分布图</w:t>
      </w:r>
    </w:p>
    <w:p>
      <w:pPr>
        <w:pStyle w:val="65"/>
      </w:pPr>
    </w:p>
    <w:p>
      <w:pPr>
        <w:pStyle w:val="65"/>
      </w:pPr>
    </w:p>
    <w:p>
      <w:pPr>
        <w:jc w:val="center"/>
        <w:rPr>
          <w:b/>
        </w:rPr>
      </w:pPr>
      <w:r>
        <w:rPr>
          <w:b/>
        </w:rPr>
        <w:drawing>
          <wp:inline distT="0" distB="0" distL="0" distR="0">
            <wp:extent cx="5267325" cy="3362325"/>
            <wp:effectExtent l="19050" t="19050" r="28575" b="28575"/>
            <wp:docPr id="40" name="图片 70" descr="抽前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70" descr="抽前3"/>
                    <pic:cNvPicPr>
                      <a:picLocks noChangeAspect="1" noChangeArrowheads="1"/>
                    </pic:cNvPicPr>
                  </pic:nvPicPr>
                  <pic:blipFill>
                    <a:blip r:embed="rId55"/>
                    <a:srcRect/>
                    <a:stretch>
                      <a:fillRect/>
                    </a:stretch>
                  </pic:blipFill>
                  <pic:spPr>
                    <a:xfrm>
                      <a:off x="0" y="0"/>
                      <a:ext cx="5267325" cy="3362325"/>
                    </a:xfrm>
                    <a:prstGeom prst="rect">
                      <a:avLst/>
                    </a:prstGeom>
                    <a:noFill/>
                    <a:ln w="9525" cmpd="sng">
                      <a:solidFill>
                        <a:srgbClr val="000000"/>
                      </a:solidFill>
                      <a:miter lim="800000"/>
                      <a:headEnd/>
                      <a:tailEnd/>
                    </a:ln>
                    <a:effectLst/>
                  </pic:spPr>
                </pic:pic>
              </a:graphicData>
            </a:graphic>
          </wp:inline>
        </w:drawing>
      </w:r>
    </w:p>
    <w:p>
      <w:pPr>
        <w:jc w:val="center"/>
        <w:rPr>
          <w:b/>
        </w:rPr>
      </w:pPr>
      <w:r>
        <w:rPr>
          <w:rFonts w:hint="eastAsia"/>
          <w:b/>
        </w:rPr>
        <w:t>图7.7-8  第三层（浅层承压水层）现状</w:t>
      </w:r>
      <w:r>
        <w:rPr>
          <w:b/>
        </w:rPr>
        <w:t>地下水位等值线分布图</w:t>
      </w:r>
    </w:p>
    <w:p>
      <w:pPr>
        <w:pStyle w:val="65"/>
      </w:pPr>
      <w:r>
        <w:rPr>
          <w:sz w:val="24"/>
        </w:rPr>
        <w:drawing>
          <wp:inline distT="0" distB="0" distL="0" distR="0">
            <wp:extent cx="5095875" cy="3429000"/>
            <wp:effectExtent l="19050" t="19050" r="28575" b="19050"/>
            <wp:docPr id="41" name="图片 6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3" descr="2"/>
                    <pic:cNvPicPr>
                      <a:picLocks noChangeAspect="1" noChangeArrowheads="1"/>
                    </pic:cNvPicPr>
                  </pic:nvPicPr>
                  <pic:blipFill>
                    <a:blip r:embed="rId56"/>
                    <a:srcRect/>
                    <a:stretch>
                      <a:fillRect/>
                    </a:stretch>
                  </pic:blipFill>
                  <pic:spPr>
                    <a:xfrm>
                      <a:off x="0" y="0"/>
                      <a:ext cx="5095875" cy="3429000"/>
                    </a:xfrm>
                    <a:prstGeom prst="rect">
                      <a:avLst/>
                    </a:prstGeom>
                    <a:noFill/>
                    <a:ln w="9525" cmpd="sng">
                      <a:solidFill>
                        <a:srgbClr val="000000"/>
                      </a:solidFill>
                      <a:miter lim="800000"/>
                      <a:headEnd/>
                      <a:tailEnd/>
                    </a:ln>
                    <a:effectLst/>
                  </pic:spPr>
                </pic:pic>
              </a:graphicData>
            </a:graphic>
          </wp:inline>
        </w:drawing>
      </w:r>
    </w:p>
    <w:p>
      <w:pPr>
        <w:pStyle w:val="65"/>
        <w:rPr>
          <w:bCs/>
          <w:sz w:val="24"/>
        </w:rPr>
      </w:pPr>
      <w:r>
        <w:rPr>
          <w:rFonts w:hint="eastAsia"/>
        </w:rPr>
        <w:t>图7.7-9  开采区第三层现状</w:t>
      </w:r>
      <w:r>
        <w:t>地下水位等值线分布图</w:t>
      </w:r>
    </w:p>
    <w:p>
      <w:pPr>
        <w:pStyle w:val="63"/>
        <w:ind w:firstLine="480"/>
        <w:rPr>
          <w:color w:val="auto"/>
        </w:rPr>
      </w:pPr>
      <w:r>
        <w:rPr>
          <w:rFonts w:hint="eastAsia"/>
          <w:color w:val="auto"/>
        </w:rPr>
        <w:t>⑶ 地下水抽水后水位模拟</w:t>
      </w:r>
    </w:p>
    <w:p>
      <w:pPr>
        <w:pStyle w:val="63"/>
        <w:ind w:firstLine="480"/>
        <w:rPr>
          <w:color w:val="auto"/>
        </w:rPr>
      </w:pPr>
      <w:r>
        <w:rPr>
          <w:rFonts w:hint="eastAsia"/>
          <w:color w:val="auto"/>
        </w:rPr>
        <w:t>考虑到宜井地段位于泾河新城项目区内，周围有道路和居民点，所布井方案大多位于绿化带等适宜布井的地方。按照《地勘报告》布井</w:t>
      </w:r>
      <w:r>
        <w:rPr>
          <w:color w:val="auto"/>
        </w:rPr>
        <w:t>41</w:t>
      </w:r>
      <w:r>
        <w:rPr>
          <w:rFonts w:hint="eastAsia"/>
          <w:color w:val="auto"/>
        </w:rPr>
        <w:t>眼，其中泾河北岸开采段布井</w:t>
      </w:r>
      <w:r>
        <w:rPr>
          <w:color w:val="auto"/>
        </w:rPr>
        <w:t>32</w:t>
      </w:r>
      <w:r>
        <w:rPr>
          <w:rFonts w:hint="eastAsia"/>
          <w:color w:val="auto"/>
        </w:rPr>
        <w:t>眼，单井开采量为</w:t>
      </w:r>
      <w:r>
        <w:rPr>
          <w:color w:val="auto"/>
        </w:rPr>
        <w:t>1250m</w:t>
      </w:r>
      <w:r>
        <w:rPr>
          <w:color w:val="auto"/>
          <w:vertAlign w:val="superscript"/>
        </w:rPr>
        <w:t>3</w:t>
      </w:r>
      <w:r>
        <w:rPr>
          <w:color w:val="auto"/>
        </w:rPr>
        <w:t>/d</w:t>
      </w:r>
      <w:r>
        <w:rPr>
          <w:rFonts w:hint="eastAsia"/>
          <w:color w:val="auto"/>
        </w:rPr>
        <w:t>，泾河南岸布井</w:t>
      </w:r>
      <w:r>
        <w:rPr>
          <w:color w:val="auto"/>
        </w:rPr>
        <w:t>9</w:t>
      </w:r>
      <w:r>
        <w:rPr>
          <w:rFonts w:hint="eastAsia"/>
          <w:color w:val="auto"/>
        </w:rPr>
        <w:t>眼，单井开采量为</w:t>
      </w:r>
      <w:r>
        <w:rPr>
          <w:color w:val="auto"/>
        </w:rPr>
        <w:t>750m</w:t>
      </w:r>
      <w:r>
        <w:rPr>
          <w:color w:val="auto"/>
          <w:vertAlign w:val="superscript"/>
        </w:rPr>
        <w:t>3</w:t>
      </w:r>
      <w:r>
        <w:rPr>
          <w:color w:val="auto"/>
        </w:rPr>
        <w:t>/d</w:t>
      </w:r>
      <w:r>
        <w:rPr>
          <w:rFonts w:hint="eastAsia"/>
          <w:color w:val="auto"/>
        </w:rPr>
        <w:t>，总开采量为</w:t>
      </w:r>
      <w:r>
        <w:rPr>
          <w:color w:val="auto"/>
        </w:rPr>
        <w:t>46750 m</w:t>
      </w:r>
      <w:r>
        <w:rPr>
          <w:color w:val="auto"/>
          <w:vertAlign w:val="superscript"/>
        </w:rPr>
        <w:t>3</w:t>
      </w:r>
      <w:r>
        <w:rPr>
          <w:color w:val="auto"/>
        </w:rPr>
        <w:t>/d</w:t>
      </w:r>
      <w:r>
        <w:rPr>
          <w:rFonts w:hint="eastAsia"/>
          <w:color w:val="auto"/>
        </w:rPr>
        <w:t>，地下水开采后第一层与第三层水位等值线见图7.7-10、7.7-11。项目区抽水后水位等值线见图7.7-12。</w:t>
      </w:r>
    </w:p>
    <w:p>
      <w:pPr>
        <w:jc w:val="center"/>
        <w:rPr>
          <w:b/>
        </w:rPr>
      </w:pPr>
      <w:r>
        <w:drawing>
          <wp:inline distT="0" distB="0" distL="0" distR="0">
            <wp:extent cx="5276850" cy="2914650"/>
            <wp:effectExtent l="19050" t="19050" r="19050" b="19050"/>
            <wp:docPr id="42" name="图片 50" descr="抽后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50" descr="抽后1"/>
                    <pic:cNvPicPr>
                      <a:picLocks noChangeAspect="1" noChangeArrowheads="1"/>
                    </pic:cNvPicPr>
                  </pic:nvPicPr>
                  <pic:blipFill>
                    <a:blip r:embed="rId57"/>
                    <a:srcRect/>
                    <a:stretch>
                      <a:fillRect/>
                    </a:stretch>
                  </pic:blipFill>
                  <pic:spPr>
                    <a:xfrm>
                      <a:off x="0" y="0"/>
                      <a:ext cx="5276850" cy="2914650"/>
                    </a:xfrm>
                    <a:prstGeom prst="rect">
                      <a:avLst/>
                    </a:prstGeom>
                    <a:noFill/>
                    <a:ln w="9525" cmpd="sng">
                      <a:solidFill>
                        <a:srgbClr val="000000"/>
                      </a:solidFill>
                      <a:miter lim="800000"/>
                      <a:headEnd/>
                      <a:tailEnd/>
                    </a:ln>
                    <a:effectLst/>
                  </pic:spPr>
                </pic:pic>
              </a:graphicData>
            </a:graphic>
          </wp:inline>
        </w:drawing>
      </w:r>
    </w:p>
    <w:p>
      <w:pPr>
        <w:jc w:val="center"/>
        <w:rPr>
          <w:sz w:val="24"/>
        </w:rPr>
      </w:pPr>
      <w:r>
        <w:rPr>
          <w:rFonts w:hint="eastAsia"/>
          <w:b/>
        </w:rPr>
        <w:t>图7.7-10  抽水后第一层</w:t>
      </w:r>
      <w:r>
        <w:rPr>
          <w:b/>
        </w:rPr>
        <w:t>地下水位等值线分布图</w:t>
      </w:r>
    </w:p>
    <w:p>
      <w:pPr>
        <w:jc w:val="center"/>
        <w:rPr>
          <w:b/>
        </w:rPr>
      </w:pPr>
      <w:r>
        <w:drawing>
          <wp:inline distT="0" distB="0" distL="0" distR="0">
            <wp:extent cx="5276850" cy="3267075"/>
            <wp:effectExtent l="19050" t="19050" r="19050" b="28575"/>
            <wp:docPr id="43" name="图片 49" descr="抽后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9" descr="抽后3"/>
                    <pic:cNvPicPr>
                      <a:picLocks noChangeAspect="1" noChangeArrowheads="1"/>
                    </pic:cNvPicPr>
                  </pic:nvPicPr>
                  <pic:blipFill>
                    <a:blip r:embed="rId58"/>
                    <a:srcRect/>
                    <a:stretch>
                      <a:fillRect/>
                    </a:stretch>
                  </pic:blipFill>
                  <pic:spPr>
                    <a:xfrm>
                      <a:off x="0" y="0"/>
                      <a:ext cx="5276850" cy="3267075"/>
                    </a:xfrm>
                    <a:prstGeom prst="rect">
                      <a:avLst/>
                    </a:prstGeom>
                    <a:noFill/>
                    <a:ln w="9525" cmpd="sng">
                      <a:solidFill>
                        <a:srgbClr val="000000"/>
                      </a:solidFill>
                      <a:miter lim="800000"/>
                      <a:headEnd/>
                      <a:tailEnd/>
                    </a:ln>
                    <a:effectLst/>
                  </pic:spPr>
                </pic:pic>
              </a:graphicData>
            </a:graphic>
          </wp:inline>
        </w:drawing>
      </w:r>
    </w:p>
    <w:p>
      <w:pPr>
        <w:jc w:val="center"/>
        <w:rPr>
          <w:b/>
        </w:rPr>
      </w:pPr>
      <w:r>
        <w:rPr>
          <w:rFonts w:hint="eastAsia"/>
          <w:b/>
        </w:rPr>
        <w:t>图7.7-11  抽水后第三层</w:t>
      </w:r>
      <w:r>
        <w:rPr>
          <w:b/>
        </w:rPr>
        <w:t>地下水位等值线分布图</w:t>
      </w:r>
    </w:p>
    <w:p>
      <w:pPr>
        <w:jc w:val="center"/>
        <w:rPr>
          <w:b/>
        </w:rPr>
      </w:pPr>
      <w:r>
        <w:drawing>
          <wp:inline distT="0" distB="0" distL="0" distR="0">
            <wp:extent cx="5276850" cy="3952875"/>
            <wp:effectExtent l="19050" t="19050" r="19050" b="28575"/>
            <wp:docPr id="44" name="图片 4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8" descr="1"/>
                    <pic:cNvPicPr>
                      <a:picLocks noChangeAspect="1" noChangeArrowheads="1"/>
                    </pic:cNvPicPr>
                  </pic:nvPicPr>
                  <pic:blipFill>
                    <a:blip r:embed="rId59"/>
                    <a:srcRect/>
                    <a:stretch>
                      <a:fillRect/>
                    </a:stretch>
                  </pic:blipFill>
                  <pic:spPr>
                    <a:xfrm>
                      <a:off x="0" y="0"/>
                      <a:ext cx="5276850" cy="3952875"/>
                    </a:xfrm>
                    <a:prstGeom prst="rect">
                      <a:avLst/>
                    </a:prstGeom>
                    <a:noFill/>
                    <a:ln w="9525" cmpd="sng">
                      <a:solidFill>
                        <a:srgbClr val="000000"/>
                      </a:solidFill>
                      <a:miter lim="800000"/>
                      <a:headEnd/>
                      <a:tailEnd/>
                    </a:ln>
                    <a:effectLst/>
                  </pic:spPr>
                </pic:pic>
              </a:graphicData>
            </a:graphic>
          </wp:inline>
        </w:drawing>
      </w:r>
    </w:p>
    <w:p>
      <w:pPr>
        <w:pStyle w:val="65"/>
        <w:rPr>
          <w:bCs/>
          <w:sz w:val="24"/>
        </w:rPr>
      </w:pPr>
      <w:r>
        <w:rPr>
          <w:rFonts w:hint="eastAsia"/>
        </w:rPr>
        <w:t>图7.7-12  抽水后开采区第三层</w:t>
      </w:r>
      <w:r>
        <w:t>地下水位等值线分布图</w:t>
      </w:r>
    </w:p>
    <w:p>
      <w:pPr>
        <w:pStyle w:val="63"/>
        <w:ind w:firstLine="480"/>
        <w:rPr>
          <w:color w:val="auto"/>
        </w:rPr>
      </w:pPr>
      <w:r>
        <w:rPr>
          <w:rFonts w:hint="eastAsia"/>
          <w:color w:val="auto"/>
        </w:rPr>
        <w:t>由图7.7-7—图7.7-9与图7.7-10—图7.7-12对比分析可知，图中各井位处经抽水后水位平均降深为1m，最大降深发生在5号井，降深为2.2m，表明当开采区布井个数为</w:t>
      </w:r>
      <w:r>
        <w:rPr>
          <w:color w:val="auto"/>
        </w:rPr>
        <w:t>41</w:t>
      </w:r>
      <w:r>
        <w:rPr>
          <w:rFonts w:hint="eastAsia"/>
          <w:color w:val="auto"/>
        </w:rPr>
        <w:t>，总开采量为</w:t>
      </w:r>
      <w:r>
        <w:rPr>
          <w:color w:val="auto"/>
        </w:rPr>
        <w:t>46750 m</w:t>
      </w:r>
      <w:r>
        <w:rPr>
          <w:color w:val="auto"/>
          <w:vertAlign w:val="superscript"/>
        </w:rPr>
        <w:t>3</w:t>
      </w:r>
      <w:r>
        <w:rPr>
          <w:color w:val="auto"/>
        </w:rPr>
        <w:t>/d</w:t>
      </w:r>
      <w:r>
        <w:rPr>
          <w:rFonts w:hint="eastAsia"/>
          <w:color w:val="auto"/>
        </w:rPr>
        <w:t>时，泾河新城项目区打井抽水不会对地下水位造成明显影响，这与《地勘报告》地下水开采作用下典型点降深历史曲线分析结果相一致，由《地勘报告》可知，由于存在开采激发的潜水越流补给，开采约2</w:t>
      </w:r>
      <w:r>
        <w:rPr>
          <w:color w:val="auto"/>
        </w:rPr>
        <w:t>0</w:t>
      </w:r>
      <w:r>
        <w:rPr>
          <w:rFonts w:hint="eastAsia"/>
          <w:color w:val="auto"/>
        </w:rPr>
        <w:t>天后降深趋于稳定。该水量完全满足泾河新城规划年生活用水需求31500</w:t>
      </w:r>
      <w:r>
        <w:rPr>
          <w:color w:val="auto"/>
        </w:rPr>
        <w:t>m</w:t>
      </w:r>
      <w:r>
        <w:rPr>
          <w:color w:val="auto"/>
          <w:vertAlign w:val="superscript"/>
        </w:rPr>
        <w:t>3</w:t>
      </w:r>
      <w:r>
        <w:rPr>
          <w:color w:val="auto"/>
        </w:rPr>
        <w:t>/d</w:t>
      </w:r>
      <w:r>
        <w:rPr>
          <w:rFonts w:hint="eastAsia"/>
          <w:color w:val="auto"/>
        </w:rPr>
        <w:t>（1149.75万m</w:t>
      </w:r>
      <w:r>
        <w:rPr>
          <w:rFonts w:hint="eastAsia"/>
          <w:color w:val="auto"/>
          <w:vertAlign w:val="superscript"/>
        </w:rPr>
        <w:t>3</w:t>
      </w:r>
      <w:r>
        <w:rPr>
          <w:rFonts w:hint="eastAsia"/>
          <w:color w:val="auto"/>
        </w:rPr>
        <w:t>/a不含泾阳县城生活用水）。</w:t>
      </w:r>
    </w:p>
    <w:p>
      <w:pPr>
        <w:pStyle w:val="63"/>
        <w:wordWrap w:val="0"/>
        <w:ind w:firstLine="480"/>
        <w:rPr>
          <w:rFonts w:ascii="宋体" w:hAnsi="宋体"/>
          <w:color w:val="auto"/>
        </w:rPr>
      </w:pPr>
      <w:r>
        <w:rPr>
          <w:rFonts w:hint="eastAsia"/>
          <w:color w:val="auto"/>
        </w:rPr>
        <w:t>而本项目属于水源地一期工程，泾河北岸布设水源井18眼，设计供水规模为18250m</w:t>
      </w:r>
      <w:r>
        <w:rPr>
          <w:rFonts w:hint="eastAsia"/>
          <w:color w:val="auto"/>
          <w:vertAlign w:val="superscript"/>
        </w:rPr>
        <w:t>3</w:t>
      </w:r>
      <w:r>
        <w:rPr>
          <w:rFonts w:hint="eastAsia"/>
          <w:color w:val="auto"/>
        </w:rPr>
        <w:t>/d，单井日开采量为1250m</w:t>
      </w:r>
      <w:r>
        <w:rPr>
          <w:rFonts w:hint="eastAsia"/>
          <w:color w:val="auto"/>
          <w:vertAlign w:val="superscript"/>
        </w:rPr>
        <w:t>3</w:t>
      </w:r>
      <w:r>
        <w:rPr>
          <w:rFonts w:hint="eastAsia"/>
          <w:color w:val="auto"/>
        </w:rPr>
        <w:t>/d，布井间距1000m；泾河南岸布设水源井3眼，设计供水规模为1500m</w:t>
      </w:r>
      <w:r>
        <w:rPr>
          <w:rFonts w:hint="eastAsia"/>
          <w:color w:val="auto"/>
          <w:vertAlign w:val="superscript"/>
        </w:rPr>
        <w:t>3</w:t>
      </w:r>
      <w:r>
        <w:rPr>
          <w:rFonts w:hint="eastAsia"/>
          <w:color w:val="auto"/>
        </w:rPr>
        <w:t>/d，单井日开采量为750m</w:t>
      </w:r>
      <w:r>
        <w:rPr>
          <w:rFonts w:hint="eastAsia"/>
          <w:color w:val="auto"/>
          <w:vertAlign w:val="superscript"/>
        </w:rPr>
        <w:t>3/</w:t>
      </w:r>
      <w:r>
        <w:rPr>
          <w:rFonts w:hint="eastAsia"/>
          <w:color w:val="auto"/>
        </w:rPr>
        <w:t>d，布井间距1000m。共布设21口水源井，总供水规模为19750m</w:t>
      </w:r>
      <w:r>
        <w:rPr>
          <w:rFonts w:hint="eastAsia"/>
          <w:color w:val="auto"/>
          <w:vertAlign w:val="superscript"/>
        </w:rPr>
        <w:t>3/</w:t>
      </w:r>
      <w:r>
        <w:rPr>
          <w:rFonts w:hint="eastAsia"/>
          <w:color w:val="auto"/>
        </w:rPr>
        <w:t>d。较上述水资源论证报告模拟开采量</w:t>
      </w:r>
      <w:r>
        <w:rPr>
          <w:color w:val="auto"/>
        </w:rPr>
        <w:t>46750m</w:t>
      </w:r>
      <w:r>
        <w:rPr>
          <w:color w:val="auto"/>
          <w:vertAlign w:val="superscript"/>
        </w:rPr>
        <w:t>3</w:t>
      </w:r>
      <w:r>
        <w:rPr>
          <w:color w:val="auto"/>
        </w:rPr>
        <w:t>/d</w:t>
      </w:r>
      <w:r>
        <w:rPr>
          <w:rFonts w:hint="eastAsia"/>
          <w:color w:val="auto"/>
        </w:rPr>
        <w:t>少开采50%以上，也就是说本项目的影响较上述模拟结果要小得多，因此项目运营后，各井位处经抽水后水位平均降深小于1m，最大降深也小于2.2m，项目抽水不会对地下水位造成明显影响。</w:t>
      </w:r>
    </w:p>
    <w:p>
      <w:pPr>
        <w:pStyle w:val="62"/>
        <w:rPr>
          <w:color w:val="auto"/>
          <w:lang w:val="zh-CN"/>
        </w:rPr>
      </w:pPr>
      <w:r>
        <w:rPr>
          <w:rFonts w:hint="eastAsia"/>
          <w:color w:val="auto"/>
          <w:lang w:val="zh-CN"/>
        </w:rPr>
        <w:t>7.7.3可能产生的环境水文地质问题</w:t>
      </w:r>
    </w:p>
    <w:p>
      <w:pPr>
        <w:pStyle w:val="63"/>
        <w:ind w:firstLine="480"/>
        <w:rPr>
          <w:color w:val="auto"/>
        </w:rPr>
      </w:pPr>
      <w:r>
        <w:rPr>
          <w:color w:val="auto"/>
        </w:rPr>
        <w:t>项目取水层位为浅层承压水井，井深为200m，布井间距1000m，含水层为中更新统冲积、冲湖积粉土、含砾中细砂层组成，与弱透水的粉质粘土层呈互层状。根据本项目地勘报告中有观测孔的稳定流抽水试验成果，单口取水井周围地下水水位下降的影响半径</w:t>
      </w:r>
      <w:r>
        <w:rPr>
          <w:rFonts w:hint="eastAsia"/>
          <w:color w:val="auto"/>
        </w:rPr>
        <w:t>R</w:t>
      </w:r>
      <w:r>
        <w:rPr>
          <w:color w:val="auto"/>
        </w:rPr>
        <w:t>为40.65~137.99m。</w:t>
      </w:r>
      <w:r>
        <w:rPr>
          <w:rFonts w:hint="eastAsia" w:ascii="宋体" w:hAnsi="宋体"/>
          <w:color w:val="auto"/>
        </w:rPr>
        <w:t>项目拟建的水源井两两相距1000m，因此，两口水源井抽水不会产生干扰现象。</w:t>
      </w:r>
    </w:p>
    <w:p>
      <w:pPr>
        <w:pStyle w:val="63"/>
        <w:ind w:firstLine="480"/>
        <w:rPr>
          <w:color w:val="auto"/>
        </w:rPr>
      </w:pPr>
      <w:r>
        <w:rPr>
          <w:rFonts w:hint="eastAsia"/>
          <w:color w:val="auto"/>
        </w:rPr>
        <w:t>根据</w:t>
      </w:r>
      <w:r>
        <w:rPr>
          <w:color w:val="auto"/>
        </w:rPr>
        <w:t>《环境影响评价技术导则  地下水环境》（HJ610-2011）</w:t>
      </w:r>
      <w:r>
        <w:rPr>
          <w:rFonts w:hint="eastAsia"/>
          <w:color w:val="auto"/>
        </w:rPr>
        <w:t>中附录中表C.4，本项目取水井在泾河北岸成两排直线排列，供水井群的排列近似为矩形，其长a=9003m，宽b=2000.6m（井孔孔径为0.3m），因此可用下式(</w:t>
      </w:r>
      <w:r>
        <w:rPr>
          <w:color w:val="auto"/>
        </w:rPr>
        <w:t>C.</w:t>
      </w:r>
      <w:r>
        <w:rPr>
          <w:rFonts w:hint="eastAsia"/>
          <w:color w:val="auto"/>
        </w:rPr>
        <w:t>16)对取水井确定的地下水水位引用半径进行计算：</w:t>
      </w:r>
    </w:p>
    <w:p>
      <w:pPr>
        <w:spacing w:line="360" w:lineRule="auto"/>
        <w:ind w:firstLine="480" w:firstLineChars="200"/>
        <w:rPr>
          <w:sz w:val="24"/>
        </w:rPr>
      </w:pPr>
      <m:oMathPara>
        <m:oMath>
          <m:sSub>
            <m:sSubPr>
              <m:ctrlPr>
                <w:rPr>
                  <w:rFonts w:ascii="Cambria Math" w:hAnsi="Cambria Math"/>
                  <w:sz w:val="24"/>
                </w:rPr>
              </m:ctrlPr>
            </m:sSubPr>
            <m:e>
              <m:r>
                <m:rPr/>
                <w:rPr>
                  <w:rFonts w:ascii="Cambria Math" w:hAnsi="Cambria Math"/>
                  <w:sz w:val="24"/>
                </w:rPr>
                <m:t>r</m:t>
              </m:r>
              <m:ctrlPr>
                <w:rPr>
                  <w:rFonts w:ascii="Cambria Math" w:hAnsi="Cambria Math"/>
                  <w:sz w:val="24"/>
                </w:rPr>
              </m:ctrlPr>
            </m:e>
            <m:sub>
              <m:r>
                <m:rPr/>
                <w:rPr>
                  <w:rFonts w:ascii="Cambria Math" w:hAnsi="Cambria Math"/>
                  <w:sz w:val="24"/>
                </w:rPr>
                <m:t>0</m:t>
              </m:r>
              <m:ctrlPr>
                <w:rPr>
                  <w:rFonts w:ascii="Cambria Math" w:hAnsi="Cambria Math"/>
                  <w:sz w:val="24"/>
                </w:rPr>
              </m:ctrlPr>
            </m:sub>
          </m:sSub>
          <m:r>
            <m:rPr>
              <m:sty m:val="p"/>
            </m:rPr>
            <w:rPr>
              <w:rFonts w:ascii="Cambria Math" w:hAnsi="Cambria Math"/>
              <w:sz w:val="24"/>
            </w:rPr>
            <m:t>=η</m:t>
          </m:r>
          <m:f>
            <m:fPr>
              <m:ctrlPr>
                <w:rPr>
                  <w:rFonts w:ascii="Cambria Math" w:hAnsi="Cambria Math"/>
                  <w:sz w:val="24"/>
                </w:rPr>
              </m:ctrlPr>
            </m:fPr>
            <m:num>
              <m:r>
                <m:rPr/>
                <w:rPr>
                  <w:rFonts w:ascii="Cambria Math" w:hAnsi="Cambria Math"/>
                  <w:sz w:val="24"/>
                </w:rPr>
                <m:t>a+b</m:t>
              </m:r>
              <m:ctrlPr>
                <w:rPr>
                  <w:rFonts w:ascii="Cambria Math" w:hAnsi="Cambria Math"/>
                  <w:sz w:val="24"/>
                </w:rPr>
              </m:ctrlPr>
            </m:num>
            <m:den>
              <m:r>
                <m:rPr/>
                <w:rPr>
                  <w:rFonts w:ascii="Cambria Math" w:hAnsi="Cambria Math"/>
                  <w:sz w:val="24"/>
                </w:rPr>
                <m:t>4</m:t>
              </m:r>
              <m:ctrlPr>
                <w:rPr>
                  <w:rFonts w:ascii="Cambria Math" w:hAnsi="Cambria Math"/>
                  <w:sz w:val="24"/>
                </w:rPr>
              </m:ctrlPr>
            </m:den>
          </m:f>
        </m:oMath>
      </m:oMathPara>
    </w:p>
    <w:p>
      <w:pPr>
        <w:spacing w:line="360" w:lineRule="auto"/>
        <w:ind w:firstLine="480" w:firstLineChars="200"/>
        <w:rPr>
          <w:rFonts w:hAnsi="宋体"/>
          <w:sz w:val="24"/>
        </w:rPr>
      </w:pPr>
      <w:r>
        <w:rPr>
          <w:rFonts w:hint="eastAsia" w:hAnsi="宋体"/>
          <w:sz w:val="24"/>
        </w:rPr>
        <w:t>由于b/a =0.2时，η=1.12</w:t>
      </w:r>
      <w:r>
        <w:rPr>
          <w:rFonts w:hint="eastAsia" w:ascii="宋体" w:hAnsi="宋体"/>
          <w:sz w:val="24"/>
        </w:rPr>
        <w:t>,</w:t>
      </w:r>
      <w:r>
        <w:rPr>
          <w:rFonts w:hint="eastAsia" w:hAnsi="宋体"/>
          <w:sz w:val="24"/>
        </w:rPr>
        <w:t>则由上式可计算出井群的引用半径r</w:t>
      </w:r>
      <w:r>
        <w:rPr>
          <w:rFonts w:hint="eastAsia" w:hAnsi="宋体"/>
          <w:sz w:val="24"/>
          <w:vertAlign w:val="subscript"/>
        </w:rPr>
        <w:t>0</w:t>
      </w:r>
      <w:r>
        <w:rPr>
          <w:rFonts w:hint="eastAsia" w:hAnsi="宋体"/>
          <w:sz w:val="24"/>
        </w:rPr>
        <w:t>为3081m。</w:t>
      </w:r>
    </w:p>
    <w:p>
      <w:pPr>
        <w:pStyle w:val="63"/>
        <w:ind w:firstLine="480"/>
        <w:rPr>
          <w:color w:val="auto"/>
        </w:rPr>
      </w:pPr>
      <w:r>
        <w:rPr>
          <w:rFonts w:hint="eastAsia"/>
          <w:color w:val="auto"/>
        </w:rPr>
        <w:t>再根据</w:t>
      </w:r>
      <w:r>
        <w:rPr>
          <w:color w:val="auto"/>
        </w:rPr>
        <w:t>《环境影响评价技术导则  地下水环境》（HJ610-2011）</w:t>
      </w:r>
      <w:r>
        <w:rPr>
          <w:rFonts w:hint="eastAsia"/>
          <w:color w:val="auto"/>
        </w:rPr>
        <w:t>中附录中表C.7，本项目取水形成的地下水水位引用影响半径R</w:t>
      </w:r>
      <w:r>
        <w:rPr>
          <w:rFonts w:hint="eastAsia"/>
          <w:color w:val="auto"/>
          <w:vertAlign w:val="subscript"/>
        </w:rPr>
        <w:t>0</w:t>
      </w:r>
      <w:r>
        <w:rPr>
          <w:rFonts w:hint="eastAsia"/>
          <w:color w:val="auto"/>
        </w:rPr>
        <w:t>为：</w:t>
      </w:r>
    </w:p>
    <w:p>
      <w:pPr>
        <w:spacing w:line="360" w:lineRule="auto"/>
        <w:ind w:firstLine="480" w:firstLineChars="200"/>
        <w:jc w:val="center"/>
        <w:rPr>
          <w:rFonts w:ascii="宋体" w:hAnsi="宋体"/>
          <w:sz w:val="24"/>
        </w:rPr>
      </w:pPr>
      <w:r>
        <w:rPr>
          <w:rFonts w:hAnsi="宋体"/>
          <w:position w:val="-12"/>
          <w:sz w:val="24"/>
        </w:rPr>
        <w:object>
          <v:shape id="_x0000_i1033" o:spt="75" type="#_x0000_t75" style="height:18.7pt;width:65.45pt;" o:ole="t" filled="f" o:preferrelative="t" stroked="f" coordsize="21600,21600">
            <v:path/>
            <v:fill on="f" focussize="0,0"/>
            <v:stroke on="f" joinstyle="miter"/>
            <v:imagedata r:id="rId61" o:title=""/>
            <o:lock v:ext="edit" aspectratio="t"/>
            <w10:wrap type="none"/>
            <w10:anchorlock/>
          </v:shape>
          <o:OLEObject Type="Embed" ProgID="Equation.DSMT4" ShapeID="_x0000_i1033" DrawAspect="Content" ObjectID="_1468075733" r:id="rId60">
            <o:LockedField>false</o:LockedField>
          </o:OLEObject>
        </w:object>
      </w:r>
    </w:p>
    <w:p>
      <w:pPr>
        <w:pStyle w:val="63"/>
        <w:ind w:firstLine="480"/>
        <w:rPr>
          <w:rFonts w:ascii="宋体" w:hAnsi="宋体"/>
          <w:color w:val="auto"/>
        </w:rPr>
      </w:pPr>
      <w:r>
        <w:rPr>
          <w:rFonts w:hint="eastAsia" w:ascii="宋体" w:hAnsi="宋体"/>
          <w:color w:val="auto"/>
        </w:rPr>
        <w:t>计算结果为R</w:t>
      </w:r>
      <w:r>
        <w:rPr>
          <w:rFonts w:hint="eastAsia" w:ascii="宋体" w:hAnsi="宋体"/>
          <w:color w:val="auto"/>
          <w:vertAlign w:val="subscript"/>
        </w:rPr>
        <w:t>0</w:t>
      </w:r>
      <w:r>
        <w:rPr>
          <w:rFonts w:hint="eastAsia" w:ascii="宋体" w:hAnsi="宋体"/>
          <w:color w:val="auto"/>
        </w:rPr>
        <w:t>为</w:t>
      </w:r>
      <w:r>
        <w:rPr>
          <w:rFonts w:hint="eastAsia"/>
          <w:color w:val="auto"/>
        </w:rPr>
        <w:t>3121.65</w:t>
      </w:r>
      <w:r>
        <w:rPr>
          <w:color w:val="auto"/>
        </w:rPr>
        <w:t>~</w:t>
      </w:r>
      <w:r>
        <w:rPr>
          <w:rFonts w:hint="eastAsia"/>
          <w:color w:val="auto"/>
        </w:rPr>
        <w:t>3218.99</w:t>
      </w:r>
      <w:r>
        <w:rPr>
          <w:color w:val="auto"/>
        </w:rPr>
        <w:t>m</w:t>
      </w:r>
      <w:r>
        <w:rPr>
          <w:rFonts w:hint="eastAsia"/>
          <w:color w:val="auto"/>
        </w:rPr>
        <w:t>。</w:t>
      </w:r>
    </w:p>
    <w:p>
      <w:pPr>
        <w:pStyle w:val="63"/>
        <w:ind w:firstLine="480"/>
        <w:rPr>
          <w:color w:val="auto"/>
        </w:rPr>
      </w:pPr>
      <w:r>
        <w:rPr>
          <w:color w:val="auto"/>
        </w:rPr>
        <w:t>考虑地质条件的复杂性，本计算只作为水位变化趋势的分析依据，具体的水位下降范围会随地质条件的变化而有所变化。</w:t>
      </w:r>
    </w:p>
    <w:p>
      <w:pPr>
        <w:pStyle w:val="63"/>
        <w:ind w:firstLine="480"/>
        <w:rPr>
          <w:color w:val="auto"/>
        </w:rPr>
      </w:pPr>
      <w:r>
        <w:rPr>
          <w:color w:val="auto"/>
        </w:rPr>
        <w:t>随着运行期的持续，取水井群周围会形成以抽水井群为中心，R</w:t>
      </w:r>
      <w:r>
        <w:rPr>
          <w:color w:val="auto"/>
          <w:vertAlign w:val="subscript"/>
        </w:rPr>
        <w:t>0</w:t>
      </w:r>
      <w:r>
        <w:rPr>
          <w:color w:val="auto"/>
        </w:rPr>
        <w:t>=3121.65~3218.99m的局部降落漏斗。但由于取水井所在的泾河河谷区的地下水资源量丰富，且地下水径流补给量大，取水井开采地下水可激发泾河侧渗补给和西部侧向径流补给，使水井周围地下水位趋于平稳，基本不会出现由地下水位持续下降所引起的环境水文地质问题。</w:t>
      </w:r>
    </w:p>
    <w:p>
      <w:pPr>
        <w:pStyle w:val="62"/>
        <w:rPr>
          <w:color w:val="auto"/>
          <w:lang w:val="zh-CN"/>
        </w:rPr>
      </w:pPr>
      <w:r>
        <w:rPr>
          <w:rFonts w:hint="eastAsia"/>
          <w:color w:val="auto"/>
          <w:lang w:val="zh-CN"/>
        </w:rPr>
        <w:t>7.7.4取水对地下水水资源的影响分析</w:t>
      </w:r>
    </w:p>
    <w:p>
      <w:pPr>
        <w:pStyle w:val="63"/>
        <w:ind w:firstLine="480"/>
        <w:rPr>
          <w:color w:val="auto"/>
        </w:rPr>
      </w:pPr>
      <w:r>
        <w:rPr>
          <w:rFonts w:hint="eastAsia"/>
          <w:bCs/>
          <w:color w:val="auto"/>
        </w:rPr>
        <w:t>根据7.7.2节可知，《地勘报告》中</w:t>
      </w:r>
      <w:r>
        <w:rPr>
          <w:rFonts w:hint="eastAsia"/>
          <w:color w:val="auto"/>
        </w:rPr>
        <w:t>采用补给量法计算的开采区地下水资源量为10.62万m</w:t>
      </w:r>
      <w:r>
        <w:rPr>
          <w:rFonts w:hint="eastAsia"/>
          <w:color w:val="auto"/>
          <w:vertAlign w:val="superscript"/>
        </w:rPr>
        <w:t>3</w:t>
      </w:r>
      <w:r>
        <w:rPr>
          <w:rFonts w:hint="eastAsia"/>
          <w:color w:val="auto"/>
        </w:rPr>
        <w:t>/d；本次论证通过地下水数值模拟计算的开采区地下水资源量为10.48万m</w:t>
      </w:r>
      <w:r>
        <w:rPr>
          <w:rFonts w:hint="eastAsia"/>
          <w:color w:val="auto"/>
          <w:vertAlign w:val="superscript"/>
        </w:rPr>
        <w:t>3</w:t>
      </w:r>
      <w:r>
        <w:rPr>
          <w:rFonts w:hint="eastAsia"/>
          <w:color w:val="auto"/>
        </w:rPr>
        <w:t>/d，计算结果基本一致，由于考虑到数值模型较补给量法对地下水量变化的刻画更为切合实际，故研究区域内地下水变化量采用数值模拟的分析结果，为10.48万m</w:t>
      </w:r>
      <w:r>
        <w:rPr>
          <w:rFonts w:hint="eastAsia"/>
          <w:color w:val="auto"/>
          <w:vertAlign w:val="superscript"/>
        </w:rPr>
        <w:t>3</w:t>
      </w:r>
      <w:r>
        <w:rPr>
          <w:rFonts w:hint="eastAsia"/>
          <w:color w:val="auto"/>
        </w:rPr>
        <w:t>/d。</w:t>
      </w:r>
    </w:p>
    <w:p>
      <w:pPr>
        <w:pStyle w:val="65"/>
      </w:pPr>
      <w:r>
        <w:rPr>
          <w:rFonts w:hint="eastAsia"/>
        </w:rPr>
        <w:t>表7.7-1  储量不同方法计算成果表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384"/>
        <w:gridCol w:w="4475"/>
        <w:gridCol w:w="23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290" w:type="pct"/>
            <w:vAlign w:val="center"/>
          </w:tcPr>
          <w:p>
            <w:pPr>
              <w:spacing w:line="360" w:lineRule="auto"/>
              <w:jc w:val="center"/>
              <w:rPr>
                <w:b/>
                <w:szCs w:val="21"/>
              </w:rPr>
            </w:pPr>
            <w:r>
              <w:rPr>
                <w:rFonts w:hint="eastAsia"/>
                <w:b/>
                <w:szCs w:val="21"/>
              </w:rPr>
              <w:t>计算方法</w:t>
            </w:r>
          </w:p>
        </w:tc>
        <w:tc>
          <w:tcPr>
            <w:tcW w:w="2421" w:type="pct"/>
            <w:vAlign w:val="center"/>
          </w:tcPr>
          <w:p>
            <w:pPr>
              <w:spacing w:line="360" w:lineRule="auto"/>
              <w:jc w:val="center"/>
              <w:rPr>
                <w:b/>
                <w:szCs w:val="21"/>
              </w:rPr>
            </w:pPr>
            <w:r>
              <w:rPr>
                <w:rFonts w:hint="eastAsia"/>
                <w:b/>
                <w:szCs w:val="21"/>
              </w:rPr>
              <w:t>地下水储量（万m</w:t>
            </w:r>
            <w:r>
              <w:rPr>
                <w:rFonts w:hint="eastAsia"/>
                <w:b/>
                <w:szCs w:val="21"/>
                <w:vertAlign w:val="superscript"/>
              </w:rPr>
              <w:t>3</w:t>
            </w:r>
            <w:r>
              <w:rPr>
                <w:rFonts w:hint="eastAsia"/>
                <w:b/>
                <w:szCs w:val="21"/>
              </w:rPr>
              <w:t>/d）</w:t>
            </w:r>
          </w:p>
        </w:tc>
        <w:tc>
          <w:tcPr>
            <w:tcW w:w="1290" w:type="pct"/>
            <w:vAlign w:val="center"/>
          </w:tcPr>
          <w:p>
            <w:pPr>
              <w:spacing w:line="360" w:lineRule="auto"/>
              <w:jc w:val="center"/>
              <w:rPr>
                <w:b/>
                <w:szCs w:val="21"/>
              </w:rPr>
            </w:pPr>
            <w:r>
              <w:rPr>
                <w:rFonts w:hint="eastAsia"/>
                <w:b/>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90" w:type="pct"/>
            <w:vAlign w:val="center"/>
          </w:tcPr>
          <w:p>
            <w:pPr>
              <w:spacing w:line="360" w:lineRule="auto"/>
              <w:jc w:val="center"/>
              <w:rPr>
                <w:szCs w:val="21"/>
              </w:rPr>
            </w:pPr>
            <w:r>
              <w:rPr>
                <w:rFonts w:hint="eastAsia"/>
                <w:szCs w:val="21"/>
              </w:rPr>
              <w:t>补给量法</w:t>
            </w:r>
          </w:p>
        </w:tc>
        <w:tc>
          <w:tcPr>
            <w:tcW w:w="2421" w:type="pct"/>
            <w:vAlign w:val="center"/>
          </w:tcPr>
          <w:p>
            <w:pPr>
              <w:spacing w:line="360" w:lineRule="auto"/>
              <w:jc w:val="center"/>
              <w:rPr>
                <w:szCs w:val="21"/>
              </w:rPr>
            </w:pPr>
            <w:r>
              <w:rPr>
                <w:rFonts w:hint="eastAsia"/>
                <w:szCs w:val="21"/>
              </w:rPr>
              <w:t>10.62</w:t>
            </w:r>
          </w:p>
        </w:tc>
        <w:tc>
          <w:tcPr>
            <w:tcW w:w="1290" w:type="pct"/>
            <w:vMerge w:val="restart"/>
            <w:vAlign w:val="center"/>
          </w:tcPr>
          <w:p>
            <w:pPr>
              <w:spacing w:line="360" w:lineRule="auto"/>
              <w:jc w:val="center"/>
              <w:rPr>
                <w:szCs w:val="21"/>
              </w:rPr>
            </w:pPr>
            <w:r>
              <w:rPr>
                <w:rFonts w:hint="eastAsia"/>
                <w:szCs w:val="21"/>
              </w:rPr>
              <w:t>推荐采用值</w:t>
            </w:r>
          </w:p>
          <w:p>
            <w:pPr>
              <w:spacing w:line="360" w:lineRule="auto"/>
              <w:jc w:val="center"/>
              <w:rPr>
                <w:szCs w:val="21"/>
              </w:rPr>
            </w:pPr>
            <w:r>
              <w:rPr>
                <w:rFonts w:hint="eastAsia"/>
                <w:szCs w:val="21"/>
              </w:rPr>
              <w:t>10.48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290" w:type="pct"/>
            <w:vAlign w:val="center"/>
          </w:tcPr>
          <w:p>
            <w:pPr>
              <w:spacing w:line="360" w:lineRule="auto"/>
              <w:jc w:val="center"/>
              <w:rPr>
                <w:szCs w:val="21"/>
              </w:rPr>
            </w:pPr>
            <w:r>
              <w:rPr>
                <w:rFonts w:hint="eastAsia"/>
                <w:szCs w:val="21"/>
              </w:rPr>
              <w:t>数值分析法</w:t>
            </w:r>
          </w:p>
        </w:tc>
        <w:tc>
          <w:tcPr>
            <w:tcW w:w="2421" w:type="pct"/>
            <w:vAlign w:val="center"/>
          </w:tcPr>
          <w:p>
            <w:pPr>
              <w:spacing w:line="360" w:lineRule="auto"/>
              <w:jc w:val="center"/>
              <w:rPr>
                <w:szCs w:val="21"/>
              </w:rPr>
            </w:pPr>
            <w:r>
              <w:rPr>
                <w:rFonts w:hint="eastAsia"/>
                <w:szCs w:val="21"/>
              </w:rPr>
              <w:t>10.48</w:t>
            </w:r>
          </w:p>
        </w:tc>
        <w:tc>
          <w:tcPr>
            <w:tcW w:w="1290" w:type="pct"/>
            <w:vMerge w:val="continue"/>
            <w:vAlign w:val="center"/>
          </w:tcPr>
          <w:p>
            <w:pPr>
              <w:spacing w:line="360" w:lineRule="auto"/>
              <w:jc w:val="center"/>
              <w:rPr>
                <w:szCs w:val="21"/>
              </w:rPr>
            </w:pPr>
          </w:p>
        </w:tc>
      </w:tr>
    </w:tbl>
    <w:p>
      <w:pPr>
        <w:spacing w:line="440" w:lineRule="exact"/>
        <w:ind w:firstLine="480" w:firstLineChars="200"/>
        <w:rPr>
          <w:bCs/>
          <w:sz w:val="24"/>
        </w:rPr>
      </w:pPr>
      <w:r>
        <w:rPr>
          <w:bCs/>
          <w:sz w:val="24"/>
        </w:rPr>
        <w:t>采用可开采系数法确定允许开采量，按</w:t>
      </w:r>
      <w:r>
        <w:rPr>
          <w:rFonts w:hint="eastAsia"/>
          <w:bCs/>
          <w:sz w:val="24"/>
        </w:rPr>
        <w:t>下述</w:t>
      </w:r>
      <w:r>
        <w:rPr>
          <w:bCs/>
          <w:sz w:val="24"/>
        </w:rPr>
        <w:t>公式计算：</w:t>
      </w:r>
    </w:p>
    <w:p>
      <w:pPr>
        <w:spacing w:line="440" w:lineRule="exact"/>
        <w:ind w:firstLine="480" w:firstLineChars="200"/>
        <w:jc w:val="center"/>
        <w:rPr>
          <w:bCs/>
          <w:sz w:val="24"/>
        </w:rPr>
      </w:pPr>
      <w:r>
        <w:rPr>
          <w:bCs/>
          <w:sz w:val="24"/>
        </w:rPr>
        <w:object>
          <v:shape id="_x0000_i1034" o:spt="75" type="#_x0000_t75" style="height:18.7pt;width:78.55pt;" o:ole="t" filled="f" o:preferrelative="t" stroked="f" coordsize="21600,21600">
            <v:path/>
            <v:fill on="f" focussize="0,0"/>
            <v:stroke on="f" joinstyle="miter"/>
            <v:imagedata r:id="rId46" o:title=""/>
            <o:lock v:ext="edit" aspectratio="t"/>
            <w10:wrap type="none"/>
            <w10:anchorlock/>
          </v:shape>
          <o:OLEObject Type="Embed" ProgID="Equation.3" ShapeID="_x0000_i1034" DrawAspect="Content" ObjectID="_1468075734" r:id="rId62">
            <o:LockedField>false</o:LockedField>
          </o:OLEObject>
        </w:object>
      </w:r>
    </w:p>
    <w:p>
      <w:pPr>
        <w:pStyle w:val="63"/>
        <w:ind w:firstLine="480"/>
        <w:rPr>
          <w:color w:val="auto"/>
        </w:rPr>
      </w:pPr>
      <w:r>
        <w:rPr>
          <w:color w:val="auto"/>
        </w:rPr>
        <w:t>式中:</w:t>
      </w:r>
      <w:r>
        <w:rPr>
          <w:color w:val="auto"/>
        </w:rPr>
        <w:object>
          <v:shape id="_x0000_i1035" o:spt="75" type="#_x0000_t75" style="height:15.9pt;width:12.15pt;" o:ole="t" filled="f" o:preferrelative="t" stroked="f" coordsize="21600,21600">
            <v:path/>
            <v:fill on="f" focussize="0,0"/>
            <v:stroke on="f" joinstyle="miter"/>
            <v:imagedata r:id="rId48" o:title=""/>
            <o:lock v:ext="edit" aspectratio="t"/>
            <w10:wrap type="none"/>
            <w10:anchorlock/>
          </v:shape>
          <o:OLEObject Type="Embed" ProgID="Equation.3" ShapeID="_x0000_i1035" DrawAspect="Content" ObjectID="_1468075735" r:id="rId63">
            <o:LockedField>false</o:LockedField>
          </o:OLEObject>
        </w:object>
      </w:r>
      <w:r>
        <w:rPr>
          <w:color w:val="auto"/>
          <w:vertAlign w:val="subscript"/>
        </w:rPr>
        <w:t>可</w:t>
      </w:r>
      <w:r>
        <w:rPr>
          <w:color w:val="auto"/>
        </w:rPr>
        <w:t>—可开采量，m³/</w:t>
      </w:r>
      <w:r>
        <w:rPr>
          <w:rFonts w:hint="eastAsia"/>
          <w:color w:val="auto"/>
        </w:rPr>
        <w:t>d</w:t>
      </w:r>
      <w:r>
        <w:rPr>
          <w:color w:val="auto"/>
        </w:rPr>
        <w:t>；</w:t>
      </w:r>
    </w:p>
    <w:p>
      <w:pPr>
        <w:pStyle w:val="63"/>
        <w:ind w:firstLine="480"/>
        <w:rPr>
          <w:color w:val="auto"/>
        </w:rPr>
      </w:pPr>
      <w:r>
        <w:rPr>
          <w:color w:val="auto"/>
        </w:rPr>
        <w:t>ρ—可开采系数，</w:t>
      </w:r>
      <w:r>
        <w:rPr>
          <w:rFonts w:hint="eastAsia"/>
          <w:color w:val="auto"/>
        </w:rPr>
        <w:t>参考咸阳市《水资源开发利用规划》取0.70。</w:t>
      </w:r>
    </w:p>
    <w:p>
      <w:pPr>
        <w:pStyle w:val="63"/>
        <w:ind w:firstLine="480"/>
        <w:rPr>
          <w:color w:val="auto"/>
        </w:rPr>
      </w:pPr>
      <w:r>
        <w:rPr>
          <w:color w:val="auto"/>
        </w:rPr>
        <w:t>Wa—地下水</w:t>
      </w:r>
      <w:r>
        <w:rPr>
          <w:rFonts w:hint="eastAsia"/>
          <w:color w:val="auto"/>
        </w:rPr>
        <w:t>储量</w:t>
      </w:r>
      <w:r>
        <w:rPr>
          <w:color w:val="auto"/>
        </w:rPr>
        <w:t>，m³/</w:t>
      </w:r>
      <w:r>
        <w:rPr>
          <w:rFonts w:hint="eastAsia"/>
          <w:color w:val="auto"/>
        </w:rPr>
        <w:t>d</w:t>
      </w:r>
      <w:r>
        <w:rPr>
          <w:color w:val="auto"/>
        </w:rPr>
        <w:t>。</w:t>
      </w:r>
    </w:p>
    <w:p>
      <w:pPr>
        <w:pStyle w:val="63"/>
        <w:ind w:firstLine="480"/>
        <w:rPr>
          <w:color w:val="auto"/>
        </w:rPr>
      </w:pPr>
      <w:r>
        <w:rPr>
          <w:rFonts w:hint="eastAsia"/>
          <w:color w:val="auto"/>
        </w:rPr>
        <w:t>经</w:t>
      </w:r>
      <w:r>
        <w:rPr>
          <w:color w:val="auto"/>
        </w:rPr>
        <w:t>计算</w:t>
      </w:r>
      <w:r>
        <w:rPr>
          <w:rFonts w:hint="eastAsia"/>
          <w:color w:val="auto"/>
        </w:rPr>
        <w:t>可</w:t>
      </w:r>
      <w:r>
        <w:rPr>
          <w:color w:val="auto"/>
        </w:rPr>
        <w:t>得项目区</w:t>
      </w:r>
      <w:r>
        <w:rPr>
          <w:rFonts w:hint="eastAsia"/>
          <w:color w:val="auto"/>
        </w:rPr>
        <w:t>浅层承压水含</w:t>
      </w:r>
      <w:r>
        <w:rPr>
          <w:color w:val="auto"/>
        </w:rPr>
        <w:t>水</w:t>
      </w:r>
      <w:r>
        <w:rPr>
          <w:rFonts w:hint="eastAsia"/>
          <w:color w:val="auto"/>
        </w:rPr>
        <w:t>层日</w:t>
      </w:r>
      <w:r>
        <w:rPr>
          <w:color w:val="auto"/>
        </w:rPr>
        <w:t>平均可开采量为</w:t>
      </w:r>
      <w:r>
        <w:rPr>
          <w:rFonts w:hint="eastAsia"/>
          <w:color w:val="auto"/>
        </w:rPr>
        <w:t>7.34万</w:t>
      </w:r>
      <w:r>
        <w:rPr>
          <w:color w:val="auto"/>
        </w:rPr>
        <w:t>m³。</w:t>
      </w:r>
      <w:r>
        <w:rPr>
          <w:rFonts w:hint="eastAsia"/>
          <w:color w:val="auto"/>
        </w:rPr>
        <w:t>本项目地下水水源开采井设计采量为19750</w:t>
      </w:r>
      <w:r>
        <w:rPr>
          <w:color w:val="auto"/>
        </w:rPr>
        <w:t>m</w:t>
      </w:r>
      <w:r>
        <w:rPr>
          <w:color w:val="auto"/>
          <w:vertAlign w:val="superscript"/>
        </w:rPr>
        <w:t>3</w:t>
      </w:r>
      <w:r>
        <w:rPr>
          <w:color w:val="auto"/>
        </w:rPr>
        <w:t>/</w:t>
      </w:r>
      <w:r>
        <w:rPr>
          <w:rFonts w:hint="eastAsia"/>
          <w:color w:val="auto"/>
        </w:rPr>
        <w:t>d，项目区内现状集中开采量为1000</w:t>
      </w:r>
      <w:r>
        <w:rPr>
          <w:color w:val="auto"/>
        </w:rPr>
        <w:t>0 m</w:t>
      </w:r>
      <w:r>
        <w:rPr>
          <w:color w:val="auto"/>
          <w:vertAlign w:val="superscript"/>
        </w:rPr>
        <w:t>3</w:t>
      </w:r>
      <w:r>
        <w:rPr>
          <w:color w:val="auto"/>
        </w:rPr>
        <w:t>/</w:t>
      </w:r>
      <w:r>
        <w:rPr>
          <w:rFonts w:hint="eastAsia"/>
          <w:color w:val="auto"/>
        </w:rPr>
        <w:t>d，合计开采量29750</w:t>
      </w:r>
      <w:r>
        <w:rPr>
          <w:color w:val="auto"/>
        </w:rPr>
        <w:t>m</w:t>
      </w:r>
      <w:r>
        <w:rPr>
          <w:color w:val="auto"/>
          <w:vertAlign w:val="superscript"/>
        </w:rPr>
        <w:t>3</w:t>
      </w:r>
      <w:r>
        <w:rPr>
          <w:color w:val="auto"/>
        </w:rPr>
        <w:t>/</w:t>
      </w:r>
      <w:r>
        <w:rPr>
          <w:rFonts w:hint="eastAsia"/>
          <w:color w:val="auto"/>
        </w:rPr>
        <w:t>d，占</w:t>
      </w:r>
      <w:r>
        <w:rPr>
          <w:rFonts w:hint="eastAsia" w:ascii="宋体" w:hAnsi="宋体"/>
          <w:color w:val="auto"/>
        </w:rPr>
        <w:t>地下水资源允许开采量（</w:t>
      </w:r>
      <w:r>
        <w:rPr>
          <w:rFonts w:hint="eastAsia"/>
          <w:color w:val="auto"/>
        </w:rPr>
        <w:t>10.48万m</w:t>
      </w:r>
      <w:r>
        <w:rPr>
          <w:rFonts w:hint="eastAsia"/>
          <w:color w:val="auto"/>
          <w:vertAlign w:val="superscript"/>
        </w:rPr>
        <w:t>3</w:t>
      </w:r>
      <w:r>
        <w:rPr>
          <w:rFonts w:hint="eastAsia"/>
          <w:color w:val="auto"/>
        </w:rPr>
        <w:t>/d</w:t>
      </w:r>
      <w:r>
        <w:rPr>
          <w:rFonts w:hint="eastAsia" w:ascii="宋体" w:hAnsi="宋体"/>
          <w:color w:val="auto"/>
        </w:rPr>
        <w:t>）</w:t>
      </w:r>
      <w:r>
        <w:rPr>
          <w:rFonts w:hint="eastAsia"/>
          <w:color w:val="auto"/>
        </w:rPr>
        <w:t>的28.39%</w:t>
      </w:r>
      <w:r>
        <w:rPr>
          <w:rFonts w:hint="eastAsia" w:ascii="宋体" w:hAnsi="宋体"/>
          <w:color w:val="auto"/>
        </w:rPr>
        <w:t>，</w:t>
      </w:r>
      <w:r>
        <w:rPr>
          <w:rFonts w:hint="eastAsia"/>
          <w:color w:val="auto"/>
        </w:rPr>
        <w:t>不超过地下水资源可开采量。</w:t>
      </w:r>
    </w:p>
    <w:p>
      <w:pPr>
        <w:pStyle w:val="63"/>
        <w:ind w:firstLine="480"/>
        <w:rPr>
          <w:color w:val="auto"/>
        </w:rPr>
      </w:pPr>
      <w:r>
        <w:rPr>
          <w:rFonts w:hint="eastAsia"/>
          <w:color w:val="auto"/>
        </w:rPr>
        <w:t>目前，泾阳县城有两座水厂总供水能力10000m</w:t>
      </w:r>
      <w:r>
        <w:rPr>
          <w:rFonts w:hint="eastAsia"/>
          <w:color w:val="auto"/>
          <w:vertAlign w:val="superscript"/>
        </w:rPr>
        <w:t>3</w:t>
      </w:r>
      <w:r>
        <w:rPr>
          <w:rFonts w:hint="eastAsia"/>
          <w:color w:val="auto"/>
        </w:rPr>
        <w:t>/d，供水水源全部为地下水，采用混合取水方式，在泾阳县城西北部分布。考虑泾阳县城维持现状供水，本次论证泾河新城项目区（除泾阳县城）地下水资源开采量计算区域及地下水开采井规划布设范围为泾河新城秦汉大道以东部分，布井避开泾阳县城地下水开采区。</w:t>
      </w:r>
    </w:p>
    <w:p>
      <w:pPr>
        <w:pStyle w:val="63"/>
        <w:ind w:firstLine="480"/>
        <w:rPr>
          <w:color w:val="auto"/>
        </w:rPr>
      </w:pPr>
      <w:r>
        <w:rPr>
          <w:rFonts w:hint="eastAsia"/>
          <w:color w:val="auto"/>
        </w:rPr>
        <w:t>区内地下水天然补给总量为10.48万</w:t>
      </w:r>
      <w:r>
        <w:rPr>
          <w:color w:val="auto"/>
        </w:rPr>
        <w:t>m</w:t>
      </w:r>
      <w:r>
        <w:rPr>
          <w:color w:val="auto"/>
          <w:vertAlign w:val="superscript"/>
        </w:rPr>
        <w:t>3</w:t>
      </w:r>
      <w:r>
        <w:rPr>
          <w:color w:val="auto"/>
        </w:rPr>
        <w:t>/d</w:t>
      </w:r>
      <w:r>
        <w:rPr>
          <w:rFonts w:hint="eastAsia"/>
          <w:color w:val="auto"/>
        </w:rPr>
        <w:t>，经</w:t>
      </w:r>
      <w:r>
        <w:rPr>
          <w:color w:val="auto"/>
        </w:rPr>
        <w:t>计算</w:t>
      </w:r>
      <w:r>
        <w:rPr>
          <w:rFonts w:hint="eastAsia"/>
          <w:color w:val="auto"/>
        </w:rPr>
        <w:t>可</w:t>
      </w:r>
      <w:r>
        <w:rPr>
          <w:color w:val="auto"/>
        </w:rPr>
        <w:t>得项目区</w:t>
      </w:r>
      <w:r>
        <w:rPr>
          <w:rFonts w:hint="eastAsia"/>
          <w:color w:val="auto"/>
        </w:rPr>
        <w:t>浅层承压水含</w:t>
      </w:r>
      <w:r>
        <w:rPr>
          <w:color w:val="auto"/>
        </w:rPr>
        <w:t>水</w:t>
      </w:r>
      <w:r>
        <w:rPr>
          <w:rFonts w:hint="eastAsia"/>
          <w:color w:val="auto"/>
        </w:rPr>
        <w:t>层</w:t>
      </w:r>
      <w:r>
        <w:rPr>
          <w:color w:val="auto"/>
        </w:rPr>
        <w:t>平均可开采量为</w:t>
      </w:r>
      <w:r>
        <w:rPr>
          <w:rFonts w:hint="eastAsia"/>
          <w:color w:val="auto"/>
        </w:rPr>
        <w:t>7.43万</w:t>
      </w:r>
      <w:r>
        <w:rPr>
          <w:color w:val="auto"/>
        </w:rPr>
        <w:t>m³</w:t>
      </w:r>
      <w:r>
        <w:rPr>
          <w:rFonts w:hint="eastAsia"/>
          <w:color w:val="auto"/>
        </w:rPr>
        <w:t>/d，泾河新城（不含泾阳县城）地下水主要供给居民生活用水，开采量为19750</w:t>
      </w:r>
      <w:r>
        <w:rPr>
          <w:color w:val="auto"/>
        </w:rPr>
        <w:t>m³</w:t>
      </w:r>
      <w:r>
        <w:rPr>
          <w:rFonts w:hint="eastAsia"/>
          <w:color w:val="auto"/>
        </w:rPr>
        <w:t>/d，占地下水资源量的18.85%，不超过项目区地下水资源可开采量。同时，项目区农灌还会产生一定的回补，因此，认为地下水取水不对区域内的地下水资源产生显著影响。</w:t>
      </w:r>
    </w:p>
    <w:p>
      <w:pPr>
        <w:pStyle w:val="62"/>
        <w:rPr>
          <w:color w:val="auto"/>
          <w:lang w:val="zh-CN"/>
        </w:rPr>
      </w:pPr>
      <w:r>
        <w:rPr>
          <w:rFonts w:hint="eastAsia"/>
          <w:color w:val="auto"/>
          <w:lang w:val="zh-CN"/>
        </w:rPr>
        <w:t>7.7.5取水对地下水水质的影响分析</w:t>
      </w:r>
    </w:p>
    <w:p>
      <w:pPr>
        <w:pStyle w:val="63"/>
        <w:ind w:firstLine="480"/>
        <w:rPr>
          <w:color w:val="auto"/>
        </w:rPr>
      </w:pPr>
      <w:r>
        <w:rPr>
          <w:rFonts w:hint="eastAsia"/>
          <w:color w:val="auto"/>
        </w:rPr>
        <w:t>项目取水过程中，对浅层承压水是排出过程，不会影响到影响半径以外地下水水质。水源井附近由于含水层水动力条件的变化，水交替速度加快，溶解岩石中化学成分的时间缩短，可能使地下水矿化度有所降低，并与周围介质化学元素之间产生新的平衡，矿井水中各离子含量比例发生轻微变化，但变化幅度较小。</w:t>
      </w:r>
    </w:p>
    <w:p>
      <w:pPr>
        <w:pStyle w:val="62"/>
        <w:rPr>
          <w:color w:val="auto"/>
          <w:lang w:val="zh-CN"/>
        </w:rPr>
      </w:pPr>
      <w:r>
        <w:rPr>
          <w:rFonts w:hint="eastAsia"/>
          <w:color w:val="auto"/>
          <w:lang w:val="zh-CN"/>
        </w:rPr>
        <w:t>7.7.6取水对其它用水目标的影响分析</w:t>
      </w:r>
    </w:p>
    <w:p>
      <w:pPr>
        <w:pStyle w:val="63"/>
        <w:ind w:firstLine="480"/>
        <w:rPr>
          <w:color w:val="auto"/>
        </w:rPr>
      </w:pPr>
      <w:r>
        <w:rPr>
          <w:rFonts w:hint="eastAsia"/>
          <w:color w:val="auto"/>
        </w:rPr>
        <w:t>水源地投产</w:t>
      </w:r>
      <w:r>
        <w:rPr>
          <w:color w:val="auto"/>
        </w:rPr>
        <w:t>后地下水位下降，导致地下水蒸发量减少、同时激发的</w:t>
      </w:r>
      <w:r>
        <w:rPr>
          <w:rFonts w:hint="eastAsia"/>
          <w:color w:val="auto"/>
        </w:rPr>
        <w:t>地表水</w:t>
      </w:r>
      <w:r>
        <w:rPr>
          <w:color w:val="auto"/>
        </w:rPr>
        <w:t>补给量增加，对水源地水资源储量造成的影响不大。</w:t>
      </w:r>
      <w:r>
        <w:rPr>
          <w:rFonts w:hint="eastAsia"/>
          <w:color w:val="auto"/>
        </w:rPr>
        <w:t>水源地</w:t>
      </w:r>
      <w:r>
        <w:rPr>
          <w:color w:val="auto"/>
        </w:rPr>
        <w:t>范围</w:t>
      </w:r>
      <w:r>
        <w:rPr>
          <w:rFonts w:hint="eastAsia"/>
          <w:color w:val="auto"/>
        </w:rPr>
        <w:t>内现状</w:t>
      </w:r>
      <w:r>
        <w:rPr>
          <w:color w:val="auto"/>
        </w:rPr>
        <w:t>无集中开采，仅有零散人畜饮用取水且相互距离较远，对其正常取水不会产生大的影响。</w:t>
      </w:r>
      <w:r>
        <w:rPr>
          <w:rFonts w:hint="eastAsia"/>
          <w:color w:val="auto"/>
        </w:rPr>
        <w:t>本项目周围20km以内无其他</w:t>
      </w:r>
      <w:r>
        <w:rPr>
          <w:color w:val="auto"/>
        </w:rPr>
        <w:t>水源地</w:t>
      </w:r>
      <w:r>
        <w:rPr>
          <w:rFonts w:hint="eastAsia"/>
          <w:color w:val="auto"/>
        </w:rPr>
        <w:t>，且本项目位于泾阳县城地下水开采区的下游，</w:t>
      </w:r>
      <w:r>
        <w:rPr>
          <w:color w:val="auto"/>
        </w:rPr>
        <w:t>因此，本项目</w:t>
      </w:r>
      <w:r>
        <w:rPr>
          <w:rFonts w:hint="eastAsia"/>
          <w:color w:val="auto"/>
        </w:rPr>
        <w:t>取水</w:t>
      </w:r>
      <w:r>
        <w:rPr>
          <w:color w:val="auto"/>
        </w:rPr>
        <w:t>不会对其他水源地造成大的影响。</w:t>
      </w:r>
    </w:p>
    <w:p>
      <w:pPr>
        <w:pStyle w:val="61"/>
        <w:rPr>
          <w:color w:val="auto"/>
        </w:rPr>
      </w:pPr>
      <w:bookmarkStart w:id="94" w:name="_Toc436902179"/>
      <w:r>
        <w:rPr>
          <w:rFonts w:hint="eastAsia"/>
          <w:color w:val="auto"/>
        </w:rPr>
        <w:t>7.8.水源保护区的划分建议</w:t>
      </w:r>
      <w:bookmarkEnd w:id="94"/>
    </w:p>
    <w:p>
      <w:pPr>
        <w:pStyle w:val="63"/>
        <w:ind w:firstLine="480"/>
        <w:rPr>
          <w:snapToGrid w:val="0"/>
          <w:color w:val="auto"/>
        </w:rPr>
      </w:pPr>
      <w:r>
        <w:rPr>
          <w:rFonts w:hint="eastAsia" w:ascii="宋体" w:hAnsi="宋体"/>
          <w:color w:val="auto"/>
        </w:rPr>
        <w:t>项目水源地取用第四系松散岩类孔隙浅层承压水含水层作为开采层位，</w:t>
      </w:r>
      <w:r>
        <w:rPr>
          <w:color w:val="auto"/>
        </w:rPr>
        <w:t>按泾河南北两地段规划建设应急供水水源地，采用管井开采，其中泾河北岸允许开采量为40000m</w:t>
      </w:r>
      <w:r>
        <w:rPr>
          <w:color w:val="auto"/>
          <w:vertAlign w:val="superscript"/>
        </w:rPr>
        <w:t>3</w:t>
      </w:r>
      <w:r>
        <w:rPr>
          <w:color w:val="auto"/>
        </w:rPr>
        <w:t>/d，泾河南岸允许开采量为</w:t>
      </w:r>
      <w:r>
        <w:rPr>
          <w:rFonts w:hint="eastAsia"/>
          <w:color w:val="auto"/>
        </w:rPr>
        <w:t>67</w:t>
      </w:r>
      <w:r>
        <w:rPr>
          <w:color w:val="auto"/>
        </w:rPr>
        <w:t>50m</w:t>
      </w:r>
      <w:r>
        <w:rPr>
          <w:color w:val="auto"/>
          <w:vertAlign w:val="superscript"/>
        </w:rPr>
        <w:t>3</w:t>
      </w:r>
      <w:r>
        <w:rPr>
          <w:color w:val="auto"/>
        </w:rPr>
        <w:t>/d，均为中型地下水水源地。</w:t>
      </w:r>
      <w:r>
        <w:rPr>
          <w:rFonts w:hint="eastAsia"/>
          <w:snapToGrid w:val="0"/>
          <w:color w:val="auto"/>
        </w:rPr>
        <w:t>为加强本</w:t>
      </w:r>
      <w:r>
        <w:rPr>
          <w:rFonts w:hint="eastAsia" w:ascii="宋体" w:hAnsi="宋体"/>
          <w:color w:val="auto"/>
        </w:rPr>
        <w:t>水源地的环境保护工作，建议水源管理主管部门对水源地开展水源保护区划分，主要建议如下：</w:t>
      </w:r>
    </w:p>
    <w:p>
      <w:pPr>
        <w:pStyle w:val="63"/>
        <w:ind w:firstLine="480"/>
        <w:rPr>
          <w:color w:val="auto"/>
        </w:rPr>
      </w:pPr>
      <w:r>
        <w:rPr>
          <w:rFonts w:hint="eastAsia"/>
          <w:color w:val="auto"/>
        </w:rPr>
        <w:t>（一）水源保护区划</w:t>
      </w:r>
    </w:p>
    <w:p>
      <w:pPr>
        <w:pStyle w:val="63"/>
        <w:ind w:firstLine="480"/>
        <w:rPr>
          <w:color w:val="auto"/>
        </w:rPr>
      </w:pPr>
      <w:r>
        <w:rPr>
          <w:color w:val="auto"/>
        </w:rPr>
        <w:t>（1）根据《陕西省城市饮用水水源保护区环境保护条例》关于饮用水地下水源保护区的划定如下：一级保护区：以开采取水水源井为中心，半径为55米的范围内，能够保证集水有一定的滞后时间，防止病原菌污染的区域，设为一级保护区。二级保护区：以取水井为中心，半径55米至二倍影响半径的圆环形区域。</w:t>
      </w:r>
    </w:p>
    <w:p>
      <w:pPr>
        <w:pStyle w:val="63"/>
        <w:ind w:firstLine="480"/>
        <w:rPr>
          <w:color w:val="auto"/>
        </w:rPr>
      </w:pPr>
      <w:r>
        <w:rPr>
          <w:color w:val="auto"/>
        </w:rPr>
        <w:t>准保护区：根据地下水水文地质和补给条件确定。承压含水层的地下水水源保护区，根据含水层水文地质和埋藏条件划定。</w:t>
      </w:r>
    </w:p>
    <w:p>
      <w:pPr>
        <w:pStyle w:val="63"/>
        <w:ind w:firstLine="480"/>
        <w:rPr>
          <w:color w:val="auto"/>
        </w:rPr>
      </w:pPr>
      <w:r>
        <w:rPr>
          <w:color w:val="auto"/>
        </w:rPr>
        <w:t>（2）根据HJ/T338-2007《饮用水水源保护区划分技术规范》，孔隙水潜水型大型水源地保护区的划分方法为：</w:t>
      </w:r>
    </w:p>
    <w:p>
      <w:pPr>
        <w:pStyle w:val="63"/>
        <w:ind w:firstLine="480"/>
        <w:rPr>
          <w:color w:val="auto"/>
        </w:rPr>
      </w:pPr>
      <w:r>
        <w:rPr>
          <w:color w:val="auto"/>
        </w:rPr>
        <w:t>一级保护区：以地下水取水井为中心，溶质质点迁移100天的距离为半径所圈定的范围作为水源地一级保护区范围。</w:t>
      </w:r>
    </w:p>
    <w:p>
      <w:pPr>
        <w:pStyle w:val="63"/>
        <w:ind w:firstLine="480"/>
        <w:rPr>
          <w:color w:val="auto"/>
        </w:rPr>
      </w:pPr>
      <w:r>
        <w:rPr>
          <w:color w:val="auto"/>
        </w:rPr>
        <w:t>二级保护区：一级保护区以外，溶质质点迁移1000天的距离为半径所圈定的范围为二级保护区。</w:t>
      </w:r>
    </w:p>
    <w:p>
      <w:pPr>
        <w:pStyle w:val="63"/>
        <w:ind w:firstLine="480"/>
        <w:rPr>
          <w:color w:val="auto"/>
        </w:rPr>
      </w:pPr>
      <w:r>
        <w:rPr>
          <w:color w:val="auto"/>
        </w:rPr>
        <w:t>准保护区：必要时将水源地不急区划分为准保护区。</w:t>
      </w:r>
    </w:p>
    <w:p>
      <w:pPr>
        <w:pStyle w:val="63"/>
        <w:ind w:firstLine="480"/>
        <w:rPr>
          <w:color w:val="auto"/>
        </w:rPr>
      </w:pPr>
      <w:r>
        <w:rPr>
          <w:color w:val="auto"/>
        </w:rPr>
        <w:t>孔隙水承压水型大型水源地保护区的划分方法为：</w:t>
      </w:r>
    </w:p>
    <w:p>
      <w:pPr>
        <w:pStyle w:val="63"/>
        <w:ind w:firstLine="480"/>
        <w:rPr>
          <w:color w:val="auto"/>
        </w:rPr>
      </w:pPr>
      <w:r>
        <w:rPr>
          <w:color w:val="auto"/>
        </w:rPr>
        <w:t>一级保护区：划定上部潜水的一级保护区作为承压水型水源地的一级保护区。</w:t>
      </w:r>
    </w:p>
    <w:p>
      <w:pPr>
        <w:pStyle w:val="63"/>
        <w:ind w:firstLine="480"/>
        <w:rPr>
          <w:color w:val="auto"/>
        </w:rPr>
      </w:pPr>
      <w:r>
        <w:rPr>
          <w:color w:val="auto"/>
        </w:rPr>
        <w:t>二级保护区：不设二级保护区。</w:t>
      </w:r>
    </w:p>
    <w:p>
      <w:pPr>
        <w:pStyle w:val="63"/>
        <w:ind w:firstLine="480"/>
        <w:rPr>
          <w:rFonts w:ascii="宋体" w:hAnsi="宋体"/>
          <w:color w:val="auto"/>
        </w:rPr>
      </w:pPr>
      <w:r>
        <w:rPr>
          <w:color w:val="auto"/>
        </w:rPr>
        <w:t>准保护区：必要时将水源补给区划为准保护区。</w:t>
      </w:r>
    </w:p>
    <w:p>
      <w:pPr>
        <w:pStyle w:val="63"/>
        <w:ind w:firstLine="480"/>
        <w:rPr>
          <w:color w:val="auto"/>
        </w:rPr>
      </w:pPr>
      <w:r>
        <w:rPr>
          <w:color w:val="auto"/>
        </w:rPr>
        <w:t>（3）根据环办[2012]50号《集中式饮用水水源环境保护指南（试行）》，若取水井位于河漫滩或受潮汐影响，一级保护区应划分地表水域范围，地表水域范围应按照河流型饮用水水源一级保护区划分，一级保护区范围为地下水与地表水一级保护区范围的叠加。二级保护区应包括陆域和水域两部分，陆域范围确定方法与孔隙水（浅层非傍河型）水源相同，地表水域范围可按地下水流向选取井群上游1000m、下游100m 内的河流长度，河流宽度需考虑下游改道因素，应为河流大宽度。准保护区应包括陆域和水域两部分，陆域范围根据地下水的补给范围和径流区范围确定，地表水域范围应参考河流型准保护区划分要求确定。</w:t>
      </w:r>
    </w:p>
    <w:p>
      <w:pPr>
        <w:pStyle w:val="63"/>
        <w:ind w:firstLine="480"/>
        <w:rPr>
          <w:color w:val="auto"/>
        </w:rPr>
      </w:pPr>
      <w:r>
        <w:rPr>
          <w:rFonts w:hint="eastAsia"/>
          <w:color w:val="auto"/>
        </w:rPr>
        <w:t>（二）设置水源保护区标志</w:t>
      </w:r>
    </w:p>
    <w:p>
      <w:pPr>
        <w:pStyle w:val="63"/>
        <w:ind w:firstLine="480"/>
        <w:rPr>
          <w:color w:val="auto"/>
        </w:rPr>
      </w:pPr>
      <w:r>
        <w:rPr>
          <w:rFonts w:hint="eastAsia"/>
          <w:color w:val="auto"/>
        </w:rPr>
        <w:t>按照《水污染防治法》要求，饮用水水源保护区的划定，由有关市、县人民政府提出划定方案及相关图件，逐级按程序报省（区、市）人民政府批准。批准后地方各级人民政府应当在饮用水水源保护区的边界设立明确的地理界标和明显的警示标志。</w:t>
      </w:r>
    </w:p>
    <w:p>
      <w:pPr>
        <w:pStyle w:val="63"/>
        <w:ind w:firstLine="480"/>
        <w:rPr>
          <w:color w:val="auto"/>
        </w:rPr>
      </w:pPr>
      <w:r>
        <w:rPr>
          <w:rFonts w:hint="eastAsia" w:ascii="宋体"/>
          <w:color w:val="auto"/>
        </w:rPr>
        <w:t>（三）</w:t>
      </w:r>
      <w:r>
        <w:rPr>
          <w:rFonts w:hint="eastAsia"/>
          <w:color w:val="auto"/>
        </w:rPr>
        <w:t>环境管理要求</w:t>
      </w:r>
    </w:p>
    <w:p>
      <w:pPr>
        <w:pStyle w:val="63"/>
        <w:ind w:firstLine="480"/>
        <w:rPr>
          <w:color w:val="auto"/>
        </w:rPr>
      </w:pPr>
      <w:r>
        <w:rPr>
          <w:color w:val="auto"/>
        </w:rPr>
        <w:t>根据《陕西省城市饮用水水源保护区环境保护条例》，饮用水地下水水源保护区内，禁止下列活动：</w:t>
      </w:r>
    </w:p>
    <w:p>
      <w:pPr>
        <w:pStyle w:val="63"/>
        <w:ind w:firstLine="480"/>
        <w:rPr>
          <w:color w:val="auto"/>
        </w:rPr>
      </w:pPr>
      <w:r>
        <w:rPr>
          <w:color w:val="auto"/>
        </w:rPr>
        <w:t>（1）利用渗坑、渗井、裂隙、溶洞等排放污水和其他废弃物；</w:t>
      </w:r>
    </w:p>
    <w:p>
      <w:pPr>
        <w:pStyle w:val="63"/>
        <w:ind w:firstLine="480"/>
        <w:rPr>
          <w:color w:val="auto"/>
        </w:rPr>
      </w:pPr>
      <w:r>
        <w:rPr>
          <w:color w:val="auto"/>
        </w:rPr>
        <w:t>（2）利用储水层孔隙、裂隙、溶洞和废弃矿坑储存油类、放射性物质、有毒有害化学物品；</w:t>
      </w:r>
    </w:p>
    <w:p>
      <w:pPr>
        <w:pStyle w:val="63"/>
        <w:ind w:firstLine="480"/>
        <w:rPr>
          <w:color w:val="auto"/>
        </w:rPr>
      </w:pPr>
      <w:r>
        <w:rPr>
          <w:color w:val="auto"/>
        </w:rPr>
        <w:t>（3）设置垃圾、粪便和易溶、有害废弃物的集中堆放场、转运站；</w:t>
      </w:r>
    </w:p>
    <w:p>
      <w:pPr>
        <w:pStyle w:val="63"/>
        <w:ind w:firstLine="480"/>
        <w:rPr>
          <w:color w:val="auto"/>
        </w:rPr>
      </w:pPr>
      <w:r>
        <w:rPr>
          <w:color w:val="auto"/>
        </w:rPr>
        <w:t>（4）使用不符合国家《农田灌溉水质标准》的污水灌溉农田。</w:t>
      </w:r>
    </w:p>
    <w:p>
      <w:pPr>
        <w:pStyle w:val="63"/>
        <w:ind w:firstLine="480"/>
        <w:rPr>
          <w:color w:val="auto"/>
        </w:rPr>
      </w:pPr>
      <w:r>
        <w:rPr>
          <w:color w:val="auto"/>
        </w:rPr>
        <w:t>地质钻探过程中，必须采取防护措施，分层止水、封隔，防止污染地下水水源。</w:t>
      </w:r>
    </w:p>
    <w:p>
      <w:pPr>
        <w:pStyle w:val="63"/>
        <w:ind w:firstLine="480"/>
        <w:rPr>
          <w:color w:val="auto"/>
        </w:rPr>
      </w:pPr>
      <w:r>
        <w:rPr>
          <w:color w:val="auto"/>
        </w:rPr>
        <w:t>饮用水地下水水源一级保护区内，还禁止下列活动：</w:t>
      </w:r>
    </w:p>
    <w:p>
      <w:pPr>
        <w:pStyle w:val="63"/>
        <w:ind w:firstLine="480"/>
        <w:rPr>
          <w:color w:val="auto"/>
        </w:rPr>
      </w:pPr>
      <w:r>
        <w:rPr>
          <w:color w:val="auto"/>
        </w:rPr>
        <w:t>（1）建设与供水设施和保护水源无关的项目；</w:t>
      </w:r>
    </w:p>
    <w:p>
      <w:pPr>
        <w:pStyle w:val="63"/>
        <w:ind w:firstLine="480"/>
        <w:rPr>
          <w:color w:val="auto"/>
        </w:rPr>
      </w:pPr>
      <w:r>
        <w:rPr>
          <w:color w:val="auto"/>
        </w:rPr>
        <w:t>饮用水地下水水源二级保护区内，还禁止下列活动：</w:t>
      </w:r>
    </w:p>
    <w:p>
      <w:pPr>
        <w:pStyle w:val="63"/>
        <w:ind w:firstLine="480"/>
        <w:rPr>
          <w:color w:val="auto"/>
        </w:rPr>
      </w:pPr>
      <w:r>
        <w:rPr>
          <w:color w:val="auto"/>
        </w:rPr>
        <w:t>（1）新建化工、电镀、制革、冶炼、印染、炼油、制浆造纸项目，以及含放射性的和其他严重污染环境的建设项目；</w:t>
      </w:r>
    </w:p>
    <w:p>
      <w:pPr>
        <w:pStyle w:val="63"/>
        <w:ind w:firstLine="480"/>
        <w:rPr>
          <w:color w:val="auto"/>
        </w:rPr>
      </w:pPr>
      <w:r>
        <w:rPr>
          <w:color w:val="auto"/>
        </w:rPr>
        <w:t>（2）堆放化工原料、矿物油类及有毒有害物品；</w:t>
      </w:r>
    </w:p>
    <w:p>
      <w:pPr>
        <w:pStyle w:val="63"/>
        <w:ind w:firstLine="480"/>
        <w:rPr>
          <w:color w:val="auto"/>
        </w:rPr>
      </w:pPr>
      <w:r>
        <w:rPr>
          <w:color w:val="auto"/>
        </w:rPr>
        <w:t>（3）擅自凿井取水；</w:t>
      </w:r>
    </w:p>
    <w:p>
      <w:pPr>
        <w:pStyle w:val="63"/>
        <w:ind w:firstLine="480"/>
        <w:rPr>
          <w:color w:val="auto"/>
        </w:rPr>
      </w:pPr>
      <w:r>
        <w:rPr>
          <w:color w:val="auto"/>
        </w:rPr>
        <w:t>（4）使用剧毒、高残留农药。</w:t>
      </w:r>
    </w:p>
    <w:p>
      <w:pPr>
        <w:pStyle w:val="63"/>
        <w:ind w:firstLine="480"/>
        <w:rPr>
          <w:color w:val="auto"/>
        </w:rPr>
      </w:pPr>
      <w:r>
        <w:rPr>
          <w:color w:val="auto"/>
        </w:rPr>
        <w:t>饮用水地下水水源准保护区内，必须遵守下列规定：</w:t>
      </w:r>
    </w:p>
    <w:p>
      <w:pPr>
        <w:pStyle w:val="63"/>
        <w:ind w:firstLine="480"/>
        <w:rPr>
          <w:color w:val="auto"/>
        </w:rPr>
      </w:pPr>
      <w:r>
        <w:rPr>
          <w:color w:val="auto"/>
        </w:rPr>
        <w:t>（1）科学、合理地使用农药、化肥；</w:t>
      </w:r>
    </w:p>
    <w:p>
      <w:pPr>
        <w:pStyle w:val="63"/>
        <w:ind w:firstLine="480"/>
        <w:rPr>
          <w:color w:val="auto"/>
        </w:rPr>
      </w:pPr>
      <w:r>
        <w:rPr>
          <w:color w:val="auto"/>
        </w:rPr>
        <w:t>（2）人工回灌补给地下水的，水质应当符合国家规定的标准。</w:t>
      </w:r>
    </w:p>
    <w:p>
      <w:pPr>
        <w:pStyle w:val="63"/>
        <w:ind w:firstLine="480"/>
        <w:rPr>
          <w:color w:val="auto"/>
        </w:rPr>
      </w:pPr>
      <w:r>
        <w:rPr>
          <w:color w:val="auto"/>
        </w:rPr>
        <w:t>此外，水源保护区内还应落实《集中式饮用水水源地环境保护规范化建设技术要求（征求意见稿）》：</w:t>
      </w:r>
    </w:p>
    <w:p>
      <w:pPr>
        <w:pStyle w:val="63"/>
        <w:ind w:firstLine="480"/>
        <w:rPr>
          <w:color w:val="auto"/>
        </w:rPr>
      </w:pPr>
      <w:r>
        <w:rPr>
          <w:color w:val="auto"/>
        </w:rPr>
        <w:t>一级保护区内无与供水和保护水源无关的建设项目或其他设施；无排污口，无网箱养殖。</w:t>
      </w:r>
    </w:p>
    <w:p>
      <w:pPr>
        <w:pStyle w:val="63"/>
        <w:ind w:firstLine="480"/>
        <w:rPr>
          <w:color w:val="auto"/>
        </w:rPr>
      </w:pPr>
      <w:r>
        <w:rPr>
          <w:color w:val="auto"/>
        </w:rPr>
        <w:t>二级保护区工业企业全部搬迁、工业排污口全部关闭；城镇生活污水全部收集进入污水处理厂，并达标排放；城镇垃圾全面实现集中收集和无害化处置；无易溶性、有毒有害废弃物转运站、化工原料、矿物油类及有毒有害矿产品的堆放场所，城镇生活垃圾转运站做好防渗漏措施；规模化畜禽养殖场全部关闭；水域网箱养殖得到严格控制。实行科学种植，开展有机农业种植及面源污染防治；分散式畜禽养殖废物全面实现资源化利用；农村垃圾全面实现集中收集和无害化处置；人口居住较为分散的地区，农村生活污水采用因地制宜的技术和工艺处理处置；人口居住相对集中的地区，农村生活污水实行管网统一收集。建立保护区内危险化学品运输管理制度；严格实施化学品限制运载重量、运载物资种类、限定行驶线路等管理措施；利用定位设备实时监控保护区内危险化学品运输及其他穿越保护区的流动源。</w:t>
      </w:r>
    </w:p>
    <w:p>
      <w:pPr>
        <w:pStyle w:val="63"/>
        <w:ind w:firstLine="480"/>
        <w:rPr>
          <w:color w:val="auto"/>
        </w:rPr>
      </w:pPr>
      <w:r>
        <w:rPr>
          <w:color w:val="auto"/>
        </w:rPr>
        <w:t>准保护区内无易溶及有毒有害废弃物存放场（站），严格控制采矿、采砂等活动，确需建设的，取得环保部门批准并采取防渗漏等措施。无毁林开荒行为，水源涵养林建设满足GB/T26903要求。</w:t>
      </w:r>
    </w:p>
    <w:p>
      <w:pPr>
        <w:pStyle w:val="63"/>
        <w:ind w:firstLine="480"/>
        <w:rPr>
          <w:color w:val="auto"/>
        </w:rPr>
      </w:pPr>
      <w:r>
        <w:rPr>
          <w:rFonts w:hint="eastAsia"/>
          <w:color w:val="auto"/>
        </w:rPr>
        <w:t>（四）水质监测计划</w:t>
      </w:r>
    </w:p>
    <w:p>
      <w:pPr>
        <w:pStyle w:val="63"/>
        <w:ind w:firstLine="480"/>
        <w:rPr>
          <w:color w:val="auto"/>
        </w:rPr>
      </w:pPr>
      <w:r>
        <w:rPr>
          <w:color w:val="auto"/>
        </w:rPr>
        <w:t>在水源井上下游设置监测井，以水质监测为主，同时对水量、水位变化进行观测，应设立观测点，全监测每季进行一次，常规监测每月自监一次，遇突发污染、暴雨洪水等特殊情况时，可适当增加监测项目和监测次数。监测数据进入自动控制系数，监测设施应与工程建设同步进行，工程运行后，就应进行监测，必须保证用户使用安全卫生水。</w:t>
      </w:r>
    </w:p>
    <w:p>
      <w:pPr>
        <w:pStyle w:val="63"/>
        <w:ind w:firstLine="480"/>
        <w:rPr>
          <w:color w:val="auto"/>
        </w:rPr>
      </w:pPr>
      <w:r>
        <w:rPr>
          <w:color w:val="auto"/>
        </w:rPr>
        <w:t>监测时应注意泾河的地表水侧向补给的影响。</w:t>
      </w:r>
    </w:p>
    <w:p>
      <w:pPr>
        <w:pStyle w:val="61"/>
        <w:rPr>
          <w:color w:val="auto"/>
        </w:rPr>
      </w:pPr>
      <w:bookmarkStart w:id="95" w:name="_Toc436902180"/>
      <w:r>
        <w:rPr>
          <w:rFonts w:hint="eastAsia"/>
          <w:color w:val="auto"/>
        </w:rPr>
        <w:t>7.9.地下水保护措施</w:t>
      </w:r>
      <w:bookmarkEnd w:id="95"/>
    </w:p>
    <w:p>
      <w:pPr>
        <w:pStyle w:val="62"/>
        <w:rPr>
          <w:color w:val="auto"/>
          <w:lang w:val="zh-CN"/>
        </w:rPr>
      </w:pPr>
      <w:r>
        <w:rPr>
          <w:rFonts w:hint="eastAsia"/>
          <w:color w:val="auto"/>
          <w:lang w:val="zh-CN"/>
        </w:rPr>
        <w:t>7.9.1地下水质保护措施</w:t>
      </w:r>
    </w:p>
    <w:p>
      <w:pPr>
        <w:pStyle w:val="63"/>
        <w:ind w:firstLine="480"/>
        <w:rPr>
          <w:color w:val="auto"/>
        </w:rPr>
      </w:pPr>
      <w:r>
        <w:rPr>
          <w:rFonts w:hint="eastAsia"/>
          <w:color w:val="auto"/>
        </w:rPr>
        <w:t>开采</w:t>
      </w:r>
      <w:r>
        <w:rPr>
          <w:color w:val="auto"/>
        </w:rPr>
        <w:t>区内主要</w:t>
      </w:r>
      <w:r>
        <w:rPr>
          <w:rFonts w:hint="eastAsia"/>
          <w:color w:val="auto"/>
        </w:rPr>
        <w:t>开采</w:t>
      </w:r>
      <w:r>
        <w:rPr>
          <w:color w:val="auto"/>
        </w:rPr>
        <w:t>对象</w:t>
      </w:r>
      <w:r>
        <w:rPr>
          <w:rFonts w:hint="eastAsia"/>
          <w:color w:val="auto"/>
        </w:rPr>
        <w:t>为</w:t>
      </w:r>
      <w:r>
        <w:rPr>
          <w:color w:val="auto"/>
        </w:rPr>
        <w:t>浅层承压含水层，属于第四系松散岩类孔隙承压水，含水层为中更新统冲积、冲湖积粉土、含砾中细砂层组成，与弱透水的粉质粘土层呈互层状，累计厚度20－30m，地下水赋存条件较好，水量较丰富，可作为稳定水源地，为保护区内地下水水质不受污染，建议采用以下几条水质保护措施：</w:t>
      </w:r>
    </w:p>
    <w:p>
      <w:pPr>
        <w:pStyle w:val="63"/>
        <w:ind w:firstLine="480"/>
        <w:rPr>
          <w:color w:val="auto"/>
        </w:rPr>
      </w:pPr>
      <w:r>
        <w:rPr>
          <w:rFonts w:hint="eastAsia"/>
          <w:color w:val="auto"/>
        </w:rPr>
        <w:t>⑴</w:t>
      </w:r>
      <w:r>
        <w:rPr>
          <w:color w:val="auto"/>
        </w:rPr>
        <w:t>贯彻新《水法》、《水污染防治法》、《环境保护法》等水资源保护法律法规，明确依法治水、科学保护水资源的职责和义务，加强对水资源的科学管理和法制管理，树立</w:t>
      </w:r>
      <w:r>
        <w:rPr>
          <w:rFonts w:hint="eastAsia"/>
          <w:color w:val="auto"/>
        </w:rPr>
        <w:t>“</w:t>
      </w:r>
      <w:r>
        <w:rPr>
          <w:color w:val="auto"/>
        </w:rPr>
        <w:t>保护水资源，人人有责</w:t>
      </w:r>
      <w:r>
        <w:rPr>
          <w:rFonts w:hint="eastAsia"/>
          <w:color w:val="auto"/>
        </w:rPr>
        <w:t>”</w:t>
      </w:r>
      <w:r>
        <w:rPr>
          <w:color w:val="auto"/>
        </w:rPr>
        <w:t>的思想观念；</w:t>
      </w:r>
    </w:p>
    <w:p>
      <w:pPr>
        <w:pStyle w:val="63"/>
        <w:ind w:firstLine="480"/>
        <w:rPr>
          <w:color w:val="auto"/>
        </w:rPr>
      </w:pPr>
      <w:r>
        <w:rPr>
          <w:rFonts w:hint="eastAsia"/>
          <w:color w:val="auto"/>
        </w:rPr>
        <w:t>⑵</w:t>
      </w:r>
      <w:r>
        <w:rPr>
          <w:color w:val="auto"/>
        </w:rPr>
        <w:t>一、二级保护区要预防农业活动对地下水的污染，严禁该处的畜牧放养。定期进行地面污染源调查，防止工矿业废渣、废水、污水的漏失及排放对地下水的污染。</w:t>
      </w:r>
    </w:p>
    <w:p>
      <w:pPr>
        <w:pStyle w:val="63"/>
        <w:ind w:firstLine="480"/>
        <w:rPr>
          <w:color w:val="auto"/>
        </w:rPr>
      </w:pPr>
      <w:r>
        <w:rPr>
          <w:rFonts w:hint="eastAsia"/>
          <w:color w:val="auto"/>
        </w:rPr>
        <w:t>⑶</w:t>
      </w:r>
      <w:r>
        <w:rPr>
          <w:color w:val="auto"/>
        </w:rPr>
        <w:t>严禁新建污水达不到零排放的工业、企业项目。</w:t>
      </w:r>
    </w:p>
    <w:p>
      <w:pPr>
        <w:pStyle w:val="63"/>
        <w:ind w:firstLine="480"/>
        <w:rPr>
          <w:color w:val="auto"/>
        </w:rPr>
      </w:pPr>
      <w:r>
        <w:rPr>
          <w:rFonts w:hint="eastAsia"/>
          <w:color w:val="auto"/>
        </w:rPr>
        <w:t>⑷</w:t>
      </w:r>
      <w:r>
        <w:rPr>
          <w:color w:val="auto"/>
        </w:rPr>
        <w:t>对生活垃圾及时转运或处理，对生活污水可进行集中处理后做为生态用水。</w:t>
      </w:r>
    </w:p>
    <w:p>
      <w:pPr>
        <w:pStyle w:val="63"/>
        <w:ind w:firstLine="480"/>
        <w:rPr>
          <w:color w:val="auto"/>
        </w:rPr>
      </w:pPr>
      <w:r>
        <w:rPr>
          <w:rFonts w:hint="eastAsia"/>
          <w:color w:val="auto"/>
        </w:rPr>
        <w:t>⑸</w:t>
      </w:r>
      <w:r>
        <w:rPr>
          <w:color w:val="auto"/>
        </w:rPr>
        <w:t>建立健全统一的水资源管理和水质监测机构，制定水源地卫生保护措施和制度，进行水质动态监测，预防地下水补给源的污染。</w:t>
      </w:r>
    </w:p>
    <w:p>
      <w:pPr>
        <w:pStyle w:val="63"/>
        <w:ind w:firstLine="480"/>
        <w:rPr>
          <w:color w:val="auto"/>
        </w:rPr>
      </w:pPr>
      <w:r>
        <w:rPr>
          <w:rFonts w:hint="eastAsia"/>
          <w:color w:val="auto"/>
        </w:rPr>
        <w:t>⑹</w:t>
      </w:r>
      <w:r>
        <w:rPr>
          <w:color w:val="auto"/>
        </w:rPr>
        <w:t>树立以预防为主的指导思想，制定地下水污染防治规划，有计划、有步骤、有目标的落实。</w:t>
      </w:r>
    </w:p>
    <w:p>
      <w:pPr>
        <w:pStyle w:val="62"/>
        <w:rPr>
          <w:color w:val="auto"/>
          <w:lang w:val="zh-CN"/>
        </w:rPr>
      </w:pPr>
      <w:bookmarkStart w:id="96" w:name="_Toc401599027"/>
      <w:bookmarkStart w:id="97" w:name="_Toc401644027"/>
      <w:r>
        <w:rPr>
          <w:rFonts w:hint="eastAsia"/>
          <w:color w:val="auto"/>
          <w:lang w:val="zh-CN"/>
        </w:rPr>
        <w:t>7.9.2</w:t>
      </w:r>
      <w:r>
        <w:rPr>
          <w:color w:val="auto"/>
          <w:lang w:val="zh-CN"/>
        </w:rPr>
        <w:t>地下水水量保护措施</w:t>
      </w:r>
      <w:bookmarkEnd w:id="96"/>
      <w:bookmarkEnd w:id="97"/>
    </w:p>
    <w:p>
      <w:pPr>
        <w:pStyle w:val="63"/>
        <w:ind w:firstLine="480"/>
        <w:rPr>
          <w:color w:val="auto"/>
        </w:rPr>
      </w:pPr>
      <w:r>
        <w:rPr>
          <w:rFonts w:hint="eastAsia"/>
          <w:color w:val="auto"/>
        </w:rPr>
        <w:t>⑴</w:t>
      </w:r>
      <w:r>
        <w:rPr>
          <w:color w:val="auto"/>
        </w:rPr>
        <w:t>对管井开采井要统一规划、合理布局、科学开采，注意井间距、单井开采量等，避免不合理的开采造成取水效率低、引起环境地质问题等不良后果。</w:t>
      </w:r>
    </w:p>
    <w:p>
      <w:pPr>
        <w:pStyle w:val="63"/>
        <w:ind w:firstLine="480"/>
        <w:rPr>
          <w:color w:val="auto"/>
        </w:rPr>
      </w:pPr>
      <w:r>
        <w:rPr>
          <w:rFonts w:hint="eastAsia"/>
          <w:color w:val="auto"/>
        </w:rPr>
        <w:t>⑵</w:t>
      </w:r>
      <w:r>
        <w:rPr>
          <w:color w:val="auto"/>
        </w:rPr>
        <w:t>由于</w:t>
      </w:r>
      <w:r>
        <w:rPr>
          <w:rFonts w:hint="eastAsia"/>
          <w:color w:val="auto"/>
        </w:rPr>
        <w:t>开采</w:t>
      </w:r>
      <w:r>
        <w:rPr>
          <w:color w:val="auto"/>
        </w:rPr>
        <w:t>区内水文地质条件较为复杂，取水工程施工难度较大，技术要求高，所以在取水工程选址、施工前有必要开展施工勘察，为供水工程设计，施工提供资料依据。</w:t>
      </w:r>
    </w:p>
    <w:p>
      <w:pPr>
        <w:pStyle w:val="63"/>
        <w:ind w:firstLine="480"/>
        <w:rPr>
          <w:color w:val="auto"/>
        </w:rPr>
        <w:sectPr>
          <w:pgSz w:w="11906" w:h="16838"/>
          <w:pgMar w:top="1440" w:right="1440" w:bottom="1440" w:left="1440" w:header="851" w:footer="992" w:gutter="0"/>
          <w:cols w:space="720" w:num="1"/>
          <w:titlePg/>
          <w:docGrid w:type="linesAndChars" w:linePitch="312" w:charSpace="0"/>
        </w:sectPr>
      </w:pPr>
      <w:r>
        <w:rPr>
          <w:rFonts w:hint="eastAsia"/>
          <w:color w:val="auto"/>
        </w:rPr>
        <w:t>⑶</w:t>
      </w:r>
      <w:r>
        <w:rPr>
          <w:color w:val="auto"/>
        </w:rPr>
        <w:t>建立健全地下水、地表水动态监测网，进行水情预测、预报。</w:t>
      </w:r>
    </w:p>
    <w:p>
      <w:pPr>
        <w:pStyle w:val="60"/>
        <w:spacing w:before="156" w:after="156"/>
      </w:pPr>
      <w:bookmarkStart w:id="98" w:name="_Toc436902181"/>
      <w:r>
        <w:rPr>
          <w:rFonts w:hint="eastAsia"/>
        </w:rPr>
        <w:t>8 环境风险评价</w:t>
      </w:r>
      <w:bookmarkEnd w:id="98"/>
    </w:p>
    <w:p>
      <w:pPr>
        <w:pStyle w:val="63"/>
        <w:ind w:firstLine="480"/>
        <w:rPr>
          <w:color w:val="auto"/>
        </w:rPr>
      </w:pPr>
      <w:r>
        <w:rPr>
          <w:rFonts w:hint="eastAsia"/>
          <w:color w:val="auto"/>
        </w:rPr>
        <w:t>环境风险评价是对建设项目建设和运行期间发生的可预测性突发性事件或事故（一般不包括人为破坏和自然灾害）引起的有毒有害、易燃易爆等物质泄漏，或突发事件产生的新的有毒有害物质，所造成的对人身安全与环境的影响和损害，进行评估，提出防范、应急与减缓措施。以使建设项目事故率、事故损失和事故造成的环境影响达到可接受水平。</w:t>
      </w:r>
    </w:p>
    <w:p>
      <w:pPr>
        <w:pStyle w:val="61"/>
        <w:rPr>
          <w:i/>
          <w:color w:val="auto"/>
        </w:rPr>
      </w:pPr>
      <w:bookmarkStart w:id="99" w:name="_Toc436902182"/>
      <w:r>
        <w:rPr>
          <w:rFonts w:hint="eastAsia"/>
          <w:color w:val="auto"/>
        </w:rPr>
        <w:t>8.1评价等级及评价范围</w:t>
      </w:r>
      <w:bookmarkEnd w:id="99"/>
    </w:p>
    <w:p>
      <w:pPr>
        <w:pStyle w:val="62"/>
        <w:rPr>
          <w:color w:val="auto"/>
        </w:rPr>
      </w:pPr>
      <w:r>
        <w:rPr>
          <w:rFonts w:hint="eastAsia"/>
          <w:color w:val="auto"/>
        </w:rPr>
        <w:t>8.1.1评价等级</w:t>
      </w:r>
    </w:p>
    <w:p>
      <w:pPr>
        <w:pStyle w:val="63"/>
        <w:ind w:firstLine="480"/>
        <w:rPr>
          <w:color w:val="auto"/>
        </w:rPr>
      </w:pPr>
      <w:r>
        <w:rPr>
          <w:color w:val="auto"/>
        </w:rPr>
        <w:t>根据《危险化学品重大危险源辨识》（GB 18218-2009），本项目涉及的主要危险</w:t>
      </w:r>
      <w:r>
        <w:rPr>
          <w:rFonts w:hint="eastAsia"/>
          <w:color w:val="auto"/>
        </w:rPr>
        <w:t>化学品和重大危险源判定见表8.1-1。</w:t>
      </w:r>
    </w:p>
    <w:p>
      <w:pPr>
        <w:pStyle w:val="63"/>
        <w:ind w:firstLine="0" w:firstLineChars="0"/>
        <w:jc w:val="center"/>
        <w:rPr>
          <w:rFonts w:cs="Times New Roman"/>
          <w:b/>
          <w:color w:val="auto"/>
          <w:sz w:val="21"/>
          <w:szCs w:val="21"/>
        </w:rPr>
      </w:pPr>
      <w:r>
        <w:rPr>
          <w:rFonts w:cs="Times New Roman"/>
          <w:b/>
          <w:color w:val="auto"/>
          <w:sz w:val="21"/>
          <w:szCs w:val="21"/>
        </w:rPr>
        <w:t>表</w:t>
      </w:r>
      <w:r>
        <w:rPr>
          <w:rFonts w:hint="eastAsia" w:cs="Times New Roman"/>
          <w:b/>
          <w:color w:val="auto"/>
          <w:sz w:val="21"/>
          <w:szCs w:val="21"/>
        </w:rPr>
        <w:t>8</w:t>
      </w:r>
      <w:r>
        <w:rPr>
          <w:rFonts w:cs="Times New Roman"/>
          <w:b/>
          <w:color w:val="auto"/>
          <w:sz w:val="21"/>
          <w:szCs w:val="21"/>
        </w:rPr>
        <w:t>.1-1    本项目涉及主要危险化学品</w:t>
      </w:r>
    </w:p>
    <w:tbl>
      <w:tblPr>
        <w:tblStyle w:val="24"/>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1194"/>
        <w:gridCol w:w="1076"/>
        <w:gridCol w:w="1076"/>
        <w:gridCol w:w="1076"/>
        <w:gridCol w:w="1229"/>
        <w:gridCol w:w="359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646" w:type="pct"/>
          </w:tcPr>
          <w:p>
            <w:pPr>
              <w:pStyle w:val="63"/>
              <w:spacing w:line="276" w:lineRule="auto"/>
              <w:ind w:firstLine="0" w:firstLineChars="0"/>
              <w:jc w:val="center"/>
              <w:rPr>
                <w:rFonts w:cs="Times New Roman"/>
                <w:color w:val="auto"/>
                <w:sz w:val="21"/>
                <w:szCs w:val="21"/>
              </w:rPr>
            </w:pPr>
            <w:r>
              <w:rPr>
                <w:rFonts w:cs="Times New Roman"/>
                <w:color w:val="auto"/>
                <w:sz w:val="21"/>
                <w:szCs w:val="21"/>
              </w:rPr>
              <w:t>危险化学品</w:t>
            </w:r>
          </w:p>
        </w:tc>
        <w:tc>
          <w:tcPr>
            <w:tcW w:w="582" w:type="pct"/>
          </w:tcPr>
          <w:p>
            <w:pPr>
              <w:pStyle w:val="63"/>
              <w:spacing w:line="276" w:lineRule="auto"/>
              <w:ind w:firstLine="0" w:firstLineChars="0"/>
              <w:rPr>
                <w:rFonts w:cs="Times New Roman"/>
                <w:color w:val="auto"/>
                <w:sz w:val="21"/>
                <w:szCs w:val="21"/>
              </w:rPr>
            </w:pPr>
            <w:r>
              <w:rPr>
                <w:rFonts w:cs="Times New Roman"/>
                <w:color w:val="auto"/>
                <w:sz w:val="21"/>
                <w:szCs w:val="21"/>
              </w:rPr>
              <w:t>临界量</w:t>
            </w:r>
          </w:p>
          <w:p>
            <w:pPr>
              <w:pStyle w:val="63"/>
              <w:spacing w:line="276" w:lineRule="auto"/>
              <w:ind w:firstLine="420"/>
              <w:rPr>
                <w:rFonts w:cs="Times New Roman"/>
                <w:color w:val="auto"/>
                <w:sz w:val="21"/>
                <w:szCs w:val="21"/>
              </w:rPr>
            </w:pPr>
            <w:r>
              <w:rPr>
                <w:rFonts w:cs="Times New Roman"/>
                <w:color w:val="auto"/>
                <w:sz w:val="21"/>
                <w:szCs w:val="21"/>
              </w:rPr>
              <w:t>t</w:t>
            </w:r>
          </w:p>
        </w:tc>
        <w:tc>
          <w:tcPr>
            <w:tcW w:w="582" w:type="pct"/>
          </w:tcPr>
          <w:p>
            <w:pPr>
              <w:pStyle w:val="63"/>
              <w:spacing w:line="276" w:lineRule="auto"/>
              <w:ind w:firstLine="0" w:firstLineChars="0"/>
              <w:rPr>
                <w:rFonts w:cs="Times New Roman"/>
                <w:color w:val="auto"/>
                <w:sz w:val="21"/>
                <w:szCs w:val="21"/>
              </w:rPr>
            </w:pPr>
            <w:r>
              <w:rPr>
                <w:rFonts w:cs="Times New Roman"/>
                <w:color w:val="auto"/>
                <w:sz w:val="21"/>
                <w:szCs w:val="21"/>
              </w:rPr>
              <w:t>存在量</w:t>
            </w:r>
          </w:p>
          <w:p>
            <w:pPr>
              <w:pStyle w:val="63"/>
              <w:spacing w:line="276" w:lineRule="auto"/>
              <w:ind w:firstLine="420"/>
              <w:rPr>
                <w:rFonts w:cs="Times New Roman"/>
                <w:color w:val="auto"/>
                <w:sz w:val="21"/>
                <w:szCs w:val="21"/>
              </w:rPr>
            </w:pPr>
            <w:r>
              <w:rPr>
                <w:rFonts w:cs="Times New Roman"/>
                <w:color w:val="auto"/>
                <w:sz w:val="21"/>
                <w:szCs w:val="21"/>
              </w:rPr>
              <w:t>t</w:t>
            </w:r>
          </w:p>
        </w:tc>
        <w:tc>
          <w:tcPr>
            <w:tcW w:w="582" w:type="pct"/>
          </w:tcPr>
          <w:p>
            <w:pPr>
              <w:pStyle w:val="63"/>
              <w:spacing w:line="276" w:lineRule="auto"/>
              <w:ind w:firstLine="0" w:firstLineChars="0"/>
              <w:jc w:val="center"/>
              <w:rPr>
                <w:rFonts w:cs="Times New Roman"/>
                <w:color w:val="auto"/>
                <w:sz w:val="21"/>
                <w:szCs w:val="21"/>
              </w:rPr>
            </w:pPr>
            <w:r>
              <w:rPr>
                <w:rFonts w:cs="Times New Roman"/>
                <w:color w:val="auto"/>
                <w:sz w:val="21"/>
                <w:szCs w:val="21"/>
              </w:rPr>
              <w:t>qn/ Qn/</w:t>
            </w:r>
          </w:p>
        </w:tc>
        <w:tc>
          <w:tcPr>
            <w:tcW w:w="665" w:type="pct"/>
          </w:tcPr>
          <w:p>
            <w:pPr>
              <w:pStyle w:val="63"/>
              <w:spacing w:line="276" w:lineRule="auto"/>
              <w:ind w:firstLine="0" w:firstLineChars="0"/>
              <w:jc w:val="center"/>
              <w:rPr>
                <w:rFonts w:cs="Times New Roman"/>
                <w:color w:val="auto"/>
                <w:sz w:val="21"/>
                <w:szCs w:val="21"/>
              </w:rPr>
            </w:pPr>
            <w:r>
              <w:rPr>
                <w:rFonts w:cs="Times New Roman"/>
                <w:color w:val="auto"/>
                <w:sz w:val="21"/>
                <w:szCs w:val="21"/>
              </w:rPr>
              <w:t>重大危险源判定</w:t>
            </w:r>
          </w:p>
        </w:tc>
        <w:tc>
          <w:tcPr>
            <w:tcW w:w="1943" w:type="pct"/>
          </w:tcPr>
          <w:p>
            <w:pPr>
              <w:pStyle w:val="63"/>
              <w:spacing w:line="276" w:lineRule="auto"/>
              <w:ind w:firstLine="420"/>
              <w:jc w:val="center"/>
              <w:rPr>
                <w:rFonts w:cs="Times New Roman"/>
                <w:color w:val="auto"/>
                <w:sz w:val="21"/>
                <w:szCs w:val="21"/>
              </w:rPr>
            </w:pPr>
            <w:r>
              <w:rPr>
                <w:rFonts w:cs="Times New Roman"/>
                <w:color w:val="auto"/>
                <w:sz w:val="21"/>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646" w:type="pct"/>
          </w:tcPr>
          <w:p>
            <w:pPr>
              <w:pStyle w:val="63"/>
              <w:spacing w:line="276" w:lineRule="auto"/>
              <w:ind w:firstLine="0" w:firstLineChars="0"/>
              <w:jc w:val="center"/>
              <w:rPr>
                <w:rFonts w:cs="Times New Roman"/>
                <w:color w:val="auto"/>
                <w:sz w:val="21"/>
                <w:szCs w:val="21"/>
              </w:rPr>
            </w:pPr>
            <w:r>
              <w:rPr>
                <w:rFonts w:cs="Times New Roman"/>
                <w:color w:val="auto"/>
                <w:sz w:val="21"/>
                <w:szCs w:val="21"/>
              </w:rPr>
              <w:t>氯气</w:t>
            </w:r>
          </w:p>
        </w:tc>
        <w:tc>
          <w:tcPr>
            <w:tcW w:w="582" w:type="pct"/>
          </w:tcPr>
          <w:p>
            <w:pPr>
              <w:pStyle w:val="63"/>
              <w:spacing w:line="276" w:lineRule="auto"/>
              <w:ind w:firstLine="0" w:firstLineChars="0"/>
              <w:jc w:val="center"/>
              <w:rPr>
                <w:rFonts w:cs="Times New Roman"/>
                <w:color w:val="auto"/>
                <w:sz w:val="21"/>
                <w:szCs w:val="21"/>
              </w:rPr>
            </w:pPr>
            <w:r>
              <w:rPr>
                <w:rFonts w:cs="Times New Roman"/>
                <w:color w:val="auto"/>
                <w:sz w:val="21"/>
                <w:szCs w:val="21"/>
              </w:rPr>
              <w:t>5</w:t>
            </w:r>
          </w:p>
        </w:tc>
        <w:tc>
          <w:tcPr>
            <w:tcW w:w="582" w:type="pct"/>
          </w:tcPr>
          <w:p>
            <w:pPr>
              <w:pStyle w:val="63"/>
              <w:spacing w:line="276" w:lineRule="auto"/>
              <w:ind w:firstLine="0" w:firstLineChars="0"/>
              <w:jc w:val="center"/>
              <w:rPr>
                <w:rFonts w:cs="Times New Roman"/>
                <w:color w:val="auto"/>
                <w:sz w:val="21"/>
                <w:szCs w:val="21"/>
              </w:rPr>
            </w:pPr>
            <w:r>
              <w:rPr>
                <w:rFonts w:hint="eastAsia" w:cs="Times New Roman"/>
                <w:color w:val="auto"/>
                <w:sz w:val="21"/>
                <w:szCs w:val="21"/>
              </w:rPr>
              <w:t>0.5</w:t>
            </w:r>
          </w:p>
        </w:tc>
        <w:tc>
          <w:tcPr>
            <w:tcW w:w="582" w:type="pct"/>
          </w:tcPr>
          <w:p>
            <w:pPr>
              <w:pStyle w:val="63"/>
              <w:spacing w:line="276" w:lineRule="auto"/>
              <w:ind w:firstLine="0" w:firstLineChars="0"/>
              <w:jc w:val="center"/>
              <w:rPr>
                <w:rFonts w:cs="Times New Roman"/>
                <w:color w:val="auto"/>
                <w:sz w:val="21"/>
                <w:szCs w:val="21"/>
              </w:rPr>
            </w:pPr>
            <w:r>
              <w:rPr>
                <w:rFonts w:hint="eastAsia" w:cs="Times New Roman"/>
                <w:color w:val="auto"/>
                <w:sz w:val="21"/>
                <w:szCs w:val="21"/>
              </w:rPr>
              <w:t>0.1</w:t>
            </w:r>
          </w:p>
        </w:tc>
        <w:tc>
          <w:tcPr>
            <w:tcW w:w="665" w:type="pct"/>
          </w:tcPr>
          <w:p>
            <w:pPr>
              <w:pStyle w:val="63"/>
              <w:spacing w:line="276" w:lineRule="auto"/>
              <w:ind w:firstLine="0" w:firstLineChars="0"/>
              <w:jc w:val="center"/>
              <w:rPr>
                <w:rFonts w:cs="Times New Roman"/>
                <w:color w:val="auto"/>
                <w:sz w:val="21"/>
                <w:szCs w:val="21"/>
              </w:rPr>
            </w:pPr>
            <w:r>
              <w:rPr>
                <w:rFonts w:cs="Times New Roman"/>
                <w:color w:val="auto"/>
                <w:sz w:val="21"/>
                <w:szCs w:val="21"/>
              </w:rPr>
              <w:t>否</w:t>
            </w:r>
          </w:p>
        </w:tc>
        <w:tc>
          <w:tcPr>
            <w:tcW w:w="1943" w:type="pct"/>
          </w:tcPr>
          <w:p>
            <w:pPr>
              <w:pStyle w:val="63"/>
              <w:spacing w:line="276" w:lineRule="auto"/>
              <w:ind w:firstLine="0" w:firstLineChars="0"/>
              <w:jc w:val="center"/>
              <w:rPr>
                <w:rFonts w:cs="Times New Roman"/>
                <w:color w:val="auto"/>
                <w:sz w:val="21"/>
                <w:szCs w:val="21"/>
              </w:rPr>
            </w:pPr>
            <w:r>
              <w:rPr>
                <w:rFonts w:cs="Times New Roman"/>
                <w:color w:val="auto"/>
                <w:sz w:val="21"/>
                <w:szCs w:val="21"/>
              </w:rPr>
              <w:t>厂区内存储</w:t>
            </w:r>
            <w:r>
              <w:rPr>
                <w:rFonts w:hint="eastAsia" w:cs="Times New Roman"/>
                <w:color w:val="auto"/>
                <w:sz w:val="21"/>
                <w:szCs w:val="21"/>
              </w:rPr>
              <w:t>1</w:t>
            </w:r>
            <w:r>
              <w:rPr>
                <w:rFonts w:cs="Times New Roman"/>
                <w:color w:val="auto"/>
                <w:sz w:val="21"/>
                <w:szCs w:val="21"/>
              </w:rPr>
              <w:t>个容量为500kg的氯瓶</w:t>
            </w:r>
          </w:p>
        </w:tc>
      </w:tr>
    </w:tbl>
    <w:p>
      <w:pPr>
        <w:pStyle w:val="63"/>
        <w:ind w:firstLine="480"/>
        <w:rPr>
          <w:color w:val="auto"/>
        </w:rPr>
      </w:pPr>
      <w:r>
        <w:rPr>
          <w:color w:val="auto"/>
        </w:rPr>
        <w:t>根据《危险化学品重大危险源辨识》（GB 18218-2009）规定，单元内存在的物质为单一品种，则按照该物质的数量即为危险物质总量，若等于或超过相应的临界量，则为重大危险源。</w:t>
      </w:r>
    </w:p>
    <w:p>
      <w:pPr>
        <w:pStyle w:val="63"/>
        <w:ind w:firstLine="480"/>
        <w:rPr>
          <w:color w:val="auto"/>
        </w:rPr>
      </w:pPr>
      <w:r>
        <w:rPr>
          <w:color w:val="auto"/>
        </w:rPr>
        <w:t>由上表可知，本项目涉及的主要危险化学品为氯气，且qn/Qn&lt;1，不构成最大危险源。因此按照《建设项目环境风险评价技术导则》（HJ/T169-2004）中所规定的判定原则，本项目环境风险评价工作等级按表</w:t>
      </w:r>
      <w:r>
        <w:rPr>
          <w:rFonts w:hint="eastAsia"/>
          <w:color w:val="auto"/>
        </w:rPr>
        <w:t>8</w:t>
      </w:r>
      <w:r>
        <w:rPr>
          <w:color w:val="auto"/>
        </w:rPr>
        <w:t>.1</w:t>
      </w:r>
      <w:r>
        <w:rPr>
          <w:rFonts w:hint="eastAsia"/>
          <w:color w:val="auto"/>
        </w:rPr>
        <w:t>-2定为二级。</w:t>
      </w:r>
    </w:p>
    <w:p>
      <w:pPr>
        <w:pStyle w:val="65"/>
      </w:pPr>
      <w:r>
        <w:t>表8.1-2    环境风险评价工作级别判据</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49"/>
        <w:gridCol w:w="1849"/>
        <w:gridCol w:w="1848"/>
        <w:gridCol w:w="1848"/>
        <w:gridCol w:w="18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Align w:val="center"/>
          </w:tcPr>
          <w:p>
            <w:pPr>
              <w:spacing w:line="276" w:lineRule="auto"/>
              <w:jc w:val="center"/>
              <w:rPr>
                <w:b/>
                <w:szCs w:val="21"/>
              </w:rPr>
            </w:pPr>
          </w:p>
        </w:tc>
        <w:tc>
          <w:tcPr>
            <w:tcW w:w="1000" w:type="pct"/>
            <w:vAlign w:val="center"/>
          </w:tcPr>
          <w:p>
            <w:pPr>
              <w:spacing w:line="276" w:lineRule="auto"/>
              <w:jc w:val="center"/>
              <w:rPr>
                <w:b/>
                <w:szCs w:val="21"/>
              </w:rPr>
            </w:pPr>
            <w:r>
              <w:rPr>
                <w:rFonts w:hint="eastAsia"/>
                <w:b/>
                <w:szCs w:val="21"/>
              </w:rPr>
              <w:t>剧毒危险性物质</w:t>
            </w:r>
          </w:p>
        </w:tc>
        <w:tc>
          <w:tcPr>
            <w:tcW w:w="1000" w:type="pct"/>
            <w:vAlign w:val="center"/>
          </w:tcPr>
          <w:p>
            <w:pPr>
              <w:spacing w:line="276" w:lineRule="auto"/>
              <w:jc w:val="center"/>
              <w:rPr>
                <w:b/>
                <w:szCs w:val="21"/>
              </w:rPr>
            </w:pPr>
            <w:r>
              <w:rPr>
                <w:rFonts w:hint="eastAsia"/>
                <w:b/>
                <w:szCs w:val="21"/>
              </w:rPr>
              <w:t>一般毒性物质</w:t>
            </w:r>
          </w:p>
        </w:tc>
        <w:tc>
          <w:tcPr>
            <w:tcW w:w="1000" w:type="pct"/>
            <w:vAlign w:val="center"/>
          </w:tcPr>
          <w:p>
            <w:pPr>
              <w:spacing w:line="276" w:lineRule="auto"/>
              <w:jc w:val="center"/>
              <w:rPr>
                <w:b/>
                <w:szCs w:val="21"/>
              </w:rPr>
            </w:pPr>
            <w:r>
              <w:rPr>
                <w:rFonts w:hint="eastAsia"/>
                <w:b/>
                <w:szCs w:val="21"/>
              </w:rPr>
              <w:t>可燃、易燃危险性物质</w:t>
            </w:r>
          </w:p>
        </w:tc>
        <w:tc>
          <w:tcPr>
            <w:tcW w:w="1000" w:type="pct"/>
            <w:vAlign w:val="center"/>
          </w:tcPr>
          <w:p>
            <w:pPr>
              <w:spacing w:line="276" w:lineRule="auto"/>
              <w:jc w:val="center"/>
              <w:rPr>
                <w:b/>
                <w:szCs w:val="21"/>
              </w:rPr>
            </w:pPr>
            <w:r>
              <w:rPr>
                <w:rFonts w:hint="eastAsia"/>
                <w:b/>
                <w:szCs w:val="21"/>
              </w:rPr>
              <w:t>爆炸危险性物质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Align w:val="center"/>
          </w:tcPr>
          <w:p>
            <w:pPr>
              <w:spacing w:line="276" w:lineRule="auto"/>
              <w:jc w:val="center"/>
              <w:rPr>
                <w:szCs w:val="21"/>
              </w:rPr>
            </w:pPr>
            <w:r>
              <w:rPr>
                <w:rFonts w:hint="eastAsia"/>
                <w:szCs w:val="21"/>
              </w:rPr>
              <w:t>重大危险源</w:t>
            </w:r>
          </w:p>
        </w:tc>
        <w:tc>
          <w:tcPr>
            <w:tcW w:w="1000" w:type="pct"/>
            <w:vAlign w:val="center"/>
          </w:tcPr>
          <w:p>
            <w:pPr>
              <w:spacing w:line="276" w:lineRule="auto"/>
              <w:jc w:val="center"/>
              <w:rPr>
                <w:szCs w:val="21"/>
              </w:rPr>
            </w:pPr>
            <w:r>
              <w:rPr>
                <w:rFonts w:hint="eastAsia"/>
                <w:szCs w:val="21"/>
              </w:rPr>
              <w:t>一</w:t>
            </w:r>
          </w:p>
        </w:tc>
        <w:tc>
          <w:tcPr>
            <w:tcW w:w="1000" w:type="pct"/>
            <w:vAlign w:val="center"/>
          </w:tcPr>
          <w:p>
            <w:pPr>
              <w:spacing w:line="276" w:lineRule="auto"/>
              <w:jc w:val="center"/>
              <w:rPr>
                <w:szCs w:val="21"/>
              </w:rPr>
            </w:pPr>
            <w:r>
              <w:rPr>
                <w:rFonts w:hint="eastAsia"/>
                <w:szCs w:val="21"/>
              </w:rPr>
              <w:t>二</w:t>
            </w:r>
          </w:p>
        </w:tc>
        <w:tc>
          <w:tcPr>
            <w:tcW w:w="1000" w:type="pct"/>
            <w:vAlign w:val="center"/>
          </w:tcPr>
          <w:p>
            <w:pPr>
              <w:spacing w:line="276" w:lineRule="auto"/>
              <w:jc w:val="center"/>
              <w:rPr>
                <w:szCs w:val="21"/>
              </w:rPr>
            </w:pPr>
            <w:r>
              <w:rPr>
                <w:rFonts w:hint="eastAsia"/>
                <w:szCs w:val="21"/>
              </w:rPr>
              <w:t>一</w:t>
            </w:r>
          </w:p>
        </w:tc>
        <w:tc>
          <w:tcPr>
            <w:tcW w:w="1000" w:type="pct"/>
            <w:vAlign w:val="center"/>
          </w:tcPr>
          <w:p>
            <w:pPr>
              <w:spacing w:line="276" w:lineRule="auto"/>
              <w:jc w:val="center"/>
              <w:rPr>
                <w:szCs w:val="21"/>
              </w:rPr>
            </w:pPr>
            <w:r>
              <w:rPr>
                <w:rFonts w:hint="eastAsia"/>
                <w:szCs w:val="21"/>
              </w:rPr>
              <w:t>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Align w:val="center"/>
          </w:tcPr>
          <w:p>
            <w:pPr>
              <w:spacing w:line="276" w:lineRule="auto"/>
              <w:jc w:val="center"/>
              <w:rPr>
                <w:szCs w:val="21"/>
              </w:rPr>
            </w:pPr>
            <w:r>
              <w:rPr>
                <w:rFonts w:hint="eastAsia"/>
                <w:szCs w:val="21"/>
              </w:rPr>
              <w:t>非重大危险源</w:t>
            </w:r>
          </w:p>
        </w:tc>
        <w:tc>
          <w:tcPr>
            <w:tcW w:w="1000" w:type="pct"/>
            <w:vAlign w:val="center"/>
          </w:tcPr>
          <w:p>
            <w:pPr>
              <w:spacing w:line="276" w:lineRule="auto"/>
              <w:jc w:val="center"/>
              <w:rPr>
                <w:szCs w:val="21"/>
              </w:rPr>
            </w:pPr>
            <w:r>
              <w:rPr>
                <w:rFonts w:hint="eastAsia"/>
                <w:szCs w:val="21"/>
              </w:rPr>
              <w:t>二</w:t>
            </w:r>
          </w:p>
        </w:tc>
        <w:tc>
          <w:tcPr>
            <w:tcW w:w="1000" w:type="pct"/>
            <w:vAlign w:val="center"/>
          </w:tcPr>
          <w:p>
            <w:pPr>
              <w:spacing w:line="276" w:lineRule="auto"/>
              <w:jc w:val="center"/>
              <w:rPr>
                <w:szCs w:val="21"/>
              </w:rPr>
            </w:pPr>
            <w:r>
              <w:rPr>
                <w:rFonts w:hint="eastAsia"/>
                <w:szCs w:val="21"/>
              </w:rPr>
              <w:t>二</w:t>
            </w:r>
          </w:p>
        </w:tc>
        <w:tc>
          <w:tcPr>
            <w:tcW w:w="1000" w:type="pct"/>
            <w:vAlign w:val="center"/>
          </w:tcPr>
          <w:p>
            <w:pPr>
              <w:spacing w:line="276" w:lineRule="auto"/>
              <w:jc w:val="center"/>
              <w:rPr>
                <w:szCs w:val="21"/>
              </w:rPr>
            </w:pPr>
            <w:r>
              <w:rPr>
                <w:rFonts w:hint="eastAsia"/>
                <w:szCs w:val="21"/>
              </w:rPr>
              <w:t>二</w:t>
            </w:r>
          </w:p>
        </w:tc>
        <w:tc>
          <w:tcPr>
            <w:tcW w:w="1000" w:type="pct"/>
            <w:vAlign w:val="center"/>
          </w:tcPr>
          <w:p>
            <w:pPr>
              <w:spacing w:line="276" w:lineRule="auto"/>
              <w:jc w:val="center"/>
              <w:rPr>
                <w:szCs w:val="21"/>
              </w:rPr>
            </w:pPr>
            <w:r>
              <w:rPr>
                <w:rFonts w:hint="eastAsia"/>
                <w:szCs w:val="21"/>
              </w:rPr>
              <w:t>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Align w:val="center"/>
          </w:tcPr>
          <w:p>
            <w:pPr>
              <w:spacing w:line="276" w:lineRule="auto"/>
              <w:jc w:val="center"/>
              <w:rPr>
                <w:szCs w:val="21"/>
              </w:rPr>
            </w:pPr>
            <w:r>
              <w:rPr>
                <w:rFonts w:hint="eastAsia"/>
                <w:szCs w:val="21"/>
              </w:rPr>
              <w:t>环境敏感地区</w:t>
            </w:r>
          </w:p>
        </w:tc>
        <w:tc>
          <w:tcPr>
            <w:tcW w:w="1000" w:type="pct"/>
            <w:vAlign w:val="center"/>
          </w:tcPr>
          <w:p>
            <w:pPr>
              <w:spacing w:line="276" w:lineRule="auto"/>
              <w:jc w:val="center"/>
              <w:rPr>
                <w:szCs w:val="21"/>
              </w:rPr>
            </w:pPr>
            <w:r>
              <w:rPr>
                <w:rFonts w:hint="eastAsia"/>
                <w:szCs w:val="21"/>
              </w:rPr>
              <w:t>一</w:t>
            </w:r>
          </w:p>
        </w:tc>
        <w:tc>
          <w:tcPr>
            <w:tcW w:w="1000" w:type="pct"/>
            <w:vAlign w:val="center"/>
          </w:tcPr>
          <w:p>
            <w:pPr>
              <w:spacing w:line="276" w:lineRule="auto"/>
              <w:jc w:val="center"/>
              <w:rPr>
                <w:szCs w:val="21"/>
              </w:rPr>
            </w:pPr>
            <w:r>
              <w:rPr>
                <w:rFonts w:hint="eastAsia"/>
                <w:szCs w:val="21"/>
              </w:rPr>
              <w:t>一</w:t>
            </w:r>
          </w:p>
        </w:tc>
        <w:tc>
          <w:tcPr>
            <w:tcW w:w="1000" w:type="pct"/>
            <w:vAlign w:val="center"/>
          </w:tcPr>
          <w:p>
            <w:pPr>
              <w:spacing w:line="276" w:lineRule="auto"/>
              <w:jc w:val="center"/>
              <w:rPr>
                <w:szCs w:val="21"/>
              </w:rPr>
            </w:pPr>
            <w:r>
              <w:rPr>
                <w:rFonts w:hint="eastAsia"/>
                <w:szCs w:val="21"/>
              </w:rPr>
              <w:t>一</w:t>
            </w:r>
          </w:p>
        </w:tc>
        <w:tc>
          <w:tcPr>
            <w:tcW w:w="1000" w:type="pct"/>
            <w:vAlign w:val="center"/>
          </w:tcPr>
          <w:p>
            <w:pPr>
              <w:spacing w:line="276" w:lineRule="auto"/>
              <w:jc w:val="center"/>
              <w:rPr>
                <w:szCs w:val="21"/>
              </w:rPr>
            </w:pPr>
            <w:r>
              <w:rPr>
                <w:rFonts w:hint="eastAsia"/>
                <w:szCs w:val="21"/>
              </w:rPr>
              <w:t>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0" w:type="pct"/>
            <w:vAlign w:val="center"/>
          </w:tcPr>
          <w:p>
            <w:pPr>
              <w:spacing w:line="276" w:lineRule="auto"/>
              <w:jc w:val="center"/>
              <w:rPr>
                <w:szCs w:val="21"/>
              </w:rPr>
            </w:pPr>
            <w:r>
              <w:rPr>
                <w:rFonts w:hint="eastAsia"/>
                <w:szCs w:val="21"/>
              </w:rPr>
              <w:t>本项目情况</w:t>
            </w:r>
          </w:p>
        </w:tc>
        <w:tc>
          <w:tcPr>
            <w:tcW w:w="4000" w:type="pct"/>
            <w:gridSpan w:val="4"/>
            <w:vAlign w:val="center"/>
          </w:tcPr>
          <w:p>
            <w:pPr>
              <w:spacing w:line="276" w:lineRule="auto"/>
              <w:jc w:val="center"/>
              <w:rPr>
                <w:szCs w:val="21"/>
              </w:rPr>
            </w:pPr>
            <w:r>
              <w:rPr>
                <w:rFonts w:hint="eastAsia"/>
                <w:szCs w:val="21"/>
              </w:rPr>
              <w:t>本项目无重大危险源，拟建地不属于环境敏感地区，因此，本项目风险评价为二级。</w:t>
            </w:r>
          </w:p>
        </w:tc>
      </w:tr>
    </w:tbl>
    <w:p>
      <w:pPr>
        <w:pStyle w:val="62"/>
        <w:rPr>
          <w:color w:val="auto"/>
        </w:rPr>
      </w:pPr>
      <w:r>
        <w:rPr>
          <w:rFonts w:hint="eastAsia"/>
          <w:color w:val="auto"/>
        </w:rPr>
        <w:t>8.1.2评价范围</w:t>
      </w:r>
    </w:p>
    <w:p>
      <w:pPr>
        <w:pStyle w:val="63"/>
        <w:ind w:firstLine="480"/>
        <w:rPr>
          <w:color w:val="auto"/>
        </w:rPr>
      </w:pPr>
      <w:r>
        <w:rPr>
          <w:color w:val="auto"/>
        </w:rPr>
        <w:t>（1）大气环境影响评价范围</w:t>
      </w:r>
    </w:p>
    <w:p>
      <w:pPr>
        <w:pStyle w:val="63"/>
        <w:ind w:firstLine="480"/>
        <w:rPr>
          <w:color w:val="auto"/>
        </w:rPr>
      </w:pPr>
      <w:r>
        <w:rPr>
          <w:color w:val="auto"/>
        </w:rPr>
        <w:t>按照《建设项目环境风险评价技术导则》（HJ/T169-2004）中的规定，环境空气评价范围为以危险源为中心的半径3km范围；评价面积不小于28.3km</w:t>
      </w:r>
      <w:r>
        <w:rPr>
          <w:color w:val="auto"/>
          <w:vertAlign w:val="superscript"/>
        </w:rPr>
        <w:t>2</w:t>
      </w:r>
      <w:r>
        <w:rPr>
          <w:color w:val="auto"/>
        </w:rPr>
        <w:t xml:space="preserve">。 </w:t>
      </w:r>
    </w:p>
    <w:p>
      <w:pPr>
        <w:pStyle w:val="63"/>
        <w:ind w:firstLine="480"/>
        <w:rPr>
          <w:color w:val="auto"/>
        </w:rPr>
      </w:pPr>
      <w:r>
        <w:rPr>
          <w:color w:val="auto"/>
        </w:rPr>
        <w:t>（2）地表水环境影响评价范围</w:t>
      </w:r>
    </w:p>
    <w:p>
      <w:pPr>
        <w:pStyle w:val="63"/>
        <w:ind w:firstLine="480"/>
        <w:rPr>
          <w:color w:val="auto"/>
        </w:rPr>
      </w:pPr>
      <w:r>
        <w:rPr>
          <w:color w:val="auto"/>
        </w:rPr>
        <w:t>本项目事故状态下污水应全部收集，因此地表水仅分析污水收集设施情况。</w:t>
      </w:r>
    </w:p>
    <w:p>
      <w:pPr>
        <w:pStyle w:val="62"/>
        <w:rPr>
          <w:color w:val="auto"/>
        </w:rPr>
      </w:pPr>
      <w:r>
        <w:rPr>
          <w:rFonts w:hint="eastAsia"/>
          <w:color w:val="auto"/>
        </w:rPr>
        <w:t>8.1.3环境主要保护目标</w:t>
      </w:r>
    </w:p>
    <w:p>
      <w:pPr>
        <w:pStyle w:val="63"/>
        <w:ind w:firstLine="480"/>
        <w:rPr>
          <w:color w:val="auto"/>
        </w:rPr>
      </w:pPr>
      <w:r>
        <w:rPr>
          <w:color w:val="auto"/>
        </w:rPr>
        <w:t>本评价主要采用资料收集及现场调查的方法对评价区域内的环境状况进行了解，本环评对风险源周围3km范围内的环境敏感点进行了调查，评价区环境保护目标及主要敏感点情况</w:t>
      </w:r>
      <w:r>
        <w:rPr>
          <w:rFonts w:hint="eastAsia"/>
          <w:color w:val="auto"/>
        </w:rPr>
        <w:t>详</w:t>
      </w:r>
      <w:r>
        <w:rPr>
          <w:color w:val="auto"/>
        </w:rPr>
        <w:t>见</w:t>
      </w:r>
      <w:r>
        <w:rPr>
          <w:rFonts w:hint="eastAsia"/>
          <w:color w:val="auto"/>
        </w:rPr>
        <w:t>本报告1.4评价范围及环境敏感区章节</w:t>
      </w:r>
      <w:r>
        <w:rPr>
          <w:color w:val="auto"/>
        </w:rPr>
        <w:t>。</w:t>
      </w:r>
    </w:p>
    <w:p>
      <w:pPr>
        <w:pStyle w:val="61"/>
        <w:rPr>
          <w:i/>
          <w:color w:val="auto"/>
        </w:rPr>
      </w:pPr>
      <w:bookmarkStart w:id="100" w:name="_Toc436902183"/>
      <w:r>
        <w:rPr>
          <w:rFonts w:hint="eastAsia"/>
          <w:color w:val="auto"/>
        </w:rPr>
        <w:t>8.2环境风险识别</w:t>
      </w:r>
      <w:bookmarkEnd w:id="100"/>
    </w:p>
    <w:p>
      <w:pPr>
        <w:pStyle w:val="62"/>
        <w:rPr>
          <w:color w:val="auto"/>
        </w:rPr>
      </w:pPr>
      <w:r>
        <w:rPr>
          <w:rFonts w:hint="eastAsia"/>
          <w:color w:val="auto"/>
        </w:rPr>
        <w:t>8.2.1物质危险性识别</w:t>
      </w:r>
    </w:p>
    <w:p>
      <w:pPr>
        <w:pStyle w:val="63"/>
        <w:ind w:firstLine="480"/>
        <w:rPr>
          <w:color w:val="auto"/>
        </w:rPr>
      </w:pPr>
      <w:r>
        <w:rPr>
          <w:color w:val="auto"/>
        </w:rPr>
        <w:t>本工程重大危险源主要危险性物质为氯气，其主要特性见表</w:t>
      </w:r>
      <w:r>
        <w:rPr>
          <w:rFonts w:hint="eastAsia"/>
          <w:color w:val="auto"/>
        </w:rPr>
        <w:t>8</w:t>
      </w:r>
      <w:r>
        <w:rPr>
          <w:color w:val="auto"/>
        </w:rPr>
        <w:t>.2-1</w:t>
      </w:r>
      <w:r>
        <w:rPr>
          <w:rFonts w:hint="eastAsia"/>
          <w:color w:val="auto"/>
        </w:rPr>
        <w:t>。</w:t>
      </w: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3"/>
        <w:ind w:firstLine="0" w:firstLineChars="0"/>
        <w:jc w:val="center"/>
        <w:rPr>
          <w:rFonts w:cs="Times New Roman"/>
          <w:b/>
          <w:color w:val="auto"/>
          <w:sz w:val="21"/>
          <w:szCs w:val="21"/>
        </w:rPr>
      </w:pPr>
      <w:r>
        <w:rPr>
          <w:rFonts w:cs="Times New Roman"/>
          <w:b/>
          <w:color w:val="auto"/>
          <w:sz w:val="21"/>
          <w:szCs w:val="21"/>
        </w:rPr>
        <w:t>8.2-1    氯气的理化性质</w:t>
      </w:r>
    </w:p>
    <w:tbl>
      <w:tblPr>
        <w:tblStyle w:val="24"/>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468"/>
        <w:gridCol w:w="2379"/>
        <w:gridCol w:w="2085"/>
        <w:gridCol w:w="431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restart"/>
          </w:tcPr>
          <w:p>
            <w:pPr>
              <w:jc w:val="center"/>
            </w:pPr>
          </w:p>
          <w:p>
            <w:pPr>
              <w:jc w:val="center"/>
            </w:pPr>
          </w:p>
          <w:p>
            <w:pPr>
              <w:jc w:val="center"/>
            </w:pPr>
          </w:p>
          <w:p>
            <w:pPr>
              <w:jc w:val="center"/>
            </w:pPr>
            <w:r>
              <w:rPr>
                <w:rFonts w:hint="eastAsia"/>
              </w:rPr>
              <w:t>标识</w:t>
            </w:r>
          </w:p>
        </w:tc>
        <w:tc>
          <w:tcPr>
            <w:tcW w:w="2415" w:type="pct"/>
            <w:gridSpan w:val="2"/>
          </w:tcPr>
          <w:p>
            <w:pPr>
              <w:pStyle w:val="63"/>
              <w:spacing w:line="276" w:lineRule="auto"/>
              <w:ind w:firstLine="420"/>
              <w:rPr>
                <w:rFonts w:cs="Times New Roman"/>
                <w:color w:val="auto"/>
                <w:sz w:val="21"/>
                <w:szCs w:val="21"/>
              </w:rPr>
            </w:pPr>
            <w:r>
              <w:rPr>
                <w:rFonts w:cs="Times New Roman"/>
                <w:color w:val="auto"/>
                <w:sz w:val="21"/>
                <w:szCs w:val="21"/>
              </w:rPr>
              <w:t>中文名：液氯</w:t>
            </w:r>
          </w:p>
        </w:tc>
        <w:tc>
          <w:tcPr>
            <w:tcW w:w="2332" w:type="pct"/>
          </w:tcPr>
          <w:p>
            <w:pPr>
              <w:pStyle w:val="63"/>
              <w:spacing w:line="276" w:lineRule="auto"/>
              <w:ind w:firstLine="420"/>
              <w:rPr>
                <w:rFonts w:cs="Times New Roman"/>
                <w:color w:val="auto"/>
                <w:sz w:val="21"/>
                <w:szCs w:val="21"/>
              </w:rPr>
            </w:pPr>
            <w:r>
              <w:rPr>
                <w:rFonts w:cs="Times New Roman"/>
                <w:color w:val="auto"/>
                <w:sz w:val="21"/>
                <w:szCs w:val="21"/>
              </w:rPr>
              <w:t>英文名：Chlorine</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2415" w:type="pct"/>
            <w:gridSpan w:val="2"/>
          </w:tcPr>
          <w:p>
            <w:pPr>
              <w:pStyle w:val="63"/>
              <w:spacing w:line="276" w:lineRule="auto"/>
              <w:ind w:firstLine="420"/>
              <w:rPr>
                <w:rFonts w:cs="Times New Roman"/>
                <w:color w:val="auto"/>
                <w:sz w:val="21"/>
                <w:szCs w:val="21"/>
              </w:rPr>
            </w:pPr>
            <w:r>
              <w:rPr>
                <w:rFonts w:cs="Times New Roman"/>
                <w:color w:val="auto"/>
                <w:sz w:val="21"/>
                <w:szCs w:val="21"/>
              </w:rPr>
              <w:t>分子式：Cl</w:t>
            </w:r>
            <w:r>
              <w:rPr>
                <w:rFonts w:cs="Times New Roman"/>
                <w:color w:val="auto"/>
                <w:sz w:val="21"/>
                <w:szCs w:val="21"/>
                <w:vertAlign w:val="subscript"/>
              </w:rPr>
              <w:t>2</w:t>
            </w:r>
          </w:p>
        </w:tc>
        <w:tc>
          <w:tcPr>
            <w:tcW w:w="2332" w:type="pct"/>
          </w:tcPr>
          <w:p>
            <w:pPr>
              <w:pStyle w:val="63"/>
              <w:spacing w:line="276" w:lineRule="auto"/>
              <w:ind w:firstLine="420"/>
              <w:rPr>
                <w:rFonts w:cs="Times New Roman"/>
                <w:color w:val="auto"/>
                <w:sz w:val="21"/>
                <w:szCs w:val="21"/>
              </w:rPr>
            </w:pPr>
            <w:r>
              <w:rPr>
                <w:rFonts w:cs="Times New Roman"/>
                <w:color w:val="auto"/>
                <w:sz w:val="21"/>
                <w:szCs w:val="21"/>
              </w:rPr>
              <w:t>分子量：70.91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1287" w:type="pct"/>
          </w:tcPr>
          <w:p>
            <w:pPr>
              <w:pStyle w:val="63"/>
              <w:spacing w:line="276" w:lineRule="auto"/>
              <w:ind w:firstLine="420"/>
              <w:rPr>
                <w:rFonts w:cs="Times New Roman"/>
                <w:color w:val="auto"/>
                <w:sz w:val="21"/>
                <w:szCs w:val="21"/>
              </w:rPr>
            </w:pPr>
            <w:r>
              <w:rPr>
                <w:rFonts w:cs="Times New Roman"/>
                <w:color w:val="auto"/>
                <w:sz w:val="21"/>
                <w:szCs w:val="21"/>
              </w:rPr>
              <w:t>危规号：23002</w:t>
            </w:r>
          </w:p>
        </w:tc>
        <w:tc>
          <w:tcPr>
            <w:tcW w:w="1128" w:type="pct"/>
          </w:tcPr>
          <w:p>
            <w:pPr>
              <w:pStyle w:val="63"/>
              <w:spacing w:line="276" w:lineRule="auto"/>
              <w:ind w:firstLine="420"/>
              <w:rPr>
                <w:rFonts w:cs="Times New Roman"/>
                <w:color w:val="auto"/>
                <w:sz w:val="21"/>
                <w:szCs w:val="21"/>
              </w:rPr>
            </w:pPr>
            <w:r>
              <w:rPr>
                <w:rFonts w:cs="Times New Roman"/>
                <w:color w:val="auto"/>
                <w:sz w:val="21"/>
                <w:szCs w:val="21"/>
              </w:rPr>
              <w:t>UN编号：1017</w:t>
            </w:r>
          </w:p>
        </w:tc>
        <w:tc>
          <w:tcPr>
            <w:tcW w:w="2332" w:type="pct"/>
          </w:tcPr>
          <w:p>
            <w:pPr>
              <w:pStyle w:val="63"/>
              <w:spacing w:line="276" w:lineRule="auto"/>
              <w:ind w:firstLine="420"/>
              <w:rPr>
                <w:rFonts w:cs="Times New Roman"/>
                <w:color w:val="auto"/>
                <w:sz w:val="21"/>
                <w:szCs w:val="21"/>
              </w:rPr>
            </w:pPr>
            <w:r>
              <w:rPr>
                <w:rFonts w:cs="Times New Roman"/>
                <w:color w:val="auto"/>
                <w:sz w:val="21"/>
                <w:szCs w:val="21"/>
              </w:rPr>
              <w:t>CAS号：7782-50-2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420"/>
              <w:rPr>
                <w:rFonts w:cs="Times New Roman"/>
                <w:color w:val="auto"/>
                <w:sz w:val="21"/>
                <w:szCs w:val="21"/>
              </w:rPr>
            </w:pPr>
            <w:r>
              <w:rPr>
                <w:rFonts w:cs="Times New Roman"/>
                <w:color w:val="auto"/>
                <w:sz w:val="21"/>
                <w:szCs w:val="21"/>
              </w:rPr>
              <w:t xml:space="preserve">外观与形状:黄绿色液体，常温为气态，黄绿色，有刺激气味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2415" w:type="pct"/>
            <w:gridSpan w:val="2"/>
          </w:tcPr>
          <w:p>
            <w:pPr>
              <w:pStyle w:val="63"/>
              <w:spacing w:line="276" w:lineRule="auto"/>
              <w:ind w:firstLine="420"/>
              <w:rPr>
                <w:rFonts w:cs="Times New Roman"/>
                <w:color w:val="auto"/>
                <w:sz w:val="21"/>
                <w:szCs w:val="21"/>
              </w:rPr>
            </w:pPr>
            <w:r>
              <w:rPr>
                <w:rFonts w:cs="Times New Roman"/>
                <w:color w:val="auto"/>
                <w:sz w:val="21"/>
                <w:szCs w:val="21"/>
              </w:rPr>
              <w:t xml:space="preserve">危险性类别：强氧化性和剧毒 </w:t>
            </w:r>
          </w:p>
        </w:tc>
        <w:tc>
          <w:tcPr>
            <w:tcW w:w="2332" w:type="pct"/>
          </w:tcPr>
          <w:p>
            <w:pPr>
              <w:pStyle w:val="63"/>
              <w:spacing w:line="276" w:lineRule="auto"/>
              <w:ind w:firstLine="420"/>
              <w:rPr>
                <w:rFonts w:cs="Times New Roman"/>
                <w:color w:val="auto"/>
                <w:sz w:val="21"/>
                <w:szCs w:val="21"/>
              </w:rPr>
            </w:pPr>
            <w:r>
              <w:rPr>
                <w:rFonts w:cs="Times New Roman"/>
                <w:color w:val="auto"/>
                <w:sz w:val="21"/>
                <w:szCs w:val="21"/>
              </w:rPr>
              <w:t xml:space="preserve">危险货物包装标志：有毒气体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2415" w:type="pct"/>
            <w:gridSpan w:val="2"/>
          </w:tcPr>
          <w:p>
            <w:pPr>
              <w:pStyle w:val="63"/>
              <w:spacing w:line="276" w:lineRule="auto"/>
              <w:ind w:firstLine="420"/>
              <w:rPr>
                <w:rFonts w:cs="Times New Roman"/>
                <w:color w:val="auto"/>
                <w:sz w:val="21"/>
                <w:szCs w:val="21"/>
              </w:rPr>
            </w:pPr>
            <w:r>
              <w:rPr>
                <w:rFonts w:cs="Times New Roman"/>
                <w:color w:val="auto"/>
                <w:sz w:val="21"/>
                <w:szCs w:val="21"/>
              </w:rPr>
              <w:t>包装类别：</w:t>
            </w:r>
            <w:r>
              <w:rPr>
                <w:rFonts w:hAnsi="宋体" w:cs="Times New Roman"/>
                <w:color w:val="auto"/>
                <w:sz w:val="21"/>
                <w:szCs w:val="21"/>
              </w:rPr>
              <w:t>Ⅱ</w:t>
            </w:r>
            <w:r>
              <w:rPr>
                <w:rFonts w:cs="Times New Roman"/>
                <w:color w:val="auto"/>
                <w:sz w:val="21"/>
                <w:szCs w:val="21"/>
              </w:rPr>
              <w:t xml:space="preserve"> </w:t>
            </w:r>
          </w:p>
        </w:tc>
        <w:tc>
          <w:tcPr>
            <w:tcW w:w="2332" w:type="pct"/>
          </w:tcPr>
          <w:p>
            <w:pPr>
              <w:pStyle w:val="63"/>
              <w:spacing w:line="276" w:lineRule="auto"/>
              <w:ind w:firstLine="420"/>
              <w:rPr>
                <w:rFonts w:cs="Times New Roman"/>
                <w:color w:val="auto"/>
                <w:sz w:val="21"/>
                <w:szCs w:val="21"/>
              </w:rPr>
            </w:pPr>
            <w:r>
              <w:rPr>
                <w:rFonts w:cs="Times New Roman"/>
                <w:color w:val="auto"/>
                <w:sz w:val="21"/>
                <w:szCs w:val="21"/>
              </w:rPr>
              <w:t xml:space="preserve">溶解性:易容于水、碱液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420"/>
              <w:rPr>
                <w:rFonts w:cs="Times New Roman"/>
                <w:color w:val="auto"/>
                <w:sz w:val="21"/>
                <w:szCs w:val="21"/>
              </w:rPr>
            </w:pPr>
            <w:r>
              <w:rPr>
                <w:rFonts w:cs="Times New Roman"/>
                <w:color w:val="auto"/>
                <w:sz w:val="21"/>
                <w:szCs w:val="21"/>
              </w:rPr>
              <w:t xml:space="preserve">主要用途：用于漂白、制造氯化合物、盐酸、聚氯乙烯等。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restart"/>
          </w:tcPr>
          <w:p>
            <w:pPr>
              <w:pStyle w:val="63"/>
              <w:spacing w:line="276" w:lineRule="auto"/>
              <w:ind w:firstLine="0" w:firstLineChars="0"/>
              <w:rPr>
                <w:rFonts w:cs="Times New Roman"/>
                <w:color w:val="auto"/>
                <w:sz w:val="21"/>
                <w:szCs w:val="21"/>
              </w:rPr>
            </w:pPr>
            <w:r>
              <w:rPr>
                <w:rFonts w:hint="eastAsia" w:cs="Times New Roman"/>
                <w:color w:val="auto"/>
                <w:sz w:val="21"/>
                <w:szCs w:val="21"/>
              </w:rPr>
              <w:t>理</w:t>
            </w:r>
            <w:r>
              <w:rPr>
                <w:rFonts w:cs="Times New Roman"/>
                <w:color w:val="auto"/>
                <w:sz w:val="21"/>
                <w:szCs w:val="21"/>
              </w:rPr>
              <w:t>化性质</w:t>
            </w:r>
          </w:p>
        </w:tc>
        <w:tc>
          <w:tcPr>
            <w:tcW w:w="2415" w:type="pct"/>
            <w:gridSpan w:val="2"/>
          </w:tcPr>
          <w:p>
            <w:pPr>
              <w:pStyle w:val="63"/>
              <w:spacing w:line="276" w:lineRule="auto"/>
              <w:ind w:firstLine="420"/>
              <w:rPr>
                <w:rFonts w:cs="Times New Roman"/>
                <w:color w:val="auto"/>
                <w:sz w:val="21"/>
                <w:szCs w:val="21"/>
              </w:rPr>
            </w:pPr>
            <w:r>
              <w:rPr>
                <w:rFonts w:cs="Times New Roman"/>
                <w:color w:val="auto"/>
                <w:sz w:val="21"/>
                <w:szCs w:val="21"/>
              </w:rPr>
              <w:t>熔点(</w:t>
            </w:r>
            <w:r>
              <w:rPr>
                <w:rFonts w:hAnsi="宋体" w:cs="Times New Roman"/>
                <w:color w:val="auto"/>
                <w:sz w:val="21"/>
                <w:szCs w:val="21"/>
              </w:rPr>
              <w:t>℃</w:t>
            </w:r>
            <w:r>
              <w:rPr>
                <w:rFonts w:cs="Times New Roman"/>
                <w:color w:val="auto"/>
                <w:sz w:val="21"/>
                <w:szCs w:val="21"/>
              </w:rPr>
              <w:t xml:space="preserve">):-101 </w:t>
            </w:r>
          </w:p>
        </w:tc>
        <w:tc>
          <w:tcPr>
            <w:tcW w:w="2332" w:type="pct"/>
          </w:tcPr>
          <w:p>
            <w:pPr>
              <w:pStyle w:val="63"/>
              <w:spacing w:line="276" w:lineRule="auto"/>
              <w:ind w:firstLine="420"/>
              <w:rPr>
                <w:rFonts w:cs="Times New Roman"/>
                <w:color w:val="auto"/>
                <w:sz w:val="21"/>
                <w:szCs w:val="21"/>
              </w:rPr>
            </w:pPr>
            <w:r>
              <w:rPr>
                <w:rFonts w:cs="Times New Roman"/>
                <w:color w:val="auto"/>
                <w:sz w:val="21"/>
                <w:szCs w:val="21"/>
              </w:rPr>
              <w:t>沸点(</w:t>
            </w:r>
            <w:r>
              <w:rPr>
                <w:rFonts w:hAnsi="宋体" w:cs="Times New Roman"/>
                <w:color w:val="auto"/>
                <w:sz w:val="21"/>
                <w:szCs w:val="21"/>
              </w:rPr>
              <w:t>℃</w:t>
            </w:r>
            <w:r>
              <w:rPr>
                <w:rFonts w:cs="Times New Roman"/>
                <w:color w:val="auto"/>
                <w:sz w:val="21"/>
                <w:szCs w:val="21"/>
              </w:rPr>
              <w:t xml:space="preserve">):-34.5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2415" w:type="pct"/>
            <w:gridSpan w:val="2"/>
          </w:tcPr>
          <w:p>
            <w:pPr>
              <w:pStyle w:val="63"/>
              <w:spacing w:line="276" w:lineRule="auto"/>
              <w:ind w:firstLine="420"/>
              <w:rPr>
                <w:rFonts w:cs="Times New Roman"/>
                <w:color w:val="auto"/>
                <w:sz w:val="21"/>
                <w:szCs w:val="21"/>
              </w:rPr>
            </w:pPr>
            <w:r>
              <w:rPr>
                <w:rFonts w:cs="Times New Roman"/>
                <w:color w:val="auto"/>
                <w:sz w:val="21"/>
                <w:szCs w:val="21"/>
              </w:rPr>
              <w:t xml:space="preserve">相对密度:(水=1)1.47 </w:t>
            </w:r>
          </w:p>
        </w:tc>
        <w:tc>
          <w:tcPr>
            <w:tcW w:w="2332" w:type="pct"/>
          </w:tcPr>
          <w:p>
            <w:pPr>
              <w:pStyle w:val="63"/>
              <w:spacing w:line="276" w:lineRule="auto"/>
              <w:ind w:firstLine="420"/>
              <w:rPr>
                <w:rFonts w:cs="Times New Roman"/>
                <w:color w:val="auto"/>
                <w:sz w:val="21"/>
                <w:szCs w:val="21"/>
              </w:rPr>
            </w:pPr>
            <w:r>
              <w:rPr>
                <w:rFonts w:cs="Times New Roman"/>
                <w:color w:val="auto"/>
                <w:sz w:val="21"/>
                <w:szCs w:val="21"/>
              </w:rPr>
              <w:t xml:space="preserve">相对密度:(空气=1)2.48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2415" w:type="pct"/>
            <w:gridSpan w:val="2"/>
          </w:tcPr>
          <w:p>
            <w:pPr>
              <w:pStyle w:val="63"/>
              <w:spacing w:line="276" w:lineRule="auto"/>
              <w:ind w:firstLine="420"/>
              <w:rPr>
                <w:rFonts w:cs="Times New Roman"/>
                <w:color w:val="auto"/>
                <w:sz w:val="21"/>
                <w:szCs w:val="21"/>
              </w:rPr>
            </w:pPr>
            <w:r>
              <w:rPr>
                <w:rFonts w:cs="Times New Roman"/>
                <w:color w:val="auto"/>
                <w:sz w:val="21"/>
                <w:szCs w:val="21"/>
              </w:rPr>
              <w:t>饱和蒸汽压(kPa)506.62(10.3</w:t>
            </w:r>
            <w:r>
              <w:rPr>
                <w:rFonts w:hAnsi="宋体" w:cs="Times New Roman"/>
                <w:color w:val="auto"/>
                <w:sz w:val="21"/>
                <w:szCs w:val="21"/>
              </w:rPr>
              <w:t>℃</w:t>
            </w:r>
            <w:r>
              <w:rPr>
                <w:rFonts w:cs="Times New Roman"/>
                <w:color w:val="auto"/>
                <w:sz w:val="21"/>
                <w:szCs w:val="21"/>
              </w:rPr>
              <w:t xml:space="preserve">) </w:t>
            </w:r>
          </w:p>
        </w:tc>
        <w:tc>
          <w:tcPr>
            <w:tcW w:w="2332" w:type="pct"/>
          </w:tcPr>
          <w:p>
            <w:pPr>
              <w:pStyle w:val="63"/>
              <w:spacing w:line="276" w:lineRule="auto"/>
              <w:ind w:firstLine="420"/>
              <w:rPr>
                <w:rFonts w:cs="Times New Roman"/>
                <w:color w:val="auto"/>
                <w:sz w:val="21"/>
                <w:szCs w:val="21"/>
              </w:rPr>
            </w:pPr>
            <w:r>
              <w:rPr>
                <w:rFonts w:cs="Times New Roman"/>
                <w:color w:val="auto"/>
                <w:sz w:val="21"/>
                <w:szCs w:val="21"/>
              </w:rPr>
              <w:t>临界温度(</w:t>
            </w:r>
            <w:r>
              <w:rPr>
                <w:rFonts w:hAnsi="宋体" w:cs="Times New Roman"/>
                <w:color w:val="auto"/>
                <w:sz w:val="21"/>
                <w:szCs w:val="21"/>
              </w:rPr>
              <w:t>℃</w:t>
            </w:r>
            <w:r>
              <w:rPr>
                <w:rFonts w:cs="Times New Roman"/>
                <w:color w:val="auto"/>
                <w:sz w:val="21"/>
                <w:szCs w:val="21"/>
              </w:rPr>
              <w:t xml:space="preserve">):144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2415" w:type="pct"/>
            <w:gridSpan w:val="2"/>
          </w:tcPr>
          <w:p>
            <w:pPr>
              <w:pStyle w:val="63"/>
              <w:spacing w:line="276" w:lineRule="auto"/>
              <w:ind w:firstLine="420"/>
              <w:rPr>
                <w:rFonts w:cs="Times New Roman"/>
                <w:color w:val="auto"/>
                <w:sz w:val="21"/>
                <w:szCs w:val="21"/>
              </w:rPr>
            </w:pPr>
            <w:r>
              <w:rPr>
                <w:rFonts w:cs="Times New Roman"/>
                <w:color w:val="auto"/>
                <w:sz w:val="21"/>
                <w:szCs w:val="21"/>
              </w:rPr>
              <w:t xml:space="preserve">临界压力(MPa)：7.71 </w:t>
            </w:r>
          </w:p>
        </w:tc>
        <w:tc>
          <w:tcPr>
            <w:tcW w:w="2332" w:type="pct"/>
          </w:tcPr>
          <w:p>
            <w:pPr>
              <w:pStyle w:val="63"/>
              <w:spacing w:line="276" w:lineRule="auto"/>
              <w:ind w:firstLine="420"/>
              <w:rPr>
                <w:rFonts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restart"/>
          </w:tcPr>
          <w:p>
            <w:pPr>
              <w:pStyle w:val="63"/>
              <w:spacing w:line="276" w:lineRule="auto"/>
              <w:ind w:firstLine="420"/>
              <w:rPr>
                <w:rFonts w:cs="Times New Roman"/>
                <w:color w:val="auto"/>
                <w:sz w:val="21"/>
                <w:szCs w:val="21"/>
              </w:rPr>
            </w:pPr>
          </w:p>
          <w:p>
            <w:pPr>
              <w:pStyle w:val="63"/>
              <w:spacing w:line="276" w:lineRule="auto"/>
              <w:ind w:firstLine="0" w:firstLineChars="0"/>
              <w:rPr>
                <w:rFonts w:cs="Times New Roman"/>
                <w:color w:val="auto"/>
                <w:sz w:val="21"/>
                <w:szCs w:val="21"/>
              </w:rPr>
            </w:pPr>
            <w:r>
              <w:rPr>
                <w:rFonts w:hint="eastAsia" w:cs="Times New Roman"/>
                <w:color w:val="auto"/>
                <w:sz w:val="21"/>
                <w:szCs w:val="21"/>
              </w:rPr>
              <w:t>危</w:t>
            </w:r>
            <w:r>
              <w:rPr>
                <w:rFonts w:cs="Times New Roman"/>
                <w:color w:val="auto"/>
                <w:sz w:val="21"/>
                <w:szCs w:val="21"/>
              </w:rPr>
              <w:t>险特性</w:t>
            </w:r>
          </w:p>
        </w:tc>
        <w:tc>
          <w:tcPr>
            <w:tcW w:w="2415" w:type="pct"/>
            <w:gridSpan w:val="2"/>
          </w:tcPr>
          <w:p>
            <w:pPr>
              <w:pStyle w:val="63"/>
              <w:spacing w:line="276" w:lineRule="auto"/>
              <w:ind w:firstLine="420"/>
              <w:rPr>
                <w:rFonts w:cs="Times New Roman"/>
                <w:color w:val="auto"/>
                <w:sz w:val="21"/>
                <w:szCs w:val="21"/>
              </w:rPr>
            </w:pPr>
            <w:r>
              <w:rPr>
                <w:rFonts w:cs="Times New Roman"/>
                <w:color w:val="auto"/>
                <w:sz w:val="21"/>
                <w:szCs w:val="21"/>
              </w:rPr>
              <w:t>稳定性：稳定</w:t>
            </w:r>
          </w:p>
        </w:tc>
        <w:tc>
          <w:tcPr>
            <w:tcW w:w="2332" w:type="pct"/>
          </w:tcPr>
          <w:p>
            <w:pPr>
              <w:pStyle w:val="63"/>
              <w:spacing w:line="276" w:lineRule="auto"/>
              <w:ind w:firstLine="420"/>
              <w:rPr>
                <w:rFonts w:cs="Times New Roman"/>
                <w:color w:val="auto"/>
                <w:sz w:val="21"/>
                <w:szCs w:val="21"/>
              </w:rPr>
            </w:pPr>
            <w:r>
              <w:rPr>
                <w:rFonts w:cs="Times New Roman"/>
                <w:color w:val="auto"/>
                <w:sz w:val="21"/>
                <w:szCs w:val="21"/>
              </w:rPr>
              <w:t xml:space="preserve">燃烧性:不可燃，可助燃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2415" w:type="pct"/>
            <w:gridSpan w:val="2"/>
          </w:tcPr>
          <w:p>
            <w:pPr>
              <w:pStyle w:val="63"/>
              <w:spacing w:line="276" w:lineRule="auto"/>
              <w:ind w:firstLine="420"/>
              <w:rPr>
                <w:rFonts w:cs="Times New Roman"/>
                <w:color w:val="auto"/>
                <w:sz w:val="21"/>
                <w:szCs w:val="21"/>
              </w:rPr>
            </w:pPr>
            <w:r>
              <w:rPr>
                <w:rFonts w:cs="Times New Roman"/>
                <w:color w:val="auto"/>
                <w:sz w:val="21"/>
                <w:szCs w:val="21"/>
              </w:rPr>
              <w:t xml:space="preserve">聚合物：不聚合 </w:t>
            </w:r>
          </w:p>
        </w:tc>
        <w:tc>
          <w:tcPr>
            <w:tcW w:w="2332" w:type="pct"/>
          </w:tcPr>
          <w:p>
            <w:pPr>
              <w:pStyle w:val="63"/>
              <w:spacing w:line="276" w:lineRule="auto"/>
              <w:ind w:firstLine="420"/>
              <w:rPr>
                <w:rFonts w:cs="Times New Roman"/>
                <w:color w:val="auto"/>
                <w:sz w:val="21"/>
                <w:szCs w:val="21"/>
              </w:rPr>
            </w:pPr>
            <w:r>
              <w:rPr>
                <w:rFonts w:cs="Times New Roman"/>
                <w:color w:val="auto"/>
                <w:sz w:val="21"/>
                <w:szCs w:val="21"/>
              </w:rPr>
              <w:t xml:space="preserve">燃烧产物：可能产生有毒气体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420"/>
              <w:rPr>
                <w:rFonts w:cs="Times New Roman"/>
                <w:color w:val="auto"/>
                <w:sz w:val="21"/>
                <w:szCs w:val="21"/>
              </w:rPr>
            </w:pPr>
            <w:r>
              <w:rPr>
                <w:rFonts w:cs="Times New Roman"/>
                <w:color w:val="auto"/>
                <w:sz w:val="21"/>
                <w:szCs w:val="21"/>
              </w:rPr>
              <w:t>毒性：LC50：850mg/m3，一小时（大鼠吸入）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0" w:firstLineChars="0"/>
              <w:rPr>
                <w:rFonts w:cs="Times New Roman"/>
                <w:color w:val="auto"/>
                <w:sz w:val="21"/>
                <w:szCs w:val="21"/>
              </w:rPr>
            </w:pPr>
            <w:r>
              <w:rPr>
                <w:rFonts w:cs="Times New Roman"/>
                <w:color w:val="auto"/>
                <w:sz w:val="21"/>
                <w:szCs w:val="21"/>
              </w:rPr>
              <w:t xml:space="preserve">危险特性：本品不会燃烧，但可助燃。一般可燃物大都能在氯气中燃烧，一般易燃气体或蒸汽也都能与氯气形成爆炸性混合物。氯气能与许多化学品如乙炔、松节油、乙醚、氨、燃料气、烃类、氢气、金属等剧烈反应发生爆炸或生成爆炸性物质。它几乎对金属和非金属都有腐蚀性。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0" w:firstLineChars="0"/>
              <w:rPr>
                <w:rFonts w:cs="Times New Roman"/>
                <w:color w:val="auto"/>
                <w:sz w:val="21"/>
                <w:szCs w:val="21"/>
              </w:rPr>
            </w:pPr>
            <w:r>
              <w:rPr>
                <w:rFonts w:cs="Times New Roman"/>
                <w:color w:val="auto"/>
                <w:sz w:val="21"/>
                <w:szCs w:val="21"/>
              </w:rPr>
              <w:t xml:space="preserve">灭火方法:本品不燃。消防人员必须佩戴过滤式防毒面具或隔离式呼吸器、穿全身防火防毒服，在上风向灭火。切断起火源，喷水冷却容器，可能的haunted将容器从火场移至空旷处。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420"/>
              <w:jc w:val="center"/>
              <w:rPr>
                <w:rFonts w:cs="Times New Roman"/>
                <w:color w:val="auto"/>
                <w:sz w:val="21"/>
                <w:szCs w:val="21"/>
              </w:rPr>
            </w:pPr>
            <w:r>
              <w:rPr>
                <w:rFonts w:cs="Times New Roman"/>
                <w:color w:val="auto"/>
                <w:sz w:val="21"/>
                <w:szCs w:val="21"/>
              </w:rPr>
              <w:t xml:space="preserve">灭火剂：雾状水、泡沫、干粉。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restart"/>
          </w:tcPr>
          <w:p>
            <w:pPr>
              <w:pStyle w:val="63"/>
              <w:spacing w:line="276" w:lineRule="auto"/>
              <w:ind w:firstLine="0" w:firstLineChars="0"/>
              <w:jc w:val="center"/>
              <w:rPr>
                <w:rFonts w:cs="Times New Roman"/>
                <w:color w:val="auto"/>
                <w:sz w:val="21"/>
                <w:szCs w:val="21"/>
              </w:rPr>
            </w:pPr>
          </w:p>
          <w:p>
            <w:pPr>
              <w:pStyle w:val="63"/>
              <w:spacing w:line="276" w:lineRule="auto"/>
              <w:ind w:firstLine="0" w:firstLineChars="0"/>
              <w:jc w:val="center"/>
              <w:rPr>
                <w:rFonts w:cs="Times New Roman"/>
                <w:color w:val="auto"/>
                <w:sz w:val="21"/>
                <w:szCs w:val="21"/>
              </w:rPr>
            </w:pPr>
          </w:p>
          <w:p>
            <w:pPr>
              <w:pStyle w:val="63"/>
              <w:spacing w:line="276" w:lineRule="auto"/>
              <w:ind w:firstLine="0" w:firstLineChars="0"/>
              <w:jc w:val="center"/>
              <w:rPr>
                <w:rFonts w:cs="Times New Roman"/>
                <w:color w:val="auto"/>
                <w:sz w:val="21"/>
                <w:szCs w:val="21"/>
              </w:rPr>
            </w:pPr>
            <w:r>
              <w:rPr>
                <w:rFonts w:hint="eastAsia" w:cs="Times New Roman"/>
                <w:color w:val="auto"/>
                <w:sz w:val="21"/>
                <w:szCs w:val="21"/>
              </w:rPr>
              <w:t>健康危害</w:t>
            </w:r>
          </w:p>
        </w:tc>
        <w:tc>
          <w:tcPr>
            <w:tcW w:w="4747" w:type="pct"/>
            <w:gridSpan w:val="3"/>
          </w:tcPr>
          <w:p>
            <w:pPr>
              <w:pStyle w:val="63"/>
              <w:spacing w:line="276" w:lineRule="auto"/>
              <w:ind w:firstLine="420"/>
              <w:jc w:val="center"/>
              <w:rPr>
                <w:rFonts w:cs="Times New Roman"/>
                <w:color w:val="auto"/>
                <w:sz w:val="21"/>
                <w:szCs w:val="21"/>
              </w:rPr>
            </w:pPr>
            <w:r>
              <w:rPr>
                <w:rFonts w:cs="Times New Roman"/>
                <w:color w:val="auto"/>
                <w:sz w:val="21"/>
                <w:szCs w:val="21"/>
              </w:rPr>
              <w:t xml:space="preserve">侵入途径:吸入、接触。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420"/>
              <w:jc w:val="center"/>
              <w:rPr>
                <w:rFonts w:cs="Times New Roman"/>
                <w:color w:val="auto"/>
                <w:sz w:val="21"/>
                <w:szCs w:val="21"/>
              </w:rPr>
            </w:pPr>
            <w:r>
              <w:rPr>
                <w:rFonts w:cs="Times New Roman"/>
                <w:color w:val="auto"/>
                <w:sz w:val="21"/>
                <w:szCs w:val="21"/>
              </w:rPr>
              <w:t xml:space="preserve">健康危害:对眼、呼吸道粘膜有刺激作用。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0" w:firstLineChars="0"/>
              <w:rPr>
                <w:rFonts w:cs="Times New Roman"/>
                <w:color w:val="auto"/>
                <w:sz w:val="21"/>
                <w:szCs w:val="21"/>
              </w:rPr>
            </w:pPr>
            <w:r>
              <w:rPr>
                <w:rFonts w:cs="Times New Roman"/>
                <w:color w:val="auto"/>
                <w:sz w:val="21"/>
                <w:szCs w:val="21"/>
              </w:rPr>
              <w:t xml:space="preserve">急性中毒：轻度者有流泪、咳少量痰、咳嗽、胸闷，出现气管炎和支气管炎的表现；中毒发生支气管肺炎或间接性肺水肿，病人除有上述症状的加重外，出现呼吸困难等；重者发生肺水肿、昏迷和休克，出现七雄、纵隔气肿等并发症。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0" w:firstLineChars="0"/>
              <w:rPr>
                <w:rFonts w:cs="Times New Roman"/>
                <w:color w:val="auto"/>
                <w:sz w:val="21"/>
                <w:szCs w:val="21"/>
              </w:rPr>
            </w:pPr>
            <w:r>
              <w:rPr>
                <w:rFonts w:cs="Times New Roman"/>
                <w:color w:val="auto"/>
                <w:sz w:val="21"/>
                <w:szCs w:val="21"/>
              </w:rPr>
              <w:t xml:space="preserve">慢性影响：长期低浓度接触，可引起慢性支气管炎支气管哮喘等，可引起职业性痤疮及牙齿酸蚀症。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420"/>
              <w:jc w:val="center"/>
              <w:rPr>
                <w:rFonts w:cs="Times New Roman"/>
                <w:color w:val="auto"/>
                <w:sz w:val="21"/>
                <w:szCs w:val="21"/>
              </w:rPr>
            </w:pPr>
            <w:r>
              <w:rPr>
                <w:rFonts w:cs="Times New Roman"/>
                <w:color w:val="auto"/>
                <w:sz w:val="21"/>
                <w:szCs w:val="21"/>
              </w:rPr>
              <w:t xml:space="preserve">防护：工作场所严禁吸烟、进食和饮水，饭前要洗手，工作毕沐浴更衣，合租一个人卫生。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420"/>
              <w:jc w:val="center"/>
              <w:rPr>
                <w:rFonts w:cs="Times New Roman"/>
                <w:color w:val="auto"/>
                <w:sz w:val="21"/>
                <w:szCs w:val="21"/>
              </w:rPr>
            </w:pPr>
            <w:r>
              <w:rPr>
                <w:rFonts w:cs="Times New Roman"/>
                <w:color w:val="auto"/>
                <w:sz w:val="21"/>
                <w:szCs w:val="21"/>
              </w:rPr>
              <w:t>安全卫生标准：最高浓度1mg/m</w:t>
            </w:r>
            <w:r>
              <w:rPr>
                <w:rFonts w:cs="Times New Roman"/>
                <w:color w:val="auto"/>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restart"/>
          </w:tcPr>
          <w:p>
            <w:pPr>
              <w:pStyle w:val="63"/>
              <w:spacing w:line="276" w:lineRule="auto"/>
              <w:ind w:firstLine="420"/>
              <w:rPr>
                <w:rFonts w:cs="Times New Roman"/>
                <w:color w:val="auto"/>
                <w:sz w:val="21"/>
                <w:szCs w:val="21"/>
              </w:rPr>
            </w:pPr>
            <w:r>
              <w:rPr>
                <w:rFonts w:cs="Times New Roman"/>
                <w:color w:val="auto"/>
                <w:sz w:val="21"/>
                <w:szCs w:val="21"/>
              </w:rPr>
              <w:t>储运泄漏处理</w:t>
            </w:r>
          </w:p>
        </w:tc>
        <w:tc>
          <w:tcPr>
            <w:tcW w:w="4747" w:type="pct"/>
            <w:gridSpan w:val="3"/>
          </w:tcPr>
          <w:p>
            <w:pPr>
              <w:pStyle w:val="63"/>
              <w:spacing w:line="276" w:lineRule="auto"/>
              <w:ind w:firstLine="0" w:firstLineChars="0"/>
              <w:rPr>
                <w:rFonts w:cs="Times New Roman"/>
                <w:color w:val="auto"/>
                <w:sz w:val="21"/>
                <w:szCs w:val="21"/>
              </w:rPr>
            </w:pPr>
            <w:r>
              <w:rPr>
                <w:rFonts w:cs="Times New Roman"/>
                <w:color w:val="auto"/>
                <w:sz w:val="21"/>
                <w:szCs w:val="21"/>
              </w:rPr>
              <w:t>储运注意事项：储存与阴凉、通风的库房，远离火种、热源。库温不超过30</w:t>
            </w:r>
            <w:r>
              <w:rPr>
                <w:rFonts w:hAnsi="宋体" w:cs="Times New Roman"/>
                <w:color w:val="auto"/>
                <w:sz w:val="21"/>
                <w:szCs w:val="21"/>
              </w:rPr>
              <w:t>℃</w:t>
            </w:r>
            <w:r>
              <w:rPr>
                <w:rFonts w:cs="Times New Roman"/>
                <w:color w:val="auto"/>
                <w:sz w:val="21"/>
                <w:szCs w:val="21"/>
              </w:rPr>
              <w:t>，相对湿度不超过80%，应与易燃物、醇类、食用化学品分开存放，切忌混储。储区应备有泄漏应急处理设备。严格执行极毒物品“五双”管理制度。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0" w:firstLineChars="0"/>
              <w:rPr>
                <w:rFonts w:cs="Times New Roman"/>
                <w:color w:val="auto"/>
                <w:sz w:val="21"/>
                <w:szCs w:val="21"/>
              </w:rPr>
            </w:pPr>
            <w:r>
              <w:rPr>
                <w:rFonts w:cs="Times New Roman"/>
                <w:color w:val="auto"/>
                <w:sz w:val="21"/>
                <w:szCs w:val="21"/>
              </w:rPr>
              <w:t>泄漏处置：迅速撤离泄漏污染区人员至上风处，并立即进行隔离，严格限制出入。建议应急处理人员戴自给正压式呼吸器，穿防毒服。尽可能切断漏源。合理通风，加速扩散。喷雾状水稀释、溶解。</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53" w:type="pct"/>
            <w:vMerge w:val="continue"/>
          </w:tcPr>
          <w:p>
            <w:pPr>
              <w:pStyle w:val="63"/>
              <w:spacing w:line="276" w:lineRule="auto"/>
              <w:ind w:firstLine="420"/>
              <w:rPr>
                <w:rFonts w:cs="Times New Roman"/>
                <w:color w:val="auto"/>
                <w:sz w:val="21"/>
                <w:szCs w:val="21"/>
              </w:rPr>
            </w:pPr>
          </w:p>
        </w:tc>
        <w:tc>
          <w:tcPr>
            <w:tcW w:w="4747" w:type="pct"/>
            <w:gridSpan w:val="3"/>
          </w:tcPr>
          <w:p>
            <w:pPr>
              <w:pStyle w:val="63"/>
              <w:spacing w:line="276" w:lineRule="auto"/>
              <w:ind w:firstLine="199" w:firstLineChars="95"/>
              <w:jc w:val="center"/>
              <w:rPr>
                <w:rFonts w:cs="Times New Roman"/>
                <w:color w:val="auto"/>
                <w:sz w:val="21"/>
                <w:szCs w:val="21"/>
              </w:rPr>
            </w:pPr>
            <w:r>
              <w:rPr>
                <w:rFonts w:cs="Times New Roman"/>
                <w:color w:val="auto"/>
                <w:sz w:val="21"/>
                <w:szCs w:val="21"/>
              </w:rPr>
              <w:t>工程控制：生产过程通风，提供安全沐浴和洗眼设备。</w:t>
            </w:r>
          </w:p>
        </w:tc>
      </w:tr>
    </w:tbl>
    <w:p>
      <w:pPr>
        <w:pStyle w:val="62"/>
        <w:rPr>
          <w:color w:val="auto"/>
        </w:rPr>
      </w:pPr>
      <w:r>
        <w:rPr>
          <w:rFonts w:hint="eastAsia"/>
          <w:color w:val="auto"/>
        </w:rPr>
        <w:t>8.2.2风险性识别</w:t>
      </w:r>
    </w:p>
    <w:p>
      <w:pPr>
        <w:pStyle w:val="63"/>
        <w:ind w:firstLine="480"/>
        <w:rPr>
          <w:rFonts w:cs="Times New Roman"/>
          <w:color w:val="auto"/>
        </w:rPr>
      </w:pPr>
      <w:r>
        <w:rPr>
          <w:rFonts w:cs="Times New Roman"/>
          <w:color w:val="auto"/>
        </w:rPr>
        <w:t>氯气泄漏是最大的潜在事故，如不慎泄漏将对厂内生产人员产生危害，同时对厂外环境也有一定影响。</w:t>
      </w:r>
    </w:p>
    <w:p>
      <w:pPr>
        <w:pStyle w:val="63"/>
        <w:ind w:firstLine="480"/>
        <w:rPr>
          <w:rFonts w:cs="Times New Roman"/>
          <w:color w:val="auto"/>
        </w:rPr>
      </w:pPr>
      <w:r>
        <w:rPr>
          <w:rFonts w:cs="Times New Roman"/>
          <w:color w:val="auto"/>
        </w:rPr>
        <w:t>本项目设计中采用全真空投加方式，以防止氯的外泄，并在氯库内设置了漏氯检测仪和氯气吸收装置，当发生氯气意外泄漏时，氯气吸收装置自动投运，可将泄漏出的氯气全部进行中和处理，能够保护周围的环境免受氯气泄漏的影响。</w:t>
      </w:r>
    </w:p>
    <w:p>
      <w:pPr>
        <w:pStyle w:val="63"/>
        <w:ind w:firstLine="480"/>
        <w:rPr>
          <w:color w:val="auto"/>
        </w:rPr>
      </w:pPr>
      <w:r>
        <w:rPr>
          <w:rFonts w:cs="Times New Roman"/>
          <w:color w:val="auto"/>
        </w:rPr>
        <w:t>输水管线爆管为本项目最大的潜在事故，爆管后将对周围环境产生影响。</w:t>
      </w:r>
    </w:p>
    <w:p>
      <w:pPr>
        <w:pStyle w:val="61"/>
        <w:rPr>
          <w:i/>
          <w:color w:val="auto"/>
        </w:rPr>
      </w:pPr>
      <w:bookmarkStart w:id="101" w:name="_Toc436902184"/>
      <w:r>
        <w:rPr>
          <w:rFonts w:hint="eastAsia"/>
          <w:color w:val="auto"/>
        </w:rPr>
        <w:t>8.3源项分析</w:t>
      </w:r>
      <w:bookmarkEnd w:id="101"/>
    </w:p>
    <w:p>
      <w:pPr>
        <w:pStyle w:val="62"/>
        <w:rPr>
          <w:color w:val="auto"/>
        </w:rPr>
      </w:pPr>
      <w:r>
        <w:rPr>
          <w:rFonts w:hint="eastAsia"/>
          <w:color w:val="auto"/>
        </w:rPr>
        <w:t>8.3.1可接受风险值及最大可信事故概率的确定</w:t>
      </w:r>
    </w:p>
    <w:p>
      <w:pPr>
        <w:pStyle w:val="63"/>
        <w:ind w:firstLine="480"/>
        <w:rPr>
          <w:color w:val="auto"/>
        </w:rPr>
      </w:pPr>
      <w:r>
        <w:rPr>
          <w:color w:val="auto"/>
        </w:rPr>
        <w:t>（1）可接受风险值得确定</w:t>
      </w:r>
    </w:p>
    <w:p>
      <w:pPr>
        <w:pStyle w:val="63"/>
        <w:ind w:firstLine="480"/>
        <w:rPr>
          <w:color w:val="auto"/>
        </w:rPr>
      </w:pPr>
      <w:r>
        <w:rPr>
          <w:color w:val="auto"/>
        </w:rPr>
        <w:t>可接受风险值水平的单位一般采用“</w:t>
      </w:r>
      <w:r>
        <w:rPr>
          <w:rFonts w:hAnsi="宋体"/>
          <w:color w:val="auto"/>
        </w:rPr>
        <w:t>死亡</w:t>
      </w:r>
      <w:r>
        <w:rPr>
          <w:color w:val="auto"/>
        </w:rPr>
        <w:t>/</w:t>
      </w:r>
      <w:r>
        <w:rPr>
          <w:rFonts w:hAnsi="宋体"/>
          <w:color w:val="auto"/>
        </w:rPr>
        <w:t>年</w:t>
      </w:r>
      <w:r>
        <w:rPr>
          <w:color w:val="auto"/>
        </w:rPr>
        <w:t>”。安全和风险是相伴而生的，风险事故的发生频率不可能为零。在计算风险事故时，不仅要考虑事故的发生概率，也应考虑不利气象条件出现的概率及下风向的人口分布。对于社会公众而言最大可接受风险不应高于常见的风险值。在工业和其它活动中，各种风险水平及其可接受程度见表8.3-1。</w:t>
      </w:r>
    </w:p>
    <w:p>
      <w:pPr>
        <w:pStyle w:val="65"/>
      </w:pPr>
      <w:r>
        <w:t>表8.3-1    各种风险水平及可接受程度</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Layout w:type="autofit"/>
        <w:tblCellMar>
          <w:top w:w="0" w:type="dxa"/>
          <w:left w:w="108" w:type="dxa"/>
          <w:bottom w:w="0" w:type="dxa"/>
          <w:right w:w="108" w:type="dxa"/>
        </w:tblCellMar>
      </w:tblPr>
      <w:tblGrid>
        <w:gridCol w:w="1952"/>
        <w:gridCol w:w="3826"/>
        <w:gridCol w:w="3464"/>
      </w:tblGrid>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1056" w:type="pct"/>
            <w:vAlign w:val="center"/>
          </w:tcPr>
          <w:p>
            <w:pPr>
              <w:pStyle w:val="63"/>
              <w:ind w:firstLine="0" w:firstLineChars="0"/>
              <w:jc w:val="center"/>
              <w:rPr>
                <w:b/>
                <w:color w:val="auto"/>
                <w:sz w:val="21"/>
                <w:szCs w:val="21"/>
              </w:rPr>
            </w:pPr>
            <w:r>
              <w:rPr>
                <w:b/>
                <w:color w:val="auto"/>
                <w:sz w:val="21"/>
                <w:szCs w:val="21"/>
              </w:rPr>
              <w:t>风险值（死亡/年）</w:t>
            </w:r>
          </w:p>
        </w:tc>
        <w:tc>
          <w:tcPr>
            <w:tcW w:w="2070" w:type="pct"/>
            <w:vAlign w:val="center"/>
          </w:tcPr>
          <w:p>
            <w:pPr>
              <w:pStyle w:val="63"/>
              <w:ind w:firstLine="0" w:firstLineChars="0"/>
              <w:jc w:val="center"/>
              <w:rPr>
                <w:b/>
                <w:color w:val="auto"/>
                <w:sz w:val="21"/>
                <w:szCs w:val="21"/>
              </w:rPr>
            </w:pPr>
            <w:r>
              <w:rPr>
                <w:rFonts w:hAnsi="宋体"/>
                <w:b/>
                <w:color w:val="auto"/>
                <w:sz w:val="21"/>
                <w:szCs w:val="21"/>
              </w:rPr>
              <w:t>危险性</w:t>
            </w:r>
          </w:p>
        </w:tc>
        <w:tc>
          <w:tcPr>
            <w:tcW w:w="1874" w:type="pct"/>
            <w:vAlign w:val="center"/>
          </w:tcPr>
          <w:p>
            <w:pPr>
              <w:pStyle w:val="63"/>
              <w:ind w:firstLine="0" w:firstLineChars="0"/>
              <w:jc w:val="center"/>
              <w:rPr>
                <w:b/>
                <w:color w:val="auto"/>
                <w:sz w:val="21"/>
                <w:szCs w:val="21"/>
              </w:rPr>
            </w:pPr>
            <w:r>
              <w:rPr>
                <w:rFonts w:hAnsi="宋体"/>
                <w:b/>
                <w:color w:val="auto"/>
                <w:sz w:val="21"/>
                <w:szCs w:val="21"/>
              </w:rPr>
              <w:t>可接受程度</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1056" w:type="pct"/>
            <w:vAlign w:val="center"/>
          </w:tcPr>
          <w:p>
            <w:pPr>
              <w:pStyle w:val="63"/>
              <w:ind w:firstLine="0" w:firstLineChars="0"/>
              <w:jc w:val="center"/>
              <w:rPr>
                <w:rFonts w:cs="Times New Roman"/>
                <w:color w:val="auto"/>
                <w:sz w:val="21"/>
                <w:szCs w:val="21"/>
              </w:rPr>
            </w:pPr>
            <w:r>
              <w:rPr>
                <w:rFonts w:cs="Times New Roman"/>
                <w:color w:val="auto"/>
                <w:sz w:val="21"/>
                <w:szCs w:val="21"/>
              </w:rPr>
              <w:t>10</w:t>
            </w:r>
            <w:r>
              <w:rPr>
                <w:rFonts w:cs="Times New Roman"/>
                <w:color w:val="auto"/>
                <w:sz w:val="21"/>
                <w:szCs w:val="21"/>
                <w:vertAlign w:val="superscript"/>
              </w:rPr>
              <w:t>-3</w:t>
            </w:r>
            <w:r>
              <w:rPr>
                <w:rFonts w:cs="Times New Roman"/>
                <w:color w:val="auto"/>
                <w:sz w:val="21"/>
                <w:szCs w:val="21"/>
              </w:rPr>
              <w:t>数量级</w:t>
            </w:r>
          </w:p>
        </w:tc>
        <w:tc>
          <w:tcPr>
            <w:tcW w:w="2070" w:type="pct"/>
            <w:vAlign w:val="center"/>
          </w:tcPr>
          <w:p>
            <w:pPr>
              <w:pStyle w:val="63"/>
              <w:ind w:firstLine="0" w:firstLineChars="0"/>
              <w:jc w:val="center"/>
              <w:rPr>
                <w:color w:val="auto"/>
                <w:sz w:val="21"/>
                <w:szCs w:val="21"/>
              </w:rPr>
            </w:pPr>
            <w:r>
              <w:rPr>
                <w:rFonts w:hAnsi="宋体"/>
                <w:color w:val="auto"/>
                <w:sz w:val="21"/>
                <w:szCs w:val="21"/>
              </w:rPr>
              <w:t>操作危险性特别高</w:t>
            </w:r>
          </w:p>
        </w:tc>
        <w:tc>
          <w:tcPr>
            <w:tcW w:w="1874" w:type="pct"/>
            <w:vAlign w:val="center"/>
          </w:tcPr>
          <w:p>
            <w:pPr>
              <w:pStyle w:val="63"/>
              <w:ind w:firstLine="0" w:firstLineChars="0"/>
              <w:jc w:val="center"/>
              <w:rPr>
                <w:color w:val="auto"/>
                <w:sz w:val="21"/>
                <w:szCs w:val="21"/>
              </w:rPr>
            </w:pPr>
            <w:r>
              <w:rPr>
                <w:rFonts w:hAnsi="宋体"/>
                <w:color w:val="auto"/>
                <w:sz w:val="21"/>
                <w:szCs w:val="21"/>
              </w:rPr>
              <w:t>不可接受</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1056" w:type="pct"/>
            <w:vAlign w:val="center"/>
          </w:tcPr>
          <w:p>
            <w:pPr>
              <w:pStyle w:val="63"/>
              <w:ind w:firstLine="0" w:firstLineChars="0"/>
              <w:jc w:val="center"/>
              <w:rPr>
                <w:color w:val="auto"/>
                <w:sz w:val="21"/>
                <w:szCs w:val="21"/>
              </w:rPr>
            </w:pPr>
            <w:r>
              <w:rPr>
                <w:color w:val="auto"/>
                <w:sz w:val="21"/>
                <w:szCs w:val="21"/>
              </w:rPr>
              <w:t>10</w:t>
            </w:r>
            <w:r>
              <w:rPr>
                <w:color w:val="auto"/>
                <w:sz w:val="21"/>
                <w:szCs w:val="21"/>
                <w:vertAlign w:val="superscript"/>
              </w:rPr>
              <w:t>-4</w:t>
            </w:r>
            <w:r>
              <w:rPr>
                <w:color w:val="auto"/>
                <w:sz w:val="21"/>
                <w:szCs w:val="21"/>
              </w:rPr>
              <w:t>数量级</w:t>
            </w:r>
          </w:p>
        </w:tc>
        <w:tc>
          <w:tcPr>
            <w:tcW w:w="2070" w:type="pct"/>
            <w:vAlign w:val="center"/>
          </w:tcPr>
          <w:p>
            <w:pPr>
              <w:pStyle w:val="63"/>
              <w:ind w:firstLine="0" w:firstLineChars="0"/>
              <w:jc w:val="center"/>
              <w:rPr>
                <w:color w:val="auto"/>
                <w:sz w:val="21"/>
                <w:szCs w:val="21"/>
              </w:rPr>
            </w:pPr>
            <w:r>
              <w:rPr>
                <w:rFonts w:hAnsi="宋体"/>
                <w:color w:val="auto"/>
                <w:sz w:val="21"/>
                <w:szCs w:val="21"/>
              </w:rPr>
              <w:t>操作危险性中等</w:t>
            </w:r>
          </w:p>
        </w:tc>
        <w:tc>
          <w:tcPr>
            <w:tcW w:w="1874" w:type="pct"/>
            <w:vAlign w:val="center"/>
          </w:tcPr>
          <w:p>
            <w:pPr>
              <w:pStyle w:val="63"/>
              <w:ind w:firstLine="0" w:firstLineChars="0"/>
              <w:jc w:val="center"/>
              <w:rPr>
                <w:color w:val="auto"/>
                <w:sz w:val="21"/>
                <w:szCs w:val="21"/>
              </w:rPr>
            </w:pPr>
            <w:r>
              <w:rPr>
                <w:rFonts w:hAnsi="宋体"/>
                <w:color w:val="auto"/>
                <w:sz w:val="21"/>
                <w:szCs w:val="21"/>
              </w:rPr>
              <w:t>必须立即采取措施改进</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1056" w:type="pct"/>
            <w:vAlign w:val="center"/>
          </w:tcPr>
          <w:p>
            <w:pPr>
              <w:pStyle w:val="63"/>
              <w:ind w:firstLine="0" w:firstLineChars="0"/>
              <w:jc w:val="center"/>
              <w:rPr>
                <w:color w:val="auto"/>
                <w:sz w:val="21"/>
                <w:szCs w:val="21"/>
              </w:rPr>
            </w:pPr>
            <w:r>
              <w:rPr>
                <w:color w:val="auto"/>
                <w:sz w:val="21"/>
                <w:szCs w:val="21"/>
              </w:rPr>
              <w:t>10</w:t>
            </w:r>
            <w:r>
              <w:rPr>
                <w:color w:val="auto"/>
                <w:sz w:val="21"/>
                <w:szCs w:val="21"/>
                <w:vertAlign w:val="superscript"/>
              </w:rPr>
              <w:t>-5</w:t>
            </w:r>
            <w:r>
              <w:rPr>
                <w:color w:val="auto"/>
                <w:sz w:val="21"/>
                <w:szCs w:val="21"/>
              </w:rPr>
              <w:t>数量级</w:t>
            </w:r>
          </w:p>
        </w:tc>
        <w:tc>
          <w:tcPr>
            <w:tcW w:w="2070" w:type="pct"/>
            <w:vAlign w:val="center"/>
          </w:tcPr>
          <w:p>
            <w:pPr>
              <w:pStyle w:val="63"/>
              <w:ind w:firstLine="0" w:firstLineChars="0"/>
              <w:jc w:val="center"/>
              <w:rPr>
                <w:color w:val="auto"/>
                <w:sz w:val="21"/>
                <w:szCs w:val="21"/>
              </w:rPr>
            </w:pPr>
            <w:r>
              <w:rPr>
                <w:rFonts w:hAnsi="宋体"/>
                <w:color w:val="auto"/>
                <w:sz w:val="21"/>
                <w:szCs w:val="21"/>
              </w:rPr>
              <w:t>与游泳事故和煤气中毒事故属同一量级</w:t>
            </w:r>
          </w:p>
        </w:tc>
        <w:tc>
          <w:tcPr>
            <w:tcW w:w="1874" w:type="pct"/>
            <w:vAlign w:val="center"/>
          </w:tcPr>
          <w:p>
            <w:pPr>
              <w:pStyle w:val="63"/>
              <w:ind w:firstLine="0" w:firstLineChars="0"/>
              <w:jc w:val="center"/>
              <w:rPr>
                <w:color w:val="auto"/>
                <w:sz w:val="21"/>
                <w:szCs w:val="21"/>
              </w:rPr>
            </w:pPr>
            <w:r>
              <w:rPr>
                <w:rFonts w:hAnsi="宋体"/>
                <w:color w:val="auto"/>
                <w:sz w:val="21"/>
                <w:szCs w:val="21"/>
              </w:rPr>
              <w:t>人们对此关心，愿意采取措施预防</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1056" w:type="pct"/>
            <w:vAlign w:val="center"/>
          </w:tcPr>
          <w:p>
            <w:pPr>
              <w:pStyle w:val="63"/>
              <w:ind w:firstLine="0" w:firstLineChars="0"/>
              <w:jc w:val="center"/>
              <w:rPr>
                <w:color w:val="auto"/>
                <w:sz w:val="21"/>
                <w:szCs w:val="21"/>
              </w:rPr>
            </w:pPr>
            <w:r>
              <w:rPr>
                <w:color w:val="auto"/>
                <w:sz w:val="21"/>
                <w:szCs w:val="21"/>
              </w:rPr>
              <w:t>10</w:t>
            </w:r>
            <w:r>
              <w:rPr>
                <w:color w:val="auto"/>
                <w:sz w:val="21"/>
                <w:szCs w:val="21"/>
                <w:vertAlign w:val="superscript"/>
              </w:rPr>
              <w:t>-6</w:t>
            </w:r>
            <w:r>
              <w:rPr>
                <w:color w:val="auto"/>
                <w:sz w:val="21"/>
                <w:szCs w:val="21"/>
              </w:rPr>
              <w:t>数量级</w:t>
            </w:r>
          </w:p>
        </w:tc>
        <w:tc>
          <w:tcPr>
            <w:tcW w:w="2070" w:type="pct"/>
            <w:vAlign w:val="center"/>
          </w:tcPr>
          <w:p>
            <w:pPr>
              <w:pStyle w:val="63"/>
              <w:ind w:firstLine="0" w:firstLineChars="0"/>
              <w:jc w:val="center"/>
              <w:rPr>
                <w:color w:val="auto"/>
                <w:sz w:val="21"/>
                <w:szCs w:val="21"/>
              </w:rPr>
            </w:pPr>
            <w:r>
              <w:rPr>
                <w:rFonts w:hAnsi="宋体"/>
                <w:color w:val="auto"/>
                <w:sz w:val="21"/>
                <w:szCs w:val="21"/>
              </w:rPr>
              <w:t>相当于地震和天灾的风险</w:t>
            </w:r>
          </w:p>
        </w:tc>
        <w:tc>
          <w:tcPr>
            <w:tcW w:w="1874" w:type="pct"/>
            <w:vAlign w:val="center"/>
          </w:tcPr>
          <w:p>
            <w:pPr>
              <w:pStyle w:val="63"/>
              <w:ind w:firstLine="0" w:firstLineChars="0"/>
              <w:jc w:val="center"/>
              <w:rPr>
                <w:color w:val="auto"/>
                <w:sz w:val="21"/>
                <w:szCs w:val="21"/>
              </w:rPr>
            </w:pPr>
            <w:r>
              <w:rPr>
                <w:rFonts w:hAnsi="宋体"/>
                <w:color w:val="auto"/>
                <w:sz w:val="21"/>
                <w:szCs w:val="21"/>
              </w:rPr>
              <w:t>人们并不关心这类事故发生</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1056" w:type="pct"/>
            <w:vAlign w:val="center"/>
          </w:tcPr>
          <w:p>
            <w:pPr>
              <w:pStyle w:val="63"/>
              <w:ind w:firstLine="0" w:firstLineChars="0"/>
              <w:jc w:val="center"/>
              <w:rPr>
                <w:rFonts w:cs="Times New Roman"/>
                <w:color w:val="auto"/>
                <w:sz w:val="21"/>
                <w:szCs w:val="21"/>
              </w:rPr>
            </w:pPr>
            <w:r>
              <w:rPr>
                <w:rFonts w:cs="Times New Roman"/>
                <w:color w:val="auto"/>
                <w:sz w:val="21"/>
                <w:szCs w:val="21"/>
              </w:rPr>
              <w:t>10</w:t>
            </w:r>
            <w:r>
              <w:rPr>
                <w:rFonts w:cs="Times New Roman"/>
                <w:color w:val="auto"/>
                <w:sz w:val="21"/>
                <w:szCs w:val="21"/>
                <w:vertAlign w:val="superscript"/>
              </w:rPr>
              <w:t>-7</w:t>
            </w:r>
            <w:r>
              <w:rPr>
                <w:rFonts w:cs="Times New Roman"/>
                <w:color w:val="auto"/>
                <w:sz w:val="21"/>
                <w:szCs w:val="21"/>
              </w:rPr>
              <w:t>～10</w:t>
            </w:r>
            <w:r>
              <w:rPr>
                <w:rFonts w:cs="Times New Roman"/>
                <w:color w:val="auto"/>
                <w:sz w:val="21"/>
                <w:szCs w:val="21"/>
                <w:vertAlign w:val="superscript"/>
              </w:rPr>
              <w:t>-8</w:t>
            </w:r>
            <w:r>
              <w:rPr>
                <w:rFonts w:cs="Times New Roman"/>
                <w:color w:val="auto"/>
                <w:sz w:val="21"/>
                <w:szCs w:val="21"/>
              </w:rPr>
              <w:t>数量级</w:t>
            </w:r>
          </w:p>
        </w:tc>
        <w:tc>
          <w:tcPr>
            <w:tcW w:w="2070" w:type="pct"/>
            <w:vAlign w:val="center"/>
          </w:tcPr>
          <w:p>
            <w:pPr>
              <w:pStyle w:val="63"/>
              <w:ind w:firstLine="0" w:firstLineChars="0"/>
              <w:jc w:val="center"/>
              <w:rPr>
                <w:rFonts w:cs="Times New Roman"/>
                <w:color w:val="auto"/>
                <w:sz w:val="21"/>
                <w:szCs w:val="21"/>
              </w:rPr>
            </w:pPr>
            <w:r>
              <w:rPr>
                <w:rFonts w:cs="Times New Roman"/>
                <w:color w:val="auto"/>
                <w:sz w:val="21"/>
                <w:szCs w:val="21"/>
              </w:rPr>
              <w:t>相当于陨石坠落伤人</w:t>
            </w:r>
          </w:p>
        </w:tc>
        <w:tc>
          <w:tcPr>
            <w:tcW w:w="1874" w:type="pct"/>
            <w:vAlign w:val="center"/>
          </w:tcPr>
          <w:p>
            <w:pPr>
              <w:pStyle w:val="63"/>
              <w:ind w:firstLine="0" w:firstLineChars="0"/>
              <w:jc w:val="center"/>
              <w:rPr>
                <w:rFonts w:cs="Times New Roman"/>
                <w:color w:val="auto"/>
                <w:sz w:val="21"/>
                <w:szCs w:val="21"/>
              </w:rPr>
            </w:pPr>
            <w:r>
              <w:rPr>
                <w:rFonts w:cs="Times New Roman"/>
                <w:color w:val="auto"/>
                <w:sz w:val="21"/>
                <w:szCs w:val="21"/>
              </w:rPr>
              <w:t>没有人愿为这种事故投资加以预防</w:t>
            </w:r>
          </w:p>
        </w:tc>
      </w:tr>
    </w:tbl>
    <w:p>
      <w:pPr>
        <w:pStyle w:val="63"/>
        <w:ind w:firstLine="480"/>
        <w:rPr>
          <w:color w:val="auto"/>
        </w:rPr>
      </w:pPr>
      <w:r>
        <w:rPr>
          <w:color w:val="auto"/>
        </w:rPr>
        <w:t>按美国EPA规定，小型人群可接受风险值为10</w:t>
      </w:r>
      <w:r>
        <w:rPr>
          <w:color w:val="auto"/>
          <w:vertAlign w:val="superscript"/>
        </w:rPr>
        <w:t>-5</w:t>
      </w:r>
      <w:r>
        <w:rPr>
          <w:color w:val="auto"/>
        </w:rPr>
        <w:t>～10</w:t>
      </w:r>
      <w:r>
        <w:rPr>
          <w:color w:val="auto"/>
          <w:vertAlign w:val="superscript"/>
        </w:rPr>
        <w:t>-4</w:t>
      </w:r>
      <w:r>
        <w:rPr>
          <w:color w:val="auto"/>
        </w:rPr>
        <w:t>a</w:t>
      </w:r>
      <w:r>
        <w:rPr>
          <w:color w:val="auto"/>
          <w:vertAlign w:val="superscript"/>
        </w:rPr>
        <w:t>-1</w:t>
      </w:r>
      <w:r>
        <w:rPr>
          <w:color w:val="auto"/>
        </w:rPr>
        <w:t>；社会人群可接受风险值为10</w:t>
      </w:r>
      <w:r>
        <w:rPr>
          <w:color w:val="auto"/>
          <w:vertAlign w:val="superscript"/>
        </w:rPr>
        <w:t>-7</w:t>
      </w:r>
      <w:r>
        <w:rPr>
          <w:color w:val="auto"/>
        </w:rPr>
        <w:t>～10</w:t>
      </w:r>
      <w:r>
        <w:rPr>
          <w:color w:val="auto"/>
          <w:vertAlign w:val="superscript"/>
        </w:rPr>
        <w:t>-6</w:t>
      </w:r>
      <w:r>
        <w:rPr>
          <w:color w:val="auto"/>
        </w:rPr>
        <w:t>a</w:t>
      </w:r>
      <w:r>
        <w:rPr>
          <w:color w:val="auto"/>
          <w:vertAlign w:val="superscript"/>
        </w:rPr>
        <w:t>-1</w:t>
      </w:r>
      <w:r>
        <w:rPr>
          <w:color w:val="auto"/>
        </w:rPr>
        <w:t>。</w:t>
      </w:r>
    </w:p>
    <w:p>
      <w:pPr>
        <w:pStyle w:val="63"/>
        <w:ind w:firstLine="480"/>
        <w:rPr>
          <w:color w:val="auto"/>
        </w:rPr>
      </w:pPr>
      <w:r>
        <w:rPr>
          <w:rFonts w:hint="eastAsia"/>
          <w:color w:val="auto"/>
        </w:rPr>
        <w:t>（2）最大可信事故确定</w:t>
      </w:r>
    </w:p>
    <w:p>
      <w:pPr>
        <w:pStyle w:val="63"/>
        <w:ind w:firstLine="480"/>
        <w:rPr>
          <w:color w:val="auto"/>
        </w:rPr>
      </w:pPr>
      <w:r>
        <w:rPr>
          <w:color w:val="auto"/>
        </w:rPr>
        <w:t>最大可信事故是指，在所有预测的概率不为零的事故中，对环境（或健康）危害最严重的重大事故。最大可信事故确定的目的是针对典型事故进行环境风险分析，并不意味着其它事故不具环境风险。在项目生产、贮存、运输等过程中，存在诸多事故风险因素，风险评价不可能面面具到，只能考虑对环境危害最大的事故风险。</w:t>
      </w:r>
    </w:p>
    <w:p>
      <w:pPr>
        <w:pStyle w:val="63"/>
        <w:ind w:firstLine="480"/>
        <w:rPr>
          <w:color w:val="auto"/>
        </w:rPr>
      </w:pPr>
      <w:r>
        <w:rPr>
          <w:color w:val="auto"/>
        </w:rPr>
        <w:t>氯气属于《重大危险源辨识》（GB 18218-2000）中的有毒气体。本项目在氯库内设置</w:t>
      </w:r>
      <w:r>
        <w:rPr>
          <w:rFonts w:hint="eastAsia"/>
          <w:color w:val="auto"/>
        </w:rPr>
        <w:t>1</w:t>
      </w:r>
      <w:r>
        <w:rPr>
          <w:color w:val="auto"/>
        </w:rPr>
        <w:t>个容量为500kg的氯气罐，由于氯气属于有毒气体</w:t>
      </w:r>
      <w:r>
        <w:rPr>
          <w:rFonts w:hint="eastAsia"/>
          <w:color w:val="auto"/>
        </w:rPr>
        <w:t>，当氯气罐破裂泄漏后会对周围环境造成影响。</w:t>
      </w:r>
    </w:p>
    <w:p>
      <w:pPr>
        <w:pStyle w:val="63"/>
        <w:ind w:firstLine="480"/>
        <w:rPr>
          <w:color w:val="auto"/>
        </w:rPr>
      </w:pPr>
      <w:r>
        <w:rPr>
          <w:rFonts w:hint="eastAsia"/>
          <w:color w:val="auto"/>
        </w:rPr>
        <w:t>（3）最大事故发生概率的确定</w:t>
      </w:r>
    </w:p>
    <w:p>
      <w:pPr>
        <w:pStyle w:val="63"/>
        <w:ind w:firstLine="480"/>
        <w:rPr>
          <w:color w:val="auto"/>
        </w:rPr>
      </w:pPr>
      <w:r>
        <w:rPr>
          <w:color w:val="auto"/>
        </w:rPr>
        <w:t>据我国不完全统计，设备容器一般破裂泄漏、爆炸的事故概率在1×10</w:t>
      </w:r>
      <w:r>
        <w:rPr>
          <w:color w:val="auto"/>
          <w:vertAlign w:val="superscript"/>
        </w:rPr>
        <w:t>-5</w:t>
      </w:r>
      <w:r>
        <w:rPr>
          <w:color w:val="auto"/>
        </w:rPr>
        <w:t>/a左右，本评价综合考虑工艺和设备技术进步和管理水平提高，给出本工程的事故发生概率取值为K=1×10</w:t>
      </w:r>
      <w:r>
        <w:rPr>
          <w:color w:val="auto"/>
          <w:vertAlign w:val="superscript"/>
        </w:rPr>
        <w:t>-5</w:t>
      </w:r>
      <w:r>
        <w:rPr>
          <w:color w:val="auto"/>
        </w:rPr>
        <w:t>/a。</w:t>
      </w:r>
    </w:p>
    <w:p>
      <w:pPr>
        <w:pStyle w:val="62"/>
        <w:rPr>
          <w:color w:val="auto"/>
        </w:rPr>
      </w:pPr>
      <w:r>
        <w:rPr>
          <w:rFonts w:hint="eastAsia"/>
          <w:color w:val="auto"/>
        </w:rPr>
        <w:t>8.3.2环境风险事故类型</w:t>
      </w:r>
    </w:p>
    <w:p>
      <w:pPr>
        <w:pStyle w:val="63"/>
        <w:ind w:firstLine="480"/>
        <w:rPr>
          <w:color w:val="auto"/>
        </w:rPr>
      </w:pPr>
      <w:r>
        <w:rPr>
          <w:color w:val="auto"/>
        </w:rPr>
        <w:t>危险物及污染源数量、事故类型见表8.3-2。</w:t>
      </w:r>
    </w:p>
    <w:p>
      <w:pPr>
        <w:pStyle w:val="65"/>
      </w:pPr>
      <w:r>
        <w:t>表8.3-2    环境风险事故类型</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3080"/>
        <w:gridCol w:w="3081"/>
        <w:gridCol w:w="308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666" w:type="pct"/>
          </w:tcPr>
          <w:p>
            <w:pPr>
              <w:spacing w:line="276" w:lineRule="auto"/>
              <w:jc w:val="center"/>
              <w:rPr>
                <w:b/>
                <w:szCs w:val="21"/>
              </w:rPr>
            </w:pPr>
            <w:r>
              <w:rPr>
                <w:rFonts w:hint="eastAsia"/>
                <w:b/>
                <w:szCs w:val="21"/>
              </w:rPr>
              <w:t>装置</w:t>
            </w:r>
          </w:p>
        </w:tc>
        <w:tc>
          <w:tcPr>
            <w:tcW w:w="1667" w:type="pct"/>
          </w:tcPr>
          <w:p>
            <w:pPr>
              <w:spacing w:line="276" w:lineRule="auto"/>
              <w:jc w:val="center"/>
              <w:rPr>
                <w:b/>
                <w:szCs w:val="21"/>
              </w:rPr>
            </w:pPr>
            <w:r>
              <w:rPr>
                <w:rFonts w:hint="eastAsia"/>
                <w:b/>
                <w:szCs w:val="21"/>
              </w:rPr>
              <w:t>污染物质</w:t>
            </w:r>
          </w:p>
        </w:tc>
        <w:tc>
          <w:tcPr>
            <w:tcW w:w="1667" w:type="pct"/>
          </w:tcPr>
          <w:p>
            <w:pPr>
              <w:spacing w:line="276" w:lineRule="auto"/>
              <w:jc w:val="center"/>
              <w:rPr>
                <w:b/>
                <w:szCs w:val="21"/>
              </w:rPr>
            </w:pPr>
            <w:r>
              <w:rPr>
                <w:rFonts w:hint="eastAsia"/>
                <w:b/>
                <w:szCs w:val="21"/>
              </w:rPr>
              <w:t>事故类型</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666" w:type="pct"/>
          </w:tcPr>
          <w:p>
            <w:pPr>
              <w:spacing w:line="276" w:lineRule="auto"/>
              <w:jc w:val="center"/>
              <w:rPr>
                <w:szCs w:val="21"/>
              </w:rPr>
            </w:pPr>
            <w:r>
              <w:rPr>
                <w:rFonts w:hint="eastAsia"/>
                <w:szCs w:val="21"/>
              </w:rPr>
              <w:t>氯气罐</w:t>
            </w:r>
          </w:p>
        </w:tc>
        <w:tc>
          <w:tcPr>
            <w:tcW w:w="1667" w:type="pct"/>
          </w:tcPr>
          <w:p>
            <w:pPr>
              <w:spacing w:line="276" w:lineRule="auto"/>
              <w:jc w:val="center"/>
              <w:rPr>
                <w:szCs w:val="21"/>
              </w:rPr>
            </w:pPr>
            <w:r>
              <w:rPr>
                <w:rFonts w:hint="eastAsia"/>
                <w:szCs w:val="21"/>
              </w:rPr>
              <w:t>氯气</w:t>
            </w:r>
          </w:p>
        </w:tc>
        <w:tc>
          <w:tcPr>
            <w:tcW w:w="1667" w:type="pct"/>
          </w:tcPr>
          <w:p>
            <w:pPr>
              <w:spacing w:line="276" w:lineRule="auto"/>
              <w:jc w:val="center"/>
              <w:rPr>
                <w:szCs w:val="21"/>
              </w:rPr>
            </w:pPr>
            <w:r>
              <w:rPr>
                <w:rFonts w:hint="eastAsia"/>
                <w:szCs w:val="21"/>
              </w:rPr>
              <w:t>泄漏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666" w:type="pct"/>
          </w:tcPr>
          <w:p>
            <w:pPr>
              <w:spacing w:line="276" w:lineRule="auto"/>
              <w:jc w:val="center"/>
              <w:rPr>
                <w:szCs w:val="21"/>
              </w:rPr>
            </w:pPr>
            <w:r>
              <w:rPr>
                <w:rFonts w:hint="eastAsia"/>
                <w:szCs w:val="21"/>
              </w:rPr>
              <w:t>输水管线</w:t>
            </w:r>
          </w:p>
        </w:tc>
        <w:tc>
          <w:tcPr>
            <w:tcW w:w="1667" w:type="pct"/>
          </w:tcPr>
          <w:p>
            <w:pPr>
              <w:spacing w:line="276" w:lineRule="auto"/>
              <w:jc w:val="center"/>
              <w:rPr>
                <w:szCs w:val="21"/>
              </w:rPr>
            </w:pPr>
            <w:r>
              <w:rPr>
                <w:rFonts w:hint="eastAsia"/>
                <w:szCs w:val="21"/>
              </w:rPr>
              <w:t>水</w:t>
            </w:r>
          </w:p>
        </w:tc>
        <w:tc>
          <w:tcPr>
            <w:tcW w:w="1667" w:type="pct"/>
          </w:tcPr>
          <w:p>
            <w:pPr>
              <w:spacing w:line="276" w:lineRule="auto"/>
              <w:jc w:val="center"/>
              <w:rPr>
                <w:szCs w:val="21"/>
              </w:rPr>
            </w:pPr>
            <w:r>
              <w:rPr>
                <w:rFonts w:hint="eastAsia"/>
                <w:szCs w:val="21"/>
              </w:rPr>
              <w:t>泄漏</w:t>
            </w:r>
          </w:p>
        </w:tc>
      </w:tr>
    </w:tbl>
    <w:p>
      <w:pPr>
        <w:pStyle w:val="62"/>
        <w:rPr>
          <w:color w:val="auto"/>
        </w:rPr>
      </w:pPr>
      <w:r>
        <w:rPr>
          <w:rFonts w:hint="eastAsia"/>
          <w:color w:val="auto"/>
        </w:rPr>
        <w:t>8.3.3源强计算</w:t>
      </w:r>
    </w:p>
    <w:p>
      <w:pPr>
        <w:pStyle w:val="63"/>
        <w:ind w:firstLine="480"/>
        <w:rPr>
          <w:color w:val="auto"/>
        </w:rPr>
      </w:pPr>
      <w:r>
        <w:rPr>
          <w:rFonts w:hint="eastAsia"/>
          <w:color w:val="auto"/>
        </w:rPr>
        <w:t>事故假定：</w:t>
      </w:r>
      <w:r>
        <w:rPr>
          <w:color w:val="auto"/>
        </w:rPr>
        <w:t>本项目氯气罐阀门破损或破裂造成氯气泄漏，假定罐内氯气在30min全部泄漏，则氯气泄漏速率为0.278kg/s。</w:t>
      </w:r>
    </w:p>
    <w:p>
      <w:pPr>
        <w:pStyle w:val="63"/>
        <w:ind w:firstLine="174" w:firstLineChars="83"/>
        <w:jc w:val="center"/>
        <w:rPr>
          <w:b/>
          <w:color w:val="auto"/>
          <w:sz w:val="21"/>
          <w:szCs w:val="21"/>
        </w:rPr>
      </w:pPr>
      <w:r>
        <w:rPr>
          <w:rFonts w:hint="eastAsia"/>
          <w:b/>
          <w:color w:val="auto"/>
          <w:sz w:val="21"/>
          <w:szCs w:val="21"/>
        </w:rPr>
        <w:t>表8.3-3    本项目涉及的环境风险事故类型及源强表</w:t>
      </w:r>
    </w:p>
    <w:tbl>
      <w:tblPr>
        <w:tblStyle w:val="24"/>
        <w:tblW w:w="0" w:type="auto"/>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2310"/>
        <w:gridCol w:w="2310"/>
        <w:gridCol w:w="2311"/>
        <w:gridCol w:w="231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310" w:type="dxa"/>
          </w:tcPr>
          <w:p>
            <w:pPr>
              <w:pStyle w:val="63"/>
              <w:spacing w:line="276" w:lineRule="auto"/>
              <w:ind w:firstLine="0" w:firstLineChars="0"/>
              <w:jc w:val="center"/>
              <w:rPr>
                <w:color w:val="auto"/>
                <w:sz w:val="21"/>
                <w:szCs w:val="21"/>
              </w:rPr>
            </w:pPr>
            <w:r>
              <w:rPr>
                <w:rFonts w:hint="eastAsia"/>
                <w:color w:val="auto"/>
                <w:sz w:val="21"/>
                <w:szCs w:val="21"/>
              </w:rPr>
              <w:t>装置</w:t>
            </w:r>
          </w:p>
        </w:tc>
        <w:tc>
          <w:tcPr>
            <w:tcW w:w="2310" w:type="dxa"/>
          </w:tcPr>
          <w:p>
            <w:pPr>
              <w:pStyle w:val="63"/>
              <w:spacing w:line="276" w:lineRule="auto"/>
              <w:ind w:firstLine="0" w:firstLineChars="0"/>
              <w:jc w:val="center"/>
              <w:rPr>
                <w:color w:val="auto"/>
                <w:sz w:val="21"/>
                <w:szCs w:val="21"/>
              </w:rPr>
            </w:pPr>
            <w:r>
              <w:rPr>
                <w:rFonts w:hint="eastAsia"/>
                <w:color w:val="auto"/>
                <w:sz w:val="21"/>
                <w:szCs w:val="21"/>
              </w:rPr>
              <w:t>事故类型</w:t>
            </w:r>
          </w:p>
        </w:tc>
        <w:tc>
          <w:tcPr>
            <w:tcW w:w="2311" w:type="dxa"/>
          </w:tcPr>
          <w:p>
            <w:pPr>
              <w:pStyle w:val="63"/>
              <w:spacing w:line="276" w:lineRule="auto"/>
              <w:ind w:firstLine="0" w:firstLineChars="0"/>
              <w:jc w:val="center"/>
              <w:rPr>
                <w:color w:val="auto"/>
                <w:sz w:val="21"/>
                <w:szCs w:val="21"/>
              </w:rPr>
            </w:pPr>
            <w:r>
              <w:rPr>
                <w:rFonts w:hint="eastAsia"/>
                <w:color w:val="auto"/>
                <w:sz w:val="21"/>
                <w:szCs w:val="21"/>
              </w:rPr>
              <w:t>污染物质</w:t>
            </w:r>
          </w:p>
        </w:tc>
        <w:tc>
          <w:tcPr>
            <w:tcW w:w="2311" w:type="dxa"/>
          </w:tcPr>
          <w:p>
            <w:pPr>
              <w:pStyle w:val="63"/>
              <w:spacing w:line="276" w:lineRule="auto"/>
              <w:ind w:firstLine="0" w:firstLineChars="0"/>
              <w:jc w:val="center"/>
              <w:rPr>
                <w:color w:val="auto"/>
                <w:sz w:val="21"/>
                <w:szCs w:val="21"/>
              </w:rPr>
            </w:pPr>
            <w:r>
              <w:rPr>
                <w:rFonts w:hint="eastAsia"/>
                <w:color w:val="auto"/>
                <w:sz w:val="21"/>
                <w:szCs w:val="21"/>
              </w:rPr>
              <w:t>危险物排放速率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310" w:type="dxa"/>
          </w:tcPr>
          <w:p>
            <w:pPr>
              <w:pStyle w:val="63"/>
              <w:spacing w:line="276" w:lineRule="auto"/>
              <w:ind w:firstLine="0" w:firstLineChars="0"/>
              <w:jc w:val="center"/>
              <w:rPr>
                <w:color w:val="auto"/>
                <w:sz w:val="21"/>
                <w:szCs w:val="21"/>
              </w:rPr>
            </w:pPr>
            <w:r>
              <w:rPr>
                <w:rFonts w:hint="eastAsia"/>
                <w:color w:val="auto"/>
                <w:sz w:val="21"/>
                <w:szCs w:val="21"/>
              </w:rPr>
              <w:t>氯气罐</w:t>
            </w:r>
          </w:p>
        </w:tc>
        <w:tc>
          <w:tcPr>
            <w:tcW w:w="2310" w:type="dxa"/>
          </w:tcPr>
          <w:p>
            <w:pPr>
              <w:pStyle w:val="63"/>
              <w:spacing w:line="276" w:lineRule="auto"/>
              <w:ind w:firstLine="0" w:firstLineChars="0"/>
              <w:jc w:val="center"/>
              <w:rPr>
                <w:color w:val="auto"/>
                <w:sz w:val="21"/>
                <w:szCs w:val="21"/>
              </w:rPr>
            </w:pPr>
            <w:r>
              <w:rPr>
                <w:rFonts w:hint="eastAsia"/>
                <w:color w:val="auto"/>
                <w:sz w:val="21"/>
                <w:szCs w:val="21"/>
              </w:rPr>
              <w:t>泄漏</w:t>
            </w:r>
          </w:p>
        </w:tc>
        <w:tc>
          <w:tcPr>
            <w:tcW w:w="2311" w:type="dxa"/>
          </w:tcPr>
          <w:p>
            <w:pPr>
              <w:pStyle w:val="63"/>
              <w:spacing w:line="276" w:lineRule="auto"/>
              <w:ind w:firstLine="0" w:firstLineChars="0"/>
              <w:jc w:val="center"/>
              <w:rPr>
                <w:color w:val="auto"/>
                <w:sz w:val="21"/>
                <w:szCs w:val="21"/>
              </w:rPr>
            </w:pPr>
            <w:r>
              <w:rPr>
                <w:rFonts w:hint="eastAsia"/>
                <w:color w:val="auto"/>
                <w:sz w:val="21"/>
                <w:szCs w:val="21"/>
              </w:rPr>
              <w:t>氯气</w:t>
            </w:r>
          </w:p>
        </w:tc>
        <w:tc>
          <w:tcPr>
            <w:tcW w:w="2311" w:type="dxa"/>
          </w:tcPr>
          <w:p>
            <w:pPr>
              <w:pStyle w:val="63"/>
              <w:spacing w:line="276" w:lineRule="auto"/>
              <w:ind w:firstLine="0" w:firstLineChars="0"/>
              <w:jc w:val="center"/>
              <w:rPr>
                <w:color w:val="auto"/>
                <w:sz w:val="21"/>
                <w:szCs w:val="21"/>
              </w:rPr>
            </w:pPr>
            <w:r>
              <w:rPr>
                <w:rFonts w:hint="eastAsia"/>
                <w:color w:val="auto"/>
                <w:sz w:val="21"/>
                <w:szCs w:val="21"/>
              </w:rPr>
              <w:t>0.278</w:t>
            </w:r>
            <w:r>
              <w:rPr>
                <w:rFonts w:cs="Times New Roman"/>
                <w:color w:val="auto"/>
                <w:kern w:val="2"/>
                <w:sz w:val="21"/>
                <w:szCs w:val="24"/>
              </w:rPr>
              <w:t xml:space="preserve"> </w:t>
            </w:r>
            <w:r>
              <w:rPr>
                <w:color w:val="auto"/>
                <w:sz w:val="21"/>
                <w:szCs w:val="21"/>
              </w:rPr>
              <w:t>kg/s</w:t>
            </w:r>
          </w:p>
        </w:tc>
      </w:tr>
    </w:tbl>
    <w:p>
      <w:pPr>
        <w:pStyle w:val="61"/>
        <w:rPr>
          <w:color w:val="auto"/>
        </w:rPr>
      </w:pPr>
      <w:bookmarkStart w:id="102" w:name="_Toc436902185"/>
      <w:r>
        <w:rPr>
          <w:rFonts w:hint="eastAsia"/>
          <w:color w:val="auto"/>
        </w:rPr>
        <w:t>8.4事故后果分析</w:t>
      </w:r>
      <w:bookmarkEnd w:id="102"/>
    </w:p>
    <w:p>
      <w:pPr>
        <w:pStyle w:val="62"/>
        <w:rPr>
          <w:color w:val="auto"/>
        </w:rPr>
      </w:pPr>
      <w:bookmarkStart w:id="103" w:name="_Toc436902186"/>
      <w:r>
        <w:rPr>
          <w:rFonts w:hint="eastAsia"/>
          <w:color w:val="auto"/>
        </w:rPr>
        <w:t>8.4.1化学品泄漏事故分析</w:t>
      </w:r>
      <w:bookmarkEnd w:id="103"/>
    </w:p>
    <w:p>
      <w:pPr>
        <w:pStyle w:val="63"/>
        <w:ind w:firstLine="480"/>
        <w:rPr>
          <w:color w:val="auto"/>
        </w:rPr>
      </w:pPr>
      <w:r>
        <w:rPr>
          <w:color w:val="auto"/>
        </w:rPr>
        <w:t>本项目所涉及的危险化学品主要为液氯。为了使用安全，本项目加氯间设计中采用全真空投加方式，以防止氯的外泄，并在氯库内设置了漏氯检测仪和氯气吸收装置，当发生氯气意外泄漏时，氯气吸收装置自动投运，可将泄漏出的氯气全部进行中和处理，能够保护周围的环境免受氯气泄漏的影响。</w:t>
      </w:r>
    </w:p>
    <w:p>
      <w:pPr>
        <w:pStyle w:val="63"/>
        <w:ind w:firstLine="480"/>
        <w:rPr>
          <w:rFonts w:cs="Times New Roman"/>
          <w:color w:val="auto"/>
        </w:rPr>
      </w:pPr>
      <w:r>
        <w:rPr>
          <w:rFonts w:cs="Times New Roman"/>
          <w:color w:val="auto"/>
        </w:rPr>
        <w:t>若在未及时采取对策措施的情况下对环境影响可能较大。氯气的半致死浓度为850mg/m</w:t>
      </w:r>
      <w:r>
        <w:rPr>
          <w:rFonts w:cs="Times New Roman"/>
          <w:color w:val="auto"/>
          <w:vertAlign w:val="superscript"/>
        </w:rPr>
        <w:t>3</w:t>
      </w:r>
      <w:r>
        <w:rPr>
          <w:rFonts w:cs="Times New Roman"/>
          <w:color w:val="auto"/>
        </w:rPr>
        <w:t>，本项目储存氯气较少，即使发生泄漏，泄漏量也较少，事故一旦发生，会对厂区内环境造成一定的影响，但对厂界外影响较小，且距离人群较远。</w:t>
      </w:r>
    </w:p>
    <w:p>
      <w:pPr>
        <w:pStyle w:val="62"/>
        <w:rPr>
          <w:color w:val="auto"/>
        </w:rPr>
      </w:pPr>
      <w:r>
        <w:rPr>
          <w:color w:val="auto"/>
        </w:rPr>
        <w:t>8.4.2</w:t>
      </w:r>
      <w:r>
        <w:rPr>
          <w:rFonts w:hint="eastAsia"/>
          <w:color w:val="auto"/>
        </w:rPr>
        <w:t>水环境后果风险分析</w:t>
      </w:r>
    </w:p>
    <w:p>
      <w:pPr>
        <w:pStyle w:val="63"/>
        <w:ind w:firstLine="480"/>
        <w:rPr>
          <w:color w:val="auto"/>
        </w:rPr>
      </w:pPr>
      <w:r>
        <w:rPr>
          <w:color w:val="auto"/>
        </w:rPr>
        <w:t>项目氯瓶一旦发生事故，需及时将氯瓶置于液氯事故处理池，池内应放置碱液。要求将液氯事故处理池置于氯库，防止雨水进入。事故结束之后，应对消防废水</w:t>
      </w:r>
      <w:r>
        <w:rPr>
          <w:rFonts w:hint="eastAsia"/>
          <w:color w:val="auto"/>
        </w:rPr>
        <w:t>采取处理措施或外送处理。</w:t>
      </w:r>
    </w:p>
    <w:p>
      <w:pPr>
        <w:pStyle w:val="63"/>
        <w:ind w:firstLine="480"/>
        <w:rPr>
          <w:color w:val="auto"/>
        </w:rPr>
      </w:pPr>
      <w:r>
        <w:rPr>
          <w:color w:val="auto"/>
        </w:rPr>
        <w:t>环评建议企业建设有效容积不小于40m</w:t>
      </w:r>
      <w:r>
        <w:rPr>
          <w:color w:val="auto"/>
          <w:vertAlign w:val="superscript"/>
        </w:rPr>
        <w:t>3</w:t>
      </w:r>
      <w:r>
        <w:rPr>
          <w:color w:val="auto"/>
        </w:rPr>
        <w:t>的事故池，最终的容积应以企业最终的设计资料为准。</w:t>
      </w:r>
    </w:p>
    <w:p>
      <w:pPr>
        <w:pStyle w:val="63"/>
        <w:ind w:firstLine="480"/>
        <w:rPr>
          <w:color w:val="auto"/>
        </w:rPr>
      </w:pPr>
      <w:r>
        <w:rPr>
          <w:color w:val="auto"/>
        </w:rPr>
        <w:t>综上所述，本项目风险影响均在厂区内部，对外界影响较小，风险水平可以接受。</w:t>
      </w:r>
    </w:p>
    <w:p>
      <w:pPr>
        <w:pStyle w:val="62"/>
        <w:rPr>
          <w:color w:val="auto"/>
        </w:rPr>
      </w:pPr>
      <w:r>
        <w:rPr>
          <w:rFonts w:hint="eastAsia"/>
          <w:color w:val="auto"/>
        </w:rPr>
        <w:t>8.4.3输水管线风险后果分析</w:t>
      </w:r>
    </w:p>
    <w:p>
      <w:pPr>
        <w:pStyle w:val="63"/>
        <w:ind w:firstLine="480"/>
        <w:rPr>
          <w:color w:val="auto"/>
        </w:rPr>
      </w:pPr>
      <w:r>
        <w:rPr>
          <w:rFonts w:hint="eastAsia"/>
          <w:color w:val="auto"/>
        </w:rPr>
        <w:t>本项目共建设输水管线15840m。属长距离供水工程。</w:t>
      </w:r>
    </w:p>
    <w:p>
      <w:pPr>
        <w:pStyle w:val="63"/>
        <w:ind w:firstLine="480"/>
        <w:rPr>
          <w:color w:val="auto"/>
        </w:rPr>
      </w:pPr>
      <w:r>
        <w:rPr>
          <w:rFonts w:hint="eastAsia"/>
          <w:color w:val="auto"/>
        </w:rPr>
        <w:t>其中泾河北岸新建水源井至配水池输水管线13140m，管径DN200mm-DN500mm；泾河北岸新建水源井至泾河北岸保障房给水处理站输水管线2000m，管径DN200mm；泾河南岸新建水源井至乐华城处理站输水管线700m，管径DN150mm。</w:t>
      </w:r>
    </w:p>
    <w:p>
      <w:pPr>
        <w:pStyle w:val="63"/>
        <w:ind w:firstLine="480"/>
        <w:rPr>
          <w:color w:val="auto"/>
        </w:rPr>
      </w:pPr>
      <w:r>
        <w:rPr>
          <w:color w:val="auto"/>
        </w:rPr>
        <w:t>输水管道在施工、运行过程中，受到复杂因素的影响，产生爆管的因素带有一定的随机性，主要有一下几点：地层基础影响，管道接口及施工质量的影响，排水阀设置不当、失灵影响，温变应力破坏影响，管内水锤的影响，管内气体影响，管网老龄化影响。</w:t>
      </w:r>
    </w:p>
    <w:p>
      <w:pPr>
        <w:pStyle w:val="63"/>
        <w:ind w:firstLine="480"/>
        <w:rPr>
          <w:color w:val="auto"/>
        </w:rPr>
      </w:pPr>
      <w:r>
        <w:rPr>
          <w:color w:val="auto"/>
        </w:rPr>
        <w:t>输水管线发生爆管有多种影响：爆管会淹没管网区附近的农田、附近建筑物，造成农业和实物损失；爆管可淹没或冲毁道路、公路、通信设施等，影响交通和通信；爆管水的冲击或淹没，可能造成人身伤亡事故；爆管可能导致供水水质遭受污染，影响供水质量。</w:t>
      </w:r>
    </w:p>
    <w:p>
      <w:pPr>
        <w:pStyle w:val="63"/>
        <w:ind w:firstLine="480"/>
        <w:rPr>
          <w:color w:val="auto"/>
        </w:rPr>
      </w:pPr>
      <w:r>
        <w:rPr>
          <w:color w:val="auto"/>
        </w:rPr>
        <w:t>项目在运营期应严格按操作规程进行阀门启闭，并安装事故减压阀。管道上设置电动事故检修阀，并实现自动化，万一出现爆管或其他突发事件，将自动或手动关闭该段上下游检修阀，对突发事件或爆管处理完成后，对管道内水质进行化验，若不符合水质要求，再排净管内水利，对罐内进行彻底清洗、消毒达标后启用。</w:t>
      </w:r>
    </w:p>
    <w:p>
      <w:pPr>
        <w:pStyle w:val="63"/>
        <w:ind w:firstLine="480"/>
        <w:rPr>
          <w:color w:val="auto"/>
        </w:rPr>
      </w:pPr>
      <w:r>
        <w:rPr>
          <w:color w:val="auto"/>
        </w:rPr>
        <w:t>在实际生产运行中，应根据实时监测的压力指挥水厂生产，避免管线压力超过设定值，减少爆管事故发生的概率，降低产销差。通过对管网压力和出厂水流量的实时监测，及时发现和定位爆管事故，提高管网抢修的及时率。</w:t>
      </w:r>
    </w:p>
    <w:p>
      <w:pPr>
        <w:pStyle w:val="61"/>
        <w:rPr>
          <w:i/>
          <w:color w:val="auto"/>
        </w:rPr>
      </w:pPr>
      <w:bookmarkStart w:id="104" w:name="_Toc436902187"/>
      <w:r>
        <w:rPr>
          <w:rFonts w:hint="eastAsia"/>
          <w:color w:val="auto"/>
        </w:rPr>
        <w:t>8.5风险管理</w:t>
      </w:r>
      <w:bookmarkEnd w:id="104"/>
    </w:p>
    <w:p>
      <w:pPr>
        <w:pStyle w:val="62"/>
        <w:rPr>
          <w:color w:val="auto"/>
        </w:rPr>
      </w:pPr>
      <w:r>
        <w:rPr>
          <w:rFonts w:hint="eastAsia"/>
          <w:color w:val="auto"/>
        </w:rPr>
        <w:t>8.5.1环境风险防范管理措施</w:t>
      </w:r>
    </w:p>
    <w:p>
      <w:pPr>
        <w:pStyle w:val="70"/>
        <w:ind w:firstLine="482"/>
        <w:rPr>
          <w:color w:val="auto"/>
        </w:rPr>
      </w:pPr>
      <w:r>
        <w:rPr>
          <w:rFonts w:hint="eastAsia"/>
          <w:color w:val="auto"/>
        </w:rPr>
        <w:t>8.5.1.1管理措施</w:t>
      </w:r>
    </w:p>
    <w:p>
      <w:pPr>
        <w:pStyle w:val="63"/>
        <w:ind w:firstLine="480"/>
        <w:rPr>
          <w:color w:val="auto"/>
        </w:rPr>
      </w:pPr>
      <w:r>
        <w:rPr>
          <w:color w:val="auto"/>
        </w:rPr>
        <w:t>（1）坚持“安全第一，预防为主”的方针，积极推行全员预防性管理，不断增强安全意识，给安全工作以优先权和否决权。经常性地开展安全日、安全周和安全知识竞赛等活动。坚持每周调度例会，首先通报讲评安全工作。定期进行安全大检查，及时整改隐患，利用安全录像对职工进行经常性安全教育，做到警钟长鸣。</w:t>
      </w:r>
    </w:p>
    <w:p>
      <w:pPr>
        <w:pStyle w:val="63"/>
        <w:ind w:firstLine="480"/>
        <w:rPr>
          <w:color w:val="auto"/>
        </w:rPr>
      </w:pPr>
      <w:r>
        <w:rPr>
          <w:color w:val="auto"/>
        </w:rPr>
        <w:t>（2）实行安全工作责任制。建立安全生产领导小组，明确行政一把手为安全生产第一负责人；各生产班组配备专兼职安全员，形成二级安全管理体系。</w:t>
      </w:r>
    </w:p>
    <w:p>
      <w:pPr>
        <w:pStyle w:val="63"/>
        <w:ind w:firstLine="480"/>
        <w:rPr>
          <w:color w:val="auto"/>
        </w:rPr>
      </w:pPr>
      <w:r>
        <w:rPr>
          <w:color w:val="auto"/>
        </w:rPr>
        <w:t>（3）建立安全规章制度。编制各项安全规程、安全制度、环保制度，印制安全管理台帐等。凡新进厂职工必须进行安全教育和培训，经考试合格后方可持证上岗。全厂在试车前，应对在岗职工全部进行考核并颁发安全作业证，下发了《试车期间安全规定》等管理制度。</w:t>
      </w:r>
    </w:p>
    <w:p>
      <w:pPr>
        <w:pStyle w:val="63"/>
        <w:ind w:firstLine="480"/>
        <w:rPr>
          <w:color w:val="auto"/>
        </w:rPr>
      </w:pPr>
      <w:r>
        <w:rPr>
          <w:color w:val="auto"/>
        </w:rPr>
        <w:t>（4）设立安全机构。工厂应设立安全环保处，配有机械设备、电气、仪表等专业安全技术管理干部，对生产现场和要害部门全部配置各种安全消防器材和安全生产警示牌，定期举行安全消防演练，并制定安全预案。</w:t>
      </w:r>
    </w:p>
    <w:p>
      <w:pPr>
        <w:pStyle w:val="63"/>
        <w:ind w:firstLine="480"/>
        <w:rPr>
          <w:color w:val="auto"/>
        </w:rPr>
      </w:pPr>
      <w:r>
        <w:rPr>
          <w:color w:val="auto"/>
        </w:rPr>
        <w:t>（5）对压力容器实行规范管理。按照国家规定，定期对压力容器设备进行各项检验，特别是国外进口的压力容器。压力容器在投产前必须全部取得压力容器使用证。</w:t>
      </w:r>
    </w:p>
    <w:p>
      <w:pPr>
        <w:pStyle w:val="70"/>
        <w:ind w:firstLine="482"/>
        <w:rPr>
          <w:color w:val="auto"/>
        </w:rPr>
      </w:pPr>
      <w:r>
        <w:rPr>
          <w:rFonts w:hint="eastAsia"/>
          <w:color w:val="auto"/>
        </w:rPr>
        <w:t>8.5.1.2液氯储存</w:t>
      </w:r>
    </w:p>
    <w:p>
      <w:pPr>
        <w:pStyle w:val="63"/>
        <w:ind w:firstLine="480"/>
        <w:rPr>
          <w:rFonts w:cs="Times New Roman"/>
          <w:color w:val="auto"/>
        </w:rPr>
      </w:pPr>
      <w:r>
        <w:rPr>
          <w:rFonts w:cs="Times New Roman"/>
          <w:color w:val="auto"/>
        </w:rPr>
        <w:t>（1）氯瓶搬运进库及堆放时不得敲击、碰撞、花落，搬运时注意不要把瓶阀对准人体。</w:t>
      </w:r>
    </w:p>
    <w:p>
      <w:pPr>
        <w:pStyle w:val="63"/>
        <w:ind w:firstLine="480"/>
        <w:rPr>
          <w:rFonts w:cs="Times New Roman"/>
          <w:color w:val="auto"/>
        </w:rPr>
      </w:pPr>
      <w:r>
        <w:rPr>
          <w:rFonts w:cs="Times New Roman"/>
          <w:color w:val="auto"/>
        </w:rPr>
        <w:t>（2）进库氯瓶应旋紧摘帽，氯瓶需套上防震圈，不得在地上滚动。</w:t>
      </w:r>
    </w:p>
    <w:p>
      <w:pPr>
        <w:pStyle w:val="63"/>
        <w:ind w:firstLine="480"/>
        <w:rPr>
          <w:rFonts w:cs="Times New Roman"/>
          <w:color w:val="auto"/>
        </w:rPr>
      </w:pPr>
      <w:r>
        <w:rPr>
          <w:rFonts w:cs="Times New Roman"/>
          <w:color w:val="auto"/>
        </w:rPr>
        <w:t>（3）氯瓶仓库应阴凉，库内不得有热源，严禁明火。装满氯瓶不得在阳光下暴晒，夏季应有降温措施，如早晚打开库门通风，中午气温高时关闭库门。</w:t>
      </w:r>
    </w:p>
    <w:p>
      <w:pPr>
        <w:pStyle w:val="63"/>
        <w:ind w:firstLine="480"/>
        <w:rPr>
          <w:rFonts w:cs="Times New Roman"/>
          <w:color w:val="auto"/>
        </w:rPr>
      </w:pPr>
      <w:r>
        <w:rPr>
          <w:rFonts w:cs="Times New Roman"/>
          <w:color w:val="auto"/>
        </w:rPr>
        <w:t>（4）氯瓶仓库地坪应平整，以免氯瓶立放时不正，容易倾倒。氯瓶应直立整齐存放，并有通道妥善固定。</w:t>
      </w:r>
    </w:p>
    <w:p>
      <w:pPr>
        <w:pStyle w:val="63"/>
        <w:ind w:firstLine="480"/>
        <w:rPr>
          <w:rFonts w:cs="Times New Roman"/>
          <w:color w:val="auto"/>
        </w:rPr>
      </w:pPr>
      <w:r>
        <w:rPr>
          <w:rFonts w:cs="Times New Roman"/>
          <w:color w:val="auto"/>
        </w:rPr>
        <w:t>（5）退库的空氯瓶不得全部用尽，应当有余压，余压应为0.2MPa左右，至少不得低于0.05MPa。</w:t>
      </w:r>
    </w:p>
    <w:p>
      <w:pPr>
        <w:pStyle w:val="70"/>
        <w:ind w:firstLine="482"/>
        <w:rPr>
          <w:color w:val="auto"/>
        </w:rPr>
      </w:pPr>
      <w:r>
        <w:rPr>
          <w:rFonts w:hint="eastAsia"/>
          <w:color w:val="auto"/>
        </w:rPr>
        <w:t>8.5.1.3操作液氯钢瓶</w:t>
      </w:r>
    </w:p>
    <w:p>
      <w:pPr>
        <w:pStyle w:val="63"/>
        <w:ind w:firstLine="480"/>
        <w:rPr>
          <w:color w:val="auto"/>
        </w:rPr>
      </w:pPr>
      <w:r>
        <w:rPr>
          <w:color w:val="auto"/>
        </w:rPr>
        <w:t>（1）人员应进过严格和特殊的训练，并熟悉详细操作液氯钢瓶程序才能上岗。</w:t>
      </w:r>
    </w:p>
    <w:p>
      <w:pPr>
        <w:pStyle w:val="63"/>
        <w:ind w:firstLine="480"/>
        <w:rPr>
          <w:color w:val="auto"/>
        </w:rPr>
      </w:pPr>
      <w:r>
        <w:rPr>
          <w:color w:val="auto"/>
        </w:rPr>
        <w:t>（2）采用双重安全保护措施。氯瓶用毕关瓶阀时应用手旋紧，不得用工具硬扳。</w:t>
      </w:r>
    </w:p>
    <w:p>
      <w:pPr>
        <w:pStyle w:val="63"/>
        <w:ind w:firstLine="480"/>
        <w:rPr>
          <w:color w:val="auto"/>
        </w:rPr>
      </w:pPr>
      <w:r>
        <w:rPr>
          <w:color w:val="auto"/>
        </w:rPr>
        <w:t>（3）要采取措施防止氯气跑、冒、滴、漏，有氯气的管道、设备要经常处于密闭状态。</w:t>
      </w:r>
    </w:p>
    <w:p>
      <w:pPr>
        <w:pStyle w:val="63"/>
        <w:ind w:firstLine="480"/>
        <w:rPr>
          <w:color w:val="auto"/>
        </w:rPr>
      </w:pPr>
      <w:r>
        <w:rPr>
          <w:color w:val="auto"/>
        </w:rPr>
        <w:t>（4）液氯在气化时要吸收热量，当气温较低时，瓶阀可能冻结，这时要给钢瓶加温，一般宜用温水加热，但温水不能超过40</w:t>
      </w:r>
      <w:r>
        <w:rPr>
          <w:rFonts w:hint="eastAsia" w:ascii="宋体" w:hAnsi="宋体"/>
          <w:color w:val="auto"/>
        </w:rPr>
        <w:t>℃</w:t>
      </w:r>
      <w:r>
        <w:rPr>
          <w:color w:val="auto"/>
        </w:rPr>
        <w:t>，不能用明火直接烘烤。</w:t>
      </w:r>
    </w:p>
    <w:p>
      <w:pPr>
        <w:pStyle w:val="63"/>
        <w:ind w:firstLine="480"/>
        <w:rPr>
          <w:color w:val="auto"/>
        </w:rPr>
      </w:pPr>
      <w:r>
        <w:rPr>
          <w:color w:val="auto"/>
        </w:rPr>
        <w:t>（5）由于氯气有腐蚀性，管道、设备要经常维护，发现故障即使修理或调换。</w:t>
      </w:r>
    </w:p>
    <w:p>
      <w:pPr>
        <w:pStyle w:val="70"/>
        <w:ind w:firstLine="482"/>
        <w:rPr>
          <w:color w:val="auto"/>
        </w:rPr>
      </w:pPr>
      <w:r>
        <w:rPr>
          <w:rFonts w:hint="eastAsia" w:hAnsi="宋体"/>
          <w:color w:val="auto"/>
        </w:rPr>
        <w:t>8.5.1.4</w:t>
      </w:r>
      <w:r>
        <w:rPr>
          <w:rFonts w:hint="eastAsia"/>
          <w:color w:val="auto"/>
        </w:rPr>
        <w:t>泄漏应急处理及防护措施</w:t>
      </w:r>
    </w:p>
    <w:p>
      <w:pPr>
        <w:pStyle w:val="63"/>
        <w:ind w:firstLine="480"/>
        <w:rPr>
          <w:color w:val="auto"/>
        </w:rPr>
      </w:pPr>
      <w:r>
        <w:rPr>
          <w:color w:val="auto"/>
        </w:rPr>
        <w:t>（1）泄漏应急处理</w:t>
      </w:r>
    </w:p>
    <w:p>
      <w:pPr>
        <w:pStyle w:val="63"/>
        <w:ind w:firstLine="480"/>
        <w:rPr>
          <w:color w:val="auto"/>
        </w:rPr>
      </w:pPr>
      <w:r>
        <w:rPr>
          <w:color w:val="auto"/>
        </w:rPr>
        <w:t>根据气体扩散的影响区域划定警戒区，无关人员从侧风向、上风向撤离至安全区。建议应急处理人员穿内置正压自给式空气呼吸器的全封闭防化服，戴橡胶手套，如果是液体泄漏，还应注意防冻伤，禁止接触或跨越泄漏物，勿使泄漏物与可燃物质（如木材、纸、油等）接触，尽可能切断泄漏源，喷雾状水抑制蒸汽或改变蒸汽云流向，避免水流接触泄漏物，禁止用水直接冲击泄漏物或泄漏源。若可能翻转容器，使之逸出气体而非液体。防止气体通过下水道、通风系统和限制性空间扩散。构筑物堤堵截液体泄漏物，喷稀碱液中和、稀释。隔离泄漏区直至气体散尽，泄漏场所保持通风。</w:t>
      </w:r>
    </w:p>
    <w:p>
      <w:pPr>
        <w:pStyle w:val="63"/>
        <w:ind w:firstLine="480"/>
        <w:rPr>
          <w:color w:val="auto"/>
        </w:rPr>
      </w:pPr>
      <w:r>
        <w:rPr>
          <w:rFonts w:hint="eastAsia"/>
          <w:color w:val="auto"/>
        </w:rPr>
        <w:t>（2）不同泄漏情况下的具体措施</w:t>
      </w:r>
    </w:p>
    <w:p>
      <w:pPr>
        <w:pStyle w:val="63"/>
        <w:ind w:firstLine="480"/>
        <w:rPr>
          <w:color w:val="auto"/>
        </w:rPr>
      </w:pPr>
      <w:r>
        <w:rPr>
          <w:color w:val="auto"/>
        </w:rPr>
        <w:t>瓶阀密封填料处泄漏时，应查压紧螺帽是否松动或拧紧压紧螺帽；瓶阀出口泄漏时，应查瓶阀是否关进或关进瓶阀，或用铜六角螺帽封闭瓶阀口。</w:t>
      </w:r>
    </w:p>
    <w:p>
      <w:pPr>
        <w:pStyle w:val="63"/>
        <w:ind w:firstLine="480"/>
        <w:rPr>
          <w:color w:val="auto"/>
        </w:rPr>
      </w:pPr>
      <w:r>
        <w:rPr>
          <w:rFonts w:hint="eastAsia"/>
          <w:color w:val="auto"/>
        </w:rPr>
        <w:t>（3）防护措施</w:t>
      </w:r>
    </w:p>
    <w:p>
      <w:pPr>
        <w:pStyle w:val="63"/>
        <w:ind w:firstLine="480"/>
        <w:rPr>
          <w:color w:val="auto"/>
        </w:rPr>
      </w:pPr>
      <w:r>
        <w:rPr>
          <w:color w:val="auto"/>
        </w:rPr>
        <w:t>呼吸系统防护：空气重浓度超标时，建议佩戴空气呼吸器或氧气呼吸器；紧急事态抢救或撤离时，必须佩戴氧气呼吸器。</w:t>
      </w:r>
    </w:p>
    <w:p>
      <w:pPr>
        <w:pStyle w:val="63"/>
        <w:ind w:firstLine="480"/>
        <w:rPr>
          <w:color w:val="auto"/>
        </w:rPr>
      </w:pPr>
      <w:r>
        <w:rPr>
          <w:color w:val="auto"/>
        </w:rPr>
        <w:t>眼睛防护：呼吸系统防护中已做防护。</w:t>
      </w:r>
    </w:p>
    <w:p>
      <w:pPr>
        <w:pStyle w:val="63"/>
        <w:ind w:firstLine="480"/>
        <w:rPr>
          <w:color w:val="auto"/>
        </w:rPr>
      </w:pPr>
      <w:r>
        <w:rPr>
          <w:color w:val="auto"/>
        </w:rPr>
        <w:t>身体防护：穿戴面罩式胶布防毒服。</w:t>
      </w:r>
    </w:p>
    <w:p>
      <w:pPr>
        <w:pStyle w:val="63"/>
        <w:ind w:firstLine="480"/>
        <w:rPr>
          <w:color w:val="auto"/>
        </w:rPr>
      </w:pPr>
      <w:r>
        <w:rPr>
          <w:color w:val="auto"/>
        </w:rPr>
        <w:t>手防护：戴橡胶手套。</w:t>
      </w:r>
    </w:p>
    <w:p>
      <w:pPr>
        <w:pStyle w:val="63"/>
        <w:ind w:firstLine="480"/>
        <w:rPr>
          <w:color w:val="auto"/>
        </w:rPr>
      </w:pPr>
      <w:r>
        <w:rPr>
          <w:color w:val="auto"/>
        </w:rPr>
        <w:t>其他：工作现场禁止吸烟、进食和饮水。工作毕，淋浴更衣，保持良好的卫生习惯，进入限制性空间或其他高浓度区作业，必须有人监护。</w:t>
      </w:r>
    </w:p>
    <w:p>
      <w:pPr>
        <w:pStyle w:val="63"/>
        <w:ind w:firstLine="480"/>
        <w:rPr>
          <w:color w:val="auto"/>
        </w:rPr>
      </w:pPr>
      <w:r>
        <w:rPr>
          <w:rFonts w:hint="eastAsia"/>
          <w:color w:val="auto"/>
        </w:rPr>
        <w:t>（4）氯气危险性概述</w:t>
      </w:r>
    </w:p>
    <w:p>
      <w:pPr>
        <w:pStyle w:val="63"/>
        <w:ind w:firstLine="480"/>
        <w:rPr>
          <w:color w:val="auto"/>
        </w:rPr>
      </w:pPr>
      <w:r>
        <w:rPr>
          <w:color w:val="auto"/>
        </w:rPr>
        <w:t>急性中毒：轻度者有流泪、咳嗽、可少量痰、胸闷，出现气管和支气管炎的表现；中度中毒发生支气管肺炎或间支性肺水肿，病人除有上述症状的加重外，出现呼吸困难、轻度紫绀等；重度发生肺水肿、昏迷和休克，可出现气胸、纵隔气肿等并发症。吸入极高浓度的氯气，可引起迷走神经反射性心跳骤或后头痉挛而发生“电击死”死亡。皮肤接触液氯或高浓度氯，在暴露部位可有灼伤或急性皮炎。</w:t>
      </w:r>
    </w:p>
    <w:p>
      <w:pPr>
        <w:pStyle w:val="63"/>
        <w:ind w:firstLine="480"/>
        <w:rPr>
          <w:color w:val="auto"/>
        </w:rPr>
      </w:pPr>
      <w:r>
        <w:rPr>
          <w:color w:val="auto"/>
        </w:rPr>
        <w:t>慢性影响：长期低浓度接触，可引起慢性支气管炎、支气管哮喘等；可引起职业性痤疮及牙齿酸蚀症。</w:t>
      </w:r>
    </w:p>
    <w:p>
      <w:pPr>
        <w:pStyle w:val="63"/>
        <w:ind w:firstLine="480"/>
        <w:rPr>
          <w:color w:val="auto"/>
        </w:rPr>
      </w:pPr>
      <w:r>
        <w:rPr>
          <w:rFonts w:hint="eastAsia"/>
          <w:color w:val="auto"/>
        </w:rPr>
        <w:t>（5）急救措施</w:t>
      </w:r>
    </w:p>
    <w:p>
      <w:pPr>
        <w:pStyle w:val="63"/>
        <w:ind w:firstLine="480"/>
        <w:rPr>
          <w:color w:val="auto"/>
        </w:rPr>
      </w:pPr>
      <w:r>
        <w:rPr>
          <w:color w:val="auto"/>
        </w:rPr>
        <w:t>皮肤接触：立即脱去被污染的衣着，用大量清水冲洗，就医。</w:t>
      </w:r>
    </w:p>
    <w:p>
      <w:pPr>
        <w:pStyle w:val="63"/>
        <w:ind w:firstLine="480"/>
        <w:rPr>
          <w:color w:val="auto"/>
        </w:rPr>
      </w:pPr>
      <w:r>
        <w:rPr>
          <w:color w:val="auto"/>
        </w:rPr>
        <w:t>眼睛接触：提起眼睑，用流动清水或生理盐水冲洗。</w:t>
      </w:r>
    </w:p>
    <w:p>
      <w:pPr>
        <w:pStyle w:val="63"/>
        <w:ind w:firstLine="480"/>
        <w:rPr>
          <w:color w:val="auto"/>
        </w:rPr>
      </w:pPr>
      <w:r>
        <w:rPr>
          <w:color w:val="auto"/>
        </w:rPr>
        <w:t>吸入：迅速脱离现场至空气新鲜处，呼吸心跳停止时，立即进行人工呼吸和胸外心脏按压手术，就医</w:t>
      </w:r>
      <w:r>
        <w:rPr>
          <w:rFonts w:hint="eastAsia"/>
          <w:color w:val="auto"/>
        </w:rPr>
        <w:t>。</w:t>
      </w:r>
    </w:p>
    <w:p>
      <w:pPr>
        <w:pStyle w:val="63"/>
        <w:ind w:firstLine="480"/>
        <w:rPr>
          <w:color w:val="auto"/>
        </w:rPr>
      </w:pPr>
      <w:r>
        <w:rPr>
          <w:rFonts w:hint="eastAsia"/>
          <w:color w:val="auto"/>
        </w:rPr>
        <w:t>（6）消防措施</w:t>
      </w:r>
    </w:p>
    <w:p>
      <w:pPr>
        <w:pStyle w:val="63"/>
        <w:ind w:firstLine="480"/>
        <w:rPr>
          <w:color w:val="auto"/>
        </w:rPr>
      </w:pPr>
      <w:r>
        <w:rPr>
          <w:color w:val="auto"/>
        </w:rPr>
        <w:t>危险特性：本品不会燃烧，但可助燃。一般可燃物大都能在氯气中燃烧，一般易燃气体或蒸汽也都能与氯气形成爆炸性混合物。氯气能与许多化学品如乙炔、松节油、乙醚、氨、燃料其、烃类、氢气、金属粉末等猛烈反映发生爆炸或生成爆炸性物质。</w:t>
      </w:r>
      <w:r>
        <w:rPr>
          <w:rFonts w:hint="eastAsia"/>
          <w:color w:val="auto"/>
        </w:rPr>
        <w:t>它几乎对金属和非金属都有腐蚀作用。</w:t>
      </w:r>
    </w:p>
    <w:p>
      <w:pPr>
        <w:pStyle w:val="63"/>
        <w:ind w:firstLine="480"/>
        <w:rPr>
          <w:color w:val="auto"/>
        </w:rPr>
      </w:pPr>
      <w:r>
        <w:rPr>
          <w:color w:val="auto"/>
        </w:rPr>
        <w:t>灭火方法：本品助燃。消防人员必须佩戴过滤式防毒面具（全面罩）或氧气呼吸器，穿全身防火防毒服，在上风向灭火。切断气源，喷水冷却容器，可能的话将容器从火场移至空旷处。</w:t>
      </w:r>
    </w:p>
    <w:p>
      <w:pPr>
        <w:pStyle w:val="63"/>
        <w:ind w:firstLine="480"/>
        <w:rPr>
          <w:color w:val="auto"/>
        </w:rPr>
      </w:pPr>
      <w:r>
        <w:rPr>
          <w:color w:val="auto"/>
        </w:rPr>
        <w:t>灭火剂：雾状水、泡沫、干粉。</w:t>
      </w:r>
    </w:p>
    <w:p>
      <w:pPr>
        <w:pStyle w:val="62"/>
        <w:tabs>
          <w:tab w:val="left" w:pos="3990"/>
        </w:tabs>
        <w:rPr>
          <w:color w:val="auto"/>
        </w:rPr>
      </w:pPr>
      <w:r>
        <w:rPr>
          <w:rFonts w:hint="eastAsia"/>
          <w:color w:val="auto"/>
        </w:rPr>
        <w:t>8.5.2环境风险应急预案要求</w:t>
      </w:r>
      <w:r>
        <w:rPr>
          <w:color w:val="auto"/>
        </w:rPr>
        <w:tab/>
      </w:r>
    </w:p>
    <w:p>
      <w:pPr>
        <w:pStyle w:val="63"/>
        <w:ind w:firstLine="480"/>
        <w:rPr>
          <w:color w:val="auto"/>
        </w:rPr>
      </w:pPr>
      <w:r>
        <w:rPr>
          <w:color w:val="auto"/>
        </w:rPr>
        <w:t>事故应急救援预案是企业根据实际情况预计可能发生的事故，为增加对事故的处理能力所预先制定的应急对策。根据本项目的实际情况，本次评价根据初步的重大危险事故分析，给出建议的应急预案。项目运行前必须有经专家论证认可的环境风险应急处置预案。应急预案应在生产过程安全管理中具体化和进一步完善。</w:t>
      </w:r>
    </w:p>
    <w:p>
      <w:pPr>
        <w:pStyle w:val="63"/>
        <w:ind w:firstLine="480"/>
        <w:rPr>
          <w:color w:val="auto"/>
        </w:rPr>
      </w:pPr>
      <w:r>
        <w:rPr>
          <w:color w:val="auto"/>
        </w:rPr>
        <w:t>（1）重大事故源的确定</w:t>
      </w:r>
    </w:p>
    <w:p>
      <w:pPr>
        <w:pStyle w:val="63"/>
        <w:ind w:firstLine="480"/>
        <w:rPr>
          <w:color w:val="auto"/>
        </w:rPr>
      </w:pPr>
      <w:r>
        <w:rPr>
          <w:color w:val="auto"/>
        </w:rPr>
        <w:t>根据可能引起重大事故的分析，确定该项目的主要事故源为</w:t>
      </w:r>
      <w:r>
        <w:rPr>
          <w:rFonts w:hint="eastAsia"/>
          <w:color w:val="auto"/>
        </w:rPr>
        <w:t>氯气瓶及</w:t>
      </w:r>
      <w:r>
        <w:rPr>
          <w:color w:val="auto"/>
        </w:rPr>
        <w:t>输水管线。</w:t>
      </w:r>
    </w:p>
    <w:p>
      <w:pPr>
        <w:pStyle w:val="63"/>
        <w:ind w:firstLine="480"/>
        <w:rPr>
          <w:color w:val="auto"/>
        </w:rPr>
      </w:pPr>
      <w:r>
        <w:rPr>
          <w:color w:val="auto"/>
        </w:rPr>
        <w:t>（2）根据该项目的特点，企业应共同成立应急救援中心，以及生产、安全环保、设备、保卫、卫生等部门领导组成的“指挥领导小组”，下设应急救援办公室，管理部门应明确责任分工。</w:t>
      </w:r>
    </w:p>
    <w:p>
      <w:pPr>
        <w:pStyle w:val="63"/>
        <w:ind w:firstLine="480"/>
        <w:rPr>
          <w:color w:val="auto"/>
        </w:rPr>
      </w:pPr>
      <w:r>
        <w:rPr>
          <w:color w:val="auto"/>
        </w:rPr>
        <w:t>负责人应负责重大事故应急预案的制定和修订；组建应急救援专业队伍，并组织实施平时的演练；检查督促事故预防措施和应急救援的准备工作。</w:t>
      </w:r>
    </w:p>
    <w:p>
      <w:pPr>
        <w:pStyle w:val="63"/>
        <w:ind w:firstLine="480"/>
        <w:rPr>
          <w:color w:val="auto"/>
        </w:rPr>
      </w:pPr>
      <w:r>
        <w:rPr>
          <w:color w:val="auto"/>
        </w:rPr>
        <w:t>指挥领导小组负责事故时的救援命令的发布、解除；组织应急救援专业队伍实施救援行动；向上级汇报和向社会救援组织通报事故情况，必要时发出救援请求；对事故应及时总结。</w:t>
      </w:r>
    </w:p>
    <w:p>
      <w:pPr>
        <w:pStyle w:val="63"/>
        <w:ind w:firstLine="480"/>
        <w:rPr>
          <w:color w:val="auto"/>
        </w:rPr>
      </w:pPr>
      <w:r>
        <w:rPr>
          <w:color w:val="auto"/>
        </w:rPr>
        <w:t>安全环保部门的主要职责为协助指挥领导小组作好事故报警、情况通报、监测及事故处置工作。</w:t>
      </w:r>
    </w:p>
    <w:p>
      <w:pPr>
        <w:pStyle w:val="63"/>
        <w:ind w:firstLine="480"/>
        <w:rPr>
          <w:color w:val="auto"/>
        </w:rPr>
      </w:pPr>
      <w:r>
        <w:rPr>
          <w:color w:val="auto"/>
        </w:rPr>
        <w:t>保卫部门负责警戒、治安保卫、人员疏散、道路管制等工作。</w:t>
      </w:r>
    </w:p>
    <w:p>
      <w:pPr>
        <w:pStyle w:val="63"/>
        <w:ind w:firstLine="480"/>
        <w:rPr>
          <w:color w:val="auto"/>
        </w:rPr>
      </w:pPr>
      <w:r>
        <w:rPr>
          <w:color w:val="auto"/>
        </w:rPr>
        <w:t>设备、生产部门负责事故时的开停车调度、事故现场的联络等工作。</w:t>
      </w:r>
    </w:p>
    <w:p>
      <w:pPr>
        <w:pStyle w:val="63"/>
        <w:ind w:firstLine="480"/>
        <w:rPr>
          <w:color w:val="auto"/>
        </w:rPr>
      </w:pPr>
      <w:r>
        <w:rPr>
          <w:color w:val="auto"/>
        </w:rPr>
        <w:t>（3）救援队伍的组成及分工</w:t>
      </w:r>
    </w:p>
    <w:p>
      <w:pPr>
        <w:pStyle w:val="63"/>
        <w:ind w:firstLine="480"/>
        <w:rPr>
          <w:color w:val="auto"/>
        </w:rPr>
      </w:pPr>
      <w:r>
        <w:rPr>
          <w:color w:val="auto"/>
        </w:rPr>
        <w:t>建议企业根据实际情况组织救援队伍。救援队伍应包括通信联络、治安保卫、消防、抢修、医疗、等相关人员。</w:t>
      </w:r>
    </w:p>
    <w:p>
      <w:pPr>
        <w:pStyle w:val="63"/>
        <w:ind w:firstLine="480"/>
        <w:rPr>
          <w:color w:val="auto"/>
        </w:rPr>
      </w:pPr>
      <w:r>
        <w:rPr>
          <w:color w:val="auto"/>
        </w:rPr>
        <w:t>（4）现场事故处置</w:t>
      </w:r>
    </w:p>
    <w:p>
      <w:pPr>
        <w:pStyle w:val="63"/>
        <w:ind w:firstLine="480"/>
        <w:rPr>
          <w:color w:val="auto"/>
        </w:rPr>
      </w:pPr>
      <w:r>
        <w:rPr>
          <w:color w:val="auto"/>
        </w:rPr>
        <w:t>在发生重大事故时应根据拟定疏散方案及时疏散事故区人员，禁止无关人员进入事故区。应急人员处理事故时应戴自给式呼吸器，穿消防防护服。</w:t>
      </w:r>
    </w:p>
    <w:p>
      <w:pPr>
        <w:pStyle w:val="63"/>
        <w:ind w:firstLine="480"/>
        <w:rPr>
          <w:color w:val="auto"/>
        </w:rPr>
      </w:pPr>
      <w:r>
        <w:rPr>
          <w:color w:val="auto"/>
        </w:rPr>
        <w:t>（5）社会救援</w:t>
      </w:r>
    </w:p>
    <w:p>
      <w:pPr>
        <w:pStyle w:val="63"/>
        <w:ind w:firstLine="480"/>
        <w:rPr>
          <w:color w:val="auto"/>
        </w:rPr>
      </w:pPr>
      <w:r>
        <w:rPr>
          <w:color w:val="auto"/>
        </w:rPr>
        <w:t>根据事故预测，发生事故后有毒有害物质泄漏到环境中，如果不采取措施，将对环境将造成危害，并且可能发生火灾爆炸事故。</w:t>
      </w:r>
    </w:p>
    <w:p>
      <w:pPr>
        <w:pStyle w:val="63"/>
        <w:ind w:firstLine="480"/>
        <w:rPr>
          <w:color w:val="auto"/>
        </w:rPr>
      </w:pPr>
      <w:r>
        <w:rPr>
          <w:color w:val="auto"/>
        </w:rPr>
        <w:t>在制定事故应急救援预案时，应包括社会救援组织的机构、联系方式、报警系统等信息，以保证应急救援指挥能随时与社会救援力量保持联络，请求支援。</w:t>
      </w:r>
    </w:p>
    <w:p>
      <w:pPr>
        <w:pStyle w:val="63"/>
        <w:ind w:firstLine="480"/>
        <w:rPr>
          <w:color w:val="auto"/>
        </w:rPr>
      </w:pPr>
      <w:r>
        <w:rPr>
          <w:color w:val="auto"/>
        </w:rPr>
        <w:t>（6）应急状态的终止和善后计划措施</w:t>
      </w:r>
    </w:p>
    <w:p>
      <w:pPr>
        <w:pStyle w:val="63"/>
        <w:ind w:firstLine="480"/>
        <w:rPr>
          <w:color w:val="auto"/>
        </w:rPr>
      </w:pPr>
      <w:r>
        <w:rPr>
          <w:color w:val="auto"/>
        </w:rPr>
        <w:t>应急状态终止由公司应急指挥中心根据现场情况和专家意见决策并发布。</w:t>
      </w:r>
    </w:p>
    <w:p>
      <w:pPr>
        <w:pStyle w:val="63"/>
        <w:ind w:firstLine="480"/>
        <w:rPr>
          <w:color w:val="auto"/>
        </w:rPr>
      </w:pPr>
      <w:r>
        <w:rPr>
          <w:color w:val="auto"/>
        </w:rPr>
        <w:t>事故现场及受影响区域，根据实际情况采取有效善后措施，包括确认事故状态彻底解除、清理现场、清除污染、恢复生产等现场工作；对处理事故人员的污染检查、医学处理和受伤人员的及时治疗；对事故现场做进一步的安全检查，尤其是由于事故或抢救过程中留下的隐患，是否可能进一步引起新的事故；估算事故损失；分析事故原因和制定防止事故再发生的防范措施，总结教训，写出事故报告，报有关主管部门。</w:t>
      </w:r>
    </w:p>
    <w:p>
      <w:pPr>
        <w:pStyle w:val="63"/>
        <w:ind w:firstLine="480"/>
        <w:rPr>
          <w:color w:val="auto"/>
        </w:rPr>
      </w:pPr>
      <w:r>
        <w:rPr>
          <w:color w:val="auto"/>
        </w:rPr>
        <w:t>（7）事故风险应急预案的编写内容要求</w:t>
      </w:r>
    </w:p>
    <w:p>
      <w:pPr>
        <w:pStyle w:val="63"/>
        <w:ind w:firstLine="480"/>
        <w:rPr>
          <w:color w:val="auto"/>
        </w:rPr>
      </w:pPr>
      <w:r>
        <w:rPr>
          <w:color w:val="auto"/>
        </w:rPr>
        <w:t>应急预案主要内容见表8.5-1。</w:t>
      </w:r>
    </w:p>
    <w:p>
      <w:pPr>
        <w:pStyle w:val="63"/>
        <w:ind w:firstLine="480"/>
        <w:rPr>
          <w:color w:val="auto"/>
        </w:rPr>
      </w:pPr>
    </w:p>
    <w:p>
      <w:pPr>
        <w:pStyle w:val="63"/>
        <w:ind w:firstLine="480"/>
        <w:rPr>
          <w:color w:val="auto"/>
        </w:rPr>
      </w:pPr>
    </w:p>
    <w:p>
      <w:pPr>
        <w:pStyle w:val="63"/>
        <w:ind w:firstLine="480"/>
        <w:rPr>
          <w:color w:val="auto"/>
        </w:rPr>
      </w:pPr>
    </w:p>
    <w:p>
      <w:pPr>
        <w:pStyle w:val="63"/>
        <w:ind w:firstLine="480"/>
        <w:rPr>
          <w:color w:val="auto"/>
        </w:rPr>
      </w:pPr>
    </w:p>
    <w:p>
      <w:pPr>
        <w:pStyle w:val="65"/>
      </w:pPr>
      <w:r>
        <w:t>表8.5-1    事故风险应急预案编写内容要求</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885"/>
        <w:gridCol w:w="2614"/>
        <w:gridCol w:w="574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b/>
                <w:szCs w:val="21"/>
              </w:rPr>
            </w:pPr>
            <w:r>
              <w:rPr>
                <w:rFonts w:hint="eastAsia"/>
                <w:b/>
                <w:szCs w:val="21"/>
              </w:rPr>
              <w:t>序号</w:t>
            </w:r>
          </w:p>
        </w:tc>
        <w:tc>
          <w:tcPr>
            <w:tcW w:w="1414" w:type="pct"/>
            <w:vAlign w:val="center"/>
          </w:tcPr>
          <w:p>
            <w:pPr>
              <w:spacing w:line="276" w:lineRule="auto"/>
              <w:jc w:val="center"/>
              <w:rPr>
                <w:b/>
                <w:szCs w:val="21"/>
              </w:rPr>
            </w:pPr>
            <w:r>
              <w:rPr>
                <w:rFonts w:hint="eastAsia"/>
                <w:b/>
                <w:szCs w:val="21"/>
              </w:rPr>
              <w:t>项目</w:t>
            </w:r>
          </w:p>
        </w:tc>
        <w:tc>
          <w:tcPr>
            <w:tcW w:w="3107" w:type="pct"/>
            <w:vAlign w:val="center"/>
          </w:tcPr>
          <w:p>
            <w:pPr>
              <w:spacing w:line="276" w:lineRule="auto"/>
              <w:jc w:val="center"/>
              <w:rPr>
                <w:b/>
                <w:szCs w:val="21"/>
              </w:rPr>
            </w:pPr>
            <w:r>
              <w:rPr>
                <w:rFonts w:hint="eastAsia"/>
                <w:b/>
                <w:szCs w:val="21"/>
              </w:rPr>
              <w:t>内容及要求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1</w:t>
            </w:r>
          </w:p>
        </w:tc>
        <w:tc>
          <w:tcPr>
            <w:tcW w:w="1414" w:type="pct"/>
            <w:vAlign w:val="center"/>
          </w:tcPr>
          <w:p>
            <w:pPr>
              <w:spacing w:line="276" w:lineRule="auto"/>
              <w:jc w:val="center"/>
              <w:rPr>
                <w:szCs w:val="21"/>
              </w:rPr>
            </w:pPr>
            <w:r>
              <w:rPr>
                <w:rFonts w:hint="eastAsia"/>
                <w:szCs w:val="21"/>
              </w:rPr>
              <w:t>应急计划区</w:t>
            </w:r>
          </w:p>
        </w:tc>
        <w:tc>
          <w:tcPr>
            <w:tcW w:w="3107" w:type="pct"/>
            <w:vAlign w:val="center"/>
          </w:tcPr>
          <w:p>
            <w:pPr>
              <w:pStyle w:val="58"/>
              <w:jc w:val="center"/>
              <w:rPr>
                <w:color w:val="auto"/>
                <w:sz w:val="21"/>
                <w:szCs w:val="21"/>
                <w:lang w:eastAsia="zh-CN"/>
              </w:rPr>
            </w:pPr>
            <w:r>
              <w:rPr>
                <w:rFonts w:hint="eastAsia"/>
                <w:color w:val="auto"/>
                <w:sz w:val="21"/>
                <w:szCs w:val="21"/>
                <w:lang w:eastAsia="zh-CN"/>
              </w:rPr>
              <w:t>危险目标：环境保护目标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2</w:t>
            </w:r>
          </w:p>
        </w:tc>
        <w:tc>
          <w:tcPr>
            <w:tcW w:w="1414" w:type="pct"/>
            <w:vAlign w:val="center"/>
          </w:tcPr>
          <w:p>
            <w:pPr>
              <w:spacing w:line="276" w:lineRule="auto"/>
              <w:jc w:val="center"/>
              <w:rPr>
                <w:szCs w:val="21"/>
              </w:rPr>
            </w:pPr>
            <w:r>
              <w:rPr>
                <w:rFonts w:hint="eastAsia"/>
                <w:szCs w:val="21"/>
              </w:rPr>
              <w:t>应急组织机构、人员</w:t>
            </w:r>
          </w:p>
        </w:tc>
        <w:tc>
          <w:tcPr>
            <w:tcW w:w="3107" w:type="pct"/>
            <w:vAlign w:val="center"/>
          </w:tcPr>
          <w:p>
            <w:pPr>
              <w:pStyle w:val="58"/>
              <w:jc w:val="center"/>
              <w:rPr>
                <w:color w:val="auto"/>
                <w:sz w:val="21"/>
                <w:szCs w:val="21"/>
                <w:lang w:eastAsia="zh-CN"/>
              </w:rPr>
            </w:pPr>
            <w:r>
              <w:rPr>
                <w:rFonts w:hint="eastAsia"/>
                <w:color w:val="auto"/>
                <w:sz w:val="21"/>
                <w:szCs w:val="21"/>
                <w:lang w:eastAsia="zh-CN"/>
              </w:rPr>
              <w:t>工厂、地区应急组织机构、人员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3</w:t>
            </w:r>
          </w:p>
        </w:tc>
        <w:tc>
          <w:tcPr>
            <w:tcW w:w="1414" w:type="pct"/>
            <w:vAlign w:val="center"/>
          </w:tcPr>
          <w:p>
            <w:pPr>
              <w:spacing w:line="276" w:lineRule="auto"/>
              <w:jc w:val="center"/>
              <w:rPr>
                <w:szCs w:val="21"/>
              </w:rPr>
            </w:pPr>
            <w:r>
              <w:rPr>
                <w:rFonts w:hint="eastAsia"/>
                <w:szCs w:val="21"/>
              </w:rPr>
              <w:t>预案分级响应条件</w:t>
            </w:r>
          </w:p>
        </w:tc>
        <w:tc>
          <w:tcPr>
            <w:tcW w:w="3107" w:type="pct"/>
            <w:vAlign w:val="center"/>
          </w:tcPr>
          <w:p>
            <w:pPr>
              <w:pStyle w:val="58"/>
              <w:jc w:val="center"/>
              <w:rPr>
                <w:color w:val="auto"/>
                <w:sz w:val="21"/>
                <w:szCs w:val="21"/>
                <w:lang w:eastAsia="zh-CN"/>
              </w:rPr>
            </w:pPr>
            <w:r>
              <w:rPr>
                <w:rFonts w:hint="eastAsia"/>
                <w:color w:val="auto"/>
                <w:sz w:val="21"/>
                <w:szCs w:val="21"/>
                <w:lang w:eastAsia="zh-CN"/>
              </w:rPr>
              <w:t>规定预案的级别及分级响应程序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4</w:t>
            </w:r>
          </w:p>
        </w:tc>
        <w:tc>
          <w:tcPr>
            <w:tcW w:w="1414" w:type="pct"/>
            <w:vAlign w:val="center"/>
          </w:tcPr>
          <w:p>
            <w:pPr>
              <w:spacing w:line="276" w:lineRule="auto"/>
              <w:jc w:val="center"/>
              <w:rPr>
                <w:szCs w:val="21"/>
              </w:rPr>
            </w:pPr>
            <w:r>
              <w:rPr>
                <w:rFonts w:hint="eastAsia"/>
                <w:szCs w:val="21"/>
              </w:rPr>
              <w:t>应急救援保障</w:t>
            </w:r>
          </w:p>
        </w:tc>
        <w:tc>
          <w:tcPr>
            <w:tcW w:w="3107" w:type="pct"/>
            <w:vAlign w:val="center"/>
          </w:tcPr>
          <w:p>
            <w:pPr>
              <w:pStyle w:val="58"/>
              <w:jc w:val="center"/>
              <w:rPr>
                <w:color w:val="auto"/>
                <w:sz w:val="21"/>
                <w:szCs w:val="21"/>
                <w:lang w:eastAsia="zh-CN"/>
              </w:rPr>
            </w:pPr>
            <w:r>
              <w:rPr>
                <w:rFonts w:hint="eastAsia"/>
                <w:color w:val="auto"/>
                <w:sz w:val="21"/>
                <w:szCs w:val="21"/>
                <w:lang w:eastAsia="zh-CN"/>
              </w:rPr>
              <w:t>应急设施，设备与器材等</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5</w:t>
            </w:r>
          </w:p>
        </w:tc>
        <w:tc>
          <w:tcPr>
            <w:tcW w:w="1414" w:type="pct"/>
            <w:vAlign w:val="center"/>
          </w:tcPr>
          <w:p>
            <w:pPr>
              <w:spacing w:line="276" w:lineRule="auto"/>
              <w:jc w:val="center"/>
              <w:rPr>
                <w:szCs w:val="21"/>
              </w:rPr>
            </w:pPr>
            <w:r>
              <w:rPr>
                <w:rFonts w:hint="eastAsia"/>
                <w:szCs w:val="21"/>
              </w:rPr>
              <w:t>报警、通讯方式</w:t>
            </w:r>
          </w:p>
        </w:tc>
        <w:tc>
          <w:tcPr>
            <w:tcW w:w="3107" w:type="pct"/>
            <w:vAlign w:val="center"/>
          </w:tcPr>
          <w:p>
            <w:pPr>
              <w:pStyle w:val="58"/>
              <w:jc w:val="center"/>
              <w:rPr>
                <w:color w:val="auto"/>
                <w:sz w:val="21"/>
                <w:szCs w:val="21"/>
                <w:lang w:eastAsia="zh-CN"/>
              </w:rPr>
            </w:pPr>
            <w:r>
              <w:rPr>
                <w:rFonts w:hint="eastAsia"/>
                <w:color w:val="auto"/>
                <w:sz w:val="21"/>
                <w:szCs w:val="21"/>
                <w:lang w:eastAsia="zh-CN"/>
              </w:rPr>
              <w:t>规定应急状态下的报警通讯方式、通知方式和交通保障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6</w:t>
            </w:r>
          </w:p>
        </w:tc>
        <w:tc>
          <w:tcPr>
            <w:tcW w:w="1414" w:type="pct"/>
            <w:vAlign w:val="center"/>
          </w:tcPr>
          <w:p>
            <w:pPr>
              <w:pStyle w:val="58"/>
              <w:jc w:val="center"/>
              <w:rPr>
                <w:color w:val="auto"/>
                <w:sz w:val="21"/>
                <w:szCs w:val="21"/>
                <w:lang w:eastAsia="zh-CN"/>
              </w:rPr>
            </w:pPr>
            <w:r>
              <w:rPr>
                <w:rFonts w:hint="eastAsia"/>
                <w:color w:val="auto"/>
                <w:sz w:val="21"/>
                <w:szCs w:val="21"/>
                <w:lang w:eastAsia="zh-CN"/>
              </w:rPr>
              <w:t>应急环境监测、抢险、救援及控制措施</w:t>
            </w:r>
          </w:p>
        </w:tc>
        <w:tc>
          <w:tcPr>
            <w:tcW w:w="3107" w:type="pct"/>
            <w:vAlign w:val="center"/>
          </w:tcPr>
          <w:p>
            <w:pPr>
              <w:pStyle w:val="58"/>
              <w:jc w:val="center"/>
              <w:rPr>
                <w:color w:val="auto"/>
                <w:sz w:val="21"/>
                <w:szCs w:val="21"/>
                <w:lang w:eastAsia="zh-CN"/>
              </w:rPr>
            </w:pPr>
            <w:r>
              <w:rPr>
                <w:rFonts w:hint="eastAsia"/>
                <w:color w:val="auto"/>
                <w:sz w:val="21"/>
                <w:szCs w:val="21"/>
                <w:lang w:eastAsia="zh-CN"/>
              </w:rPr>
              <w:t>由专业队伍负责对事故现场进行侦察监测，对事故性质、参数与后果进行评估，为指挥部门提供决策依据</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7</w:t>
            </w:r>
          </w:p>
        </w:tc>
        <w:tc>
          <w:tcPr>
            <w:tcW w:w="1414" w:type="pct"/>
            <w:vAlign w:val="center"/>
          </w:tcPr>
          <w:p>
            <w:pPr>
              <w:pStyle w:val="58"/>
              <w:jc w:val="center"/>
              <w:rPr>
                <w:color w:val="auto"/>
                <w:sz w:val="21"/>
                <w:szCs w:val="21"/>
                <w:lang w:eastAsia="zh-CN"/>
              </w:rPr>
            </w:pPr>
            <w:r>
              <w:rPr>
                <w:rFonts w:hint="eastAsia"/>
                <w:color w:val="auto"/>
                <w:sz w:val="21"/>
                <w:szCs w:val="21"/>
                <w:lang w:eastAsia="zh-CN"/>
              </w:rPr>
              <w:t>应急检测、防护措施、清除泄漏措施和器材</w:t>
            </w:r>
          </w:p>
        </w:tc>
        <w:tc>
          <w:tcPr>
            <w:tcW w:w="3107" w:type="pct"/>
            <w:vAlign w:val="center"/>
          </w:tcPr>
          <w:p>
            <w:pPr>
              <w:pStyle w:val="58"/>
              <w:jc w:val="center"/>
              <w:rPr>
                <w:color w:val="auto"/>
                <w:sz w:val="21"/>
                <w:szCs w:val="21"/>
                <w:lang w:eastAsia="zh-CN"/>
              </w:rPr>
            </w:pPr>
            <w:r>
              <w:rPr>
                <w:rFonts w:hint="eastAsia"/>
                <w:color w:val="auto"/>
                <w:sz w:val="21"/>
                <w:szCs w:val="21"/>
                <w:lang w:eastAsia="zh-CN"/>
              </w:rPr>
              <w:t>事故现场、邻近区域、控制防火区域，控制和清除污染措施及相应设备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8</w:t>
            </w:r>
          </w:p>
        </w:tc>
        <w:tc>
          <w:tcPr>
            <w:tcW w:w="1414" w:type="pct"/>
            <w:vAlign w:val="center"/>
          </w:tcPr>
          <w:p>
            <w:pPr>
              <w:pStyle w:val="58"/>
              <w:jc w:val="center"/>
              <w:rPr>
                <w:color w:val="auto"/>
                <w:sz w:val="21"/>
                <w:szCs w:val="21"/>
                <w:lang w:eastAsia="zh-CN"/>
              </w:rPr>
            </w:pPr>
            <w:r>
              <w:rPr>
                <w:rFonts w:hint="eastAsia"/>
                <w:color w:val="auto"/>
                <w:sz w:val="21"/>
                <w:szCs w:val="21"/>
                <w:lang w:eastAsia="zh-CN"/>
              </w:rPr>
              <w:t>人员紧急撤离、疏散，应急剂量控制、撤离组织计划</w:t>
            </w:r>
          </w:p>
        </w:tc>
        <w:tc>
          <w:tcPr>
            <w:tcW w:w="3107" w:type="pct"/>
            <w:vAlign w:val="center"/>
          </w:tcPr>
          <w:p>
            <w:pPr>
              <w:pStyle w:val="58"/>
              <w:jc w:val="center"/>
              <w:rPr>
                <w:color w:val="auto"/>
                <w:sz w:val="21"/>
                <w:szCs w:val="21"/>
                <w:lang w:eastAsia="zh-CN"/>
              </w:rPr>
            </w:pPr>
            <w:r>
              <w:rPr>
                <w:rFonts w:hint="eastAsia"/>
                <w:color w:val="auto"/>
                <w:sz w:val="21"/>
                <w:szCs w:val="21"/>
                <w:lang w:eastAsia="zh-CN"/>
              </w:rPr>
              <w:t>事故现场、邻近区、受事故影响的区域人员及公众对毒物应急剂量控制规定，撤离组织计划及救护，医疗救护与公众健康</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9</w:t>
            </w:r>
          </w:p>
        </w:tc>
        <w:tc>
          <w:tcPr>
            <w:tcW w:w="1414" w:type="pct"/>
            <w:vAlign w:val="center"/>
          </w:tcPr>
          <w:p>
            <w:pPr>
              <w:pStyle w:val="58"/>
              <w:jc w:val="center"/>
              <w:rPr>
                <w:color w:val="auto"/>
                <w:sz w:val="21"/>
                <w:szCs w:val="21"/>
                <w:lang w:eastAsia="zh-CN"/>
              </w:rPr>
            </w:pPr>
            <w:r>
              <w:rPr>
                <w:rFonts w:hint="eastAsia"/>
                <w:color w:val="auto"/>
                <w:sz w:val="21"/>
                <w:szCs w:val="21"/>
                <w:lang w:eastAsia="zh-CN"/>
              </w:rPr>
              <w:t>事故应急救援关闭程序与恢复措施</w:t>
            </w:r>
          </w:p>
        </w:tc>
        <w:tc>
          <w:tcPr>
            <w:tcW w:w="3107" w:type="pct"/>
            <w:vAlign w:val="center"/>
          </w:tcPr>
          <w:p>
            <w:pPr>
              <w:pStyle w:val="58"/>
              <w:jc w:val="center"/>
              <w:rPr>
                <w:color w:val="auto"/>
                <w:sz w:val="21"/>
                <w:szCs w:val="21"/>
                <w:lang w:eastAsia="zh-CN"/>
              </w:rPr>
            </w:pPr>
            <w:r>
              <w:rPr>
                <w:rFonts w:hint="eastAsia"/>
                <w:color w:val="auto"/>
                <w:sz w:val="21"/>
                <w:szCs w:val="21"/>
                <w:lang w:eastAsia="zh-CN"/>
              </w:rPr>
              <w:t>规定应急状态终止程序；事故现场善后处理，恢复措施；邻近区域解除事故警戒及善后恢复措施</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10</w:t>
            </w:r>
          </w:p>
        </w:tc>
        <w:tc>
          <w:tcPr>
            <w:tcW w:w="1414" w:type="pct"/>
            <w:vAlign w:val="center"/>
          </w:tcPr>
          <w:p>
            <w:pPr>
              <w:pStyle w:val="58"/>
              <w:jc w:val="center"/>
              <w:rPr>
                <w:color w:val="auto"/>
                <w:sz w:val="21"/>
                <w:szCs w:val="21"/>
              </w:rPr>
            </w:pPr>
            <w:r>
              <w:rPr>
                <w:rFonts w:hint="eastAsia"/>
                <w:color w:val="auto"/>
                <w:sz w:val="21"/>
                <w:szCs w:val="21"/>
              </w:rPr>
              <w:t>应急培训计划</w:t>
            </w:r>
          </w:p>
        </w:tc>
        <w:tc>
          <w:tcPr>
            <w:tcW w:w="3107" w:type="pct"/>
            <w:vAlign w:val="center"/>
          </w:tcPr>
          <w:p>
            <w:pPr>
              <w:pStyle w:val="58"/>
              <w:jc w:val="center"/>
              <w:rPr>
                <w:color w:val="auto"/>
                <w:sz w:val="21"/>
                <w:szCs w:val="21"/>
                <w:lang w:eastAsia="zh-CN"/>
              </w:rPr>
            </w:pPr>
            <w:r>
              <w:rPr>
                <w:rFonts w:hint="eastAsia"/>
                <w:color w:val="auto"/>
                <w:sz w:val="21"/>
                <w:szCs w:val="21"/>
                <w:lang w:eastAsia="zh-CN"/>
              </w:rPr>
              <w:t>应急计划制定后，平时安排人员培训与演练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11</w:t>
            </w:r>
          </w:p>
        </w:tc>
        <w:tc>
          <w:tcPr>
            <w:tcW w:w="1414" w:type="pct"/>
            <w:vAlign w:val="center"/>
          </w:tcPr>
          <w:p>
            <w:pPr>
              <w:pStyle w:val="58"/>
              <w:jc w:val="center"/>
              <w:rPr>
                <w:color w:val="auto"/>
                <w:sz w:val="21"/>
                <w:szCs w:val="21"/>
              </w:rPr>
            </w:pPr>
            <w:r>
              <w:rPr>
                <w:rFonts w:hint="eastAsia"/>
                <w:color w:val="auto"/>
                <w:sz w:val="21"/>
                <w:szCs w:val="21"/>
              </w:rPr>
              <w:t>公众教育和信息</w:t>
            </w:r>
          </w:p>
        </w:tc>
        <w:tc>
          <w:tcPr>
            <w:tcW w:w="3107" w:type="pct"/>
            <w:vAlign w:val="center"/>
          </w:tcPr>
          <w:p>
            <w:pPr>
              <w:pStyle w:val="58"/>
              <w:jc w:val="center"/>
              <w:rPr>
                <w:color w:val="auto"/>
                <w:sz w:val="21"/>
                <w:szCs w:val="21"/>
                <w:lang w:eastAsia="zh-CN"/>
              </w:rPr>
            </w:pPr>
            <w:r>
              <w:rPr>
                <w:rFonts w:hint="eastAsia"/>
                <w:color w:val="auto"/>
                <w:sz w:val="21"/>
                <w:szCs w:val="21"/>
                <w:lang w:eastAsia="zh-CN"/>
              </w:rPr>
              <w:t>对工厂邻近地区开展公众教育、培训和发布有关信息</w:t>
            </w:r>
          </w:p>
        </w:tc>
      </w:tr>
    </w:tbl>
    <w:p>
      <w:pPr>
        <w:pStyle w:val="61"/>
        <w:rPr>
          <w:i/>
          <w:color w:val="auto"/>
        </w:rPr>
      </w:pPr>
      <w:bookmarkStart w:id="105" w:name="_Toc436902188"/>
      <w:r>
        <w:rPr>
          <w:rFonts w:hint="eastAsia"/>
          <w:color w:val="auto"/>
        </w:rPr>
        <w:t>8.6风险评价结论与建议</w:t>
      </w:r>
      <w:bookmarkEnd w:id="105"/>
    </w:p>
    <w:p>
      <w:pPr>
        <w:pStyle w:val="63"/>
        <w:ind w:firstLine="480"/>
        <w:rPr>
          <w:color w:val="auto"/>
        </w:rPr>
      </w:pPr>
      <w:r>
        <w:rPr>
          <w:rFonts w:hint="eastAsia"/>
          <w:color w:val="auto"/>
        </w:rPr>
        <w:t>（1）项目建成投产后，环境事故风险将增加，因此，从项目的前期开始，设计施工、生产运行，必须高度重视安全生产、事故防范和减少环境事故风险，以尽可能的减少环境代价。</w:t>
      </w:r>
    </w:p>
    <w:p>
      <w:pPr>
        <w:pStyle w:val="63"/>
        <w:ind w:firstLine="480"/>
        <w:rPr>
          <w:color w:val="auto"/>
        </w:rPr>
      </w:pPr>
      <w:r>
        <w:rPr>
          <w:rFonts w:hint="eastAsia"/>
          <w:color w:val="auto"/>
        </w:rPr>
        <w:t>（2）本项目不存在重大危险源，主要环境风险为氯气瓶泄漏及输水管道爆管事故。</w:t>
      </w:r>
    </w:p>
    <w:p>
      <w:pPr>
        <w:pStyle w:val="63"/>
        <w:ind w:firstLine="480"/>
        <w:rPr>
          <w:color w:val="auto"/>
        </w:rPr>
      </w:pPr>
      <w:r>
        <w:rPr>
          <w:rFonts w:hint="eastAsia"/>
          <w:color w:val="auto"/>
        </w:rPr>
        <w:t>（3）当事故发生时，建设方应立即启动应急程序，力争在风险发生的最初时间就确保风险源能够得到及时有效的控制，尽可能避免重大人员伤亡和财产损失事故的发生，同时尽可能减轻对周围环境造成影响。</w:t>
      </w:r>
    </w:p>
    <w:p>
      <w:pPr>
        <w:pStyle w:val="63"/>
        <w:ind w:firstLine="480"/>
        <w:rPr>
          <w:color w:val="auto"/>
        </w:rPr>
        <w:sectPr>
          <w:pgSz w:w="11906" w:h="16838"/>
          <w:pgMar w:top="1440" w:right="1440" w:bottom="1440" w:left="1440" w:header="851" w:footer="992" w:gutter="0"/>
          <w:cols w:space="720" w:num="1"/>
          <w:titlePg/>
          <w:docGrid w:type="linesAndChars" w:linePitch="312" w:charSpace="0"/>
        </w:sectPr>
      </w:pPr>
      <w:r>
        <w:rPr>
          <w:rFonts w:hint="eastAsia"/>
          <w:color w:val="auto"/>
        </w:rPr>
        <w:t>综上所述，本项目环境风险在确保防范措施落实的情况下，是可以接受的。</w:t>
      </w:r>
    </w:p>
    <w:p>
      <w:pPr>
        <w:pStyle w:val="60"/>
        <w:spacing w:before="156" w:after="156"/>
      </w:pPr>
      <w:bookmarkStart w:id="106" w:name="_Toc436902189"/>
      <w:r>
        <w:rPr>
          <w:rFonts w:hint="eastAsia"/>
        </w:rPr>
        <w:t>9 污染防治措施可行性分析</w:t>
      </w:r>
      <w:bookmarkEnd w:id="106"/>
    </w:p>
    <w:p>
      <w:pPr>
        <w:pStyle w:val="61"/>
        <w:rPr>
          <w:i/>
          <w:color w:val="auto"/>
        </w:rPr>
      </w:pPr>
      <w:bookmarkStart w:id="107" w:name="_Toc436902190"/>
      <w:r>
        <w:rPr>
          <w:rFonts w:hint="eastAsia"/>
          <w:color w:val="auto"/>
        </w:rPr>
        <w:t>9.1施工期污染防治措施</w:t>
      </w:r>
      <w:bookmarkEnd w:id="107"/>
    </w:p>
    <w:p>
      <w:pPr>
        <w:pStyle w:val="62"/>
        <w:rPr>
          <w:color w:val="auto"/>
        </w:rPr>
      </w:pPr>
      <w:r>
        <w:rPr>
          <w:rFonts w:hint="eastAsia"/>
          <w:color w:val="auto"/>
        </w:rPr>
        <w:t>9.1.1环境空气污染防治措施</w:t>
      </w:r>
    </w:p>
    <w:p>
      <w:pPr>
        <w:pStyle w:val="63"/>
        <w:ind w:firstLine="480"/>
        <w:rPr>
          <w:color w:val="auto"/>
        </w:rPr>
      </w:pPr>
      <w:r>
        <w:rPr>
          <w:color w:val="auto"/>
        </w:rPr>
        <w:t>（1）工程建设中及时对运输车辆进行维护和保养，使汽车燃料燃烧充分，从而降低汽车尾气的排放。</w:t>
      </w:r>
    </w:p>
    <w:p>
      <w:pPr>
        <w:pStyle w:val="63"/>
        <w:ind w:firstLine="480"/>
        <w:rPr>
          <w:color w:val="auto"/>
        </w:rPr>
      </w:pPr>
      <w:r>
        <w:rPr>
          <w:color w:val="auto"/>
        </w:rPr>
        <w:t>（2）地表开挖过程中，应洒水使作业面保持一定的湿度；对施工场地内松散、干涸的表土，也应经常洒水防尘；回填土方时，对干燥表土时适当洒水，防止粉尘飞扬。</w:t>
      </w:r>
    </w:p>
    <w:p>
      <w:pPr>
        <w:pStyle w:val="63"/>
        <w:ind w:firstLine="480"/>
        <w:rPr>
          <w:color w:val="auto"/>
        </w:rPr>
      </w:pPr>
      <w:r>
        <w:rPr>
          <w:color w:val="auto"/>
        </w:rPr>
        <w:t>（3）对施工现场和建筑体分别采取围栏、设置工棚、覆盖遮蔽等措施，阻隔施工扬尘污染；遇4级以上大风天气应停止施工，并采取有效的防尘措施，以达到防风降尘的目的，减轻施工扬尘对周围环境空气的影响。</w:t>
      </w:r>
    </w:p>
    <w:p>
      <w:pPr>
        <w:pStyle w:val="63"/>
        <w:ind w:firstLine="480"/>
        <w:rPr>
          <w:color w:val="auto"/>
        </w:rPr>
      </w:pPr>
      <w:r>
        <w:rPr>
          <w:color w:val="auto"/>
        </w:rPr>
        <w:t>（4）施工工地应用洗轮机、吸扫车、防尘墩和抑尘剂等技术，推行工地边界无尘责任区。施工单位运输工程渣土、泥浆、建筑垃圾及砂、石等散体建筑材料，应全部采用密闭运输车辆，并按指定路线行驶。</w:t>
      </w:r>
    </w:p>
    <w:p>
      <w:pPr>
        <w:pStyle w:val="63"/>
        <w:ind w:firstLine="480"/>
        <w:rPr>
          <w:color w:val="auto"/>
        </w:rPr>
      </w:pPr>
      <w:r>
        <w:rPr>
          <w:color w:val="auto"/>
        </w:rPr>
        <w:t>（5）站场施工场地出入口，配备专门的清洗设备和人员，及时冲洗运输车辆；同时，对施工地面采取临时硬化等防尘措施。</w:t>
      </w:r>
    </w:p>
    <w:p>
      <w:pPr>
        <w:pStyle w:val="63"/>
        <w:ind w:firstLine="480"/>
        <w:rPr>
          <w:color w:val="auto"/>
        </w:rPr>
      </w:pPr>
      <w:r>
        <w:rPr>
          <w:color w:val="auto"/>
        </w:rPr>
        <w:t>（6）施工过程应及时清理堆放在场地上的弃土、弃渣和道路上的抛撒料、渣，不能及时清运的，必须适时采取洒水灭尘等措施，防止二次扬尘。</w:t>
      </w:r>
    </w:p>
    <w:p>
      <w:pPr>
        <w:pStyle w:val="62"/>
        <w:rPr>
          <w:color w:val="auto"/>
        </w:rPr>
      </w:pPr>
      <w:r>
        <w:rPr>
          <w:rFonts w:hint="eastAsia"/>
          <w:color w:val="auto"/>
        </w:rPr>
        <w:t>9.1.2水污染防治措施</w:t>
      </w:r>
    </w:p>
    <w:p>
      <w:pPr>
        <w:pStyle w:val="63"/>
        <w:ind w:firstLine="480"/>
        <w:rPr>
          <w:color w:val="auto"/>
        </w:rPr>
      </w:pPr>
      <w:r>
        <w:rPr>
          <w:color w:val="auto"/>
        </w:rPr>
        <w:t xml:space="preserve">（1）施工场地设旱厕，生活污水经旱厕处理后用于绿化或堆肥。 </w:t>
      </w:r>
    </w:p>
    <w:p>
      <w:pPr>
        <w:pStyle w:val="63"/>
        <w:ind w:firstLine="480"/>
        <w:rPr>
          <w:color w:val="auto"/>
        </w:rPr>
      </w:pPr>
      <w:r>
        <w:rPr>
          <w:color w:val="auto"/>
        </w:rPr>
        <w:t xml:space="preserve">（2）施工场地设沉淀池，生产废水经沉淀池收集沉淀后循环使用。 </w:t>
      </w:r>
    </w:p>
    <w:p>
      <w:pPr>
        <w:pStyle w:val="63"/>
        <w:ind w:firstLine="480"/>
        <w:rPr>
          <w:color w:val="auto"/>
        </w:rPr>
      </w:pPr>
      <w:r>
        <w:rPr>
          <w:color w:val="auto"/>
        </w:rPr>
        <w:t xml:space="preserve">（3）河道穿越施工作业应在枯水期进行，并严格控制施工范围。 </w:t>
      </w:r>
    </w:p>
    <w:p>
      <w:pPr>
        <w:pStyle w:val="63"/>
        <w:ind w:firstLine="480"/>
        <w:rPr>
          <w:color w:val="auto"/>
        </w:rPr>
      </w:pPr>
      <w:r>
        <w:rPr>
          <w:color w:val="auto"/>
        </w:rPr>
        <w:t>（4）严禁在水体附近清洗施工器具、机械等；加强施工机械维护，防止施工机械漏油，若有漏油现象应及时收集，并用专门容器盛装后统一处理。</w:t>
      </w:r>
    </w:p>
    <w:p>
      <w:pPr>
        <w:pStyle w:val="62"/>
        <w:rPr>
          <w:color w:val="auto"/>
        </w:rPr>
      </w:pPr>
      <w:r>
        <w:rPr>
          <w:rFonts w:hint="eastAsia"/>
          <w:color w:val="auto"/>
        </w:rPr>
        <w:t>9.1.3噪声污染防治措施</w:t>
      </w:r>
    </w:p>
    <w:p>
      <w:pPr>
        <w:pStyle w:val="63"/>
        <w:ind w:firstLine="480"/>
        <w:rPr>
          <w:color w:val="auto"/>
        </w:rPr>
      </w:pPr>
      <w:r>
        <w:rPr>
          <w:color w:val="auto"/>
        </w:rPr>
        <w:t>（1）合理安排施工作业时间和高噪声施工机械的工作频次，合理调配车辆来往行车密度，尽量避开附近村民休息时间。</w:t>
      </w:r>
    </w:p>
    <w:p>
      <w:pPr>
        <w:pStyle w:val="63"/>
        <w:ind w:firstLine="480"/>
        <w:rPr>
          <w:color w:val="auto"/>
        </w:rPr>
      </w:pPr>
      <w:r>
        <w:rPr>
          <w:color w:val="auto"/>
        </w:rPr>
        <w:t>（2）尽量选用低噪声机械设备或自带隔声、消声的设备，降低设备声级；同时做好施工机械的维护和保养，有效降低机械设备运转的噪声源强。</w:t>
      </w:r>
    </w:p>
    <w:p>
      <w:pPr>
        <w:pStyle w:val="62"/>
        <w:rPr>
          <w:color w:val="auto"/>
        </w:rPr>
      </w:pPr>
      <w:r>
        <w:rPr>
          <w:rFonts w:hint="eastAsia"/>
          <w:color w:val="auto"/>
        </w:rPr>
        <w:t>9.1.4固体废物污染防治措施</w:t>
      </w:r>
    </w:p>
    <w:p>
      <w:pPr>
        <w:pStyle w:val="63"/>
        <w:ind w:firstLine="480"/>
        <w:rPr>
          <w:color w:val="auto"/>
        </w:rPr>
      </w:pPr>
      <w:r>
        <w:rPr>
          <w:color w:val="auto"/>
        </w:rPr>
        <w:t>（1）施工期弃土弃渣、建筑垃圾与生活垃圾应分类堆放、分别处置，严禁乱堆乱倒。</w:t>
      </w:r>
    </w:p>
    <w:p>
      <w:pPr>
        <w:pStyle w:val="63"/>
        <w:ind w:firstLine="480"/>
        <w:rPr>
          <w:color w:val="auto"/>
        </w:rPr>
      </w:pPr>
      <w:r>
        <w:rPr>
          <w:color w:val="auto"/>
        </w:rPr>
        <w:t>（2）施工期开挖表土尽量回填，做到土石方平衡。必须建设弃土场时，其选址必须满足《一般工业固体废物贮存、处置场污染控制标准》，同时应征得当地国土、规划、环保等部门的同意。弃土应做好防护措施，防止造成新的水土流失。</w:t>
      </w:r>
    </w:p>
    <w:p>
      <w:pPr>
        <w:pStyle w:val="63"/>
        <w:ind w:firstLine="480"/>
        <w:rPr>
          <w:color w:val="auto"/>
        </w:rPr>
      </w:pPr>
      <w:r>
        <w:rPr>
          <w:color w:val="auto"/>
        </w:rPr>
        <w:t>（3）建筑垃圾收集后堆放于指定地点，由施工方定期统一清运。</w:t>
      </w:r>
    </w:p>
    <w:p>
      <w:pPr>
        <w:pStyle w:val="63"/>
        <w:ind w:firstLine="480"/>
        <w:rPr>
          <w:color w:val="auto"/>
        </w:rPr>
      </w:pPr>
      <w:r>
        <w:rPr>
          <w:color w:val="auto"/>
        </w:rPr>
        <w:t>（</w:t>
      </w:r>
      <w:r>
        <w:rPr>
          <w:rFonts w:hint="eastAsia"/>
          <w:color w:val="auto"/>
        </w:rPr>
        <w:t>4</w:t>
      </w:r>
      <w:r>
        <w:rPr>
          <w:color w:val="auto"/>
        </w:rPr>
        <w:t>）施工产生的生活垃圾采取在各施工场地设置生活垃圾收集筒袋装集中收集，并指定专人定期采用垃圾收集车收运，送交当地环保部门指定的集中点集中处置。</w:t>
      </w:r>
    </w:p>
    <w:p>
      <w:pPr>
        <w:pStyle w:val="62"/>
        <w:rPr>
          <w:color w:val="auto"/>
        </w:rPr>
      </w:pPr>
      <w:r>
        <w:rPr>
          <w:rFonts w:hint="eastAsia"/>
          <w:color w:val="auto"/>
        </w:rPr>
        <w:t>9.1.5生态环境保护措施</w:t>
      </w:r>
    </w:p>
    <w:p>
      <w:pPr>
        <w:pStyle w:val="70"/>
        <w:ind w:firstLine="482"/>
        <w:rPr>
          <w:color w:val="auto"/>
        </w:rPr>
      </w:pPr>
      <w:r>
        <w:rPr>
          <w:rFonts w:hint="eastAsia"/>
          <w:color w:val="auto"/>
        </w:rPr>
        <w:t>9.1.5.1管理措施</w:t>
      </w:r>
    </w:p>
    <w:p>
      <w:pPr>
        <w:pStyle w:val="63"/>
        <w:ind w:firstLine="480"/>
        <w:rPr>
          <w:color w:val="auto"/>
        </w:rPr>
      </w:pPr>
      <w:r>
        <w:rPr>
          <w:color w:val="auto"/>
        </w:rPr>
        <w:t>（</w:t>
      </w:r>
      <w:r>
        <w:rPr>
          <w:rFonts w:hint="eastAsia"/>
          <w:color w:val="auto"/>
        </w:rPr>
        <w:t>1</w:t>
      </w:r>
      <w:r>
        <w:rPr>
          <w:color w:val="auto"/>
        </w:rPr>
        <w:t>）</w:t>
      </w:r>
      <w:r>
        <w:rPr>
          <w:rFonts w:hint="eastAsia"/>
          <w:color w:val="auto"/>
        </w:rPr>
        <w:t>为减少农业生产损失，施工期应尽量避开农作物生长季节，严格控制并尽可能缩小施工作业带宽度。</w:t>
      </w:r>
    </w:p>
    <w:p>
      <w:pPr>
        <w:pStyle w:val="63"/>
        <w:ind w:firstLine="480"/>
        <w:rPr>
          <w:color w:val="auto"/>
        </w:rPr>
      </w:pPr>
      <w:r>
        <w:rPr>
          <w:rFonts w:hint="eastAsia"/>
          <w:color w:val="auto"/>
        </w:rPr>
        <w:t>（2）</w:t>
      </w:r>
      <w:r>
        <w:rPr>
          <w:color w:val="auto"/>
        </w:rPr>
        <w:t>建设单位与施工方签定的合同中，应有生态环境保护责任方面的内容；应将环保条款和环保措施纳入施工经济合同中。</w:t>
      </w:r>
    </w:p>
    <w:p>
      <w:pPr>
        <w:pStyle w:val="63"/>
        <w:ind w:firstLine="480"/>
        <w:rPr>
          <w:color w:val="auto"/>
        </w:rPr>
      </w:pPr>
      <w:r>
        <w:rPr>
          <w:color w:val="auto"/>
        </w:rPr>
        <w:t>（</w:t>
      </w:r>
      <w:r>
        <w:rPr>
          <w:rFonts w:hint="eastAsia"/>
          <w:color w:val="auto"/>
        </w:rPr>
        <w:t>3</w:t>
      </w:r>
      <w:r>
        <w:rPr>
          <w:color w:val="auto"/>
        </w:rPr>
        <w:t>）加强生态环境的管理措施，提高施工人员的环保意识。施工前对施工人员首先进行生态环境保护业务培训。</w:t>
      </w:r>
    </w:p>
    <w:p>
      <w:pPr>
        <w:pStyle w:val="63"/>
        <w:ind w:firstLine="480"/>
        <w:rPr>
          <w:color w:val="auto"/>
        </w:rPr>
      </w:pPr>
      <w:r>
        <w:rPr>
          <w:color w:val="auto"/>
        </w:rPr>
        <w:t>（</w:t>
      </w:r>
      <w:r>
        <w:rPr>
          <w:rFonts w:hint="eastAsia"/>
          <w:color w:val="auto"/>
        </w:rPr>
        <w:t>4</w:t>
      </w:r>
      <w:r>
        <w:rPr>
          <w:color w:val="auto"/>
        </w:rPr>
        <w:t>）认真贯彻“三同时”制度，把生态保护恢复规划纳入施工计划。</w:t>
      </w:r>
    </w:p>
    <w:p>
      <w:pPr>
        <w:pStyle w:val="63"/>
        <w:ind w:firstLine="480"/>
        <w:rPr>
          <w:color w:val="auto"/>
        </w:rPr>
      </w:pPr>
      <w:r>
        <w:rPr>
          <w:color w:val="auto"/>
        </w:rPr>
        <w:t>（</w:t>
      </w:r>
      <w:r>
        <w:rPr>
          <w:rFonts w:hint="eastAsia"/>
          <w:color w:val="auto"/>
        </w:rPr>
        <w:t>5</w:t>
      </w:r>
      <w:r>
        <w:rPr>
          <w:color w:val="auto"/>
        </w:rPr>
        <w:t>）施工作业要严格管理，不得在施工带以外的地区活动。</w:t>
      </w:r>
    </w:p>
    <w:p>
      <w:pPr>
        <w:pStyle w:val="63"/>
        <w:ind w:firstLine="480"/>
        <w:rPr>
          <w:color w:val="auto"/>
        </w:rPr>
      </w:pPr>
      <w:r>
        <w:rPr>
          <w:rFonts w:hint="eastAsia"/>
          <w:color w:val="auto"/>
        </w:rPr>
        <w:t>（6）占用基本农田必须遵守《基本农田保护条例》的规定，依法办理用地手续，并落实占补平衡费用及措施。</w:t>
      </w:r>
    </w:p>
    <w:p>
      <w:pPr>
        <w:pStyle w:val="70"/>
        <w:ind w:firstLine="482"/>
        <w:rPr>
          <w:color w:val="auto"/>
        </w:rPr>
      </w:pPr>
      <w:r>
        <w:rPr>
          <w:rFonts w:hint="eastAsia"/>
          <w:color w:val="auto"/>
        </w:rPr>
        <w:t>9.1.5.2土壤与植被的保护措施</w:t>
      </w:r>
    </w:p>
    <w:p>
      <w:pPr>
        <w:pStyle w:val="63"/>
        <w:ind w:firstLine="480"/>
        <w:rPr>
          <w:color w:val="auto"/>
        </w:rPr>
      </w:pPr>
      <w:r>
        <w:rPr>
          <w:color w:val="auto"/>
        </w:rPr>
        <w:t>（1）施工过程中，加强施工管理，严格控制施工车辆、机械及施工人员活动范围，尽可能减少原有植被和土壤的破坏。对于植被生长较好的地段，尽量不要设置工棚、料场等。</w:t>
      </w:r>
    </w:p>
    <w:p>
      <w:pPr>
        <w:pStyle w:val="63"/>
        <w:ind w:firstLine="480"/>
        <w:rPr>
          <w:color w:val="auto"/>
        </w:rPr>
      </w:pPr>
      <w:r>
        <w:rPr>
          <w:color w:val="auto"/>
        </w:rPr>
        <w:t>（2）道路施工作业带两侧宽度控制在15m范围内，管线施工作业面宽度控制在10m范围内，尽量减少地表扰动面积和植被剥离的生物量。加强道路边坡防护，形成边坡防护体系，防止暴雨冲刷。</w:t>
      </w:r>
    </w:p>
    <w:p>
      <w:pPr>
        <w:pStyle w:val="63"/>
        <w:ind w:firstLine="480"/>
        <w:rPr>
          <w:color w:val="auto"/>
        </w:rPr>
      </w:pPr>
      <w:r>
        <w:rPr>
          <w:rFonts w:hint="eastAsia"/>
          <w:color w:val="auto"/>
        </w:rPr>
        <w:t>（3）施工便道、管线等临时占地工程占用基本农田时，挖掘时应将表土、底层土分开堆放，回填时应分层回填，恢复原土层，保护土壤肥力，以利后期植被恢复；施工结束后，应尽快复垦，可采取人工增加土壤肥力、水分等措施，及时进行农作物恢复，确保成活率。</w:t>
      </w:r>
    </w:p>
    <w:p>
      <w:pPr>
        <w:pStyle w:val="70"/>
        <w:ind w:firstLine="482"/>
        <w:rPr>
          <w:color w:val="auto"/>
        </w:rPr>
      </w:pPr>
      <w:r>
        <w:rPr>
          <w:rFonts w:hint="eastAsia"/>
          <w:color w:val="auto"/>
        </w:rPr>
        <w:t>9.1.5.3生态补偿恢复措施</w:t>
      </w:r>
    </w:p>
    <w:p>
      <w:pPr>
        <w:pStyle w:val="63"/>
        <w:ind w:firstLine="480"/>
        <w:rPr>
          <w:color w:val="auto"/>
        </w:rPr>
      </w:pPr>
      <w:r>
        <w:rPr>
          <w:color w:val="auto"/>
        </w:rPr>
        <w:t>（1）为了弥补因工程建设引起的植被占用和破坏导致的生态损失，评价要求按占多少补多少的原则进行生态补偿，由建设单位出资，对临时占地进行植被恢复，生态恢复措施要在紧邻施工完成的生长季节进行。</w:t>
      </w:r>
    </w:p>
    <w:p>
      <w:pPr>
        <w:pStyle w:val="63"/>
        <w:ind w:firstLine="480"/>
        <w:rPr>
          <w:color w:val="auto"/>
        </w:rPr>
      </w:pPr>
      <w:r>
        <w:rPr>
          <w:rFonts w:hint="eastAsia"/>
          <w:color w:val="auto"/>
        </w:rPr>
        <w:t>（2）耕地占用前，必须对耕地表层腐殖质土进行分层剥离与堆放，同时采取拦护等措施，尽量减少土壤养分的流失。</w:t>
      </w:r>
    </w:p>
    <w:p>
      <w:pPr>
        <w:pStyle w:val="63"/>
        <w:ind w:firstLine="480"/>
        <w:rPr>
          <w:color w:val="auto"/>
        </w:rPr>
      </w:pPr>
      <w:r>
        <w:rPr>
          <w:rFonts w:hint="eastAsia"/>
          <w:color w:val="auto"/>
        </w:rPr>
        <w:t>（3）耕地占用后应合理安排土地复垦的时间，施工期完毕后尽快开展土地复垦。对复垦后的耕地采取人工改良等措施，恢复土壤肥力和土壤理化性质。</w:t>
      </w:r>
    </w:p>
    <w:p>
      <w:pPr>
        <w:pStyle w:val="63"/>
        <w:ind w:firstLine="480"/>
        <w:rPr>
          <w:color w:val="auto"/>
        </w:rPr>
      </w:pPr>
      <w:r>
        <w:rPr>
          <w:color w:val="auto"/>
        </w:rPr>
        <w:t>（</w:t>
      </w:r>
      <w:r>
        <w:rPr>
          <w:rFonts w:hint="eastAsia"/>
          <w:color w:val="auto"/>
        </w:rPr>
        <w:t>4</w:t>
      </w:r>
      <w:r>
        <w:rPr>
          <w:color w:val="auto"/>
        </w:rPr>
        <w:t>）水源地管理站应按照环境保护部门的有关规定进行绿化，绿化率不低于30%。</w:t>
      </w:r>
    </w:p>
    <w:p>
      <w:pPr>
        <w:pStyle w:val="70"/>
        <w:ind w:firstLine="482"/>
        <w:rPr>
          <w:color w:val="auto"/>
        </w:rPr>
      </w:pPr>
      <w:r>
        <w:rPr>
          <w:rFonts w:hint="eastAsia"/>
          <w:color w:val="auto"/>
        </w:rPr>
        <w:t>9.1.5.4水土保持防治措施</w:t>
      </w:r>
    </w:p>
    <w:p>
      <w:pPr>
        <w:pStyle w:val="63"/>
        <w:ind w:firstLine="480"/>
        <w:rPr>
          <w:color w:val="auto"/>
        </w:rPr>
      </w:pPr>
      <w:r>
        <w:rPr>
          <w:color w:val="auto"/>
        </w:rPr>
        <w:t>（1）根据工程区的自然条件、地形地貌、工程建设时序、工程造成的水土流失特点及项目主体工程布局，结合分区治理的规划原则，本工程管道铺设采用直埋式，沿线道路应增加防护挡板，并及时回填，防止水土流失。</w:t>
      </w:r>
    </w:p>
    <w:p>
      <w:pPr>
        <w:pStyle w:val="63"/>
        <w:ind w:firstLine="480"/>
        <w:rPr>
          <w:color w:val="auto"/>
        </w:rPr>
      </w:pPr>
      <w:r>
        <w:rPr>
          <w:color w:val="auto"/>
        </w:rPr>
        <w:t>（2）工程区新增水土流失主要发生在项目建设施工期，生产运行过程中不需扰动地面。扰动地面积主要是输水管网埋设占地面积。管线施工过程中扰动地表，损失植被等会造成轻微水土流失。应采取必要的工程措施及植被措施对裸露面、坡面等进行绿化、护坡，以减少对环境的影响程度及防治水土流失。</w:t>
      </w:r>
    </w:p>
    <w:p>
      <w:pPr>
        <w:pStyle w:val="63"/>
        <w:ind w:firstLine="480"/>
        <w:rPr>
          <w:color w:val="auto"/>
        </w:rPr>
      </w:pPr>
      <w:r>
        <w:rPr>
          <w:color w:val="auto"/>
        </w:rPr>
        <w:t>（3）统筹部署水土保持措施，一是重点治理和面上防护相结合，对产生水土流失的区域进行重点治理，二是工程措施和植被措施相结合，以工程措施为先导，尽快控制水土流失。管线铺设后余土回填，并以植被覆盖。堆料场施工后清基整理场地，然后覆土造林种草。弃渣场地就近布置，弃渣场堆放时应先填平沟道，然后再先石后土堆放、分层压实。管道开挖土方用黑塑料覆盖住减少因刮风和下雨造成的水土流失。</w:t>
      </w:r>
    </w:p>
    <w:p>
      <w:pPr>
        <w:pStyle w:val="70"/>
        <w:ind w:firstLine="482"/>
        <w:rPr>
          <w:color w:val="auto"/>
        </w:rPr>
      </w:pPr>
      <w:r>
        <w:rPr>
          <w:rFonts w:hint="eastAsia"/>
          <w:color w:val="auto"/>
        </w:rPr>
        <w:t>9.1.5.5临时工程生态保护措施</w:t>
      </w:r>
    </w:p>
    <w:p>
      <w:pPr>
        <w:pStyle w:val="63"/>
        <w:ind w:firstLine="480"/>
        <w:rPr>
          <w:color w:val="auto"/>
        </w:rPr>
      </w:pPr>
      <w:r>
        <w:rPr>
          <w:color w:val="auto"/>
        </w:rPr>
        <w:t>本项目设计中未明确各类大临工程情况，本次环评提出要求如下：</w:t>
      </w:r>
    </w:p>
    <w:p>
      <w:pPr>
        <w:pStyle w:val="63"/>
        <w:ind w:firstLine="480"/>
        <w:rPr>
          <w:color w:val="auto"/>
        </w:rPr>
      </w:pPr>
      <w:r>
        <w:rPr>
          <w:color w:val="auto"/>
        </w:rPr>
        <w:t>（1）应尽量利用现有道路，减少施工便道建设，必须建设时，应尽量占用荒草地，避免破坏林地和耕地，施工结束后应尽快恢复植被；</w:t>
      </w:r>
    </w:p>
    <w:p>
      <w:pPr>
        <w:pStyle w:val="63"/>
        <w:ind w:firstLine="480"/>
        <w:rPr>
          <w:color w:val="auto"/>
        </w:rPr>
      </w:pPr>
      <w:r>
        <w:rPr>
          <w:color w:val="auto"/>
        </w:rPr>
        <w:t>（2）施工生产区可与站场临时占地统一布置，生活区可依托周边现有生活设施，不应新增临时占地；</w:t>
      </w:r>
    </w:p>
    <w:p>
      <w:pPr>
        <w:pStyle w:val="63"/>
        <w:ind w:firstLine="480"/>
        <w:rPr>
          <w:color w:val="auto"/>
        </w:rPr>
      </w:pPr>
      <w:r>
        <w:rPr>
          <w:color w:val="auto"/>
        </w:rPr>
        <w:t>（3）实际建设中土石方尽量挖填平衡，必须建设弃土场时，其选址必须满足《一般工业固体废物贮存、处置场污染控制标准》，同时应征得当地国土、规划、环保等部门的同意。</w:t>
      </w:r>
    </w:p>
    <w:p>
      <w:pPr>
        <w:pStyle w:val="61"/>
        <w:rPr>
          <w:color w:val="auto"/>
        </w:rPr>
      </w:pPr>
      <w:bookmarkStart w:id="108" w:name="_Toc436902191"/>
      <w:r>
        <w:rPr>
          <w:rFonts w:hint="eastAsia"/>
          <w:color w:val="auto"/>
        </w:rPr>
        <w:t>9.2运营期污染防治措施</w:t>
      </w:r>
      <w:bookmarkEnd w:id="108"/>
    </w:p>
    <w:p>
      <w:pPr>
        <w:pStyle w:val="62"/>
        <w:rPr>
          <w:color w:val="auto"/>
        </w:rPr>
      </w:pPr>
      <w:r>
        <w:rPr>
          <w:rFonts w:hint="eastAsia"/>
          <w:color w:val="auto"/>
        </w:rPr>
        <w:t>9.2.1环境空气污染防治措施</w:t>
      </w:r>
    </w:p>
    <w:p>
      <w:pPr>
        <w:pStyle w:val="63"/>
        <w:ind w:firstLine="480"/>
        <w:rPr>
          <w:color w:val="auto"/>
        </w:rPr>
      </w:pPr>
      <w:r>
        <w:rPr>
          <w:color w:val="auto"/>
        </w:rPr>
        <w:t>项目营运期废气仅为</w:t>
      </w:r>
      <w:r>
        <w:rPr>
          <w:rFonts w:hint="eastAsia"/>
          <w:color w:val="auto"/>
        </w:rPr>
        <w:t>加氯车间微量泄漏的氯气和食堂</w:t>
      </w:r>
      <w:r>
        <w:rPr>
          <w:color w:val="auto"/>
        </w:rPr>
        <w:t>餐饮油烟</w:t>
      </w:r>
      <w:r>
        <w:rPr>
          <w:rFonts w:hint="eastAsia"/>
          <w:color w:val="auto"/>
        </w:rPr>
        <w:t>。</w:t>
      </w:r>
    </w:p>
    <w:p>
      <w:pPr>
        <w:pStyle w:val="63"/>
        <w:ind w:firstLine="480"/>
        <w:rPr>
          <w:color w:val="auto"/>
        </w:rPr>
      </w:pPr>
      <w:r>
        <w:rPr>
          <w:rFonts w:hint="eastAsia"/>
          <w:color w:val="auto"/>
        </w:rPr>
        <w:t>（1）微量泄漏的氯气</w:t>
      </w:r>
    </w:p>
    <w:p>
      <w:pPr>
        <w:pStyle w:val="63"/>
        <w:ind w:firstLine="480"/>
        <w:rPr>
          <w:color w:val="auto"/>
        </w:rPr>
      </w:pPr>
      <w:r>
        <w:rPr>
          <w:color w:val="auto"/>
        </w:rPr>
        <w:t>设计采用全真空投加方式，以防止氯的外泄，并在氯库内设置了漏氯检测仪和氯气吸收装置，当发生氯气意外泄漏时，氯气吸收装置自动投运，可将泄漏出的氯气全部进行中和处理，能够保护周围的环境免受氯气泄漏的影响。</w:t>
      </w:r>
    </w:p>
    <w:p>
      <w:pPr>
        <w:pStyle w:val="63"/>
        <w:ind w:firstLine="480"/>
        <w:rPr>
          <w:color w:val="auto"/>
        </w:rPr>
      </w:pPr>
      <w:r>
        <w:rPr>
          <w:color w:val="auto"/>
        </w:rPr>
        <w:t>氯气吸收装置是通过有效地吸收泄漏氯气而达到保护操作人员安全和防止环境污染的目的。其基本原理为：当氯瓶或加氯设备氯气泄漏时，氯气挥发到周围的空气中，吸收机通过管路把被污染的空气吸入设备，与设备内装有活性剂的碱液发生中和反应，氯气被碱液吸收，同时所释放出的反应热也被吸收，反应生产物留在吸收液里，而被净化的空气被排放出来。有关资料表明，装有NaOH溶液的氯气吸收装置吸收器排出的空气游离氯含量小于0.1ppm。</w:t>
      </w:r>
      <w:r>
        <w:rPr>
          <w:rFonts w:hint="eastAsia"/>
          <w:color w:val="auto"/>
        </w:rPr>
        <w:t>目前，氯气吸收装置已被广泛应用到大中型水厂，措施可行。</w:t>
      </w:r>
    </w:p>
    <w:p>
      <w:pPr>
        <w:pStyle w:val="63"/>
        <w:ind w:firstLine="480"/>
        <w:rPr>
          <w:color w:val="auto"/>
        </w:rPr>
      </w:pPr>
      <w:r>
        <w:rPr>
          <w:rFonts w:hint="eastAsia"/>
          <w:color w:val="auto"/>
        </w:rPr>
        <w:t>（2）餐饮油烟</w:t>
      </w:r>
    </w:p>
    <w:p>
      <w:pPr>
        <w:pStyle w:val="63"/>
        <w:ind w:firstLine="480"/>
        <w:rPr>
          <w:color w:val="auto"/>
        </w:rPr>
      </w:pPr>
      <w:r>
        <w:rPr>
          <w:rFonts w:hint="eastAsia"/>
          <w:color w:val="auto"/>
        </w:rPr>
        <w:t>建设单位</w:t>
      </w:r>
      <w:r>
        <w:rPr>
          <w:color w:val="auto"/>
        </w:rPr>
        <w:t>拟设计在食堂安装1套油烟净化设备对油烟进行净化，处理后的废气经屋顶排空。油烟净化装置净化效率按65%计算，则本项目餐饮油烟的排放量为2.53kg/a，排放浓度约为0.58mg/m</w:t>
      </w:r>
      <w:r>
        <w:rPr>
          <w:color w:val="auto"/>
          <w:vertAlign w:val="superscript"/>
        </w:rPr>
        <w:t>3</w:t>
      </w:r>
      <w:r>
        <w:rPr>
          <w:color w:val="auto"/>
        </w:rPr>
        <w:t>。排放浓度和油烟净化设施去除率均满足《饮食业油烟排放标准》（GB18483-2001）中的相关要求。</w:t>
      </w:r>
    </w:p>
    <w:p>
      <w:pPr>
        <w:pStyle w:val="63"/>
        <w:ind w:firstLine="480"/>
        <w:rPr>
          <w:color w:val="auto"/>
        </w:rPr>
      </w:pPr>
      <w:r>
        <w:rPr>
          <w:color w:val="auto"/>
        </w:rPr>
        <w:t>因此，本项目建成运营后不会对周围环境空气造成影响，措施可行。</w:t>
      </w:r>
    </w:p>
    <w:p>
      <w:pPr>
        <w:pStyle w:val="62"/>
        <w:rPr>
          <w:color w:val="auto"/>
        </w:rPr>
      </w:pPr>
      <w:r>
        <w:rPr>
          <w:rFonts w:hint="eastAsia"/>
          <w:color w:val="auto"/>
        </w:rPr>
        <w:t>9.2.2水污染防治措施</w:t>
      </w:r>
    </w:p>
    <w:p>
      <w:pPr>
        <w:pStyle w:val="63"/>
        <w:ind w:firstLine="480"/>
        <w:rPr>
          <w:color w:val="auto"/>
        </w:rPr>
      </w:pPr>
      <w:r>
        <w:rPr>
          <w:rFonts w:hint="eastAsia"/>
          <w:color w:val="auto"/>
        </w:rPr>
        <w:t>（1）生产废水</w:t>
      </w:r>
    </w:p>
    <w:p>
      <w:pPr>
        <w:pStyle w:val="63"/>
        <w:ind w:firstLine="480"/>
        <w:rPr>
          <w:color w:val="auto"/>
        </w:rPr>
      </w:pPr>
      <w:r>
        <w:rPr>
          <w:color w:val="auto"/>
        </w:rPr>
        <w:t>生产废水主要为</w:t>
      </w:r>
      <w:r>
        <w:rPr>
          <w:rFonts w:hint="eastAsia"/>
          <w:color w:val="auto"/>
        </w:rPr>
        <w:t>保障房给水处理站</w:t>
      </w:r>
      <w:r>
        <w:rPr>
          <w:color w:val="auto"/>
        </w:rPr>
        <w:t>沉淀池排泥管道排放的废水及滤池反冲洗废水。滤池反冲洗废水浊度较大，需经</w:t>
      </w:r>
      <w:r>
        <w:rPr>
          <w:rFonts w:hint="eastAsia"/>
          <w:color w:val="auto"/>
        </w:rPr>
        <w:t>中间水池</w:t>
      </w:r>
      <w:r>
        <w:rPr>
          <w:color w:val="auto"/>
        </w:rPr>
        <w:t>调节流量后，经浓缩池处理后进入回用</w:t>
      </w:r>
      <w:r>
        <w:rPr>
          <w:rFonts w:hint="eastAsia"/>
          <w:color w:val="auto"/>
        </w:rPr>
        <w:t>原水</w:t>
      </w:r>
      <w:r>
        <w:rPr>
          <w:color w:val="auto"/>
        </w:rPr>
        <w:t>池；生物活性炭滤池反冲洗废水浊度较低，水质相对较好，直接排入回用</w:t>
      </w:r>
      <w:r>
        <w:rPr>
          <w:rFonts w:hint="eastAsia"/>
          <w:color w:val="auto"/>
        </w:rPr>
        <w:t>原水池，</w:t>
      </w:r>
      <w:r>
        <w:rPr>
          <w:color w:val="auto"/>
        </w:rPr>
        <w:t>经处理后再次进入自来水生产环节。污泥脱水设备对沉淀池排泥进行进一步脱水处理，将排泥含水率从95%左右降至80%左右，污泥脱水液脱水液进入</w:t>
      </w:r>
      <w:r>
        <w:rPr>
          <w:rFonts w:hint="eastAsia"/>
          <w:color w:val="auto"/>
        </w:rPr>
        <w:t>中间水池</w:t>
      </w:r>
      <w:r>
        <w:rPr>
          <w:color w:val="auto"/>
        </w:rPr>
        <w:t>，最终进入原水池再次进行处理。</w:t>
      </w:r>
    </w:p>
    <w:p>
      <w:pPr>
        <w:pStyle w:val="63"/>
        <w:ind w:firstLine="480"/>
        <w:rPr>
          <w:color w:val="auto"/>
        </w:rPr>
      </w:pPr>
      <w:r>
        <w:rPr>
          <w:rFonts w:hint="eastAsia"/>
          <w:color w:val="auto"/>
        </w:rPr>
        <w:t>综上所述，本项目废水产生量较小，且经处理后不直接排入地表水体，对地表水环境影响不大。</w:t>
      </w:r>
    </w:p>
    <w:p>
      <w:pPr>
        <w:pStyle w:val="63"/>
        <w:ind w:firstLine="480"/>
        <w:rPr>
          <w:color w:val="auto"/>
        </w:rPr>
      </w:pPr>
      <w:r>
        <w:rPr>
          <w:rFonts w:hint="eastAsia"/>
          <w:color w:val="auto"/>
        </w:rPr>
        <w:t>（2）生活污水</w:t>
      </w:r>
    </w:p>
    <w:p>
      <w:pPr>
        <w:pStyle w:val="63"/>
        <w:ind w:firstLine="480"/>
        <w:rPr>
          <w:color w:val="auto"/>
        </w:rPr>
      </w:pPr>
      <w:r>
        <w:rPr>
          <w:color w:val="auto"/>
        </w:rPr>
        <w:t>根据工程分析可知，本项目</w:t>
      </w:r>
      <w:r>
        <w:rPr>
          <w:rFonts w:hint="eastAsia"/>
          <w:color w:val="auto"/>
        </w:rPr>
        <w:t>职工</w:t>
      </w:r>
      <w:r>
        <w:rPr>
          <w:color w:val="auto"/>
        </w:rPr>
        <w:t>生活污水产生量1.12m</w:t>
      </w:r>
      <w:r>
        <w:rPr>
          <w:color w:val="auto"/>
          <w:vertAlign w:val="superscript"/>
        </w:rPr>
        <w:t>3</w:t>
      </w:r>
      <w:r>
        <w:rPr>
          <w:color w:val="auto"/>
        </w:rPr>
        <w:t>/d（235.2m</w:t>
      </w:r>
      <w:r>
        <w:rPr>
          <w:color w:val="auto"/>
          <w:vertAlign w:val="superscript"/>
        </w:rPr>
        <w:t>3</w:t>
      </w:r>
      <w:r>
        <w:rPr>
          <w:color w:val="auto"/>
        </w:rPr>
        <w:t>/a）。由于本项目生活污水产生量很少，且污染因子单一，且拟建厂址周边无市政排水系统。根据可研提供的处理方案，拟建立</w:t>
      </w:r>
      <w:r>
        <w:rPr>
          <w:rFonts w:hint="eastAsia"/>
          <w:color w:val="auto"/>
        </w:rPr>
        <w:t>地埋式污水处理装置进行处理。</w:t>
      </w:r>
    </w:p>
    <w:p>
      <w:pPr>
        <w:pStyle w:val="63"/>
        <w:ind w:firstLine="480"/>
        <w:rPr>
          <w:color w:val="auto"/>
        </w:rPr>
      </w:pPr>
      <w:r>
        <w:rPr>
          <w:rFonts w:hint="eastAsia"/>
          <w:color w:val="auto"/>
        </w:rPr>
        <w:t>地埋式污水处理装置建议采用A/O生物接触氧化工艺，处理后水质能够满足《城市杂用水水质标准》GB/T18920-2002绿化水质要求。本项目生活污水经处理达标后回用于水源管理站厂区内绿化，废水无外排。</w:t>
      </w:r>
    </w:p>
    <w:p>
      <w:pPr>
        <w:pStyle w:val="63"/>
        <w:ind w:firstLine="480"/>
        <w:rPr>
          <w:color w:val="auto"/>
        </w:rPr>
      </w:pPr>
      <w:r>
        <w:rPr>
          <w:rFonts w:hint="eastAsia"/>
          <w:color w:val="auto"/>
        </w:rPr>
        <w:t>本项目水源管理站占地17.1亩，绿化面积3420m</w:t>
      </w:r>
      <w:r>
        <w:rPr>
          <w:rFonts w:hint="eastAsia"/>
          <w:color w:val="auto"/>
          <w:vertAlign w:val="superscript"/>
        </w:rPr>
        <w:t>2</w:t>
      </w:r>
      <w:r>
        <w:rPr>
          <w:rFonts w:hint="eastAsia"/>
          <w:color w:val="auto"/>
        </w:rPr>
        <w:t>，根据《陕西省行业用水定额》（2013年），绿化用水取2.0L/m</w:t>
      </w:r>
      <w:r>
        <w:rPr>
          <w:rFonts w:hint="eastAsia"/>
          <w:color w:val="auto"/>
          <w:vertAlign w:val="superscript"/>
        </w:rPr>
        <w:t>2</w:t>
      </w:r>
      <w:r>
        <w:rPr>
          <w:rFonts w:hint="eastAsia"/>
          <w:color w:val="auto"/>
        </w:rPr>
        <w:t>·d，则水源管理站每天绿化用水量为6.84m</w:t>
      </w:r>
      <w:r>
        <w:rPr>
          <w:rFonts w:hint="eastAsia"/>
          <w:color w:val="auto"/>
          <w:vertAlign w:val="superscript"/>
        </w:rPr>
        <w:t>3</w:t>
      </w:r>
      <w:r>
        <w:rPr>
          <w:rFonts w:hint="eastAsia"/>
          <w:color w:val="auto"/>
        </w:rPr>
        <w:t>/d。经工程分析可知，本项目生活污水产生量很小，每天</w:t>
      </w:r>
      <w:r>
        <w:rPr>
          <w:color w:val="auto"/>
        </w:rPr>
        <w:t>1.12m</w:t>
      </w:r>
      <w:r>
        <w:rPr>
          <w:color w:val="auto"/>
          <w:vertAlign w:val="superscript"/>
        </w:rPr>
        <w:t>3</w:t>
      </w:r>
      <w:r>
        <w:rPr>
          <w:color w:val="auto"/>
        </w:rPr>
        <w:t>/d</w:t>
      </w:r>
      <w:r>
        <w:rPr>
          <w:rFonts w:hint="eastAsia"/>
          <w:color w:val="auto"/>
        </w:rPr>
        <w:t>远小于水源管理站每天绿化用水需求，因此，生活污水经地埋式污水处理设施处理达标后回用于水源地管理站绿化，措施是可行的。</w:t>
      </w:r>
    </w:p>
    <w:p>
      <w:pPr>
        <w:pStyle w:val="62"/>
        <w:rPr>
          <w:color w:val="auto"/>
        </w:rPr>
      </w:pPr>
      <w:r>
        <w:rPr>
          <w:rFonts w:hint="eastAsia"/>
          <w:color w:val="auto"/>
        </w:rPr>
        <w:t>9.2.3噪声污染防治措施</w:t>
      </w:r>
    </w:p>
    <w:p>
      <w:pPr>
        <w:pStyle w:val="63"/>
        <w:ind w:firstLine="480"/>
        <w:rPr>
          <w:color w:val="auto"/>
        </w:rPr>
      </w:pPr>
      <w:r>
        <w:rPr>
          <w:color w:val="auto"/>
        </w:rPr>
        <w:t>（1）水源地水泵应选用低噪声产品，并集中在泵房内，泵房墙壁、房顶采用吸声材料。</w:t>
      </w:r>
    </w:p>
    <w:p>
      <w:pPr>
        <w:pStyle w:val="63"/>
        <w:ind w:firstLine="480"/>
        <w:rPr>
          <w:color w:val="auto"/>
        </w:rPr>
      </w:pPr>
      <w:r>
        <w:rPr>
          <w:color w:val="auto"/>
        </w:rPr>
        <w:t>（2）水源地管理站</w:t>
      </w:r>
      <w:r>
        <w:rPr>
          <w:rFonts w:hint="eastAsia"/>
          <w:color w:val="auto"/>
        </w:rPr>
        <w:t>及保障房给水处理站</w:t>
      </w:r>
      <w:r>
        <w:rPr>
          <w:color w:val="auto"/>
        </w:rPr>
        <w:t>泵类等采取基础减震措施，风机等进出口加装消声器。</w:t>
      </w:r>
    </w:p>
    <w:p>
      <w:pPr>
        <w:pStyle w:val="63"/>
        <w:ind w:firstLine="480"/>
        <w:rPr>
          <w:color w:val="auto"/>
        </w:rPr>
      </w:pPr>
      <w:r>
        <w:rPr>
          <w:color w:val="auto"/>
        </w:rPr>
        <w:t>（3）对于水源管理站</w:t>
      </w:r>
      <w:r>
        <w:rPr>
          <w:rFonts w:hint="eastAsia"/>
          <w:color w:val="auto"/>
        </w:rPr>
        <w:t>及保障房给水处理站</w:t>
      </w:r>
      <w:r>
        <w:rPr>
          <w:color w:val="auto"/>
        </w:rPr>
        <w:t>噪声较大的水泵、电葫芦机房，在室内设置吸音墙裙、吸音吊顶和悬挂强吸声体，吸收和降低反射强度，达到降噪效果，同时加强门窗密闭性。</w:t>
      </w:r>
    </w:p>
    <w:p>
      <w:pPr>
        <w:pStyle w:val="63"/>
        <w:ind w:firstLine="480"/>
        <w:rPr>
          <w:color w:val="auto"/>
        </w:rPr>
      </w:pPr>
      <w:r>
        <w:rPr>
          <w:color w:val="auto"/>
        </w:rPr>
        <w:t>（4）水源管理站</w:t>
      </w:r>
      <w:r>
        <w:rPr>
          <w:rFonts w:hint="eastAsia"/>
          <w:color w:val="auto"/>
        </w:rPr>
        <w:t>及保障房给水处理站</w:t>
      </w:r>
      <w:r>
        <w:rPr>
          <w:color w:val="auto"/>
        </w:rPr>
        <w:t>强噪声房间和附属值班室用双层密闭门窗分隔以减少噪声干扰。</w:t>
      </w:r>
    </w:p>
    <w:p>
      <w:pPr>
        <w:pStyle w:val="63"/>
        <w:ind w:firstLine="480"/>
        <w:rPr>
          <w:color w:val="auto"/>
        </w:rPr>
      </w:pPr>
      <w:r>
        <w:rPr>
          <w:color w:val="auto"/>
        </w:rPr>
        <w:t>（5）加强水源管理站</w:t>
      </w:r>
      <w:r>
        <w:rPr>
          <w:rFonts w:hint="eastAsia"/>
          <w:color w:val="auto"/>
        </w:rPr>
        <w:t>及保障房给水处理站</w:t>
      </w:r>
      <w:r>
        <w:rPr>
          <w:color w:val="auto"/>
        </w:rPr>
        <w:t>绿化，在厂界周围栽种树木进行绿化，以降低噪声。</w:t>
      </w:r>
    </w:p>
    <w:p>
      <w:pPr>
        <w:pStyle w:val="62"/>
        <w:rPr>
          <w:color w:val="auto"/>
        </w:rPr>
      </w:pPr>
      <w:r>
        <w:rPr>
          <w:rFonts w:hint="eastAsia"/>
          <w:color w:val="auto"/>
        </w:rPr>
        <w:t>9.2.4固体废物污染防治措施</w:t>
      </w:r>
    </w:p>
    <w:p>
      <w:pPr>
        <w:pStyle w:val="63"/>
        <w:ind w:firstLine="480"/>
        <w:rPr>
          <w:color w:val="auto"/>
        </w:rPr>
      </w:pPr>
      <w:r>
        <w:rPr>
          <w:color w:val="auto"/>
        </w:rPr>
        <w:t>项目营运期固体废弃物</w:t>
      </w:r>
      <w:r>
        <w:rPr>
          <w:rFonts w:hint="eastAsia"/>
          <w:color w:val="auto"/>
        </w:rPr>
        <w:t>主要是</w:t>
      </w:r>
      <w:r>
        <w:rPr>
          <w:color w:val="auto"/>
        </w:rPr>
        <w:t>生活垃圾</w:t>
      </w:r>
      <w:r>
        <w:rPr>
          <w:rFonts w:hint="eastAsia"/>
          <w:color w:val="auto"/>
        </w:rPr>
        <w:t>和危险废物</w:t>
      </w:r>
      <w:r>
        <w:rPr>
          <w:color w:val="auto"/>
        </w:rPr>
        <w:t>。</w:t>
      </w:r>
    </w:p>
    <w:p>
      <w:pPr>
        <w:pStyle w:val="63"/>
        <w:ind w:firstLine="480"/>
        <w:rPr>
          <w:color w:val="auto"/>
        </w:rPr>
      </w:pPr>
      <w:r>
        <w:rPr>
          <w:color w:val="auto"/>
        </w:rPr>
        <w:t>（1）生活垃圾集中收集后</w:t>
      </w:r>
      <w:r>
        <w:rPr>
          <w:rFonts w:hint="eastAsia"/>
          <w:color w:val="auto"/>
        </w:rPr>
        <w:t>交环卫部门</w:t>
      </w:r>
      <w:r>
        <w:rPr>
          <w:color w:val="auto"/>
        </w:rPr>
        <w:t>统一</w:t>
      </w:r>
      <w:r>
        <w:rPr>
          <w:rFonts w:hint="eastAsia"/>
          <w:color w:val="auto"/>
        </w:rPr>
        <w:t>处理；</w:t>
      </w:r>
    </w:p>
    <w:p>
      <w:pPr>
        <w:pStyle w:val="63"/>
        <w:ind w:firstLine="480"/>
        <w:rPr>
          <w:color w:val="auto"/>
        </w:rPr>
      </w:pPr>
      <w:r>
        <w:rPr>
          <w:rFonts w:hint="eastAsia"/>
          <w:color w:val="auto"/>
        </w:rPr>
        <w:t>（2）食堂废油脂集中收集后交由有资质单位统一处理；</w:t>
      </w:r>
    </w:p>
    <w:p>
      <w:pPr>
        <w:pStyle w:val="63"/>
        <w:ind w:firstLine="480"/>
        <w:rPr>
          <w:color w:val="auto"/>
        </w:rPr>
      </w:pPr>
      <w:r>
        <w:rPr>
          <w:color w:val="auto"/>
        </w:rPr>
        <w:t>（</w:t>
      </w:r>
      <w:r>
        <w:rPr>
          <w:rFonts w:hint="eastAsia"/>
          <w:color w:val="auto"/>
        </w:rPr>
        <w:t>3</w:t>
      </w:r>
      <w:r>
        <w:rPr>
          <w:color w:val="auto"/>
        </w:rPr>
        <w:t>）化验室废水可能含有废酸（HW34）、废碱（HW35）等，为危险废物，应交由有资质单位处理</w:t>
      </w:r>
      <w:r>
        <w:rPr>
          <w:rFonts w:hint="eastAsia"/>
          <w:color w:val="auto"/>
        </w:rPr>
        <w:t>；</w:t>
      </w:r>
    </w:p>
    <w:p>
      <w:pPr>
        <w:pStyle w:val="63"/>
        <w:ind w:firstLine="480"/>
        <w:rPr>
          <w:color w:val="auto"/>
        </w:rPr>
      </w:pPr>
      <w:r>
        <w:rPr>
          <w:rFonts w:hint="eastAsia"/>
          <w:color w:val="auto"/>
        </w:rPr>
        <w:t>（4）活性氧化铝吸附法除氟罐清洗废液，为危险废物，交由有资质单位处理；</w:t>
      </w:r>
      <w:r>
        <w:rPr>
          <w:color w:val="auto"/>
        </w:rPr>
        <w:t xml:space="preserve"> </w:t>
      </w:r>
    </w:p>
    <w:p>
      <w:pPr>
        <w:pStyle w:val="63"/>
        <w:ind w:firstLine="480"/>
        <w:rPr>
          <w:color w:val="auto"/>
        </w:rPr>
      </w:pPr>
      <w:r>
        <w:rPr>
          <w:rFonts w:hint="eastAsia"/>
          <w:color w:val="auto"/>
        </w:rPr>
        <w:t>（5）</w:t>
      </w:r>
      <w:r>
        <w:rPr>
          <w:color w:val="auto"/>
        </w:rPr>
        <w:t>沉淀池和滤池产生的泥沙</w:t>
      </w:r>
      <w:r>
        <w:rPr>
          <w:rFonts w:hint="eastAsia"/>
          <w:color w:val="auto"/>
        </w:rPr>
        <w:t>为一般工业固废，脱水后定期运至附近垃圾填埋场处置。</w:t>
      </w:r>
    </w:p>
    <w:p>
      <w:pPr>
        <w:pStyle w:val="63"/>
        <w:ind w:firstLine="480"/>
        <w:rPr>
          <w:color w:val="auto"/>
        </w:rPr>
      </w:pPr>
      <w:r>
        <w:rPr>
          <w:color w:val="auto"/>
        </w:rPr>
        <w:t>采取上述措施后，项目营运期产生的固体废弃物均能得到妥善处理，类比已建成</w:t>
      </w:r>
      <w:r>
        <w:rPr>
          <w:rFonts w:hint="eastAsia"/>
          <w:color w:val="auto"/>
        </w:rPr>
        <w:t>项目</w:t>
      </w:r>
      <w:r>
        <w:rPr>
          <w:color w:val="auto"/>
        </w:rPr>
        <w:t>，</w:t>
      </w:r>
      <w:r>
        <w:rPr>
          <w:rFonts w:hint="eastAsia"/>
          <w:color w:val="auto"/>
        </w:rPr>
        <w:t>以上</w:t>
      </w:r>
      <w:r>
        <w:rPr>
          <w:color w:val="auto"/>
        </w:rPr>
        <w:t>措施可行。</w:t>
      </w:r>
    </w:p>
    <w:p>
      <w:pPr>
        <w:pStyle w:val="62"/>
        <w:rPr>
          <w:color w:val="auto"/>
        </w:rPr>
      </w:pPr>
      <w:r>
        <w:rPr>
          <w:rFonts w:hint="eastAsia"/>
          <w:color w:val="auto"/>
        </w:rPr>
        <w:t>9.2.5生态环境保护措施</w:t>
      </w:r>
    </w:p>
    <w:p>
      <w:pPr>
        <w:pStyle w:val="63"/>
        <w:ind w:firstLine="480"/>
        <w:rPr>
          <w:color w:val="auto"/>
        </w:rPr>
      </w:pPr>
      <w:r>
        <w:rPr>
          <w:color w:val="auto"/>
        </w:rPr>
        <w:t>（1）项目建成后，会使永久占地的地表形态及地貌景观有所改变，通过对</w:t>
      </w:r>
      <w:r>
        <w:rPr>
          <w:rFonts w:hint="eastAsia"/>
          <w:color w:val="auto"/>
        </w:rPr>
        <w:t>水源地管理站</w:t>
      </w:r>
      <w:r>
        <w:rPr>
          <w:color w:val="auto"/>
        </w:rPr>
        <w:t>周边进行绿化，可有效补偿项目对周围环境的影响。</w:t>
      </w:r>
    </w:p>
    <w:p>
      <w:pPr>
        <w:pStyle w:val="63"/>
        <w:ind w:firstLine="480"/>
        <w:rPr>
          <w:color w:val="auto"/>
        </w:rPr>
        <w:sectPr>
          <w:pgSz w:w="11906" w:h="16838"/>
          <w:pgMar w:top="1440" w:right="1440" w:bottom="1440" w:left="1440" w:header="851" w:footer="992" w:gutter="0"/>
          <w:cols w:space="720" w:num="1"/>
          <w:titlePg/>
          <w:docGrid w:type="linesAndChars" w:linePitch="312" w:charSpace="0"/>
        </w:sectPr>
      </w:pPr>
      <w:r>
        <w:rPr>
          <w:color w:val="auto"/>
        </w:rPr>
        <w:t>（2）在输水管线上方设置标志，以防附近的各类施工活动对管线的破坏。</w:t>
      </w:r>
    </w:p>
    <w:p>
      <w:pPr>
        <w:pStyle w:val="60"/>
        <w:spacing w:before="156" w:after="156"/>
      </w:pPr>
      <w:bookmarkStart w:id="109" w:name="_Toc436902192"/>
      <w:r>
        <w:rPr>
          <w:rFonts w:hint="eastAsia"/>
        </w:rPr>
        <w:t>10 清洁生产与总量控制</w:t>
      </w:r>
      <w:bookmarkEnd w:id="109"/>
    </w:p>
    <w:p>
      <w:pPr>
        <w:pStyle w:val="61"/>
        <w:rPr>
          <w:i/>
          <w:color w:val="auto"/>
        </w:rPr>
      </w:pPr>
      <w:bookmarkStart w:id="110" w:name="_Toc436902193"/>
      <w:r>
        <w:rPr>
          <w:rFonts w:hint="eastAsia"/>
          <w:color w:val="auto"/>
        </w:rPr>
        <w:t>10.1清洁生产</w:t>
      </w:r>
      <w:bookmarkEnd w:id="110"/>
    </w:p>
    <w:p>
      <w:pPr>
        <w:pStyle w:val="63"/>
        <w:ind w:firstLine="480"/>
        <w:rPr>
          <w:color w:val="auto"/>
        </w:rPr>
      </w:pPr>
      <w:r>
        <w:rPr>
          <w:rFonts w:hint="eastAsia"/>
          <w:color w:val="auto"/>
        </w:rPr>
        <w:t>清洁生产核心是将污染预防原则应用于生产全过程，通过不断改善管理和技术进步，提高资源利用率，减少污染物排放，从源头上降低生产和服务对环境和人类的危害。</w:t>
      </w:r>
    </w:p>
    <w:p>
      <w:pPr>
        <w:pStyle w:val="63"/>
        <w:ind w:firstLine="480"/>
        <w:rPr>
          <w:color w:val="auto"/>
        </w:rPr>
      </w:pPr>
      <w:r>
        <w:rPr>
          <w:color w:val="auto"/>
        </w:rPr>
        <w:t>（1）生产工艺与装备</w:t>
      </w:r>
    </w:p>
    <w:p>
      <w:pPr>
        <w:pStyle w:val="63"/>
        <w:ind w:firstLine="480"/>
        <w:rPr>
          <w:color w:val="auto"/>
        </w:rPr>
      </w:pPr>
      <w:r>
        <w:rPr>
          <w:color w:val="auto"/>
        </w:rPr>
        <w:t>本项目</w:t>
      </w:r>
      <w:r>
        <w:rPr>
          <w:rFonts w:hint="eastAsia"/>
          <w:color w:val="auto"/>
        </w:rPr>
        <w:t>水源管理站主要</w:t>
      </w:r>
      <w:r>
        <w:rPr>
          <w:color w:val="auto"/>
        </w:rPr>
        <w:t>工艺为</w:t>
      </w:r>
      <w:r>
        <w:rPr>
          <w:rFonts w:hint="eastAsia"/>
          <w:color w:val="auto"/>
        </w:rPr>
        <w:t>：</w:t>
      </w:r>
      <w:r>
        <w:rPr>
          <w:color w:val="auto"/>
        </w:rPr>
        <w:t>原水经过水源管理站的配水池后经加压泵加压后输水至泾阳县第三水厂</w:t>
      </w:r>
      <w:r>
        <w:rPr>
          <w:rFonts w:hint="eastAsia"/>
          <w:color w:val="auto"/>
        </w:rPr>
        <w:t>；给水处理站设计工艺为：“</w:t>
      </w:r>
      <w:r>
        <w:rPr>
          <w:color w:val="auto"/>
        </w:rPr>
        <w:t>多介质</w:t>
      </w:r>
      <w:r>
        <w:rPr>
          <w:rFonts w:hint="eastAsia"/>
          <w:color w:val="auto"/>
        </w:rPr>
        <w:t>过滤器</w:t>
      </w:r>
      <w:r>
        <w:rPr>
          <w:color w:val="auto"/>
        </w:rPr>
        <w:t>+反渗透</w:t>
      </w:r>
      <w:r>
        <w:rPr>
          <w:rFonts w:hint="eastAsia"/>
          <w:color w:val="auto"/>
        </w:rPr>
        <w:t>净化+活性氧化铝吸附法除氟罐”。消毒采用二氧化氯消毒。</w:t>
      </w:r>
    </w:p>
    <w:p>
      <w:pPr>
        <w:pStyle w:val="63"/>
        <w:ind w:firstLine="480"/>
        <w:rPr>
          <w:color w:val="auto"/>
        </w:rPr>
      </w:pPr>
      <w:r>
        <w:rPr>
          <w:rFonts w:hint="eastAsia"/>
          <w:color w:val="auto"/>
        </w:rPr>
        <w:t>本项目工艺成熟，</w:t>
      </w:r>
      <w:r>
        <w:rPr>
          <w:color w:val="auto"/>
        </w:rPr>
        <w:t>设备选型中均选用环保、节能设备。另外本项目根据厂区总体布局和工艺流程特点，配备一套集散式计算机监控系统、工业电视监控系统、周界红外安防系统及相应的仪表检测设备，可实现对净水处理全过程实现实时监控和调度管理。</w:t>
      </w:r>
    </w:p>
    <w:p>
      <w:pPr>
        <w:pStyle w:val="63"/>
        <w:ind w:firstLine="480"/>
        <w:rPr>
          <w:color w:val="auto"/>
        </w:rPr>
      </w:pPr>
      <w:r>
        <w:rPr>
          <w:color w:val="auto"/>
        </w:rPr>
        <w:t>（2）资源能源利用及产品</w:t>
      </w:r>
    </w:p>
    <w:p>
      <w:pPr>
        <w:pStyle w:val="63"/>
        <w:ind w:firstLine="480"/>
        <w:rPr>
          <w:color w:val="auto"/>
        </w:rPr>
      </w:pPr>
      <w:r>
        <w:rPr>
          <w:color w:val="auto"/>
        </w:rPr>
        <w:t>本项目不属于高耗能产业，生产过程中采用清洁能源——电能。同时，本项目原材料主要为地下水，产品为自来水，对环境无毒无害。</w:t>
      </w:r>
    </w:p>
    <w:p>
      <w:pPr>
        <w:pStyle w:val="63"/>
        <w:ind w:firstLine="480"/>
        <w:rPr>
          <w:color w:val="auto"/>
        </w:rPr>
      </w:pPr>
      <w:r>
        <w:rPr>
          <w:color w:val="auto"/>
        </w:rPr>
        <w:t>（3）污染物产生及回收利用</w:t>
      </w:r>
    </w:p>
    <w:p>
      <w:pPr>
        <w:pStyle w:val="63"/>
        <w:ind w:firstLine="480"/>
        <w:rPr>
          <w:color w:val="auto"/>
        </w:rPr>
      </w:pPr>
      <w:r>
        <w:rPr>
          <w:color w:val="auto"/>
        </w:rPr>
        <w:t>项目运行过程中产生的固体废物主要有生活垃圾和危险废物；废水主要为生活污水；废气主要为餐饮油烟；噪声主要有水泵、风机及电葫芦的运行噪声。以上污染物均采取有效措施进行治理。</w:t>
      </w:r>
    </w:p>
    <w:p>
      <w:pPr>
        <w:pStyle w:val="63"/>
        <w:ind w:firstLine="480"/>
        <w:rPr>
          <w:color w:val="auto"/>
        </w:rPr>
      </w:pPr>
      <w:r>
        <w:rPr>
          <w:color w:val="auto"/>
        </w:rPr>
        <w:t>（4）环境管理要求</w:t>
      </w:r>
    </w:p>
    <w:p>
      <w:pPr>
        <w:pStyle w:val="63"/>
        <w:ind w:firstLine="480"/>
        <w:rPr>
          <w:color w:val="auto"/>
        </w:rPr>
      </w:pPr>
      <w:r>
        <w:rPr>
          <w:color w:val="auto"/>
        </w:rPr>
        <w:t>在项目生产过程中加强环境管理，切实落实国家和地方相关法律、法规中规定的污染物排放标准和总量控制要求，对生产废物进行妥善处置。制定符合本项目实际情况的环境管理制度，安排专人负责企业环保工作，自觉接受地方环保行政主管部门的监督、管理。</w:t>
      </w:r>
    </w:p>
    <w:p>
      <w:pPr>
        <w:pStyle w:val="63"/>
        <w:ind w:firstLine="480"/>
        <w:rPr>
          <w:color w:val="auto"/>
        </w:rPr>
      </w:pPr>
      <w:r>
        <w:rPr>
          <w:color w:val="auto"/>
        </w:rPr>
        <w:t>综合来看，本项目生产工艺与技术装备指标、产品指标、资源能源利用指标、污染物产生指标、过程控制指标和废物回收利用指标均具有清洁生产特点，满足清洁生产基本要求。</w:t>
      </w:r>
    </w:p>
    <w:p>
      <w:pPr>
        <w:pStyle w:val="61"/>
        <w:rPr>
          <w:i/>
          <w:color w:val="auto"/>
        </w:rPr>
      </w:pPr>
      <w:bookmarkStart w:id="111" w:name="_Toc436902194"/>
      <w:r>
        <w:rPr>
          <w:rFonts w:hint="eastAsia"/>
          <w:color w:val="auto"/>
        </w:rPr>
        <w:t>10.2总量控制</w:t>
      </w:r>
      <w:bookmarkEnd w:id="111"/>
    </w:p>
    <w:p>
      <w:pPr>
        <w:pStyle w:val="63"/>
        <w:ind w:firstLine="480"/>
        <w:rPr>
          <w:color w:val="auto"/>
        </w:rPr>
      </w:pPr>
      <w:r>
        <w:rPr>
          <w:color w:val="auto"/>
        </w:rPr>
        <w:t>根据环境保护部《关于印发&lt;“十二五”主要污染物总量控制规划编制指南&gt;的通知》（环办[2010]97号）中提出的总量控制因子，结合工程的工艺特征和排污特点，所在区域环境质量现状、当地环保部门的要求，评价最终确定本项目污染物排放总量控制因子见表10.2-1，由建设单位报当地环保部门确认。</w:t>
      </w:r>
    </w:p>
    <w:p>
      <w:pPr>
        <w:pStyle w:val="65"/>
      </w:pPr>
      <w:r>
        <w:t>表10.2-1</w:t>
      </w:r>
      <w:r>
        <w:rPr>
          <w:rFonts w:hint="eastAsia"/>
        </w:rPr>
        <w:t xml:space="preserve">    总量控制指标（建议）    单位：t/a</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2310"/>
        <w:gridCol w:w="2310"/>
        <w:gridCol w:w="2311"/>
        <w:gridCol w:w="231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Align w:val="center"/>
          </w:tcPr>
          <w:p>
            <w:pPr>
              <w:pStyle w:val="63"/>
              <w:ind w:firstLine="0" w:firstLineChars="0"/>
              <w:jc w:val="center"/>
              <w:rPr>
                <w:b/>
                <w:color w:val="auto"/>
                <w:sz w:val="21"/>
                <w:szCs w:val="21"/>
              </w:rPr>
            </w:pPr>
            <w:r>
              <w:rPr>
                <w:rFonts w:hint="eastAsia"/>
                <w:b/>
                <w:color w:val="auto"/>
                <w:sz w:val="21"/>
                <w:szCs w:val="21"/>
              </w:rPr>
              <w:t>类别</w:t>
            </w:r>
          </w:p>
        </w:tc>
        <w:tc>
          <w:tcPr>
            <w:tcW w:w="1250" w:type="pct"/>
            <w:vAlign w:val="center"/>
          </w:tcPr>
          <w:p>
            <w:pPr>
              <w:pStyle w:val="63"/>
              <w:ind w:firstLine="0" w:firstLineChars="0"/>
              <w:jc w:val="center"/>
              <w:rPr>
                <w:b/>
                <w:color w:val="auto"/>
                <w:sz w:val="21"/>
                <w:szCs w:val="21"/>
              </w:rPr>
            </w:pPr>
            <w:r>
              <w:rPr>
                <w:rFonts w:hint="eastAsia"/>
                <w:b/>
                <w:color w:val="auto"/>
                <w:sz w:val="21"/>
                <w:szCs w:val="21"/>
              </w:rPr>
              <w:t>污染物种类</w:t>
            </w:r>
          </w:p>
        </w:tc>
        <w:tc>
          <w:tcPr>
            <w:tcW w:w="1250" w:type="pct"/>
            <w:vAlign w:val="center"/>
          </w:tcPr>
          <w:p>
            <w:pPr>
              <w:pStyle w:val="63"/>
              <w:ind w:firstLine="0" w:firstLineChars="0"/>
              <w:jc w:val="center"/>
              <w:rPr>
                <w:b/>
                <w:color w:val="auto"/>
                <w:sz w:val="21"/>
                <w:szCs w:val="21"/>
              </w:rPr>
            </w:pPr>
            <w:r>
              <w:rPr>
                <w:rFonts w:hint="eastAsia"/>
                <w:b/>
                <w:color w:val="auto"/>
                <w:sz w:val="21"/>
                <w:szCs w:val="21"/>
              </w:rPr>
              <w:t>项目排放量</w:t>
            </w:r>
          </w:p>
        </w:tc>
        <w:tc>
          <w:tcPr>
            <w:tcW w:w="1250" w:type="pct"/>
            <w:vAlign w:val="center"/>
          </w:tcPr>
          <w:p>
            <w:pPr>
              <w:pStyle w:val="63"/>
              <w:ind w:firstLine="0" w:firstLineChars="0"/>
              <w:jc w:val="center"/>
              <w:rPr>
                <w:b/>
                <w:color w:val="auto"/>
                <w:sz w:val="21"/>
                <w:szCs w:val="21"/>
              </w:rPr>
            </w:pPr>
            <w:r>
              <w:rPr>
                <w:rFonts w:hint="eastAsia"/>
                <w:b/>
                <w:color w:val="auto"/>
                <w:sz w:val="21"/>
                <w:szCs w:val="21"/>
              </w:rPr>
              <w:t>总量控制建议指标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restart"/>
            <w:vAlign w:val="center"/>
          </w:tcPr>
          <w:p>
            <w:pPr>
              <w:spacing w:line="276" w:lineRule="auto"/>
              <w:jc w:val="center"/>
              <w:rPr>
                <w:szCs w:val="21"/>
              </w:rPr>
            </w:pPr>
            <w:r>
              <w:rPr>
                <w:rFonts w:hint="eastAsia"/>
                <w:szCs w:val="21"/>
              </w:rPr>
              <w:t>废水</w:t>
            </w:r>
          </w:p>
        </w:tc>
        <w:tc>
          <w:tcPr>
            <w:tcW w:w="1250" w:type="pct"/>
            <w:vAlign w:val="center"/>
          </w:tcPr>
          <w:p>
            <w:pPr>
              <w:spacing w:line="276" w:lineRule="auto"/>
              <w:jc w:val="center"/>
              <w:rPr>
                <w:szCs w:val="21"/>
              </w:rPr>
            </w:pPr>
            <w:r>
              <w:rPr>
                <w:szCs w:val="21"/>
              </w:rPr>
              <w:t>COD</w:t>
            </w:r>
          </w:p>
        </w:tc>
        <w:tc>
          <w:tcPr>
            <w:tcW w:w="1250" w:type="pct"/>
            <w:vAlign w:val="center"/>
          </w:tcPr>
          <w:p>
            <w:pPr>
              <w:spacing w:line="276" w:lineRule="auto"/>
              <w:jc w:val="center"/>
              <w:rPr>
                <w:szCs w:val="21"/>
              </w:rPr>
            </w:pPr>
            <w:r>
              <w:rPr>
                <w:rFonts w:hint="eastAsia"/>
                <w:szCs w:val="21"/>
              </w:rPr>
              <w:t>0</w:t>
            </w:r>
          </w:p>
        </w:tc>
        <w:tc>
          <w:tcPr>
            <w:tcW w:w="1250" w:type="pct"/>
            <w:vAlign w:val="center"/>
          </w:tcPr>
          <w:p>
            <w:pPr>
              <w:spacing w:line="276" w:lineRule="auto"/>
              <w:jc w:val="center"/>
              <w:rPr>
                <w:szCs w:val="21"/>
              </w:rPr>
            </w:pPr>
            <w:r>
              <w:rPr>
                <w:rFonts w:hint="eastAsia"/>
                <w:szCs w:val="21"/>
              </w:rPr>
              <w:t>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continue"/>
            <w:vAlign w:val="center"/>
          </w:tcPr>
          <w:p>
            <w:pPr>
              <w:spacing w:line="276" w:lineRule="auto"/>
              <w:jc w:val="center"/>
              <w:rPr>
                <w:szCs w:val="21"/>
              </w:rPr>
            </w:pPr>
          </w:p>
        </w:tc>
        <w:tc>
          <w:tcPr>
            <w:tcW w:w="1250" w:type="pct"/>
            <w:vAlign w:val="center"/>
          </w:tcPr>
          <w:p>
            <w:pPr>
              <w:spacing w:line="276" w:lineRule="auto"/>
              <w:jc w:val="center"/>
              <w:rPr>
                <w:szCs w:val="21"/>
              </w:rPr>
            </w:pPr>
            <w:r>
              <w:rPr>
                <w:szCs w:val="21"/>
              </w:rPr>
              <w:t>NH</w:t>
            </w:r>
            <w:r>
              <w:rPr>
                <w:szCs w:val="21"/>
                <w:vertAlign w:val="subscript"/>
              </w:rPr>
              <w:t>3</w:t>
            </w:r>
            <w:r>
              <w:rPr>
                <w:szCs w:val="21"/>
              </w:rPr>
              <w:t>-N</w:t>
            </w:r>
          </w:p>
        </w:tc>
        <w:tc>
          <w:tcPr>
            <w:tcW w:w="1250" w:type="pct"/>
            <w:vAlign w:val="center"/>
          </w:tcPr>
          <w:p>
            <w:pPr>
              <w:spacing w:line="276" w:lineRule="auto"/>
              <w:jc w:val="center"/>
              <w:rPr>
                <w:szCs w:val="21"/>
              </w:rPr>
            </w:pPr>
            <w:r>
              <w:rPr>
                <w:rFonts w:hint="eastAsia"/>
                <w:szCs w:val="21"/>
              </w:rPr>
              <w:t>0</w:t>
            </w:r>
          </w:p>
        </w:tc>
        <w:tc>
          <w:tcPr>
            <w:tcW w:w="1250" w:type="pct"/>
            <w:vAlign w:val="center"/>
          </w:tcPr>
          <w:p>
            <w:pPr>
              <w:spacing w:line="276" w:lineRule="auto"/>
              <w:jc w:val="center"/>
              <w:rPr>
                <w:szCs w:val="21"/>
              </w:rPr>
            </w:pPr>
            <w:r>
              <w:rPr>
                <w:rFonts w:hint="eastAsia"/>
                <w:szCs w:val="21"/>
              </w:rPr>
              <w:t>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restart"/>
            <w:vAlign w:val="center"/>
          </w:tcPr>
          <w:p>
            <w:pPr>
              <w:spacing w:line="276" w:lineRule="auto"/>
              <w:jc w:val="center"/>
              <w:rPr>
                <w:szCs w:val="21"/>
              </w:rPr>
            </w:pPr>
            <w:r>
              <w:rPr>
                <w:rFonts w:hint="eastAsia"/>
                <w:szCs w:val="21"/>
              </w:rPr>
              <w:t>废气</w:t>
            </w:r>
          </w:p>
        </w:tc>
        <w:tc>
          <w:tcPr>
            <w:tcW w:w="1250" w:type="pct"/>
            <w:vAlign w:val="center"/>
          </w:tcPr>
          <w:p>
            <w:pPr>
              <w:spacing w:line="276" w:lineRule="auto"/>
              <w:jc w:val="center"/>
              <w:rPr>
                <w:szCs w:val="21"/>
              </w:rPr>
            </w:pPr>
            <w:r>
              <w:rPr>
                <w:rFonts w:hint="eastAsia"/>
                <w:szCs w:val="21"/>
              </w:rPr>
              <w:t>SO</w:t>
            </w:r>
            <w:r>
              <w:rPr>
                <w:rFonts w:hint="eastAsia"/>
                <w:szCs w:val="21"/>
                <w:vertAlign w:val="subscript"/>
              </w:rPr>
              <w:t>2</w:t>
            </w:r>
          </w:p>
        </w:tc>
        <w:tc>
          <w:tcPr>
            <w:tcW w:w="1250" w:type="pct"/>
            <w:vAlign w:val="center"/>
          </w:tcPr>
          <w:p>
            <w:pPr>
              <w:spacing w:line="276" w:lineRule="auto"/>
              <w:jc w:val="center"/>
              <w:rPr>
                <w:szCs w:val="21"/>
              </w:rPr>
            </w:pPr>
            <w:r>
              <w:rPr>
                <w:rFonts w:hint="eastAsia"/>
                <w:szCs w:val="21"/>
              </w:rPr>
              <w:t>0</w:t>
            </w:r>
          </w:p>
        </w:tc>
        <w:tc>
          <w:tcPr>
            <w:tcW w:w="1250" w:type="pct"/>
            <w:vAlign w:val="center"/>
          </w:tcPr>
          <w:p>
            <w:pPr>
              <w:spacing w:line="276" w:lineRule="auto"/>
              <w:jc w:val="center"/>
              <w:rPr>
                <w:szCs w:val="21"/>
              </w:rPr>
            </w:pPr>
            <w:r>
              <w:rPr>
                <w:rFonts w:hint="eastAsia"/>
                <w:szCs w:val="21"/>
              </w:rPr>
              <w:t>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continue"/>
            <w:vAlign w:val="center"/>
          </w:tcPr>
          <w:p>
            <w:pPr>
              <w:spacing w:line="276" w:lineRule="auto"/>
              <w:jc w:val="center"/>
              <w:rPr>
                <w:szCs w:val="21"/>
              </w:rPr>
            </w:pPr>
          </w:p>
        </w:tc>
        <w:tc>
          <w:tcPr>
            <w:tcW w:w="1250" w:type="pct"/>
            <w:vAlign w:val="center"/>
          </w:tcPr>
          <w:p>
            <w:pPr>
              <w:spacing w:line="276" w:lineRule="auto"/>
              <w:jc w:val="center"/>
              <w:rPr>
                <w:szCs w:val="21"/>
              </w:rPr>
            </w:pPr>
            <w:r>
              <w:rPr>
                <w:rFonts w:hint="eastAsia"/>
                <w:szCs w:val="21"/>
              </w:rPr>
              <w:t>NO</w:t>
            </w:r>
            <w:r>
              <w:rPr>
                <w:rFonts w:hint="eastAsia"/>
                <w:szCs w:val="21"/>
                <w:vertAlign w:val="subscript"/>
              </w:rPr>
              <w:t>X</w:t>
            </w:r>
          </w:p>
        </w:tc>
        <w:tc>
          <w:tcPr>
            <w:tcW w:w="1250" w:type="pct"/>
            <w:vAlign w:val="center"/>
          </w:tcPr>
          <w:p>
            <w:pPr>
              <w:spacing w:line="276" w:lineRule="auto"/>
              <w:jc w:val="center"/>
              <w:rPr>
                <w:szCs w:val="21"/>
              </w:rPr>
            </w:pPr>
            <w:r>
              <w:rPr>
                <w:rFonts w:hint="eastAsia"/>
                <w:szCs w:val="21"/>
              </w:rPr>
              <w:t>0</w:t>
            </w:r>
          </w:p>
        </w:tc>
        <w:tc>
          <w:tcPr>
            <w:tcW w:w="1250" w:type="pct"/>
            <w:vAlign w:val="center"/>
          </w:tcPr>
          <w:p>
            <w:pPr>
              <w:spacing w:line="276" w:lineRule="auto"/>
              <w:jc w:val="center"/>
              <w:rPr>
                <w:szCs w:val="21"/>
              </w:rPr>
            </w:pPr>
            <w:r>
              <w:rPr>
                <w:rFonts w:hint="eastAsia"/>
                <w:szCs w:val="21"/>
              </w:rPr>
              <w:t>0</w:t>
            </w:r>
          </w:p>
        </w:tc>
      </w:tr>
    </w:tbl>
    <w:p>
      <w:pPr>
        <w:pStyle w:val="63"/>
        <w:ind w:firstLine="480"/>
        <w:rPr>
          <w:color w:val="auto"/>
          <w:szCs w:val="24"/>
        </w:rPr>
        <w:sectPr>
          <w:pgSz w:w="11906" w:h="16838"/>
          <w:pgMar w:top="1440" w:right="1440" w:bottom="1440" w:left="1440" w:header="851" w:footer="992" w:gutter="0"/>
          <w:cols w:space="720" w:num="1"/>
          <w:titlePg/>
          <w:docGrid w:type="linesAndChars" w:linePitch="312" w:charSpace="0"/>
        </w:sectPr>
      </w:pPr>
    </w:p>
    <w:p>
      <w:pPr>
        <w:pStyle w:val="60"/>
        <w:spacing w:before="156" w:after="156"/>
      </w:pPr>
      <w:bookmarkStart w:id="112" w:name="_Toc436902195"/>
      <w:r>
        <w:rPr>
          <w:rFonts w:hint="eastAsia"/>
        </w:rPr>
        <w:t>11 环境经济损益分析</w:t>
      </w:r>
      <w:bookmarkEnd w:id="112"/>
    </w:p>
    <w:p>
      <w:pPr>
        <w:pStyle w:val="61"/>
        <w:rPr>
          <w:i/>
          <w:color w:val="auto"/>
        </w:rPr>
      </w:pPr>
      <w:bookmarkStart w:id="113" w:name="_Toc436902196"/>
      <w:r>
        <w:rPr>
          <w:rFonts w:hint="eastAsia"/>
          <w:color w:val="auto"/>
        </w:rPr>
        <w:t>11.1经济效益分析</w:t>
      </w:r>
      <w:bookmarkEnd w:id="113"/>
    </w:p>
    <w:p>
      <w:pPr>
        <w:pStyle w:val="63"/>
        <w:ind w:firstLine="480"/>
        <w:rPr>
          <w:color w:val="auto"/>
        </w:rPr>
      </w:pPr>
      <w:r>
        <w:rPr>
          <w:color w:val="auto"/>
        </w:rPr>
        <w:t>泾河新城应急供水工程（一期）工程总投资为</w:t>
      </w:r>
      <w:r>
        <w:rPr>
          <w:rFonts w:hint="eastAsia"/>
          <w:color w:val="auto"/>
        </w:rPr>
        <w:t>8523.48</w:t>
      </w:r>
      <w:r>
        <w:rPr>
          <w:color w:val="auto"/>
        </w:rPr>
        <w:t>万元，项目所需建设资金全部为企业自筹。项目投产后，财务内部收益率能达到城市水处理行业的基准收益率。财务净现值（税后）为</w:t>
      </w:r>
      <w:r>
        <w:rPr>
          <w:rFonts w:hint="eastAsia"/>
          <w:color w:val="auto"/>
        </w:rPr>
        <w:t>3957.45</w:t>
      </w:r>
      <w:r>
        <w:rPr>
          <w:color w:val="auto"/>
        </w:rPr>
        <w:t>万元，说明该项目的盈利能力满足行业最低要求。项目回收期为</w:t>
      </w:r>
      <w:r>
        <w:rPr>
          <w:rFonts w:hint="eastAsia"/>
          <w:color w:val="auto"/>
        </w:rPr>
        <w:t>10.80</w:t>
      </w:r>
      <w:r>
        <w:rPr>
          <w:color w:val="auto"/>
        </w:rPr>
        <w:t>年，满足城市供水行业基准水平。表明该项目的投资能够按时收回。其他各项指标均满足行业基准水平。因此，本项目是有生存能力的，从财务角度看，该项目可保本经营。</w:t>
      </w:r>
    </w:p>
    <w:p>
      <w:pPr>
        <w:pStyle w:val="63"/>
        <w:ind w:firstLine="480"/>
        <w:rPr>
          <w:color w:val="auto"/>
        </w:rPr>
      </w:pPr>
      <w:r>
        <w:rPr>
          <w:color w:val="auto"/>
        </w:rPr>
        <w:t>具体指标见表11.1-1项目投资及收益分析表。</w:t>
      </w:r>
    </w:p>
    <w:p>
      <w:pPr>
        <w:pStyle w:val="65"/>
      </w:pPr>
      <w:r>
        <w:t>表11.1-1    项目投资及收益分析表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Layout w:type="autofit"/>
        <w:tblCellMar>
          <w:top w:w="0" w:type="dxa"/>
          <w:left w:w="108" w:type="dxa"/>
          <w:bottom w:w="0" w:type="dxa"/>
          <w:right w:w="108" w:type="dxa"/>
        </w:tblCellMar>
      </w:tblPr>
      <w:tblGrid>
        <w:gridCol w:w="1197"/>
        <w:gridCol w:w="3689"/>
        <w:gridCol w:w="1948"/>
        <w:gridCol w:w="2408"/>
      </w:tblGrid>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b/>
                <w:szCs w:val="21"/>
              </w:rPr>
            </w:pPr>
            <w:r>
              <w:rPr>
                <w:b/>
                <w:szCs w:val="21"/>
              </w:rPr>
              <w:t>序号</w:t>
            </w:r>
          </w:p>
        </w:tc>
        <w:tc>
          <w:tcPr>
            <w:tcW w:w="1996" w:type="pct"/>
          </w:tcPr>
          <w:p>
            <w:pPr>
              <w:spacing w:line="276" w:lineRule="auto"/>
              <w:jc w:val="center"/>
              <w:rPr>
                <w:b/>
                <w:szCs w:val="21"/>
              </w:rPr>
            </w:pPr>
            <w:r>
              <w:rPr>
                <w:b/>
                <w:szCs w:val="21"/>
              </w:rPr>
              <w:t>指标名称</w:t>
            </w:r>
          </w:p>
        </w:tc>
        <w:tc>
          <w:tcPr>
            <w:tcW w:w="1054" w:type="pct"/>
          </w:tcPr>
          <w:p>
            <w:pPr>
              <w:spacing w:line="276" w:lineRule="auto"/>
              <w:jc w:val="center"/>
              <w:rPr>
                <w:b/>
                <w:szCs w:val="21"/>
              </w:rPr>
            </w:pPr>
            <w:r>
              <w:rPr>
                <w:rFonts w:hint="eastAsia"/>
                <w:b/>
                <w:szCs w:val="21"/>
              </w:rPr>
              <w:t>单位</w:t>
            </w:r>
          </w:p>
        </w:tc>
        <w:tc>
          <w:tcPr>
            <w:tcW w:w="1304" w:type="pct"/>
          </w:tcPr>
          <w:p>
            <w:pPr>
              <w:spacing w:line="276" w:lineRule="auto"/>
              <w:jc w:val="center"/>
              <w:rPr>
                <w:b/>
                <w:szCs w:val="21"/>
              </w:rPr>
            </w:pPr>
            <w:r>
              <w:rPr>
                <w:rFonts w:hint="eastAsia"/>
                <w:b/>
                <w:szCs w:val="21"/>
              </w:rPr>
              <w:t>数量</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szCs w:val="21"/>
              </w:rPr>
              <w:t>1</w:t>
            </w:r>
          </w:p>
        </w:tc>
        <w:tc>
          <w:tcPr>
            <w:tcW w:w="1996" w:type="pct"/>
          </w:tcPr>
          <w:p>
            <w:pPr>
              <w:spacing w:line="276" w:lineRule="auto"/>
              <w:jc w:val="center"/>
              <w:rPr>
                <w:szCs w:val="21"/>
              </w:rPr>
            </w:pPr>
            <w:r>
              <w:rPr>
                <w:rFonts w:hint="eastAsia"/>
                <w:szCs w:val="21"/>
              </w:rPr>
              <w:t>项目</w:t>
            </w:r>
            <w:r>
              <w:rPr>
                <w:szCs w:val="21"/>
              </w:rPr>
              <w:t>总投资</w:t>
            </w:r>
          </w:p>
        </w:tc>
        <w:tc>
          <w:tcPr>
            <w:tcW w:w="1054" w:type="pct"/>
          </w:tcPr>
          <w:p>
            <w:pPr>
              <w:spacing w:line="276" w:lineRule="auto"/>
              <w:jc w:val="center"/>
              <w:rPr>
                <w:szCs w:val="21"/>
              </w:rPr>
            </w:pPr>
            <w:r>
              <w:rPr>
                <w:rFonts w:hint="eastAsia"/>
                <w:szCs w:val="21"/>
              </w:rPr>
              <w:t>万元</w:t>
            </w:r>
          </w:p>
        </w:tc>
        <w:tc>
          <w:tcPr>
            <w:tcW w:w="1304" w:type="pct"/>
          </w:tcPr>
          <w:p>
            <w:pPr>
              <w:spacing w:line="276" w:lineRule="auto"/>
              <w:jc w:val="center"/>
              <w:rPr>
                <w:szCs w:val="21"/>
              </w:rPr>
            </w:pPr>
            <w:r>
              <w:rPr>
                <w:rFonts w:hint="eastAsia"/>
                <w:szCs w:val="21"/>
              </w:rPr>
              <w:t>8523.48</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szCs w:val="21"/>
              </w:rPr>
              <w:t>1.1</w:t>
            </w:r>
          </w:p>
        </w:tc>
        <w:tc>
          <w:tcPr>
            <w:tcW w:w="1996" w:type="pct"/>
          </w:tcPr>
          <w:p>
            <w:pPr>
              <w:spacing w:line="276" w:lineRule="auto"/>
              <w:jc w:val="center"/>
              <w:rPr>
                <w:szCs w:val="21"/>
              </w:rPr>
            </w:pPr>
            <w:r>
              <w:rPr>
                <w:rFonts w:hint="eastAsia"/>
                <w:szCs w:val="21"/>
              </w:rPr>
              <w:t>建设投资</w:t>
            </w:r>
          </w:p>
        </w:tc>
        <w:tc>
          <w:tcPr>
            <w:tcW w:w="1054" w:type="pct"/>
          </w:tcPr>
          <w:p>
            <w:pPr>
              <w:spacing w:line="276" w:lineRule="auto"/>
              <w:jc w:val="center"/>
              <w:rPr>
                <w:szCs w:val="21"/>
              </w:rPr>
            </w:pPr>
            <w:r>
              <w:rPr>
                <w:rFonts w:hint="eastAsia"/>
                <w:szCs w:val="21"/>
              </w:rPr>
              <w:t>万元</w:t>
            </w:r>
          </w:p>
        </w:tc>
        <w:tc>
          <w:tcPr>
            <w:tcW w:w="1304" w:type="pct"/>
          </w:tcPr>
          <w:p>
            <w:pPr>
              <w:spacing w:line="276" w:lineRule="auto"/>
              <w:jc w:val="center"/>
              <w:rPr>
                <w:szCs w:val="21"/>
              </w:rPr>
            </w:pPr>
            <w:r>
              <w:rPr>
                <w:rFonts w:hint="eastAsia"/>
                <w:szCs w:val="21"/>
              </w:rPr>
              <w:t>8261.16</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rFonts w:hint="eastAsia"/>
                <w:szCs w:val="21"/>
              </w:rPr>
              <w:t>1.2</w:t>
            </w:r>
          </w:p>
        </w:tc>
        <w:tc>
          <w:tcPr>
            <w:tcW w:w="1996" w:type="pct"/>
          </w:tcPr>
          <w:p>
            <w:pPr>
              <w:spacing w:line="276" w:lineRule="auto"/>
              <w:jc w:val="center"/>
              <w:rPr>
                <w:szCs w:val="21"/>
              </w:rPr>
            </w:pPr>
            <w:r>
              <w:rPr>
                <w:rFonts w:hint="eastAsia"/>
                <w:szCs w:val="21"/>
              </w:rPr>
              <w:t>铺底流动资金</w:t>
            </w:r>
          </w:p>
        </w:tc>
        <w:tc>
          <w:tcPr>
            <w:tcW w:w="1054" w:type="pct"/>
          </w:tcPr>
          <w:p>
            <w:pPr>
              <w:spacing w:line="276" w:lineRule="auto"/>
              <w:jc w:val="center"/>
              <w:rPr>
                <w:szCs w:val="21"/>
              </w:rPr>
            </w:pPr>
            <w:r>
              <w:rPr>
                <w:rFonts w:hint="eastAsia"/>
                <w:szCs w:val="21"/>
              </w:rPr>
              <w:t>万元</w:t>
            </w:r>
          </w:p>
        </w:tc>
        <w:tc>
          <w:tcPr>
            <w:tcW w:w="1304" w:type="pct"/>
          </w:tcPr>
          <w:p>
            <w:pPr>
              <w:spacing w:line="276" w:lineRule="auto"/>
              <w:jc w:val="center"/>
              <w:rPr>
                <w:szCs w:val="21"/>
              </w:rPr>
            </w:pPr>
            <w:r>
              <w:rPr>
                <w:rFonts w:hint="eastAsia"/>
                <w:szCs w:val="21"/>
              </w:rPr>
              <w:t>262.33</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szCs w:val="21"/>
              </w:rPr>
              <w:t>2</w:t>
            </w:r>
          </w:p>
        </w:tc>
        <w:tc>
          <w:tcPr>
            <w:tcW w:w="1996" w:type="pct"/>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项目投资财务内部收益率（税前）</w:t>
            </w:r>
          </w:p>
        </w:tc>
        <w:tc>
          <w:tcPr>
            <w:tcW w:w="1054" w:type="pct"/>
          </w:tcPr>
          <w:p>
            <w:pPr>
              <w:spacing w:line="276" w:lineRule="auto"/>
              <w:jc w:val="center"/>
              <w:rPr>
                <w:szCs w:val="21"/>
              </w:rPr>
            </w:pPr>
            <w:r>
              <w:rPr>
                <w:rFonts w:hint="eastAsia"/>
                <w:szCs w:val="21"/>
              </w:rPr>
              <w:t>%</w:t>
            </w:r>
          </w:p>
        </w:tc>
        <w:tc>
          <w:tcPr>
            <w:tcW w:w="1304" w:type="pct"/>
          </w:tcPr>
          <w:p>
            <w:pPr>
              <w:spacing w:line="276" w:lineRule="auto"/>
              <w:jc w:val="center"/>
              <w:rPr>
                <w:szCs w:val="21"/>
              </w:rPr>
            </w:pPr>
            <w:r>
              <w:rPr>
                <w:rFonts w:hint="eastAsia"/>
                <w:szCs w:val="21"/>
              </w:rPr>
              <w:t>10.91</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szCs w:val="21"/>
              </w:rPr>
              <w:t>3</w:t>
            </w:r>
          </w:p>
        </w:tc>
        <w:tc>
          <w:tcPr>
            <w:tcW w:w="1996" w:type="pct"/>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项目投资财务净现值</w:t>
            </w:r>
            <w:r>
              <w:rPr>
                <w:rFonts w:hint="eastAsia" w:ascii="Times New Roman" w:hAnsi="Times New Roman" w:cs="Times New Roman"/>
                <w:color w:val="auto"/>
                <w:sz w:val="21"/>
                <w:szCs w:val="21"/>
                <w:lang w:eastAsia="zh-CN"/>
              </w:rPr>
              <w:t>（税前）</w:t>
            </w:r>
          </w:p>
        </w:tc>
        <w:tc>
          <w:tcPr>
            <w:tcW w:w="1054" w:type="pct"/>
          </w:tcPr>
          <w:p>
            <w:pPr>
              <w:spacing w:line="276" w:lineRule="auto"/>
              <w:jc w:val="center"/>
              <w:rPr>
                <w:szCs w:val="21"/>
              </w:rPr>
            </w:pPr>
            <w:r>
              <w:rPr>
                <w:rFonts w:hint="eastAsia"/>
                <w:szCs w:val="21"/>
              </w:rPr>
              <w:t>万元</w:t>
            </w:r>
          </w:p>
        </w:tc>
        <w:tc>
          <w:tcPr>
            <w:tcW w:w="1304" w:type="pct"/>
          </w:tcPr>
          <w:p>
            <w:pPr>
              <w:spacing w:line="276" w:lineRule="auto"/>
              <w:jc w:val="center"/>
              <w:rPr>
                <w:szCs w:val="21"/>
              </w:rPr>
            </w:pPr>
            <w:r>
              <w:rPr>
                <w:rFonts w:hint="eastAsia"/>
                <w:szCs w:val="21"/>
              </w:rPr>
              <w:t>6288.87</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rFonts w:hint="eastAsia"/>
                <w:szCs w:val="21"/>
              </w:rPr>
              <w:t>4</w:t>
            </w:r>
          </w:p>
        </w:tc>
        <w:tc>
          <w:tcPr>
            <w:tcW w:w="1996" w:type="pct"/>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项目投资财务内部收益率（税</w:t>
            </w:r>
            <w:r>
              <w:rPr>
                <w:rFonts w:hint="eastAsia" w:ascii="Times New Roman" w:hAnsi="Times New Roman" w:cs="Times New Roman"/>
                <w:color w:val="auto"/>
                <w:sz w:val="21"/>
                <w:szCs w:val="21"/>
                <w:lang w:eastAsia="zh-CN"/>
              </w:rPr>
              <w:t>后</w:t>
            </w:r>
            <w:r>
              <w:rPr>
                <w:rFonts w:ascii="Times New Roman" w:hAnsi="Times New Roman" w:cs="Times New Roman"/>
                <w:color w:val="auto"/>
                <w:sz w:val="21"/>
                <w:szCs w:val="21"/>
                <w:lang w:eastAsia="zh-CN"/>
              </w:rPr>
              <w:t>）</w:t>
            </w:r>
          </w:p>
        </w:tc>
        <w:tc>
          <w:tcPr>
            <w:tcW w:w="1054" w:type="pct"/>
          </w:tcPr>
          <w:p>
            <w:pPr>
              <w:spacing w:line="276" w:lineRule="auto"/>
              <w:jc w:val="center"/>
              <w:rPr>
                <w:szCs w:val="21"/>
              </w:rPr>
            </w:pPr>
            <w:r>
              <w:rPr>
                <w:rFonts w:hint="eastAsia"/>
                <w:szCs w:val="21"/>
              </w:rPr>
              <w:t>%</w:t>
            </w:r>
          </w:p>
        </w:tc>
        <w:tc>
          <w:tcPr>
            <w:tcW w:w="1304" w:type="pct"/>
          </w:tcPr>
          <w:p>
            <w:pPr>
              <w:spacing w:line="276" w:lineRule="auto"/>
              <w:jc w:val="center"/>
              <w:rPr>
                <w:szCs w:val="21"/>
              </w:rPr>
            </w:pPr>
            <w:r>
              <w:rPr>
                <w:rFonts w:hint="eastAsia"/>
                <w:szCs w:val="21"/>
              </w:rPr>
              <w:t>8.49</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rFonts w:hint="eastAsia"/>
                <w:szCs w:val="21"/>
              </w:rPr>
              <w:t>5</w:t>
            </w:r>
          </w:p>
        </w:tc>
        <w:tc>
          <w:tcPr>
            <w:tcW w:w="1996" w:type="pct"/>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项目投资财务净现值</w:t>
            </w:r>
            <w:r>
              <w:rPr>
                <w:rFonts w:hint="eastAsia" w:ascii="Times New Roman" w:hAnsi="Times New Roman" w:cs="Times New Roman"/>
                <w:color w:val="auto"/>
                <w:sz w:val="21"/>
                <w:szCs w:val="21"/>
                <w:lang w:eastAsia="zh-CN"/>
              </w:rPr>
              <w:t>（税后）</w:t>
            </w:r>
          </w:p>
        </w:tc>
        <w:tc>
          <w:tcPr>
            <w:tcW w:w="1054" w:type="pct"/>
          </w:tcPr>
          <w:p>
            <w:pPr>
              <w:spacing w:line="276" w:lineRule="auto"/>
              <w:jc w:val="center"/>
              <w:rPr>
                <w:szCs w:val="21"/>
              </w:rPr>
            </w:pPr>
            <w:r>
              <w:rPr>
                <w:rFonts w:hint="eastAsia"/>
                <w:szCs w:val="21"/>
              </w:rPr>
              <w:t>万元</w:t>
            </w:r>
          </w:p>
        </w:tc>
        <w:tc>
          <w:tcPr>
            <w:tcW w:w="1304" w:type="pct"/>
          </w:tcPr>
          <w:p>
            <w:pPr>
              <w:spacing w:line="276" w:lineRule="auto"/>
              <w:jc w:val="center"/>
              <w:rPr>
                <w:szCs w:val="21"/>
              </w:rPr>
            </w:pPr>
            <w:r>
              <w:rPr>
                <w:rFonts w:hint="eastAsia"/>
                <w:szCs w:val="21"/>
              </w:rPr>
              <w:t>3957.45</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rFonts w:hint="eastAsia"/>
                <w:szCs w:val="21"/>
              </w:rPr>
              <w:t>6</w:t>
            </w:r>
          </w:p>
        </w:tc>
        <w:tc>
          <w:tcPr>
            <w:tcW w:w="1996" w:type="pct"/>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项目投资回收期</w:t>
            </w:r>
            <w:r>
              <w:rPr>
                <w:rFonts w:hint="eastAsia" w:ascii="Times New Roman" w:hAnsi="Times New Roman" w:cs="Times New Roman"/>
                <w:color w:val="auto"/>
                <w:sz w:val="21"/>
                <w:szCs w:val="21"/>
                <w:lang w:eastAsia="zh-CN"/>
              </w:rPr>
              <w:t>（税后）</w:t>
            </w:r>
          </w:p>
        </w:tc>
        <w:tc>
          <w:tcPr>
            <w:tcW w:w="1054" w:type="pct"/>
          </w:tcPr>
          <w:p>
            <w:pPr>
              <w:spacing w:line="276" w:lineRule="auto"/>
              <w:jc w:val="center"/>
              <w:rPr>
                <w:szCs w:val="21"/>
              </w:rPr>
            </w:pPr>
            <w:r>
              <w:rPr>
                <w:rFonts w:hint="eastAsia"/>
                <w:szCs w:val="21"/>
              </w:rPr>
              <w:t>年</w:t>
            </w:r>
          </w:p>
        </w:tc>
        <w:tc>
          <w:tcPr>
            <w:tcW w:w="1304" w:type="pct"/>
          </w:tcPr>
          <w:p>
            <w:pPr>
              <w:spacing w:line="276" w:lineRule="auto"/>
              <w:jc w:val="center"/>
              <w:rPr>
                <w:szCs w:val="21"/>
              </w:rPr>
            </w:pPr>
            <w:r>
              <w:rPr>
                <w:rFonts w:hint="eastAsia"/>
                <w:szCs w:val="21"/>
              </w:rPr>
              <w:t>10.80</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rFonts w:hint="eastAsia"/>
                <w:szCs w:val="21"/>
              </w:rPr>
              <w:t>7</w:t>
            </w:r>
          </w:p>
        </w:tc>
        <w:tc>
          <w:tcPr>
            <w:tcW w:w="1996" w:type="pct"/>
          </w:tcPr>
          <w:p>
            <w:pPr>
              <w:pStyle w:val="58"/>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投资利润率</w:t>
            </w:r>
          </w:p>
        </w:tc>
        <w:tc>
          <w:tcPr>
            <w:tcW w:w="1054" w:type="pct"/>
          </w:tcPr>
          <w:p>
            <w:pPr>
              <w:spacing w:line="276" w:lineRule="auto"/>
              <w:jc w:val="center"/>
              <w:rPr>
                <w:szCs w:val="21"/>
              </w:rPr>
            </w:pPr>
            <w:r>
              <w:rPr>
                <w:rFonts w:hint="eastAsia"/>
                <w:szCs w:val="21"/>
              </w:rPr>
              <w:t>%</w:t>
            </w:r>
          </w:p>
        </w:tc>
        <w:tc>
          <w:tcPr>
            <w:tcW w:w="1304" w:type="pct"/>
          </w:tcPr>
          <w:p>
            <w:pPr>
              <w:spacing w:line="276" w:lineRule="auto"/>
              <w:jc w:val="center"/>
              <w:rPr>
                <w:szCs w:val="21"/>
              </w:rPr>
            </w:pPr>
            <w:r>
              <w:rPr>
                <w:rFonts w:hint="eastAsia"/>
                <w:szCs w:val="21"/>
              </w:rPr>
              <w:t>8.38</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rFonts w:hint="eastAsia"/>
                <w:szCs w:val="21"/>
              </w:rPr>
              <w:t>8</w:t>
            </w:r>
          </w:p>
        </w:tc>
        <w:tc>
          <w:tcPr>
            <w:tcW w:w="1996" w:type="pct"/>
          </w:tcPr>
          <w:p>
            <w:pPr>
              <w:pStyle w:val="58"/>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投资利税率</w:t>
            </w:r>
          </w:p>
        </w:tc>
        <w:tc>
          <w:tcPr>
            <w:tcW w:w="1054" w:type="pct"/>
          </w:tcPr>
          <w:p>
            <w:pPr>
              <w:spacing w:line="276" w:lineRule="auto"/>
              <w:jc w:val="center"/>
              <w:rPr>
                <w:szCs w:val="21"/>
              </w:rPr>
            </w:pPr>
            <w:r>
              <w:rPr>
                <w:rFonts w:hint="eastAsia"/>
                <w:szCs w:val="21"/>
              </w:rPr>
              <w:t>%</w:t>
            </w:r>
          </w:p>
        </w:tc>
        <w:tc>
          <w:tcPr>
            <w:tcW w:w="1304" w:type="pct"/>
          </w:tcPr>
          <w:p>
            <w:pPr>
              <w:spacing w:line="276" w:lineRule="auto"/>
              <w:jc w:val="center"/>
              <w:rPr>
                <w:szCs w:val="21"/>
              </w:rPr>
            </w:pPr>
            <w:r>
              <w:rPr>
                <w:rFonts w:hint="eastAsia"/>
                <w:szCs w:val="21"/>
              </w:rPr>
              <w:t>11.52</w:t>
            </w:r>
          </w:p>
        </w:tc>
      </w:tr>
      <w:tr>
        <w:tblPrEx>
          <w:tblBorders>
            <w:top w:val="single" w:color="auto" w:sz="12" w:space="0"/>
            <w:left w:val="single" w:color="auto" w:sz="12" w:space="0"/>
            <w:bottom w:val="single" w:color="auto" w:sz="12" w:space="0"/>
            <w:right w:val="single" w:color="auto" w:sz="12" w:space="0"/>
            <w:insideH w:val="single" w:color="000000" w:sz="6" w:space="0"/>
            <w:insideV w:val="single" w:color="000000" w:sz="6" w:space="0"/>
          </w:tblBorders>
          <w:tblCellMar>
            <w:top w:w="0" w:type="dxa"/>
            <w:left w:w="108" w:type="dxa"/>
            <w:bottom w:w="0" w:type="dxa"/>
            <w:right w:w="108" w:type="dxa"/>
          </w:tblCellMar>
        </w:tblPrEx>
        <w:tc>
          <w:tcPr>
            <w:tcW w:w="647" w:type="pct"/>
          </w:tcPr>
          <w:p>
            <w:pPr>
              <w:spacing w:line="276" w:lineRule="auto"/>
              <w:jc w:val="center"/>
              <w:rPr>
                <w:szCs w:val="21"/>
              </w:rPr>
            </w:pPr>
            <w:r>
              <w:rPr>
                <w:rFonts w:hint="eastAsia"/>
                <w:szCs w:val="21"/>
              </w:rPr>
              <w:t>9</w:t>
            </w:r>
          </w:p>
        </w:tc>
        <w:tc>
          <w:tcPr>
            <w:tcW w:w="1996" w:type="pct"/>
          </w:tcPr>
          <w:p>
            <w:pPr>
              <w:pStyle w:val="58"/>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盈亏平衡点</w:t>
            </w:r>
          </w:p>
        </w:tc>
        <w:tc>
          <w:tcPr>
            <w:tcW w:w="1054" w:type="pct"/>
          </w:tcPr>
          <w:p>
            <w:pPr>
              <w:spacing w:line="276" w:lineRule="auto"/>
              <w:jc w:val="center"/>
              <w:rPr>
                <w:szCs w:val="21"/>
              </w:rPr>
            </w:pPr>
            <w:r>
              <w:rPr>
                <w:rFonts w:hint="eastAsia"/>
                <w:szCs w:val="21"/>
              </w:rPr>
              <w:t>%</w:t>
            </w:r>
          </w:p>
        </w:tc>
        <w:tc>
          <w:tcPr>
            <w:tcW w:w="1304" w:type="pct"/>
          </w:tcPr>
          <w:p>
            <w:pPr>
              <w:spacing w:line="276" w:lineRule="auto"/>
              <w:jc w:val="center"/>
              <w:rPr>
                <w:szCs w:val="21"/>
              </w:rPr>
            </w:pPr>
            <w:r>
              <w:rPr>
                <w:rFonts w:hint="eastAsia"/>
                <w:szCs w:val="21"/>
              </w:rPr>
              <w:t>69.06</w:t>
            </w:r>
          </w:p>
        </w:tc>
      </w:tr>
    </w:tbl>
    <w:p>
      <w:pPr>
        <w:pStyle w:val="61"/>
        <w:rPr>
          <w:i/>
          <w:color w:val="auto"/>
        </w:rPr>
      </w:pPr>
      <w:bookmarkStart w:id="114" w:name="_Toc436902197"/>
      <w:r>
        <w:rPr>
          <w:rFonts w:hint="eastAsia"/>
          <w:color w:val="auto"/>
        </w:rPr>
        <w:t>11.2社会效益分析</w:t>
      </w:r>
      <w:bookmarkEnd w:id="114"/>
    </w:p>
    <w:p>
      <w:pPr>
        <w:pStyle w:val="63"/>
        <w:ind w:firstLine="480"/>
        <w:rPr>
          <w:color w:val="auto"/>
        </w:rPr>
      </w:pPr>
      <w:r>
        <w:rPr>
          <w:color w:val="auto"/>
        </w:rPr>
        <w:t>泾河新城应急供水工程（一期）水源位于泾河交汇，建设该水源地及水厂可通过输水管道向就近向泾河南北两岸在建项目，如乐华城、秦龙现代农业产业园、崇文重点镇等供水，缓解城区供水紧张局势。该项目的建设与周边区域给水系统建设相辅相成，是完善泾河新城供水系统的重要举措。对促进泾河新城快速稳定发展，提高居民生活水平和健康水平具有深远的社会意义。</w:t>
      </w:r>
    </w:p>
    <w:p>
      <w:pPr>
        <w:pStyle w:val="61"/>
        <w:rPr>
          <w:i/>
          <w:color w:val="auto"/>
        </w:rPr>
      </w:pPr>
      <w:bookmarkStart w:id="115" w:name="_Toc436902198"/>
      <w:r>
        <w:rPr>
          <w:rFonts w:hint="eastAsia"/>
          <w:color w:val="auto"/>
        </w:rPr>
        <w:t>11.3环境经济损益分析</w:t>
      </w:r>
      <w:bookmarkEnd w:id="115"/>
    </w:p>
    <w:p>
      <w:pPr>
        <w:pStyle w:val="62"/>
        <w:rPr>
          <w:color w:val="auto"/>
        </w:rPr>
      </w:pPr>
      <w:r>
        <w:rPr>
          <w:rFonts w:hint="eastAsia"/>
          <w:color w:val="auto"/>
        </w:rPr>
        <w:t>11.3.1环境保护投资估算</w:t>
      </w:r>
    </w:p>
    <w:p>
      <w:pPr>
        <w:pStyle w:val="63"/>
        <w:ind w:firstLine="480"/>
        <w:rPr>
          <w:color w:val="auto"/>
        </w:rPr>
      </w:pPr>
      <w:r>
        <w:rPr>
          <w:color w:val="auto"/>
        </w:rPr>
        <w:t>本项目总投资为</w:t>
      </w:r>
      <w:r>
        <w:rPr>
          <w:rFonts w:hint="eastAsia"/>
          <w:color w:val="auto"/>
        </w:rPr>
        <w:t>8523.48</w:t>
      </w:r>
      <w:r>
        <w:rPr>
          <w:color w:val="auto"/>
        </w:rPr>
        <w:t>万元，其中环保投资概算值为</w:t>
      </w:r>
      <w:r>
        <w:rPr>
          <w:rFonts w:hint="eastAsia"/>
          <w:color w:val="auto"/>
        </w:rPr>
        <w:t>165</w:t>
      </w:r>
      <w:r>
        <w:rPr>
          <w:color w:val="auto"/>
        </w:rPr>
        <w:t>万元，环保投资共占工程投资的</w:t>
      </w:r>
      <w:r>
        <w:rPr>
          <w:rFonts w:hint="eastAsia"/>
          <w:color w:val="auto"/>
        </w:rPr>
        <w:t>1.94</w:t>
      </w:r>
      <w:r>
        <w:rPr>
          <w:color w:val="auto"/>
        </w:rPr>
        <w:t>%，见表11.3-1。</w:t>
      </w:r>
    </w:p>
    <w:p>
      <w:pPr>
        <w:pStyle w:val="65"/>
      </w:pPr>
      <w:r>
        <w:rPr>
          <w:rFonts w:hint="eastAsia"/>
        </w:rPr>
        <w:t>表11.3-1    环境保护设施投资估算表</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886"/>
        <w:gridCol w:w="5689"/>
        <w:gridCol w:w="266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szCs w:val="21"/>
              </w:rPr>
              <w:t>序号</w:t>
            </w:r>
          </w:p>
        </w:tc>
        <w:tc>
          <w:tcPr>
            <w:tcW w:w="3077" w:type="pct"/>
            <w:vAlign w:val="center"/>
          </w:tcPr>
          <w:p>
            <w:pPr>
              <w:spacing w:line="276" w:lineRule="auto"/>
              <w:jc w:val="center"/>
              <w:rPr>
                <w:szCs w:val="21"/>
              </w:rPr>
            </w:pPr>
            <w:r>
              <w:rPr>
                <w:szCs w:val="21"/>
              </w:rPr>
              <w:t>工程和费用名称</w:t>
            </w:r>
          </w:p>
        </w:tc>
        <w:tc>
          <w:tcPr>
            <w:tcW w:w="1443" w:type="pct"/>
            <w:vAlign w:val="center"/>
          </w:tcPr>
          <w:p>
            <w:pPr>
              <w:spacing w:line="276" w:lineRule="auto"/>
              <w:jc w:val="center"/>
              <w:rPr>
                <w:szCs w:val="21"/>
              </w:rPr>
            </w:pPr>
            <w:r>
              <w:rPr>
                <w:szCs w:val="21"/>
              </w:rPr>
              <w:t>投资额（万元）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szCs w:val="21"/>
              </w:rPr>
              <w:t>1</w:t>
            </w:r>
          </w:p>
        </w:tc>
        <w:tc>
          <w:tcPr>
            <w:tcW w:w="3077" w:type="pct"/>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地埋式生活污水处理设施</w:t>
            </w:r>
          </w:p>
        </w:tc>
        <w:tc>
          <w:tcPr>
            <w:tcW w:w="1443" w:type="pct"/>
            <w:vAlign w:val="center"/>
          </w:tcPr>
          <w:p>
            <w:pPr>
              <w:spacing w:line="276" w:lineRule="auto"/>
              <w:jc w:val="center"/>
              <w:rPr>
                <w:szCs w:val="21"/>
              </w:rPr>
            </w:pPr>
            <w:r>
              <w:rPr>
                <w:rFonts w:hint="eastAsia"/>
                <w:szCs w:val="21"/>
              </w:rPr>
              <w:t>15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szCs w:val="21"/>
              </w:rPr>
              <w:t>2</w:t>
            </w:r>
          </w:p>
        </w:tc>
        <w:tc>
          <w:tcPr>
            <w:tcW w:w="3077"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噪声治理措施，包括基础减震、隔声、吸声、消声等</w:t>
            </w:r>
          </w:p>
        </w:tc>
        <w:tc>
          <w:tcPr>
            <w:tcW w:w="1443" w:type="pct"/>
            <w:vAlign w:val="center"/>
          </w:tcPr>
          <w:p>
            <w:pPr>
              <w:spacing w:line="276" w:lineRule="auto"/>
              <w:jc w:val="center"/>
              <w:rPr>
                <w:szCs w:val="21"/>
              </w:rPr>
            </w:pPr>
            <w:r>
              <w:rPr>
                <w:rFonts w:hint="eastAsia"/>
                <w:szCs w:val="21"/>
              </w:rPr>
              <w:t>100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szCs w:val="21"/>
              </w:rPr>
              <w:t>3</w:t>
            </w:r>
          </w:p>
        </w:tc>
        <w:tc>
          <w:tcPr>
            <w:tcW w:w="3077"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化验废水暂存罐</w:t>
            </w:r>
          </w:p>
        </w:tc>
        <w:tc>
          <w:tcPr>
            <w:tcW w:w="1443" w:type="pct"/>
            <w:vAlign w:val="center"/>
          </w:tcPr>
          <w:p>
            <w:pPr>
              <w:spacing w:line="276" w:lineRule="auto"/>
              <w:jc w:val="center"/>
              <w:rPr>
                <w:szCs w:val="21"/>
              </w:rPr>
            </w:pPr>
            <w:r>
              <w:rPr>
                <w:rFonts w:hint="eastAsia"/>
                <w:szCs w:val="21"/>
              </w:rPr>
              <w:t>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szCs w:val="21"/>
              </w:rPr>
              <w:t>4</w:t>
            </w:r>
          </w:p>
        </w:tc>
        <w:tc>
          <w:tcPr>
            <w:tcW w:w="3077" w:type="pct"/>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油烟净化装置</w:t>
            </w:r>
          </w:p>
        </w:tc>
        <w:tc>
          <w:tcPr>
            <w:tcW w:w="1443" w:type="pct"/>
            <w:vAlign w:val="center"/>
          </w:tcPr>
          <w:p>
            <w:pPr>
              <w:spacing w:line="276" w:lineRule="auto"/>
              <w:jc w:val="center"/>
              <w:rPr>
                <w:szCs w:val="21"/>
              </w:rPr>
            </w:pPr>
            <w:r>
              <w:rPr>
                <w:rFonts w:hint="eastAsia"/>
                <w:szCs w:val="21"/>
              </w:rPr>
              <w:t>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5</w:t>
            </w:r>
          </w:p>
        </w:tc>
        <w:tc>
          <w:tcPr>
            <w:tcW w:w="3077" w:type="pct"/>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污泥贮存池</w:t>
            </w:r>
          </w:p>
        </w:tc>
        <w:tc>
          <w:tcPr>
            <w:tcW w:w="1443" w:type="pct"/>
            <w:vAlign w:val="center"/>
          </w:tcPr>
          <w:p>
            <w:pPr>
              <w:spacing w:line="276" w:lineRule="auto"/>
              <w:jc w:val="center"/>
              <w:rPr>
                <w:szCs w:val="21"/>
              </w:rPr>
            </w:pPr>
            <w:r>
              <w:rPr>
                <w:rFonts w:hint="eastAsia"/>
                <w:szCs w:val="21"/>
              </w:rPr>
              <w:t>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6</w:t>
            </w:r>
          </w:p>
        </w:tc>
        <w:tc>
          <w:tcPr>
            <w:tcW w:w="3077"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垃圾收集桶</w:t>
            </w:r>
          </w:p>
        </w:tc>
        <w:tc>
          <w:tcPr>
            <w:tcW w:w="1443" w:type="pct"/>
            <w:vAlign w:val="center"/>
          </w:tcPr>
          <w:p>
            <w:pPr>
              <w:spacing w:line="276" w:lineRule="auto"/>
              <w:jc w:val="center"/>
              <w:rPr>
                <w:szCs w:val="21"/>
              </w:rPr>
            </w:pPr>
            <w:r>
              <w:rPr>
                <w:rFonts w:hint="eastAsia"/>
                <w:szCs w:val="21"/>
              </w:rPr>
              <w:t>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7</w:t>
            </w:r>
          </w:p>
        </w:tc>
        <w:tc>
          <w:tcPr>
            <w:tcW w:w="3077" w:type="pct"/>
            <w:vAlign w:val="center"/>
          </w:tcPr>
          <w:p>
            <w:pPr>
              <w:spacing w:line="276" w:lineRule="auto"/>
              <w:jc w:val="center"/>
              <w:rPr>
                <w:szCs w:val="21"/>
              </w:rPr>
            </w:pPr>
            <w:r>
              <w:rPr>
                <w:szCs w:val="21"/>
              </w:rPr>
              <w:t>绿化</w:t>
            </w:r>
          </w:p>
        </w:tc>
        <w:tc>
          <w:tcPr>
            <w:tcW w:w="1443" w:type="pct"/>
            <w:vAlign w:val="center"/>
          </w:tcPr>
          <w:p>
            <w:pPr>
              <w:spacing w:line="276" w:lineRule="auto"/>
              <w:jc w:val="center"/>
              <w:rPr>
                <w:szCs w:val="21"/>
              </w:rPr>
            </w:pPr>
            <w:r>
              <w:rPr>
                <w:rFonts w:hint="eastAsia"/>
                <w:szCs w:val="21"/>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479" w:type="pct"/>
            <w:vAlign w:val="center"/>
          </w:tcPr>
          <w:p>
            <w:pPr>
              <w:spacing w:line="276" w:lineRule="auto"/>
              <w:jc w:val="center"/>
              <w:rPr>
                <w:szCs w:val="21"/>
              </w:rPr>
            </w:pPr>
            <w:r>
              <w:rPr>
                <w:rFonts w:hint="eastAsia"/>
                <w:szCs w:val="21"/>
              </w:rPr>
              <w:t>8</w:t>
            </w:r>
          </w:p>
        </w:tc>
        <w:tc>
          <w:tcPr>
            <w:tcW w:w="3077"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环境档案管理及风险应急预案制定</w:t>
            </w:r>
          </w:p>
        </w:tc>
        <w:tc>
          <w:tcPr>
            <w:tcW w:w="1443" w:type="pct"/>
            <w:vAlign w:val="center"/>
          </w:tcPr>
          <w:p>
            <w:pPr>
              <w:spacing w:line="276" w:lineRule="auto"/>
              <w:jc w:val="center"/>
              <w:rPr>
                <w:szCs w:val="21"/>
              </w:rPr>
            </w:pPr>
            <w:r>
              <w:rPr>
                <w:rFonts w:hint="eastAsia"/>
                <w:szCs w:val="21"/>
              </w:rPr>
              <w:t>15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557" w:type="pct"/>
            <w:gridSpan w:val="2"/>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合计</w:t>
            </w:r>
          </w:p>
        </w:tc>
        <w:tc>
          <w:tcPr>
            <w:tcW w:w="1443" w:type="pct"/>
            <w:vAlign w:val="center"/>
          </w:tcPr>
          <w:p>
            <w:pPr>
              <w:spacing w:line="276" w:lineRule="auto"/>
              <w:jc w:val="center"/>
              <w:rPr>
                <w:szCs w:val="21"/>
              </w:rPr>
            </w:pPr>
            <w:r>
              <w:rPr>
                <w:rFonts w:hint="eastAsia"/>
                <w:szCs w:val="21"/>
              </w:rPr>
              <w:t>165</w:t>
            </w:r>
          </w:p>
        </w:tc>
      </w:tr>
    </w:tbl>
    <w:p>
      <w:pPr>
        <w:pStyle w:val="62"/>
        <w:rPr>
          <w:color w:val="auto"/>
        </w:rPr>
      </w:pPr>
      <w:r>
        <w:rPr>
          <w:rFonts w:hint="eastAsia"/>
          <w:color w:val="auto"/>
        </w:rPr>
        <w:t>11.3.2环境保护费用分析</w:t>
      </w:r>
    </w:p>
    <w:p>
      <w:pPr>
        <w:pStyle w:val="63"/>
        <w:ind w:firstLine="480"/>
        <w:rPr>
          <w:color w:val="auto"/>
        </w:rPr>
      </w:pPr>
      <w:r>
        <w:rPr>
          <w:color w:val="auto"/>
        </w:rPr>
        <w:t>环境保护费用一般分为外部费用和内部费用，用下式表示：</w:t>
      </w:r>
    </w:p>
    <w:p>
      <w:pPr>
        <w:pStyle w:val="63"/>
        <w:ind w:firstLine="480"/>
        <w:jc w:val="center"/>
        <w:rPr>
          <w:color w:val="auto"/>
        </w:rPr>
      </w:pPr>
      <w:r>
        <w:rPr>
          <w:color w:val="auto"/>
        </w:rPr>
        <w:t>Et= Et(O)+ Et(I)</w:t>
      </w:r>
    </w:p>
    <w:p>
      <w:pPr>
        <w:pStyle w:val="63"/>
        <w:ind w:firstLine="480"/>
        <w:rPr>
          <w:color w:val="auto"/>
        </w:rPr>
      </w:pPr>
      <w:r>
        <w:rPr>
          <w:color w:val="auto"/>
        </w:rPr>
        <w:t>式中：</w:t>
      </w:r>
    </w:p>
    <w:p>
      <w:pPr>
        <w:pStyle w:val="63"/>
        <w:ind w:firstLine="480"/>
        <w:rPr>
          <w:color w:val="auto"/>
        </w:rPr>
      </w:pPr>
      <w:r>
        <w:rPr>
          <w:color w:val="auto"/>
        </w:rPr>
        <w:t>Et——环境保护费用；</w:t>
      </w:r>
    </w:p>
    <w:p>
      <w:pPr>
        <w:pStyle w:val="63"/>
        <w:ind w:firstLine="480"/>
        <w:rPr>
          <w:color w:val="auto"/>
        </w:rPr>
      </w:pPr>
      <w:r>
        <w:rPr>
          <w:color w:val="auto"/>
        </w:rPr>
        <w:t>Et(O)——环境保护外部费用；</w:t>
      </w:r>
    </w:p>
    <w:p>
      <w:pPr>
        <w:pStyle w:val="63"/>
        <w:ind w:firstLine="480"/>
        <w:rPr>
          <w:color w:val="auto"/>
        </w:rPr>
      </w:pPr>
      <w:r>
        <w:rPr>
          <w:color w:val="auto"/>
        </w:rPr>
        <w:t>Et(I)——环境保护内部费用。</w:t>
      </w:r>
    </w:p>
    <w:p>
      <w:pPr>
        <w:pStyle w:val="63"/>
        <w:ind w:firstLine="480"/>
        <w:rPr>
          <w:color w:val="auto"/>
        </w:rPr>
      </w:pPr>
      <w:r>
        <w:rPr>
          <w:color w:val="auto"/>
        </w:rPr>
        <w:t>（1）环境保护外部费用Et(O)</w:t>
      </w:r>
    </w:p>
    <w:p>
      <w:pPr>
        <w:pStyle w:val="63"/>
        <w:ind w:firstLine="480"/>
        <w:rPr>
          <w:color w:val="auto"/>
        </w:rPr>
      </w:pPr>
      <w:r>
        <w:rPr>
          <w:color w:val="auto"/>
        </w:rPr>
        <w:t>环境保护外部费用主要指由于企业建设对环境损害所带来的费用，包括项目建设征地拆迁安置费等，本项目建设不涉及拆迁安置问题，故不存在这部分费用。</w:t>
      </w:r>
    </w:p>
    <w:p>
      <w:pPr>
        <w:pStyle w:val="63"/>
        <w:ind w:firstLine="480"/>
        <w:rPr>
          <w:color w:val="auto"/>
        </w:rPr>
      </w:pPr>
      <w:r>
        <w:rPr>
          <w:color w:val="auto"/>
        </w:rPr>
        <w:t>（2）环境保护内部费用Et(I)</w:t>
      </w:r>
    </w:p>
    <w:p>
      <w:pPr>
        <w:pStyle w:val="63"/>
        <w:ind w:firstLine="480"/>
        <w:rPr>
          <w:color w:val="auto"/>
        </w:rPr>
      </w:pPr>
      <w:r>
        <w:rPr>
          <w:color w:val="auto"/>
        </w:rPr>
        <w:t>内部费用是指项目运行过程中，建设单位为了防止环境污染而付出的环境保护费用，由基本建设费和运行费两部分构成。</w:t>
      </w:r>
    </w:p>
    <w:p>
      <w:pPr>
        <w:pStyle w:val="63"/>
        <w:ind w:firstLine="480"/>
        <w:rPr>
          <w:color w:val="auto"/>
        </w:rPr>
      </w:pPr>
      <w:r>
        <w:rPr>
          <w:color w:val="auto"/>
        </w:rPr>
        <w:t>环境保护基本建设费用即为环保投资</w:t>
      </w:r>
      <w:r>
        <w:rPr>
          <w:rFonts w:hint="eastAsia"/>
          <w:color w:val="auto"/>
        </w:rPr>
        <w:t>165</w:t>
      </w:r>
      <w:r>
        <w:rPr>
          <w:color w:val="auto"/>
        </w:rPr>
        <w:t>万元，使用期按</w:t>
      </w:r>
      <w:r>
        <w:rPr>
          <w:rFonts w:hint="eastAsia"/>
          <w:color w:val="auto"/>
        </w:rPr>
        <w:t>20</w:t>
      </w:r>
      <w:r>
        <w:rPr>
          <w:color w:val="auto"/>
        </w:rPr>
        <w:t>年计，则每年投入的环境保护基本建设费用为</w:t>
      </w:r>
      <w:r>
        <w:rPr>
          <w:rFonts w:hint="eastAsia"/>
          <w:color w:val="auto"/>
        </w:rPr>
        <w:t>8.25</w:t>
      </w:r>
      <w:r>
        <w:rPr>
          <w:color w:val="auto"/>
        </w:rPr>
        <w:t>万元/年。运行费用指企业各项环保工程、绿化、环保监测和管理等环境保护工程的运行、管理费用。按生产要素计算，运行费用主要由各项环保工程的折旧费、设备大修费、耗电费、材料消耗费、人员工资及福利费、设备维护费、运输费和管理费等，企业环保工程运行费用为10.38万元//年。</w:t>
      </w:r>
    </w:p>
    <w:p>
      <w:pPr>
        <w:pStyle w:val="63"/>
        <w:ind w:firstLine="480"/>
        <w:rPr>
          <w:color w:val="auto"/>
        </w:rPr>
      </w:pPr>
      <w:r>
        <w:rPr>
          <w:color w:val="auto"/>
        </w:rPr>
        <w:t>（3）环境保护费用</w:t>
      </w:r>
    </w:p>
    <w:p>
      <w:pPr>
        <w:pStyle w:val="63"/>
        <w:ind w:firstLine="480"/>
        <w:rPr>
          <w:color w:val="auto"/>
        </w:rPr>
      </w:pPr>
      <w:r>
        <w:rPr>
          <w:color w:val="auto"/>
        </w:rPr>
        <w:t>综合（1）、（2）的估算结果，项目的环境保护费用Et为</w:t>
      </w:r>
      <w:r>
        <w:rPr>
          <w:rFonts w:hint="eastAsia"/>
          <w:color w:val="auto"/>
        </w:rPr>
        <w:t>18.63</w:t>
      </w:r>
      <w:r>
        <w:rPr>
          <w:color w:val="auto"/>
        </w:rPr>
        <w:t>万元/年。</w:t>
      </w:r>
    </w:p>
    <w:p>
      <w:pPr>
        <w:pStyle w:val="62"/>
        <w:rPr>
          <w:color w:val="auto"/>
        </w:rPr>
      </w:pPr>
      <w:r>
        <w:rPr>
          <w:rFonts w:hint="eastAsia"/>
          <w:color w:val="auto"/>
        </w:rPr>
        <w:t>10.3.3环境污染损失分析</w:t>
      </w:r>
    </w:p>
    <w:p>
      <w:pPr>
        <w:pStyle w:val="63"/>
        <w:ind w:firstLine="480"/>
        <w:rPr>
          <w:color w:val="auto"/>
        </w:rPr>
      </w:pPr>
      <w:r>
        <w:rPr>
          <w:color w:val="auto"/>
        </w:rPr>
        <w:t>年环境损失费用（Hs）即项目投产后，每年资源的流失和“三废”及噪声排放对环境造成的损失，以及原环境功能发生了改变等原因带来的损失。主要包括以下几项：</w:t>
      </w:r>
    </w:p>
    <w:p>
      <w:pPr>
        <w:pStyle w:val="63"/>
        <w:ind w:firstLine="480"/>
        <w:rPr>
          <w:color w:val="auto"/>
        </w:rPr>
      </w:pPr>
      <w:r>
        <w:rPr>
          <w:color w:val="auto"/>
        </w:rPr>
        <w:t>（1）资源和能源流失价值</w:t>
      </w:r>
    </w:p>
    <w:p>
      <w:pPr>
        <w:pStyle w:val="63"/>
        <w:ind w:firstLine="480"/>
        <w:rPr>
          <w:color w:val="auto"/>
        </w:rPr>
      </w:pPr>
      <w:r>
        <w:rPr>
          <w:color w:val="auto"/>
        </w:rPr>
        <w:t>资源和能源流失价值，是指因外运、装卸、风蚀、雨蚀等原因导致资源流失，本项目由于采取了很完善的防治措施，因此资源流失很少，在此可以忽略不计。</w:t>
      </w:r>
    </w:p>
    <w:p>
      <w:pPr>
        <w:pStyle w:val="63"/>
        <w:ind w:firstLine="480"/>
        <w:rPr>
          <w:color w:val="auto"/>
        </w:rPr>
      </w:pPr>
      <w:r>
        <w:rPr>
          <w:color w:val="auto"/>
        </w:rPr>
        <w:t>（2）水资源的流失</w:t>
      </w:r>
    </w:p>
    <w:p>
      <w:pPr>
        <w:pStyle w:val="63"/>
        <w:ind w:firstLine="480"/>
        <w:rPr>
          <w:color w:val="auto"/>
        </w:rPr>
      </w:pPr>
      <w:r>
        <w:rPr>
          <w:color w:val="auto"/>
        </w:rPr>
        <w:t>本项目废水不外排，年新鲜水总用水量为</w:t>
      </w:r>
      <w:r>
        <w:rPr>
          <w:rFonts w:hint="eastAsia"/>
          <w:color w:val="auto"/>
        </w:rPr>
        <w:t>294</w:t>
      </w:r>
      <w:r>
        <w:rPr>
          <w:color w:val="auto"/>
        </w:rPr>
        <w:t>m</w:t>
      </w:r>
      <w:r>
        <w:rPr>
          <w:color w:val="auto"/>
          <w:vertAlign w:val="superscript"/>
        </w:rPr>
        <w:t>3</w:t>
      </w:r>
      <w:r>
        <w:rPr>
          <w:color w:val="auto"/>
        </w:rPr>
        <w:t>/a均为生活用水。水资源流失费按</w:t>
      </w:r>
      <w:r>
        <w:rPr>
          <w:rFonts w:hint="eastAsia"/>
          <w:color w:val="auto"/>
        </w:rPr>
        <w:t>3.5</w:t>
      </w:r>
      <w:r>
        <w:rPr>
          <w:color w:val="auto"/>
        </w:rPr>
        <w:t>元/m</w:t>
      </w:r>
      <w:r>
        <w:rPr>
          <w:color w:val="auto"/>
          <w:vertAlign w:val="superscript"/>
        </w:rPr>
        <w:t>3</w:t>
      </w:r>
      <w:r>
        <w:rPr>
          <w:color w:val="auto"/>
        </w:rPr>
        <w:t>计，则本项目水资源流失费为</w:t>
      </w:r>
      <w:r>
        <w:rPr>
          <w:rFonts w:hint="eastAsia"/>
          <w:color w:val="auto"/>
        </w:rPr>
        <w:t>1029</w:t>
      </w:r>
      <w:r>
        <w:rPr>
          <w:color w:val="auto"/>
        </w:rPr>
        <w:t>元。</w:t>
      </w:r>
    </w:p>
    <w:p>
      <w:pPr>
        <w:pStyle w:val="63"/>
        <w:ind w:firstLine="480"/>
        <w:rPr>
          <w:color w:val="auto"/>
        </w:rPr>
      </w:pPr>
      <w:r>
        <w:rPr>
          <w:color w:val="auto"/>
        </w:rPr>
        <w:t>（3）“三废”排放和噪声污染带来的损失</w:t>
      </w:r>
    </w:p>
    <w:p>
      <w:pPr>
        <w:pStyle w:val="63"/>
        <w:ind w:firstLine="480"/>
        <w:rPr>
          <w:color w:val="auto"/>
        </w:rPr>
      </w:pPr>
      <w:r>
        <w:rPr>
          <w:color w:val="auto"/>
        </w:rPr>
        <w:t>本项目固废处置符合国家有关规定，不收取排污费，不涉及噪声污染及征收超标排污费，废水不外排，不产生废气。</w:t>
      </w:r>
    </w:p>
    <w:p>
      <w:pPr>
        <w:pStyle w:val="63"/>
        <w:ind w:firstLine="480"/>
        <w:rPr>
          <w:color w:val="auto"/>
        </w:rPr>
      </w:pPr>
      <w:r>
        <w:rPr>
          <w:color w:val="auto"/>
        </w:rPr>
        <w:t>因此，项目运行后，需缴纳的排污费计为0。</w:t>
      </w:r>
    </w:p>
    <w:p>
      <w:pPr>
        <w:pStyle w:val="63"/>
        <w:ind w:firstLine="480"/>
        <w:rPr>
          <w:color w:val="auto"/>
        </w:rPr>
      </w:pPr>
      <w:r>
        <w:rPr>
          <w:color w:val="auto"/>
        </w:rPr>
        <w:t>综上，本项目运行后，年环境损失费用Hs=0.</w:t>
      </w:r>
      <w:r>
        <w:rPr>
          <w:rFonts w:hint="eastAsia"/>
          <w:color w:val="auto"/>
        </w:rPr>
        <w:t>1029</w:t>
      </w:r>
      <w:r>
        <w:rPr>
          <w:color w:val="auto"/>
        </w:rPr>
        <w:t>万元/年。</w:t>
      </w:r>
    </w:p>
    <w:p>
      <w:pPr>
        <w:pStyle w:val="62"/>
        <w:rPr>
          <w:color w:val="auto"/>
        </w:rPr>
      </w:pPr>
      <w:r>
        <w:rPr>
          <w:rFonts w:hint="eastAsia"/>
          <w:color w:val="auto"/>
        </w:rPr>
        <w:t>11.3.4环境成本和环境系数</w:t>
      </w:r>
    </w:p>
    <w:p>
      <w:pPr>
        <w:pStyle w:val="63"/>
        <w:ind w:firstLine="480"/>
        <w:rPr>
          <w:color w:val="auto"/>
        </w:rPr>
      </w:pPr>
      <w:r>
        <w:rPr>
          <w:color w:val="auto"/>
        </w:rPr>
        <w:t>（1）年环境代价</w:t>
      </w:r>
    </w:p>
    <w:p>
      <w:pPr>
        <w:pStyle w:val="63"/>
        <w:ind w:firstLine="480"/>
        <w:rPr>
          <w:color w:val="auto"/>
        </w:rPr>
      </w:pPr>
      <w:r>
        <w:rPr>
          <w:color w:val="auto"/>
        </w:rPr>
        <w:t>年环境代价Hd即为项目环境损失费用Hs和投入的环境保护费用Et（包括外部费用和内部费用）之和，为</w:t>
      </w:r>
      <w:r>
        <w:rPr>
          <w:rFonts w:hint="eastAsia"/>
          <w:color w:val="auto"/>
        </w:rPr>
        <w:t>18.7329</w:t>
      </w:r>
      <w:r>
        <w:rPr>
          <w:color w:val="auto"/>
        </w:rPr>
        <w:t>万元/年。</w:t>
      </w:r>
    </w:p>
    <w:p>
      <w:pPr>
        <w:pStyle w:val="63"/>
        <w:ind w:firstLine="480"/>
        <w:rPr>
          <w:color w:val="auto"/>
        </w:rPr>
      </w:pPr>
      <w:r>
        <w:rPr>
          <w:color w:val="auto"/>
        </w:rPr>
        <w:t>（2）环境系数</w:t>
      </w:r>
    </w:p>
    <w:p>
      <w:pPr>
        <w:pStyle w:val="63"/>
        <w:ind w:firstLine="480"/>
        <w:rPr>
          <w:color w:val="auto"/>
        </w:rPr>
      </w:pPr>
      <w:r>
        <w:rPr>
          <w:color w:val="auto"/>
        </w:rPr>
        <w:t>环境系数是指年环境代价与年工业产值的比值，即Hx=Hd/Ge，本项目年工业产值按财务净现值</w:t>
      </w:r>
      <w:r>
        <w:rPr>
          <w:rFonts w:hint="eastAsia"/>
          <w:color w:val="auto"/>
        </w:rPr>
        <w:t>3957.45</w:t>
      </w:r>
      <w:r>
        <w:rPr>
          <w:color w:val="auto"/>
        </w:rPr>
        <w:t>万元计，因此，本项目的环境系数为0.00</w:t>
      </w:r>
      <w:r>
        <w:rPr>
          <w:rFonts w:hint="eastAsia"/>
          <w:color w:val="auto"/>
        </w:rPr>
        <w:t>473</w:t>
      </w:r>
      <w:r>
        <w:rPr>
          <w:color w:val="auto"/>
        </w:rPr>
        <w:t>。</w:t>
      </w:r>
    </w:p>
    <w:p>
      <w:pPr>
        <w:pStyle w:val="61"/>
        <w:rPr>
          <w:i/>
          <w:color w:val="auto"/>
        </w:rPr>
      </w:pPr>
      <w:bookmarkStart w:id="116" w:name="_Toc436902199"/>
      <w:r>
        <w:rPr>
          <w:rFonts w:hint="eastAsia"/>
          <w:color w:val="auto"/>
        </w:rPr>
        <w:t>11.4小结</w:t>
      </w:r>
      <w:bookmarkEnd w:id="116"/>
    </w:p>
    <w:p>
      <w:pPr>
        <w:pStyle w:val="63"/>
        <w:ind w:firstLine="480"/>
        <w:rPr>
          <w:color w:val="auto"/>
        </w:rPr>
      </w:pPr>
      <w:r>
        <w:rPr>
          <w:color w:val="auto"/>
        </w:rPr>
        <w:t>根据以上计算可知，本项目环境成本及环境系数较低，项目的环境效益较高。</w:t>
      </w:r>
    </w:p>
    <w:p>
      <w:pPr>
        <w:pStyle w:val="63"/>
        <w:ind w:firstLine="480"/>
        <w:rPr>
          <w:color w:val="auto"/>
        </w:rPr>
      </w:pPr>
      <w:r>
        <w:rPr>
          <w:color w:val="auto"/>
        </w:rPr>
        <w:t>项目的建设与周边区域给水系统建设相辅相成，是完善泾河新城供水系统的重要举措。是一项社会民生工程，对当地的经济发展也有一定的促进作用，对缓解区域用水有一定的益处。具有较好的经济和社会效益。</w:t>
      </w:r>
    </w:p>
    <w:p>
      <w:pPr>
        <w:pStyle w:val="63"/>
        <w:ind w:firstLine="480"/>
        <w:rPr>
          <w:color w:val="auto"/>
        </w:rPr>
      </w:pPr>
      <w:r>
        <w:rPr>
          <w:color w:val="auto"/>
        </w:rPr>
        <w:t>可见，这项投资是必要的、有效的，可取得广泛的社会效益。从环境经济损益分析角</w:t>
      </w:r>
      <w:r>
        <w:rPr>
          <w:rFonts w:hint="eastAsia"/>
          <w:color w:val="auto"/>
        </w:rPr>
        <w:t>度，该项目是可行的。</w:t>
      </w:r>
    </w:p>
    <w:p>
      <w:pPr>
        <w:pStyle w:val="2"/>
        <w:jc w:val="center"/>
        <w:rPr>
          <w:sz w:val="44"/>
          <w:szCs w:val="44"/>
        </w:rPr>
        <w:sectPr>
          <w:pgSz w:w="11906" w:h="16838"/>
          <w:pgMar w:top="1440" w:right="1440" w:bottom="1440" w:left="1440" w:header="851" w:footer="992" w:gutter="0"/>
          <w:cols w:space="720" w:num="1"/>
          <w:titlePg/>
          <w:docGrid w:type="linesAndChars" w:linePitch="312" w:charSpace="0"/>
        </w:sectPr>
      </w:pPr>
    </w:p>
    <w:p>
      <w:pPr>
        <w:pStyle w:val="60"/>
        <w:spacing w:before="156" w:after="156"/>
      </w:pPr>
      <w:bookmarkStart w:id="117" w:name="_Toc436902200"/>
      <w:r>
        <w:rPr>
          <w:rFonts w:hint="eastAsia"/>
        </w:rPr>
        <w:t>12 环境管理与监测计划</w:t>
      </w:r>
      <w:bookmarkEnd w:id="117"/>
    </w:p>
    <w:p>
      <w:pPr>
        <w:pStyle w:val="61"/>
        <w:rPr>
          <w:i/>
          <w:color w:val="auto"/>
        </w:rPr>
      </w:pPr>
      <w:bookmarkStart w:id="118" w:name="_Toc436902201"/>
      <w:r>
        <w:rPr>
          <w:rFonts w:hint="eastAsia"/>
          <w:color w:val="auto"/>
        </w:rPr>
        <w:t>12.1环境管理的要求</w:t>
      </w:r>
      <w:bookmarkEnd w:id="118"/>
    </w:p>
    <w:p>
      <w:pPr>
        <w:pStyle w:val="63"/>
        <w:ind w:firstLine="480"/>
        <w:rPr>
          <w:color w:val="auto"/>
        </w:rPr>
      </w:pPr>
      <w:r>
        <w:rPr>
          <w:color w:val="auto"/>
        </w:rPr>
        <w:t>环境管理的目的是对损害环境质量的人为活动施加影响，以协调经济与环境的关系，达到既发展经济满足人类的需要，又不超出环境容量的限值。环境管理是企业管理的一项重要内容。加强环境监督管理力度，是实现环境、生产、经济协调发展和走可持续发展道路的重要保证。实践证明，要解决好企业的环境问题，首先必需强化企业的环境管理，由于企业的产品产出与“三废”的排放是生产过程同时存在的两个方面，因此，企业的环境管理实质上是生产管理的主要内容之一，其目的是在发展生产的同时，对污染物的排放实行必要的控制，保护环境质量，以实现环境效益、社会效益、经济效益的统一。</w:t>
      </w:r>
    </w:p>
    <w:p>
      <w:pPr>
        <w:pStyle w:val="62"/>
        <w:rPr>
          <w:color w:val="auto"/>
        </w:rPr>
      </w:pPr>
      <w:r>
        <w:rPr>
          <w:rFonts w:hint="eastAsia"/>
          <w:color w:val="auto"/>
        </w:rPr>
        <w:t>12.1.1环境管理机构设置</w:t>
      </w:r>
    </w:p>
    <w:p>
      <w:pPr>
        <w:pStyle w:val="63"/>
        <w:ind w:firstLine="480"/>
        <w:rPr>
          <w:color w:val="auto"/>
        </w:rPr>
      </w:pPr>
      <w:r>
        <w:rPr>
          <w:color w:val="auto"/>
        </w:rPr>
        <w:t>根据《建设项目环境保护设计规范》的要求，项目建成后，应设置环境保护管理部门，配置专职工作人员，负责对本厂环保设施运转状态进行监控，并管理其他环保工作。此外，为保证环境管理任务的顺利实施，由企业总经理应作为控制环境污染、保护环境的法律负责人。</w:t>
      </w:r>
    </w:p>
    <w:p>
      <w:pPr>
        <w:pStyle w:val="62"/>
        <w:rPr>
          <w:color w:val="auto"/>
        </w:rPr>
      </w:pPr>
      <w:r>
        <w:rPr>
          <w:color w:val="auto"/>
        </w:rPr>
        <w:t>12.1.2环境管理职责</w:t>
      </w:r>
    </w:p>
    <w:p>
      <w:pPr>
        <w:pStyle w:val="63"/>
        <w:ind w:firstLine="480"/>
        <w:rPr>
          <w:color w:val="auto"/>
        </w:rPr>
      </w:pPr>
      <w:r>
        <w:rPr>
          <w:color w:val="auto"/>
        </w:rPr>
        <w:t>（1）制定施工期安全环境管理制度；</w:t>
      </w:r>
    </w:p>
    <w:p>
      <w:pPr>
        <w:pStyle w:val="63"/>
        <w:ind w:firstLine="480"/>
        <w:jc w:val="both"/>
        <w:rPr>
          <w:color w:val="auto"/>
        </w:rPr>
      </w:pPr>
      <w:r>
        <w:rPr>
          <w:color w:val="auto"/>
        </w:rPr>
        <w:t>（2）贯彻执行国家和地方各项环保方针、政策和法规，制定全厂环境保护制度和细则，组织开展职工环保教育，提高职工的环保意识；</w:t>
      </w:r>
    </w:p>
    <w:p>
      <w:pPr>
        <w:pStyle w:val="63"/>
        <w:ind w:firstLine="480"/>
        <w:jc w:val="both"/>
        <w:rPr>
          <w:color w:val="auto"/>
        </w:rPr>
      </w:pPr>
      <w:r>
        <w:rPr>
          <w:color w:val="auto"/>
        </w:rPr>
        <w:t>（3）制定营运期各污染治理设施的处理工艺技术规范和操作规程，建立各污染源监测制度，按环境监测部门的要求，制定各项化（检）验技术规程，按规定定期对各污染源排放点进行监测，保证处理效果达到设计要求、各污染源达标排放；</w:t>
      </w:r>
    </w:p>
    <w:p>
      <w:pPr>
        <w:pStyle w:val="63"/>
        <w:ind w:firstLine="480"/>
        <w:jc w:val="both"/>
        <w:rPr>
          <w:color w:val="auto"/>
        </w:rPr>
      </w:pPr>
      <w:r>
        <w:rPr>
          <w:color w:val="auto"/>
        </w:rPr>
        <w:t>（4）负责调查和处理各污染治理设施非正常运转情况时的污染事故；</w:t>
      </w:r>
    </w:p>
    <w:p>
      <w:pPr>
        <w:pStyle w:val="63"/>
        <w:ind w:firstLine="480"/>
        <w:jc w:val="both"/>
        <w:rPr>
          <w:color w:val="auto"/>
        </w:rPr>
      </w:pPr>
      <w:r>
        <w:rPr>
          <w:color w:val="auto"/>
        </w:rPr>
        <w:t>（5）执行建设项目环境影响评价制度和“三同时”制度，组织专家和有关管理部门对项目进行竣工验收，配合企业领导完成环保责任目标，保证污染物达标排放；</w:t>
      </w:r>
    </w:p>
    <w:p>
      <w:pPr>
        <w:pStyle w:val="63"/>
        <w:ind w:firstLine="480"/>
        <w:jc w:val="both"/>
        <w:rPr>
          <w:color w:val="auto"/>
        </w:rPr>
      </w:pPr>
      <w:r>
        <w:rPr>
          <w:color w:val="auto"/>
        </w:rPr>
        <w:t>（6）组织开展本单位的环保教育和环境保护专业技术培训，提高企业员工的环保素质，建立环境保护档案，进行环境统计，开展日常环境保护工作，并按照有关规定及时、准确地上报企业环境报表和环境质量报告书。推广并应用先进环保技术；</w:t>
      </w:r>
    </w:p>
    <w:p>
      <w:pPr>
        <w:pStyle w:val="63"/>
        <w:ind w:firstLine="480"/>
        <w:jc w:val="both"/>
        <w:rPr>
          <w:color w:val="auto"/>
        </w:rPr>
      </w:pPr>
      <w:r>
        <w:rPr>
          <w:color w:val="auto"/>
        </w:rPr>
        <w:t>（7）负责厂区日常环境保护管理等工作。</w:t>
      </w:r>
    </w:p>
    <w:p>
      <w:pPr>
        <w:pStyle w:val="62"/>
        <w:rPr>
          <w:color w:val="auto"/>
        </w:rPr>
      </w:pPr>
      <w:r>
        <w:rPr>
          <w:rFonts w:hint="eastAsia"/>
          <w:color w:val="auto"/>
        </w:rPr>
        <w:t>12.1.3环境管理计划</w:t>
      </w:r>
    </w:p>
    <w:p>
      <w:pPr>
        <w:pStyle w:val="63"/>
        <w:ind w:firstLine="480"/>
        <w:rPr>
          <w:color w:val="auto"/>
        </w:rPr>
      </w:pPr>
      <w:r>
        <w:rPr>
          <w:color w:val="auto"/>
        </w:rPr>
        <w:t>建设期环境管理</w:t>
      </w:r>
    </w:p>
    <w:p>
      <w:pPr>
        <w:pStyle w:val="63"/>
        <w:ind w:firstLine="480"/>
        <w:rPr>
          <w:color w:val="auto"/>
        </w:rPr>
      </w:pPr>
      <w:r>
        <w:rPr>
          <w:color w:val="auto"/>
        </w:rPr>
        <w:t>（1）对施工单位提出要求，明确责任，督促施工单位采取有效措施减少施工过程中施工扬尘、施工噪声和废水排放对环境的污染。</w:t>
      </w:r>
    </w:p>
    <w:p>
      <w:pPr>
        <w:pStyle w:val="63"/>
        <w:ind w:firstLine="480"/>
        <w:rPr>
          <w:color w:val="auto"/>
        </w:rPr>
      </w:pPr>
      <w:r>
        <w:rPr>
          <w:color w:val="auto"/>
        </w:rPr>
        <w:t>（2）定期检查，督促施工单位按要求回填处理建筑垃圾，收集、处理施工垃圾和生活垃圾。</w:t>
      </w:r>
    </w:p>
    <w:p>
      <w:pPr>
        <w:pStyle w:val="63"/>
        <w:ind w:firstLine="480"/>
        <w:rPr>
          <w:color w:val="auto"/>
        </w:rPr>
      </w:pPr>
      <w:r>
        <w:rPr>
          <w:color w:val="auto"/>
        </w:rPr>
        <w:t>（3）项目建成后，全面检查施工现场的环境恢复情况。</w:t>
      </w:r>
    </w:p>
    <w:p>
      <w:pPr>
        <w:pStyle w:val="63"/>
        <w:ind w:firstLine="480"/>
        <w:rPr>
          <w:color w:val="auto"/>
        </w:rPr>
      </w:pPr>
      <w:r>
        <w:rPr>
          <w:color w:val="auto"/>
        </w:rPr>
        <w:t>运行期环境管理</w:t>
      </w:r>
    </w:p>
    <w:p>
      <w:pPr>
        <w:pStyle w:val="63"/>
        <w:ind w:firstLine="480"/>
        <w:rPr>
          <w:color w:val="auto"/>
        </w:rPr>
      </w:pPr>
      <w:r>
        <w:rPr>
          <w:color w:val="auto"/>
        </w:rPr>
        <w:t>（1）检查环保设施是否按“三同时”进行。</w:t>
      </w:r>
    </w:p>
    <w:p>
      <w:pPr>
        <w:pStyle w:val="63"/>
        <w:ind w:firstLine="480"/>
        <w:rPr>
          <w:color w:val="auto"/>
        </w:rPr>
      </w:pPr>
      <w:r>
        <w:rPr>
          <w:color w:val="auto"/>
        </w:rPr>
        <w:t>（2）加强环保设施的管理，定期检查环保设施的运行情况，排出故障，保证环保设施正常运转。</w:t>
      </w:r>
    </w:p>
    <w:p>
      <w:pPr>
        <w:pStyle w:val="63"/>
        <w:ind w:firstLine="480"/>
        <w:rPr>
          <w:color w:val="auto"/>
        </w:rPr>
      </w:pPr>
      <w:r>
        <w:rPr>
          <w:color w:val="auto"/>
        </w:rPr>
        <w:t>（3）配合当地环境监测机构实施环境监测计划。</w:t>
      </w:r>
    </w:p>
    <w:p>
      <w:pPr>
        <w:pStyle w:val="63"/>
        <w:ind w:firstLine="480"/>
        <w:rPr>
          <w:color w:val="auto"/>
        </w:rPr>
      </w:pPr>
      <w:r>
        <w:rPr>
          <w:color w:val="auto"/>
        </w:rPr>
        <w:t>（4）实施生态保护和生态恢复计划。</w:t>
      </w:r>
    </w:p>
    <w:p>
      <w:pPr>
        <w:pStyle w:val="61"/>
        <w:rPr>
          <w:i/>
          <w:color w:val="auto"/>
        </w:rPr>
      </w:pPr>
      <w:bookmarkStart w:id="119" w:name="_Toc436902202"/>
      <w:r>
        <w:rPr>
          <w:rFonts w:hint="eastAsia"/>
          <w:color w:val="auto"/>
        </w:rPr>
        <w:t>12.2环境监测计划</w:t>
      </w:r>
      <w:bookmarkEnd w:id="119"/>
    </w:p>
    <w:p>
      <w:pPr>
        <w:pStyle w:val="63"/>
        <w:ind w:firstLine="480"/>
        <w:rPr>
          <w:color w:val="auto"/>
        </w:rPr>
      </w:pPr>
      <w:r>
        <w:rPr>
          <w:color w:val="auto"/>
        </w:rPr>
        <w:t>为了掌握项目污染排放状况和实际环境影响程度，必须对营运期区域污染源和环境质量状况进行监测，其目的是提供可靠的监测数据，便于了解污染源实际排放状况、环保设施运行状况，同时掌握项目环境质量变化情况，并对于项目营运期出现的环境污染问题及时采取补救措施。环境监控计划也是建立企业环境保护规定、制度、操作规程，以及防治污染，完善环境保护目标的重要组成部分。</w:t>
      </w:r>
    </w:p>
    <w:p>
      <w:pPr>
        <w:pStyle w:val="62"/>
        <w:rPr>
          <w:color w:val="auto"/>
        </w:rPr>
      </w:pPr>
      <w:r>
        <w:rPr>
          <w:rFonts w:hint="eastAsia"/>
          <w:color w:val="auto"/>
        </w:rPr>
        <w:t>12.2.1监测机构与人员</w:t>
      </w:r>
    </w:p>
    <w:p>
      <w:pPr>
        <w:pStyle w:val="63"/>
        <w:ind w:firstLine="480"/>
        <w:rPr>
          <w:color w:val="auto"/>
        </w:rPr>
      </w:pPr>
      <w:r>
        <w:rPr>
          <w:color w:val="auto"/>
        </w:rPr>
        <w:t>工程建成后，设置环境监测机构，配备专职的环境监测人员，负责定期进行本厂的污染源及环境质量进行监测。要求监测人员应具备一定的环境监测基础知识，具有较强的仪器操作能力。监测人员还应经常参加培训学习，了解最新的环保科技动态，学习掌握的监测方法，并了解国家和地方环保部门的有关环保法规、政策、标准等，使环境监测工作规范化、标准化。</w:t>
      </w:r>
    </w:p>
    <w:p>
      <w:pPr>
        <w:pStyle w:val="63"/>
        <w:ind w:firstLine="480"/>
        <w:rPr>
          <w:color w:val="auto"/>
        </w:rPr>
      </w:pPr>
      <w:r>
        <w:rPr>
          <w:color w:val="auto"/>
        </w:rPr>
        <w:t>建设项目排放的各类污染物、环境噪声、除尘器效率的测试方法；样品的采集、保存、处理的技术规范；监测数据的处理，监测结果的表示及监测仪器仪表的精度要求等，均执行国家标准、部颁标准和有关规定。对于无法独立完成的监测项目可委托当地有资质的环境监测部门进行监测。</w:t>
      </w:r>
    </w:p>
    <w:p>
      <w:pPr>
        <w:pStyle w:val="62"/>
        <w:rPr>
          <w:color w:val="auto"/>
        </w:rPr>
      </w:pPr>
      <w:r>
        <w:rPr>
          <w:rFonts w:hint="eastAsia"/>
          <w:color w:val="auto"/>
        </w:rPr>
        <w:t>12.2.2监测内容</w:t>
      </w:r>
    </w:p>
    <w:p>
      <w:pPr>
        <w:pStyle w:val="63"/>
        <w:ind w:firstLine="480"/>
        <w:rPr>
          <w:color w:val="auto"/>
        </w:rPr>
      </w:pPr>
      <w:r>
        <w:rPr>
          <w:color w:val="auto"/>
        </w:rPr>
        <w:t>环境监测内容主要包括施工期和运营期的环境监测。</w:t>
      </w:r>
    </w:p>
    <w:p>
      <w:pPr>
        <w:pStyle w:val="63"/>
        <w:ind w:firstLine="480"/>
        <w:rPr>
          <w:color w:val="auto"/>
        </w:rPr>
      </w:pPr>
      <w:r>
        <w:rPr>
          <w:color w:val="auto"/>
        </w:rPr>
        <w:t>（1）施工期环境监测</w:t>
      </w:r>
    </w:p>
    <w:p>
      <w:pPr>
        <w:pStyle w:val="63"/>
        <w:ind w:firstLine="480"/>
        <w:rPr>
          <w:color w:val="auto"/>
        </w:rPr>
      </w:pPr>
      <w:r>
        <w:rPr>
          <w:color w:val="auto"/>
        </w:rPr>
        <w:t>施工期间环境监测的对象有施工机械设备燃油产生的废气，施工建筑材料（水泥、石灰、砂石料）的装卸、运输、堆砌过程以及开挖、弃土、运输过程中产生的扬尘，施工人员的生活污水、生活垃圾和施工期噪声等。</w:t>
      </w:r>
    </w:p>
    <w:p>
      <w:pPr>
        <w:pStyle w:val="63"/>
        <w:ind w:firstLine="480"/>
        <w:rPr>
          <w:color w:val="auto"/>
        </w:rPr>
      </w:pPr>
      <w:r>
        <w:rPr>
          <w:color w:val="auto"/>
        </w:rPr>
        <w:t>（2）运营期环境监测</w:t>
      </w:r>
    </w:p>
    <w:p>
      <w:pPr>
        <w:pStyle w:val="63"/>
        <w:ind w:firstLine="480"/>
        <w:rPr>
          <w:color w:val="auto"/>
        </w:rPr>
      </w:pPr>
      <w:r>
        <w:rPr>
          <w:color w:val="auto"/>
        </w:rPr>
        <w:t>运营期的环境监测分为常规监测和事故监测两部分。</w:t>
      </w:r>
    </w:p>
    <w:p>
      <w:pPr>
        <w:pStyle w:val="63"/>
        <w:ind w:firstLine="480"/>
        <w:rPr>
          <w:color w:val="auto"/>
        </w:rPr>
      </w:pPr>
      <w:r>
        <w:rPr>
          <w:rFonts w:hint="eastAsia" w:ascii="宋体" w:hAnsi="宋体"/>
          <w:color w:val="auto"/>
        </w:rPr>
        <w:t>①</w:t>
      </w:r>
      <w:r>
        <w:rPr>
          <w:rFonts w:cs="Times New Roman"/>
          <w:color w:val="auto"/>
        </w:rPr>
        <w:t xml:space="preserve"> </w:t>
      </w:r>
      <w:r>
        <w:rPr>
          <w:color w:val="auto"/>
        </w:rPr>
        <w:t>常规监测</w:t>
      </w:r>
    </w:p>
    <w:p>
      <w:pPr>
        <w:pStyle w:val="63"/>
        <w:ind w:firstLine="480"/>
        <w:rPr>
          <w:color w:val="auto"/>
        </w:rPr>
      </w:pPr>
      <w:r>
        <w:rPr>
          <w:color w:val="auto"/>
        </w:rPr>
        <w:t>常规环境监测主要针对项目污染排放监测。具体监测内容见表12.2-1。</w:t>
      </w:r>
    </w:p>
    <w:p>
      <w:pPr>
        <w:pStyle w:val="65"/>
      </w:pPr>
      <w:r>
        <w:t>表12.2-1    污染源监测计划表</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736"/>
        <w:gridCol w:w="1216"/>
        <w:gridCol w:w="1553"/>
        <w:gridCol w:w="1691"/>
        <w:gridCol w:w="1538"/>
        <w:gridCol w:w="250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056" w:type="pct"/>
            <w:gridSpan w:val="2"/>
            <w:vAlign w:val="center"/>
          </w:tcPr>
          <w:p>
            <w:pPr>
              <w:spacing w:line="276" w:lineRule="auto"/>
              <w:jc w:val="center"/>
              <w:rPr>
                <w:b/>
                <w:szCs w:val="21"/>
              </w:rPr>
            </w:pPr>
            <w:r>
              <w:rPr>
                <w:b/>
                <w:szCs w:val="21"/>
              </w:rPr>
              <w:t>类别</w:t>
            </w:r>
          </w:p>
        </w:tc>
        <w:tc>
          <w:tcPr>
            <w:tcW w:w="840" w:type="pct"/>
            <w:vAlign w:val="center"/>
          </w:tcPr>
          <w:p>
            <w:pPr>
              <w:spacing w:line="276" w:lineRule="auto"/>
              <w:jc w:val="center"/>
              <w:rPr>
                <w:b/>
                <w:szCs w:val="21"/>
              </w:rPr>
            </w:pPr>
            <w:r>
              <w:rPr>
                <w:b/>
                <w:szCs w:val="21"/>
              </w:rPr>
              <w:t>监测项目</w:t>
            </w:r>
          </w:p>
        </w:tc>
        <w:tc>
          <w:tcPr>
            <w:tcW w:w="915" w:type="pct"/>
            <w:vAlign w:val="center"/>
          </w:tcPr>
          <w:p>
            <w:pPr>
              <w:spacing w:line="276" w:lineRule="auto"/>
              <w:jc w:val="center"/>
              <w:rPr>
                <w:b/>
                <w:szCs w:val="21"/>
              </w:rPr>
            </w:pPr>
            <w:r>
              <w:rPr>
                <w:b/>
                <w:szCs w:val="21"/>
              </w:rPr>
              <w:t>监测点位置</w:t>
            </w:r>
          </w:p>
        </w:tc>
        <w:tc>
          <w:tcPr>
            <w:tcW w:w="832" w:type="pct"/>
            <w:vAlign w:val="center"/>
          </w:tcPr>
          <w:p>
            <w:pPr>
              <w:spacing w:line="276" w:lineRule="auto"/>
              <w:jc w:val="center"/>
              <w:rPr>
                <w:b/>
                <w:szCs w:val="21"/>
              </w:rPr>
            </w:pPr>
            <w:r>
              <w:rPr>
                <w:b/>
                <w:szCs w:val="21"/>
              </w:rPr>
              <w:t>监测频率</w:t>
            </w:r>
          </w:p>
        </w:tc>
        <w:tc>
          <w:tcPr>
            <w:tcW w:w="1358" w:type="pct"/>
            <w:vAlign w:val="center"/>
          </w:tcPr>
          <w:p>
            <w:pPr>
              <w:spacing w:line="276" w:lineRule="auto"/>
              <w:jc w:val="center"/>
              <w:rPr>
                <w:b/>
                <w:szCs w:val="21"/>
              </w:rPr>
            </w:pPr>
            <w:r>
              <w:rPr>
                <w:b/>
                <w:szCs w:val="21"/>
              </w:rPr>
              <w:t>控制指标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8" w:type="pct"/>
            <w:vAlign w:val="center"/>
          </w:tcPr>
          <w:p>
            <w:pPr>
              <w:spacing w:line="276" w:lineRule="auto"/>
              <w:jc w:val="center"/>
              <w:rPr>
                <w:szCs w:val="21"/>
              </w:rPr>
            </w:pPr>
            <w:r>
              <w:rPr>
                <w:szCs w:val="21"/>
              </w:rPr>
              <w:t>噪声</w:t>
            </w:r>
          </w:p>
        </w:tc>
        <w:tc>
          <w:tcPr>
            <w:tcW w:w="658"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场界/厂界</w:t>
            </w:r>
          </w:p>
          <w:p>
            <w:pPr>
              <w:spacing w:line="276" w:lineRule="auto"/>
              <w:jc w:val="center"/>
              <w:rPr>
                <w:szCs w:val="21"/>
              </w:rPr>
            </w:pPr>
            <w:r>
              <w:rPr>
                <w:szCs w:val="21"/>
              </w:rPr>
              <w:t>噪声</w:t>
            </w:r>
          </w:p>
        </w:tc>
        <w:tc>
          <w:tcPr>
            <w:tcW w:w="840"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L</w:t>
            </w:r>
            <w:r>
              <w:rPr>
                <w:rFonts w:ascii="Times New Roman" w:hAnsi="Times New Roman" w:cs="Times New Roman"/>
                <w:color w:val="auto"/>
                <w:sz w:val="21"/>
                <w:szCs w:val="21"/>
                <w:vertAlign w:val="subscript"/>
              </w:rPr>
              <w:t>Aeq</w:t>
            </w:r>
          </w:p>
        </w:tc>
        <w:tc>
          <w:tcPr>
            <w:tcW w:w="915"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泵房场界及</w:t>
            </w:r>
            <w:r>
              <w:rPr>
                <w:rFonts w:hint="eastAsia" w:ascii="Times New Roman" w:hAnsi="Times New Roman" w:cs="Times New Roman"/>
                <w:color w:val="auto"/>
                <w:sz w:val="21"/>
                <w:szCs w:val="21"/>
                <w:lang w:eastAsia="zh-CN"/>
              </w:rPr>
              <w:t>水源管理站</w:t>
            </w:r>
            <w:r>
              <w:rPr>
                <w:rFonts w:ascii="Times New Roman" w:hAnsi="Times New Roman" w:cs="Times New Roman"/>
                <w:color w:val="auto"/>
                <w:sz w:val="21"/>
                <w:szCs w:val="21"/>
                <w:lang w:eastAsia="zh-CN"/>
              </w:rPr>
              <w:t>厂界四周</w:t>
            </w:r>
          </w:p>
        </w:tc>
        <w:tc>
          <w:tcPr>
            <w:tcW w:w="832"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每半年1次</w:t>
            </w:r>
          </w:p>
          <w:p>
            <w:pPr>
              <w:spacing w:line="276" w:lineRule="auto"/>
              <w:jc w:val="center"/>
              <w:rPr>
                <w:szCs w:val="21"/>
              </w:rPr>
            </w:pPr>
            <w:r>
              <w:rPr>
                <w:szCs w:val="21"/>
              </w:rPr>
              <w:t>昼夜各1次</w:t>
            </w:r>
          </w:p>
        </w:tc>
        <w:tc>
          <w:tcPr>
            <w:tcW w:w="1358"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《工业企业厂界环境噪声排放标准》中的2类/4a标准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8" w:type="pct"/>
            <w:vAlign w:val="center"/>
          </w:tcPr>
          <w:p>
            <w:pPr>
              <w:spacing w:line="276" w:lineRule="auto"/>
              <w:jc w:val="center"/>
              <w:rPr>
                <w:szCs w:val="21"/>
              </w:rPr>
            </w:pPr>
            <w:r>
              <w:rPr>
                <w:rFonts w:hint="eastAsia"/>
                <w:szCs w:val="21"/>
              </w:rPr>
              <w:t>废水</w:t>
            </w:r>
          </w:p>
        </w:tc>
        <w:tc>
          <w:tcPr>
            <w:tcW w:w="658" w:type="pct"/>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生活污水</w:t>
            </w:r>
          </w:p>
        </w:tc>
        <w:tc>
          <w:tcPr>
            <w:tcW w:w="840"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COD、BOD</w:t>
            </w:r>
            <w:r>
              <w:rPr>
                <w:rFonts w:ascii="Times New Roman" w:hAnsi="Times New Roman" w:cs="Times New Roman"/>
                <w:color w:val="auto"/>
                <w:sz w:val="21"/>
                <w:szCs w:val="21"/>
                <w:vertAlign w:val="subscript"/>
                <w:lang w:eastAsia="zh-CN"/>
              </w:rPr>
              <w:t>5</w:t>
            </w:r>
            <w:r>
              <w:rPr>
                <w:rFonts w:ascii="Times New Roman" w:hAnsi="Times New Roman" w:cs="Times New Roman"/>
                <w:color w:val="auto"/>
                <w:sz w:val="21"/>
                <w:szCs w:val="21"/>
                <w:lang w:eastAsia="zh-CN"/>
              </w:rPr>
              <w:t>、氨氮、阴离子表面活性剂等</w:t>
            </w:r>
          </w:p>
        </w:tc>
        <w:tc>
          <w:tcPr>
            <w:tcW w:w="915" w:type="pct"/>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地埋式污水处理设施出口</w:t>
            </w:r>
          </w:p>
        </w:tc>
        <w:tc>
          <w:tcPr>
            <w:tcW w:w="832" w:type="pct"/>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每月一次，连续一天，每天一次</w:t>
            </w:r>
          </w:p>
        </w:tc>
        <w:tc>
          <w:tcPr>
            <w:tcW w:w="1358" w:type="pct"/>
            <w:vAlign w:val="center"/>
          </w:tcPr>
          <w:p>
            <w:pPr>
              <w:pStyle w:val="58"/>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GB/T18920-2002《城市杂用水水质标准》</w:t>
            </w:r>
          </w:p>
        </w:tc>
      </w:tr>
    </w:tbl>
    <w:p>
      <w:pPr>
        <w:pStyle w:val="63"/>
        <w:ind w:firstLine="480"/>
        <w:rPr>
          <w:color w:val="auto"/>
        </w:rPr>
      </w:pPr>
      <w:r>
        <w:rPr>
          <w:rFonts w:hAnsi="宋体"/>
          <w:color w:val="auto"/>
        </w:rPr>
        <w:t>②</w:t>
      </w:r>
      <w:r>
        <w:rPr>
          <w:color w:val="auto"/>
        </w:rPr>
        <w:t>事故监测</w:t>
      </w:r>
    </w:p>
    <w:p>
      <w:pPr>
        <w:pStyle w:val="63"/>
        <w:ind w:firstLine="480"/>
        <w:rPr>
          <w:color w:val="auto"/>
        </w:rPr>
      </w:pPr>
      <w:r>
        <w:rPr>
          <w:color w:val="auto"/>
        </w:rPr>
        <w:t>除了进行常规监测外，对企业环保处理设施运行情况要严格监视，及时监测，当发现环保处理设施发生故障或运行不正常时，应及时向上级报告，并必须即时进行取样监测，分析污染物排放量，对事故发生的原因、事故造成的后果和损失等进行调查统计，并建档上报。必要时应提出暂时停产措施，直至环保设施恢复正常运转，坚决杜绝事故性排放。</w:t>
      </w:r>
    </w:p>
    <w:p>
      <w:pPr>
        <w:pStyle w:val="62"/>
        <w:rPr>
          <w:color w:val="auto"/>
        </w:rPr>
      </w:pPr>
      <w:r>
        <w:rPr>
          <w:rFonts w:hint="eastAsia"/>
          <w:color w:val="auto"/>
        </w:rPr>
        <w:t>12.2.3监测成果的管理</w:t>
      </w:r>
    </w:p>
    <w:p>
      <w:pPr>
        <w:pStyle w:val="63"/>
        <w:ind w:firstLine="480"/>
        <w:rPr>
          <w:color w:val="auto"/>
        </w:rPr>
      </w:pPr>
      <w:r>
        <w:rPr>
          <w:color w:val="auto"/>
        </w:rPr>
        <w:t>监测数据应由本公司和当地环境监测站分别建立数据库统一存档，作为编制环境质量报告书和监测年鉴的原始材料。监测数据应长期保存，并定期接受当地环保部门的考核。</w:t>
      </w:r>
    </w:p>
    <w:p>
      <w:pPr>
        <w:pStyle w:val="61"/>
        <w:rPr>
          <w:i/>
          <w:color w:val="auto"/>
        </w:rPr>
      </w:pPr>
      <w:bookmarkStart w:id="120" w:name="_Toc436902203"/>
      <w:r>
        <w:rPr>
          <w:rFonts w:hint="eastAsia"/>
          <w:color w:val="auto"/>
        </w:rPr>
        <w:t>12.3施工期环境监理</w:t>
      </w:r>
      <w:bookmarkEnd w:id="120"/>
    </w:p>
    <w:p>
      <w:pPr>
        <w:pStyle w:val="63"/>
        <w:ind w:firstLine="480"/>
        <w:rPr>
          <w:color w:val="auto"/>
        </w:rPr>
      </w:pPr>
      <w:r>
        <w:rPr>
          <w:color w:val="auto"/>
        </w:rPr>
        <w:t>从工程影响分析结果看，本建设项目施工扬尘、施工噪声、施工废水以及固体废物等均对外环境有一定影响。为减少建设工程施工期给周围环境产生的影响，建设单位必须加强对施工单位的监督管理。</w:t>
      </w:r>
    </w:p>
    <w:p>
      <w:pPr>
        <w:pStyle w:val="63"/>
        <w:ind w:firstLine="480"/>
        <w:rPr>
          <w:color w:val="auto"/>
        </w:rPr>
      </w:pPr>
      <w:r>
        <w:rPr>
          <w:color w:val="auto"/>
        </w:rPr>
        <w:t>为此，按照环境管理规章制度，建议聘请具有环境监理资格的人员对工程施工期进行环境监理。</w:t>
      </w:r>
    </w:p>
    <w:p>
      <w:pPr>
        <w:spacing w:line="360" w:lineRule="auto"/>
        <w:jc w:val="center"/>
        <w:rPr>
          <w:b/>
          <w:szCs w:val="21"/>
        </w:rPr>
      </w:pPr>
      <w:r>
        <w:rPr>
          <w:b/>
          <w:szCs w:val="21"/>
        </w:rPr>
        <w:t>表12.3-1    建设期环保措施及预期效果一览表</w:t>
      </w:r>
    </w:p>
    <w:tbl>
      <w:tblPr>
        <w:tblStyle w:val="24"/>
        <w:tblW w:w="5000" w:type="pct"/>
        <w:jc w:val="right"/>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723"/>
        <w:gridCol w:w="1848"/>
        <w:gridCol w:w="1290"/>
        <w:gridCol w:w="1046"/>
        <w:gridCol w:w="1298"/>
        <w:gridCol w:w="1420"/>
        <w:gridCol w:w="16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Align w:val="center"/>
          </w:tcPr>
          <w:p>
            <w:pPr>
              <w:jc w:val="center"/>
              <w:rPr>
                <w:szCs w:val="21"/>
              </w:rPr>
            </w:pPr>
            <w:r>
              <w:rPr>
                <w:szCs w:val="21"/>
              </w:rPr>
              <w:t>项目</w:t>
            </w:r>
          </w:p>
        </w:tc>
        <w:tc>
          <w:tcPr>
            <w:tcW w:w="1000" w:type="pct"/>
            <w:vAlign w:val="center"/>
          </w:tcPr>
          <w:p>
            <w:pPr>
              <w:jc w:val="center"/>
              <w:rPr>
                <w:szCs w:val="21"/>
              </w:rPr>
            </w:pPr>
            <w:r>
              <w:rPr>
                <w:szCs w:val="21"/>
              </w:rPr>
              <w:t>环保措施或措施要求</w:t>
            </w:r>
          </w:p>
        </w:tc>
        <w:tc>
          <w:tcPr>
            <w:tcW w:w="698" w:type="pct"/>
            <w:vAlign w:val="center"/>
          </w:tcPr>
          <w:p>
            <w:pPr>
              <w:jc w:val="center"/>
              <w:rPr>
                <w:szCs w:val="21"/>
              </w:rPr>
            </w:pPr>
            <w:r>
              <w:rPr>
                <w:szCs w:val="21"/>
              </w:rPr>
              <w:t>实施项目</w:t>
            </w:r>
          </w:p>
        </w:tc>
        <w:tc>
          <w:tcPr>
            <w:tcW w:w="566" w:type="pct"/>
            <w:vAlign w:val="center"/>
          </w:tcPr>
          <w:p>
            <w:pPr>
              <w:jc w:val="center"/>
              <w:rPr>
                <w:szCs w:val="21"/>
              </w:rPr>
            </w:pPr>
            <w:r>
              <w:rPr>
                <w:szCs w:val="21"/>
              </w:rPr>
              <w:t>实施</w:t>
            </w:r>
          </w:p>
          <w:p>
            <w:pPr>
              <w:jc w:val="center"/>
              <w:rPr>
                <w:szCs w:val="21"/>
              </w:rPr>
            </w:pPr>
            <w:r>
              <w:rPr>
                <w:szCs w:val="21"/>
              </w:rPr>
              <w:t>时间</w:t>
            </w:r>
          </w:p>
        </w:tc>
        <w:tc>
          <w:tcPr>
            <w:tcW w:w="702" w:type="pct"/>
            <w:vAlign w:val="center"/>
          </w:tcPr>
          <w:p>
            <w:pPr>
              <w:jc w:val="center"/>
              <w:rPr>
                <w:szCs w:val="21"/>
              </w:rPr>
            </w:pPr>
            <w:r>
              <w:rPr>
                <w:szCs w:val="21"/>
              </w:rPr>
              <w:t>保护对象</w:t>
            </w:r>
          </w:p>
        </w:tc>
        <w:tc>
          <w:tcPr>
            <w:tcW w:w="768" w:type="pct"/>
            <w:vAlign w:val="center"/>
          </w:tcPr>
          <w:p>
            <w:pPr>
              <w:jc w:val="center"/>
              <w:rPr>
                <w:szCs w:val="21"/>
              </w:rPr>
            </w:pPr>
            <w:r>
              <w:rPr>
                <w:szCs w:val="21"/>
              </w:rPr>
              <w:t>保证措施</w:t>
            </w:r>
          </w:p>
        </w:tc>
        <w:tc>
          <w:tcPr>
            <w:tcW w:w="875" w:type="pct"/>
            <w:vAlign w:val="center"/>
          </w:tcPr>
          <w:p>
            <w:pPr>
              <w:jc w:val="center"/>
              <w:rPr>
                <w:szCs w:val="21"/>
              </w:rPr>
            </w:pPr>
            <w:r>
              <w:rPr>
                <w:szCs w:val="21"/>
              </w:rPr>
              <w:t>预期效果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Merge w:val="restar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环境空气防治</w:t>
            </w:r>
          </w:p>
          <w:p>
            <w:pPr>
              <w:jc w:val="center"/>
              <w:rPr>
                <w:szCs w:val="21"/>
              </w:rPr>
            </w:pPr>
            <w:r>
              <w:rPr>
                <w:szCs w:val="21"/>
              </w:rPr>
              <w:t>措施</w:t>
            </w:r>
          </w:p>
        </w:tc>
        <w:tc>
          <w:tcPr>
            <w:tcW w:w="1000"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采取遮盖、围挡措施，清洗车辆泥土</w:t>
            </w:r>
          </w:p>
        </w:tc>
        <w:tc>
          <w:tcPr>
            <w:tcW w:w="698"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运输车辆、材料堆场周围</w:t>
            </w:r>
          </w:p>
        </w:tc>
        <w:tc>
          <w:tcPr>
            <w:tcW w:w="566" w:type="pct"/>
            <w:vMerge w:val="restart"/>
            <w:vAlign w:val="center"/>
          </w:tcPr>
          <w:p>
            <w:pPr>
              <w:jc w:val="center"/>
              <w:rPr>
                <w:szCs w:val="21"/>
              </w:rPr>
            </w:pPr>
            <w:r>
              <w:rPr>
                <w:szCs w:val="21"/>
              </w:rPr>
              <w:t>全部</w:t>
            </w:r>
          </w:p>
          <w:p>
            <w:pPr>
              <w:jc w:val="center"/>
              <w:rPr>
                <w:szCs w:val="21"/>
              </w:rPr>
            </w:pPr>
            <w:r>
              <w:rPr>
                <w:szCs w:val="21"/>
              </w:rPr>
              <w:t>建设期</w:t>
            </w:r>
          </w:p>
        </w:tc>
        <w:tc>
          <w:tcPr>
            <w:tcW w:w="702" w:type="pct"/>
            <w:vMerge w:val="restar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施工场地周围空气环境、施工人员及周围植被</w:t>
            </w:r>
          </w:p>
        </w:tc>
        <w:tc>
          <w:tcPr>
            <w:tcW w:w="768" w:type="pct"/>
            <w:vMerge w:val="restar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建立环境管理机构，配备专职或兼职环保管理人员</w:t>
            </w:r>
          </w:p>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制定相关方环境管理条例、质量管理规定</w:t>
            </w:r>
          </w:p>
          <w:p>
            <w:pPr>
              <w:pStyle w:val="58"/>
              <w:jc w:val="center"/>
              <w:rPr>
                <w:color w:val="auto"/>
                <w:sz w:val="21"/>
                <w:szCs w:val="21"/>
                <w:lang w:eastAsia="zh-CN"/>
              </w:rPr>
            </w:pPr>
            <w:r>
              <w:rPr>
                <w:rFonts w:hAnsi="宋体"/>
                <w:color w:val="auto"/>
                <w:sz w:val="21"/>
                <w:szCs w:val="21"/>
                <w:lang w:eastAsia="zh-CN"/>
              </w:rPr>
              <w:t>③</w:t>
            </w:r>
            <w:r>
              <w:rPr>
                <w:color w:val="auto"/>
                <w:sz w:val="21"/>
                <w:szCs w:val="21"/>
                <w:lang w:eastAsia="zh-CN"/>
              </w:rPr>
              <w:t>强环境监理人员经常性检查、监督，并定期向有关部门作书面汇报，发</w:t>
            </w:r>
            <w:r>
              <w:rPr>
                <w:rFonts w:ascii="Times New Roman" w:hAnsi="Times New Roman" w:cs="Times New Roman"/>
                <w:color w:val="auto"/>
                <w:sz w:val="21"/>
                <w:szCs w:val="21"/>
                <w:lang w:eastAsia="zh-CN"/>
              </w:rPr>
              <w:t>现问题及时解决、纠正</w:t>
            </w:r>
          </w:p>
        </w:tc>
        <w:tc>
          <w:tcPr>
            <w:tcW w:w="875" w:type="pct"/>
            <w:vMerge w:val="restart"/>
            <w:vAlign w:val="center"/>
          </w:tcPr>
          <w:p>
            <w:pPr>
              <w:pStyle w:val="58"/>
              <w:jc w:val="center"/>
              <w:rPr>
                <w:color w:val="auto"/>
                <w:sz w:val="21"/>
                <w:szCs w:val="21"/>
                <w:lang w:eastAsia="zh-CN"/>
              </w:rPr>
            </w:pPr>
            <w:r>
              <w:rPr>
                <w:rFonts w:ascii="Times New Roman" w:hAnsi="Times New Roman" w:cs="Times New Roman"/>
                <w:color w:val="auto"/>
                <w:sz w:val="21"/>
                <w:szCs w:val="21"/>
                <w:lang w:eastAsia="zh-CN"/>
              </w:rPr>
              <w:t>周围环境空气质量达到GB3095-2012《环境空气质量标准》</w:t>
            </w:r>
            <w:r>
              <w:rPr>
                <w:color w:val="auto"/>
                <w:sz w:val="21"/>
                <w:szCs w:val="21"/>
                <w:lang w:eastAsia="zh-CN"/>
              </w:rPr>
              <w:t>二级标准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Merge w:val="continue"/>
            <w:vAlign w:val="center"/>
          </w:tcPr>
          <w:p>
            <w:pPr>
              <w:jc w:val="center"/>
              <w:rPr>
                <w:szCs w:val="21"/>
              </w:rPr>
            </w:pPr>
          </w:p>
        </w:tc>
        <w:tc>
          <w:tcPr>
            <w:tcW w:w="1000"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洒水、周围设围栏，临时硬化和场地绿化</w:t>
            </w:r>
          </w:p>
        </w:tc>
        <w:tc>
          <w:tcPr>
            <w:tcW w:w="698"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施工场地及施工道路</w:t>
            </w:r>
          </w:p>
        </w:tc>
        <w:tc>
          <w:tcPr>
            <w:tcW w:w="566" w:type="pct"/>
            <w:vMerge w:val="continue"/>
            <w:vAlign w:val="center"/>
          </w:tcPr>
          <w:p>
            <w:pPr>
              <w:jc w:val="center"/>
              <w:rPr>
                <w:szCs w:val="21"/>
              </w:rPr>
            </w:pPr>
          </w:p>
        </w:tc>
        <w:tc>
          <w:tcPr>
            <w:tcW w:w="702" w:type="pct"/>
            <w:vMerge w:val="continue"/>
            <w:vAlign w:val="center"/>
          </w:tcPr>
          <w:p>
            <w:pPr>
              <w:jc w:val="center"/>
              <w:rPr>
                <w:szCs w:val="21"/>
              </w:rPr>
            </w:pPr>
          </w:p>
        </w:tc>
        <w:tc>
          <w:tcPr>
            <w:tcW w:w="768" w:type="pct"/>
            <w:vMerge w:val="continue"/>
            <w:vAlign w:val="center"/>
          </w:tcPr>
          <w:p>
            <w:pPr>
              <w:jc w:val="center"/>
              <w:rPr>
                <w:szCs w:val="21"/>
              </w:rPr>
            </w:pPr>
          </w:p>
        </w:tc>
        <w:tc>
          <w:tcPr>
            <w:tcW w:w="875" w:type="pct"/>
            <w:vMerge w:val="continue"/>
            <w:vAlign w:val="center"/>
          </w:tcPr>
          <w:p>
            <w:pPr>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Merge w:val="continue"/>
            <w:vAlign w:val="center"/>
          </w:tcPr>
          <w:p>
            <w:pPr>
              <w:jc w:val="center"/>
              <w:rPr>
                <w:szCs w:val="21"/>
              </w:rPr>
            </w:pPr>
          </w:p>
        </w:tc>
        <w:tc>
          <w:tcPr>
            <w:tcW w:w="1000"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设置专门的堆场，且四周有围挡结构</w:t>
            </w:r>
          </w:p>
        </w:tc>
        <w:tc>
          <w:tcPr>
            <w:tcW w:w="698"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废物料堆放处</w:t>
            </w:r>
          </w:p>
        </w:tc>
        <w:tc>
          <w:tcPr>
            <w:tcW w:w="566" w:type="pct"/>
            <w:vMerge w:val="continue"/>
            <w:vAlign w:val="center"/>
          </w:tcPr>
          <w:p>
            <w:pPr>
              <w:jc w:val="center"/>
              <w:rPr>
                <w:szCs w:val="21"/>
              </w:rPr>
            </w:pPr>
          </w:p>
        </w:tc>
        <w:tc>
          <w:tcPr>
            <w:tcW w:w="702" w:type="pct"/>
            <w:vMerge w:val="continue"/>
            <w:vAlign w:val="center"/>
          </w:tcPr>
          <w:p>
            <w:pPr>
              <w:jc w:val="center"/>
              <w:rPr>
                <w:szCs w:val="21"/>
              </w:rPr>
            </w:pPr>
          </w:p>
        </w:tc>
        <w:tc>
          <w:tcPr>
            <w:tcW w:w="768" w:type="pct"/>
            <w:vMerge w:val="continue"/>
            <w:vAlign w:val="center"/>
          </w:tcPr>
          <w:p>
            <w:pPr>
              <w:jc w:val="center"/>
              <w:rPr>
                <w:szCs w:val="21"/>
              </w:rPr>
            </w:pPr>
          </w:p>
        </w:tc>
        <w:tc>
          <w:tcPr>
            <w:tcW w:w="875" w:type="pct"/>
            <w:vMerge w:val="continue"/>
            <w:vAlign w:val="center"/>
          </w:tcPr>
          <w:p>
            <w:pPr>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Merge w:val="restart"/>
            <w:vAlign w:val="center"/>
          </w:tcPr>
          <w:p>
            <w:pPr>
              <w:jc w:val="center"/>
              <w:rPr>
                <w:szCs w:val="21"/>
              </w:rPr>
            </w:pPr>
            <w:r>
              <w:rPr>
                <w:szCs w:val="21"/>
              </w:rPr>
              <w:t>施工噪声防治</w:t>
            </w:r>
          </w:p>
        </w:tc>
        <w:tc>
          <w:tcPr>
            <w:tcW w:w="1000"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合理布置施工场地，选用低噪声设备</w:t>
            </w:r>
          </w:p>
          <w:p>
            <w:pPr>
              <w:jc w:val="center"/>
              <w:rPr>
                <w:szCs w:val="21"/>
              </w:rPr>
            </w:pPr>
            <w:r>
              <w:rPr>
                <w:rFonts w:hAnsi="宋体"/>
                <w:szCs w:val="21"/>
              </w:rPr>
              <w:t>②</w:t>
            </w:r>
            <w:r>
              <w:rPr>
                <w:szCs w:val="21"/>
              </w:rPr>
              <w:t>采取有效的减振、消声措施</w:t>
            </w:r>
          </w:p>
        </w:tc>
        <w:tc>
          <w:tcPr>
            <w:tcW w:w="698" w:type="pct"/>
            <w:vAlign w:val="center"/>
          </w:tcPr>
          <w:p>
            <w:pPr>
              <w:jc w:val="center"/>
              <w:rPr>
                <w:szCs w:val="21"/>
              </w:rPr>
            </w:pPr>
            <w:r>
              <w:rPr>
                <w:szCs w:val="21"/>
              </w:rPr>
              <w:t>强噪声设备</w:t>
            </w:r>
          </w:p>
        </w:tc>
        <w:tc>
          <w:tcPr>
            <w:tcW w:w="566" w:type="pct"/>
            <w:vAlign w:val="center"/>
          </w:tcPr>
          <w:p>
            <w:pPr>
              <w:jc w:val="center"/>
              <w:rPr>
                <w:szCs w:val="21"/>
              </w:rPr>
            </w:pPr>
            <w:r>
              <w:rPr>
                <w:szCs w:val="21"/>
              </w:rPr>
              <w:t>施工准备期</w:t>
            </w:r>
          </w:p>
        </w:tc>
        <w:tc>
          <w:tcPr>
            <w:tcW w:w="702" w:type="pct"/>
            <w:vMerge w:val="restar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施工人员及施工场地周围的环境</w:t>
            </w:r>
          </w:p>
        </w:tc>
        <w:tc>
          <w:tcPr>
            <w:tcW w:w="768" w:type="pct"/>
            <w:vMerge w:val="continue"/>
            <w:vAlign w:val="center"/>
          </w:tcPr>
          <w:p>
            <w:pPr>
              <w:jc w:val="center"/>
              <w:rPr>
                <w:szCs w:val="21"/>
              </w:rPr>
            </w:pPr>
          </w:p>
        </w:tc>
        <w:tc>
          <w:tcPr>
            <w:tcW w:w="875" w:type="pct"/>
            <w:vMerge w:val="restart"/>
            <w:vAlign w:val="center"/>
          </w:tcPr>
          <w:p>
            <w:pPr>
              <w:pStyle w:val="58"/>
              <w:jc w:val="center"/>
              <w:rPr>
                <w:color w:val="auto"/>
                <w:sz w:val="21"/>
                <w:szCs w:val="21"/>
                <w:lang w:eastAsia="zh-CN"/>
              </w:rPr>
            </w:pPr>
            <w:r>
              <w:rPr>
                <w:rFonts w:ascii="Times New Roman" w:hAnsi="Times New Roman" w:cs="Times New Roman"/>
                <w:color w:val="auto"/>
                <w:sz w:val="21"/>
                <w:szCs w:val="21"/>
                <w:lang w:eastAsia="zh-CN"/>
              </w:rPr>
              <w:t>施工场界噪声符合GB12523-2011《建筑施工场</w:t>
            </w:r>
            <w:r>
              <w:rPr>
                <w:color w:val="auto"/>
                <w:sz w:val="21"/>
                <w:szCs w:val="21"/>
                <w:lang w:eastAsia="zh-CN"/>
              </w:rPr>
              <w:t>界噪声限值》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Merge w:val="continue"/>
            <w:vAlign w:val="center"/>
          </w:tcPr>
          <w:p>
            <w:pPr>
              <w:jc w:val="center"/>
              <w:rPr>
                <w:szCs w:val="21"/>
              </w:rPr>
            </w:pPr>
          </w:p>
        </w:tc>
        <w:tc>
          <w:tcPr>
            <w:tcW w:w="1000"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调配工作频次，配备耳塞或耳罩等防护品</w:t>
            </w:r>
          </w:p>
        </w:tc>
        <w:tc>
          <w:tcPr>
            <w:tcW w:w="698"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强噪声设备操作人员</w:t>
            </w:r>
          </w:p>
        </w:tc>
        <w:tc>
          <w:tcPr>
            <w:tcW w:w="566" w:type="pct"/>
            <w:vMerge w:val="restart"/>
            <w:vAlign w:val="center"/>
          </w:tcPr>
          <w:p>
            <w:pPr>
              <w:jc w:val="center"/>
              <w:rPr>
                <w:szCs w:val="21"/>
              </w:rPr>
            </w:pPr>
            <w:r>
              <w:rPr>
                <w:szCs w:val="21"/>
              </w:rPr>
              <w:t>全部建设期</w:t>
            </w:r>
          </w:p>
        </w:tc>
        <w:tc>
          <w:tcPr>
            <w:tcW w:w="702" w:type="pct"/>
            <w:vMerge w:val="continue"/>
            <w:vAlign w:val="center"/>
          </w:tcPr>
          <w:p>
            <w:pPr>
              <w:jc w:val="center"/>
              <w:rPr>
                <w:szCs w:val="21"/>
              </w:rPr>
            </w:pPr>
          </w:p>
        </w:tc>
        <w:tc>
          <w:tcPr>
            <w:tcW w:w="768" w:type="pct"/>
            <w:vMerge w:val="continue"/>
            <w:vAlign w:val="center"/>
          </w:tcPr>
          <w:p>
            <w:pPr>
              <w:jc w:val="center"/>
              <w:rPr>
                <w:szCs w:val="21"/>
              </w:rPr>
            </w:pPr>
          </w:p>
        </w:tc>
        <w:tc>
          <w:tcPr>
            <w:tcW w:w="875" w:type="pct"/>
            <w:vMerge w:val="continue"/>
            <w:vAlign w:val="center"/>
          </w:tcPr>
          <w:p>
            <w:pPr>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Merge w:val="continue"/>
            <w:vAlign w:val="center"/>
          </w:tcPr>
          <w:p>
            <w:pPr>
              <w:jc w:val="center"/>
              <w:rPr>
                <w:szCs w:val="21"/>
              </w:rPr>
            </w:pPr>
          </w:p>
        </w:tc>
        <w:tc>
          <w:tcPr>
            <w:tcW w:w="1000"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严格控制施工时段，避免高噪声设备夜间作业</w:t>
            </w:r>
          </w:p>
        </w:tc>
        <w:tc>
          <w:tcPr>
            <w:tcW w:w="698" w:type="pct"/>
            <w:vAlign w:val="center"/>
          </w:tcPr>
          <w:p>
            <w:pPr>
              <w:jc w:val="center"/>
              <w:rPr>
                <w:szCs w:val="21"/>
              </w:rPr>
            </w:pPr>
            <w:r>
              <w:rPr>
                <w:szCs w:val="21"/>
              </w:rPr>
              <w:t>施工场地</w:t>
            </w:r>
          </w:p>
        </w:tc>
        <w:tc>
          <w:tcPr>
            <w:tcW w:w="566" w:type="pct"/>
            <w:vMerge w:val="continue"/>
            <w:vAlign w:val="center"/>
          </w:tcPr>
          <w:p>
            <w:pPr>
              <w:jc w:val="center"/>
              <w:rPr>
                <w:szCs w:val="21"/>
              </w:rPr>
            </w:pPr>
          </w:p>
        </w:tc>
        <w:tc>
          <w:tcPr>
            <w:tcW w:w="702" w:type="pct"/>
            <w:vMerge w:val="continue"/>
            <w:vAlign w:val="center"/>
          </w:tcPr>
          <w:p>
            <w:pPr>
              <w:jc w:val="center"/>
              <w:rPr>
                <w:szCs w:val="21"/>
              </w:rPr>
            </w:pPr>
          </w:p>
        </w:tc>
        <w:tc>
          <w:tcPr>
            <w:tcW w:w="768" w:type="pct"/>
            <w:vMerge w:val="continue"/>
            <w:vAlign w:val="center"/>
          </w:tcPr>
          <w:p>
            <w:pPr>
              <w:jc w:val="center"/>
              <w:rPr>
                <w:szCs w:val="21"/>
              </w:rPr>
            </w:pPr>
          </w:p>
        </w:tc>
        <w:tc>
          <w:tcPr>
            <w:tcW w:w="875" w:type="pct"/>
            <w:vMerge w:val="continue"/>
            <w:vAlign w:val="center"/>
          </w:tcPr>
          <w:p>
            <w:pPr>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Merge w:val="restart"/>
            <w:vAlign w:val="center"/>
          </w:tcPr>
          <w:p>
            <w:pPr>
              <w:jc w:val="center"/>
              <w:rPr>
                <w:szCs w:val="21"/>
              </w:rPr>
            </w:pPr>
            <w:r>
              <w:rPr>
                <w:szCs w:val="21"/>
              </w:rPr>
              <w:t>施工固体废物处置</w:t>
            </w:r>
          </w:p>
        </w:tc>
        <w:tc>
          <w:tcPr>
            <w:tcW w:w="1000"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设立生活垃圾箱，及时清运到指定的垃圾处置场</w:t>
            </w:r>
          </w:p>
        </w:tc>
        <w:tc>
          <w:tcPr>
            <w:tcW w:w="698" w:type="pct"/>
            <w:vAlign w:val="center"/>
          </w:tcPr>
          <w:p>
            <w:pPr>
              <w:jc w:val="center"/>
              <w:rPr>
                <w:szCs w:val="21"/>
              </w:rPr>
            </w:pPr>
            <w:r>
              <w:rPr>
                <w:szCs w:val="21"/>
              </w:rPr>
              <w:t>生活垃圾</w:t>
            </w:r>
          </w:p>
        </w:tc>
        <w:tc>
          <w:tcPr>
            <w:tcW w:w="566" w:type="pct"/>
            <w:vMerge w:val="restart"/>
            <w:vAlign w:val="center"/>
          </w:tcPr>
          <w:p>
            <w:pPr>
              <w:jc w:val="center"/>
              <w:rPr>
                <w:szCs w:val="21"/>
              </w:rPr>
            </w:pPr>
            <w:r>
              <w:rPr>
                <w:szCs w:val="21"/>
              </w:rPr>
              <w:t>全部建设期</w:t>
            </w:r>
          </w:p>
        </w:tc>
        <w:tc>
          <w:tcPr>
            <w:tcW w:w="702" w:type="pct"/>
            <w:vMerge w:val="restart"/>
            <w:vAlign w:val="center"/>
          </w:tcPr>
          <w:p>
            <w:pPr>
              <w:pStyle w:val="58"/>
              <w:jc w:val="center"/>
              <w:rPr>
                <w:color w:val="auto"/>
                <w:sz w:val="21"/>
                <w:szCs w:val="21"/>
                <w:lang w:eastAsia="zh-CN"/>
              </w:rPr>
            </w:pPr>
            <w:r>
              <w:rPr>
                <w:rFonts w:ascii="Times New Roman" w:hAnsi="Times New Roman" w:cs="Times New Roman"/>
                <w:color w:val="auto"/>
                <w:sz w:val="21"/>
                <w:szCs w:val="21"/>
                <w:lang w:eastAsia="zh-CN"/>
              </w:rPr>
              <w:t>施工场地周围空气环境、土壤及植被</w:t>
            </w:r>
          </w:p>
        </w:tc>
        <w:tc>
          <w:tcPr>
            <w:tcW w:w="768" w:type="pct"/>
            <w:vMerge w:val="continue"/>
            <w:vAlign w:val="center"/>
          </w:tcPr>
          <w:p>
            <w:pPr>
              <w:jc w:val="center"/>
              <w:rPr>
                <w:szCs w:val="21"/>
              </w:rPr>
            </w:pPr>
          </w:p>
        </w:tc>
        <w:tc>
          <w:tcPr>
            <w:tcW w:w="875" w:type="pct"/>
            <w:vMerge w:val="restart"/>
            <w:vAlign w:val="center"/>
          </w:tcPr>
          <w:p>
            <w:pPr>
              <w:jc w:val="center"/>
              <w:rPr>
                <w:szCs w:val="21"/>
              </w:rPr>
            </w:pPr>
            <w:r>
              <w:rPr>
                <w:szCs w:val="21"/>
              </w:rPr>
              <w:t>施工废物全部合理处置</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Merge w:val="continue"/>
            <w:vAlign w:val="center"/>
          </w:tcPr>
          <w:p>
            <w:pPr>
              <w:jc w:val="center"/>
              <w:rPr>
                <w:szCs w:val="21"/>
              </w:rPr>
            </w:pPr>
          </w:p>
        </w:tc>
        <w:tc>
          <w:tcPr>
            <w:tcW w:w="1000"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建筑垃圾分类处置、综合利用后，剩余部分运往指定的垃圾场</w:t>
            </w:r>
          </w:p>
        </w:tc>
        <w:tc>
          <w:tcPr>
            <w:tcW w:w="698" w:type="pct"/>
            <w:vAlign w:val="center"/>
          </w:tcPr>
          <w:p>
            <w:pPr>
              <w:jc w:val="center"/>
              <w:rPr>
                <w:szCs w:val="21"/>
              </w:rPr>
            </w:pPr>
            <w:r>
              <w:rPr>
                <w:szCs w:val="21"/>
              </w:rPr>
              <w:t>建筑垃圾</w:t>
            </w:r>
          </w:p>
        </w:tc>
        <w:tc>
          <w:tcPr>
            <w:tcW w:w="566" w:type="pct"/>
            <w:vMerge w:val="continue"/>
            <w:vAlign w:val="center"/>
          </w:tcPr>
          <w:p>
            <w:pPr>
              <w:jc w:val="center"/>
              <w:rPr>
                <w:szCs w:val="21"/>
              </w:rPr>
            </w:pPr>
          </w:p>
        </w:tc>
        <w:tc>
          <w:tcPr>
            <w:tcW w:w="702" w:type="pct"/>
            <w:vMerge w:val="continue"/>
            <w:vAlign w:val="center"/>
          </w:tcPr>
          <w:p>
            <w:pPr>
              <w:jc w:val="center"/>
              <w:rPr>
                <w:szCs w:val="21"/>
              </w:rPr>
            </w:pPr>
          </w:p>
        </w:tc>
        <w:tc>
          <w:tcPr>
            <w:tcW w:w="768" w:type="pct"/>
            <w:vMerge w:val="continue"/>
            <w:vAlign w:val="center"/>
          </w:tcPr>
          <w:p>
            <w:pPr>
              <w:jc w:val="center"/>
              <w:rPr>
                <w:szCs w:val="21"/>
              </w:rPr>
            </w:pPr>
          </w:p>
        </w:tc>
        <w:tc>
          <w:tcPr>
            <w:tcW w:w="875" w:type="pct"/>
            <w:vMerge w:val="continue"/>
            <w:vAlign w:val="center"/>
          </w:tcPr>
          <w:p>
            <w:pPr>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Merge w:val="restart"/>
            <w:vAlign w:val="center"/>
          </w:tcPr>
          <w:p>
            <w:pPr>
              <w:jc w:val="center"/>
              <w:rPr>
                <w:szCs w:val="21"/>
              </w:rPr>
            </w:pPr>
            <w:r>
              <w:rPr>
                <w:szCs w:val="21"/>
              </w:rPr>
              <w:t>施工废水防治</w:t>
            </w:r>
          </w:p>
        </w:tc>
        <w:tc>
          <w:tcPr>
            <w:tcW w:w="1000"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综合利用</w:t>
            </w:r>
          </w:p>
        </w:tc>
        <w:tc>
          <w:tcPr>
            <w:tcW w:w="698" w:type="pct"/>
            <w:vAlign w:val="center"/>
          </w:tcPr>
          <w:p>
            <w:pPr>
              <w:jc w:val="center"/>
              <w:rPr>
                <w:szCs w:val="21"/>
              </w:rPr>
            </w:pPr>
            <w:r>
              <w:rPr>
                <w:szCs w:val="21"/>
              </w:rPr>
              <w:t>施工废水生活污水</w:t>
            </w:r>
          </w:p>
        </w:tc>
        <w:tc>
          <w:tcPr>
            <w:tcW w:w="566" w:type="pct"/>
            <w:vMerge w:val="restart"/>
            <w:vAlign w:val="center"/>
          </w:tcPr>
          <w:p>
            <w:pPr>
              <w:jc w:val="center"/>
              <w:rPr>
                <w:szCs w:val="21"/>
              </w:rPr>
            </w:pPr>
            <w:r>
              <w:rPr>
                <w:szCs w:val="21"/>
              </w:rPr>
              <w:t>全部建设期</w:t>
            </w:r>
          </w:p>
        </w:tc>
        <w:tc>
          <w:tcPr>
            <w:tcW w:w="702" w:type="pct"/>
            <w:vMerge w:val="restar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施工场地附近水体、土壤及植被</w:t>
            </w:r>
          </w:p>
        </w:tc>
        <w:tc>
          <w:tcPr>
            <w:tcW w:w="768" w:type="pct"/>
            <w:vMerge w:val="continue"/>
            <w:vAlign w:val="center"/>
          </w:tcPr>
          <w:p>
            <w:pPr>
              <w:jc w:val="center"/>
              <w:rPr>
                <w:szCs w:val="21"/>
              </w:rPr>
            </w:pPr>
          </w:p>
        </w:tc>
        <w:tc>
          <w:tcPr>
            <w:tcW w:w="875" w:type="pct"/>
            <w:vMerge w:val="restart"/>
            <w:vAlign w:val="center"/>
          </w:tcPr>
          <w:p>
            <w:pPr>
              <w:jc w:val="center"/>
              <w:rPr>
                <w:szCs w:val="21"/>
              </w:rPr>
            </w:pPr>
            <w:r>
              <w:rPr>
                <w:szCs w:val="21"/>
              </w:rPr>
              <w:t>施工废水不外排</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Merge w:val="continue"/>
            <w:vAlign w:val="center"/>
          </w:tcPr>
          <w:p>
            <w:pPr>
              <w:jc w:val="center"/>
              <w:rPr>
                <w:szCs w:val="21"/>
              </w:rPr>
            </w:pPr>
          </w:p>
        </w:tc>
        <w:tc>
          <w:tcPr>
            <w:tcW w:w="1000"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临时沉淀池处理后回用</w:t>
            </w:r>
          </w:p>
        </w:tc>
        <w:tc>
          <w:tcPr>
            <w:tcW w:w="698" w:type="pct"/>
            <w:vAlign w:val="center"/>
          </w:tcPr>
          <w:p>
            <w:pPr>
              <w:jc w:val="center"/>
              <w:rPr>
                <w:szCs w:val="21"/>
              </w:rPr>
            </w:pPr>
            <w:r>
              <w:rPr>
                <w:szCs w:val="21"/>
              </w:rPr>
              <w:t>施工废水</w:t>
            </w:r>
          </w:p>
        </w:tc>
        <w:tc>
          <w:tcPr>
            <w:tcW w:w="566" w:type="pct"/>
            <w:vMerge w:val="continue"/>
            <w:vAlign w:val="center"/>
          </w:tcPr>
          <w:p>
            <w:pPr>
              <w:jc w:val="center"/>
              <w:rPr>
                <w:szCs w:val="21"/>
              </w:rPr>
            </w:pPr>
          </w:p>
        </w:tc>
        <w:tc>
          <w:tcPr>
            <w:tcW w:w="702" w:type="pct"/>
            <w:vMerge w:val="continue"/>
            <w:vAlign w:val="center"/>
          </w:tcPr>
          <w:p>
            <w:pPr>
              <w:jc w:val="center"/>
              <w:rPr>
                <w:szCs w:val="21"/>
              </w:rPr>
            </w:pPr>
          </w:p>
        </w:tc>
        <w:tc>
          <w:tcPr>
            <w:tcW w:w="768" w:type="pct"/>
            <w:vMerge w:val="continue"/>
            <w:vAlign w:val="center"/>
          </w:tcPr>
          <w:p>
            <w:pPr>
              <w:jc w:val="center"/>
              <w:rPr>
                <w:szCs w:val="21"/>
              </w:rPr>
            </w:pPr>
          </w:p>
        </w:tc>
        <w:tc>
          <w:tcPr>
            <w:tcW w:w="875" w:type="pct"/>
            <w:vMerge w:val="continue"/>
            <w:vAlign w:val="center"/>
          </w:tcPr>
          <w:p>
            <w:pPr>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right"/>
        </w:trPr>
        <w:tc>
          <w:tcPr>
            <w:tcW w:w="391" w:type="pct"/>
            <w:vAlign w:val="center"/>
          </w:tcPr>
          <w:p>
            <w:pPr>
              <w:jc w:val="center"/>
              <w:rPr>
                <w:szCs w:val="21"/>
              </w:rPr>
            </w:pPr>
            <w:r>
              <w:rPr>
                <w:szCs w:val="21"/>
              </w:rPr>
              <w:t>生态环境保护</w:t>
            </w:r>
          </w:p>
        </w:tc>
        <w:tc>
          <w:tcPr>
            <w:tcW w:w="1000"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强化生态保护意识；</w:t>
            </w:r>
          </w:p>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加强管理、控制施工场地占地、及时恢复植被</w:t>
            </w:r>
          </w:p>
        </w:tc>
        <w:tc>
          <w:tcPr>
            <w:tcW w:w="698"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施工场界及临时占地</w:t>
            </w:r>
          </w:p>
          <w:p>
            <w:pPr>
              <w:jc w:val="center"/>
              <w:rPr>
                <w:szCs w:val="21"/>
              </w:rPr>
            </w:pPr>
          </w:p>
        </w:tc>
        <w:tc>
          <w:tcPr>
            <w:tcW w:w="566" w:type="pct"/>
            <w:vAlign w:val="center"/>
          </w:tcPr>
          <w:p>
            <w:pPr>
              <w:pStyle w:val="58"/>
              <w:jc w:val="center"/>
              <w:rPr>
                <w:rFonts w:ascii="Times New Roman" w:hAnsi="Times New Roman" w:cs="Times New Roman"/>
                <w:color w:val="auto"/>
                <w:sz w:val="21"/>
                <w:szCs w:val="21"/>
              </w:rPr>
            </w:pPr>
            <w:r>
              <w:rPr>
                <w:rFonts w:ascii="Times New Roman" w:hAnsi="Times New Roman" w:cs="Times New Roman"/>
                <w:color w:val="auto"/>
                <w:sz w:val="21"/>
                <w:szCs w:val="21"/>
              </w:rPr>
              <w:t>全部</w:t>
            </w:r>
          </w:p>
          <w:p>
            <w:pPr>
              <w:jc w:val="center"/>
              <w:rPr>
                <w:szCs w:val="21"/>
              </w:rPr>
            </w:pPr>
            <w:r>
              <w:rPr>
                <w:szCs w:val="21"/>
              </w:rPr>
              <w:t>建设期</w:t>
            </w:r>
          </w:p>
        </w:tc>
        <w:tc>
          <w:tcPr>
            <w:tcW w:w="702" w:type="pct"/>
            <w:vAlign w:val="center"/>
          </w:tcPr>
          <w:p>
            <w:pPr>
              <w:pStyle w:val="58"/>
              <w:jc w:val="center"/>
              <w:rPr>
                <w:color w:val="auto"/>
                <w:sz w:val="21"/>
                <w:szCs w:val="21"/>
                <w:lang w:eastAsia="zh-CN"/>
              </w:rPr>
            </w:pPr>
            <w:r>
              <w:rPr>
                <w:rFonts w:ascii="Times New Roman" w:hAnsi="Times New Roman" w:cs="Times New Roman"/>
                <w:color w:val="auto"/>
                <w:sz w:val="21"/>
                <w:szCs w:val="21"/>
                <w:lang w:eastAsia="zh-CN"/>
              </w:rPr>
              <w:t>施工场地周围土壤、植被</w:t>
            </w:r>
          </w:p>
        </w:tc>
        <w:tc>
          <w:tcPr>
            <w:tcW w:w="768" w:type="pct"/>
            <w:vMerge w:val="continue"/>
            <w:vAlign w:val="center"/>
          </w:tcPr>
          <w:p>
            <w:pPr>
              <w:jc w:val="center"/>
              <w:rPr>
                <w:szCs w:val="21"/>
              </w:rPr>
            </w:pPr>
          </w:p>
        </w:tc>
        <w:tc>
          <w:tcPr>
            <w:tcW w:w="875" w:type="pct"/>
            <w:vAlign w:val="center"/>
          </w:tcPr>
          <w:p>
            <w:pPr>
              <w:pStyle w:val="58"/>
              <w:jc w:val="center"/>
              <w:rPr>
                <w:color w:val="auto"/>
                <w:sz w:val="21"/>
                <w:szCs w:val="21"/>
                <w:lang w:eastAsia="zh-CN"/>
              </w:rPr>
            </w:pPr>
            <w:r>
              <w:rPr>
                <w:rFonts w:ascii="Times New Roman" w:hAnsi="Times New Roman" w:cs="Times New Roman"/>
                <w:color w:val="auto"/>
                <w:sz w:val="21"/>
                <w:szCs w:val="21"/>
                <w:lang w:eastAsia="zh-CN"/>
              </w:rPr>
              <w:t>施工场地周围土壤、植被</w:t>
            </w:r>
            <w:r>
              <w:rPr>
                <w:color w:val="auto"/>
                <w:sz w:val="21"/>
                <w:szCs w:val="21"/>
                <w:lang w:eastAsia="zh-CN"/>
              </w:rPr>
              <w:t>不被破坏</w:t>
            </w:r>
          </w:p>
        </w:tc>
      </w:tr>
    </w:tbl>
    <w:p>
      <w:pPr>
        <w:pStyle w:val="63"/>
        <w:ind w:firstLine="480"/>
        <w:rPr>
          <w:color w:val="auto"/>
        </w:rPr>
      </w:pPr>
      <w:r>
        <w:rPr>
          <w:color w:val="auto"/>
        </w:rPr>
        <w:t>建设单位必须加强施工单位的监督管理，制定建设期环保监理计划，将表12.3-1中措施要求列入招标书及合同等文件中，实行环境监理，确保在施工过程中得到落实。</w:t>
      </w:r>
    </w:p>
    <w:p>
      <w:pPr>
        <w:pStyle w:val="63"/>
        <w:ind w:firstLine="480"/>
        <w:rPr>
          <w:color w:val="auto"/>
        </w:rPr>
      </w:pPr>
      <w:r>
        <w:rPr>
          <w:color w:val="auto"/>
        </w:rPr>
        <w:t>（1）在项目工程监理中配备1～2名环境监理工程师，明确其职责；</w:t>
      </w:r>
    </w:p>
    <w:p>
      <w:pPr>
        <w:pStyle w:val="63"/>
        <w:ind w:firstLine="480"/>
        <w:rPr>
          <w:color w:val="auto"/>
        </w:rPr>
      </w:pPr>
      <w:r>
        <w:rPr>
          <w:color w:val="auto"/>
        </w:rPr>
        <w:t>（2）环境监理依据主要为环境影响报告书、水土保持方案及其批复文件、设计文件及相关法律法规。监理工作范围主要包括：主体工程、管道敷设等工程的施工区和施工影响区；</w:t>
      </w:r>
    </w:p>
    <w:p>
      <w:pPr>
        <w:pStyle w:val="63"/>
        <w:ind w:firstLine="480"/>
        <w:rPr>
          <w:color w:val="auto"/>
        </w:rPr>
      </w:pPr>
      <w:r>
        <w:rPr>
          <w:color w:val="auto"/>
        </w:rPr>
        <w:t>（3）环境监理主要内容包括：建设项目初步设计和施工设计中是否全面落实了环境影响报告书及其批复文件的要求；建设项目的施工过程是否落实环境影响报告书及其批复文件的要求；建设项目施工期间污染防治设施、生态建设与保护措施的实施与进度；施工期间的环境质量、污染物排放是否符合国家和地方规定的标准；环境保护投资是否落实到位。</w:t>
      </w:r>
    </w:p>
    <w:p>
      <w:pPr>
        <w:pStyle w:val="63"/>
        <w:ind w:firstLine="480"/>
        <w:rPr>
          <w:color w:val="auto"/>
        </w:rPr>
      </w:pPr>
      <w:r>
        <w:rPr>
          <w:color w:val="auto"/>
        </w:rPr>
        <w:t>本项目评价提出的建设期环境工程监理建议清单见表12.3-2。</w:t>
      </w:r>
    </w:p>
    <w:p>
      <w:pPr>
        <w:pStyle w:val="63"/>
        <w:ind w:firstLine="480"/>
        <w:rPr>
          <w:color w:val="auto"/>
        </w:rPr>
      </w:pPr>
      <w:r>
        <w:rPr>
          <w:color w:val="auto"/>
        </w:rPr>
        <w:t>（4）环境监理方式</w:t>
      </w:r>
    </w:p>
    <w:p>
      <w:pPr>
        <w:pStyle w:val="63"/>
        <w:ind w:firstLine="480"/>
        <w:rPr>
          <w:color w:val="auto"/>
        </w:rPr>
      </w:pPr>
      <w:r>
        <w:rPr>
          <w:color w:val="auto"/>
        </w:rPr>
        <w:t>采取文件核对与现场检查相结合的工作方式，以现场检查为主，并辅以工程监理的现场监督，对施工单位的环境保护工作质量、效果进行检查和评价。</w:t>
      </w:r>
    </w:p>
    <w:p>
      <w:pPr>
        <w:widowControl/>
        <w:jc w:val="left"/>
        <w:rPr>
          <w:rFonts w:cs="宋体"/>
          <w:kern w:val="0"/>
          <w:sz w:val="24"/>
          <w:szCs w:val="23"/>
        </w:rPr>
      </w:pPr>
      <w:r>
        <w:br w:type="page"/>
      </w:r>
    </w:p>
    <w:p>
      <w:pPr>
        <w:pStyle w:val="65"/>
      </w:pPr>
      <w:r>
        <w:t>表12.3-2    建设期环境监理建议清单</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578"/>
        <w:gridCol w:w="1691"/>
        <w:gridCol w:w="4150"/>
        <w:gridCol w:w="282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序号</w:t>
            </w:r>
          </w:p>
        </w:tc>
        <w:tc>
          <w:tcPr>
            <w:tcW w:w="915" w:type="pct"/>
            <w:vAlign w:val="center"/>
          </w:tcPr>
          <w:p>
            <w:pPr>
              <w:spacing w:line="276" w:lineRule="auto"/>
              <w:jc w:val="center"/>
              <w:rPr>
                <w:szCs w:val="21"/>
              </w:rPr>
            </w:pPr>
            <w:r>
              <w:rPr>
                <w:szCs w:val="21"/>
              </w:rPr>
              <w:t>监理项目</w:t>
            </w:r>
          </w:p>
        </w:tc>
        <w:tc>
          <w:tcPr>
            <w:tcW w:w="2245" w:type="pct"/>
            <w:vAlign w:val="center"/>
          </w:tcPr>
          <w:p>
            <w:pPr>
              <w:spacing w:line="276" w:lineRule="auto"/>
              <w:jc w:val="center"/>
              <w:rPr>
                <w:szCs w:val="21"/>
              </w:rPr>
            </w:pPr>
            <w:r>
              <w:rPr>
                <w:szCs w:val="21"/>
              </w:rPr>
              <w:t>监理内容</w:t>
            </w:r>
          </w:p>
        </w:tc>
        <w:tc>
          <w:tcPr>
            <w:tcW w:w="1527" w:type="pct"/>
            <w:vAlign w:val="center"/>
          </w:tcPr>
          <w:p>
            <w:pPr>
              <w:spacing w:line="276" w:lineRule="auto"/>
              <w:jc w:val="center"/>
              <w:rPr>
                <w:szCs w:val="21"/>
              </w:rPr>
            </w:pPr>
            <w:r>
              <w:rPr>
                <w:szCs w:val="21"/>
              </w:rPr>
              <w:t>监理要求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1</w:t>
            </w:r>
          </w:p>
        </w:tc>
        <w:tc>
          <w:tcPr>
            <w:tcW w:w="915"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项目初步设计本及施工设计</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对可研和环评及环评批复中提出的环保措施均应与主体工程同时进行合理设计</w:t>
            </w:r>
          </w:p>
        </w:tc>
        <w:tc>
          <w:tcPr>
            <w:tcW w:w="1527"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环保设施需满足达标排放要求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2</w:t>
            </w:r>
          </w:p>
        </w:tc>
        <w:tc>
          <w:tcPr>
            <w:tcW w:w="915" w:type="pct"/>
            <w:vAlign w:val="center"/>
          </w:tcPr>
          <w:p>
            <w:pPr>
              <w:spacing w:line="276" w:lineRule="auto"/>
              <w:jc w:val="center"/>
              <w:rPr>
                <w:szCs w:val="21"/>
              </w:rPr>
            </w:pPr>
            <w:r>
              <w:rPr>
                <w:szCs w:val="21"/>
              </w:rPr>
              <w:t>平整场地</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配备洒水车，洒水降尘</w:t>
            </w:r>
          </w:p>
          <w:p>
            <w:pPr>
              <w:spacing w:line="276" w:lineRule="auto"/>
              <w:jc w:val="center"/>
              <w:rPr>
                <w:szCs w:val="21"/>
              </w:rPr>
            </w:pPr>
            <w:r>
              <w:rPr>
                <w:rFonts w:hAnsi="宋体"/>
                <w:szCs w:val="21"/>
              </w:rPr>
              <w:t>②</w:t>
            </w:r>
            <w:r>
              <w:rPr>
                <w:szCs w:val="21"/>
              </w:rPr>
              <w:t>尽量将植被、树木移植到施工区外</w:t>
            </w:r>
          </w:p>
        </w:tc>
        <w:tc>
          <w:tcPr>
            <w:tcW w:w="1527"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遇4级以上风力天气，禁止施工</w:t>
            </w: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减少原有地表植被破坏，减少扬尘污染</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3</w:t>
            </w:r>
          </w:p>
        </w:tc>
        <w:tc>
          <w:tcPr>
            <w:tcW w:w="915" w:type="pct"/>
            <w:vAlign w:val="center"/>
          </w:tcPr>
          <w:p>
            <w:pPr>
              <w:spacing w:line="276" w:lineRule="auto"/>
              <w:jc w:val="center"/>
              <w:rPr>
                <w:szCs w:val="21"/>
              </w:rPr>
            </w:pPr>
            <w:r>
              <w:rPr>
                <w:szCs w:val="21"/>
              </w:rPr>
              <w:t>基础开挖</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开挖产生砂土应用于厂区填方</w:t>
            </w:r>
          </w:p>
          <w:p>
            <w:pPr>
              <w:spacing w:line="276" w:lineRule="auto"/>
              <w:jc w:val="center"/>
              <w:rPr>
                <w:szCs w:val="21"/>
              </w:rPr>
            </w:pPr>
            <w:r>
              <w:rPr>
                <w:rFonts w:hAnsi="宋体"/>
                <w:szCs w:val="21"/>
              </w:rPr>
              <w:t>②</w:t>
            </w:r>
            <w:r>
              <w:rPr>
                <w:szCs w:val="21"/>
              </w:rPr>
              <w:t>施工时要定时洒水降尘</w:t>
            </w:r>
          </w:p>
        </w:tc>
        <w:tc>
          <w:tcPr>
            <w:tcW w:w="1527"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砂土在厂区内合理处置</w:t>
            </w: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强化环境管理，减少施工扬尘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4</w:t>
            </w:r>
          </w:p>
        </w:tc>
        <w:tc>
          <w:tcPr>
            <w:tcW w:w="915" w:type="pct"/>
            <w:vAlign w:val="center"/>
          </w:tcPr>
          <w:p>
            <w:pPr>
              <w:spacing w:line="276" w:lineRule="auto"/>
              <w:jc w:val="center"/>
              <w:rPr>
                <w:szCs w:val="21"/>
              </w:rPr>
            </w:pPr>
            <w:r>
              <w:rPr>
                <w:szCs w:val="21"/>
              </w:rPr>
              <w:t>扬尘作业点</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施工现场和建筑体采取围栏、设置工棚、覆盖遮蔽等措施</w:t>
            </w:r>
          </w:p>
        </w:tc>
        <w:tc>
          <w:tcPr>
            <w:tcW w:w="1527" w:type="pct"/>
            <w:vAlign w:val="center"/>
          </w:tcPr>
          <w:p>
            <w:pPr>
              <w:spacing w:line="276" w:lineRule="auto"/>
              <w:jc w:val="center"/>
              <w:rPr>
                <w:szCs w:val="21"/>
              </w:rPr>
            </w:pPr>
            <w:r>
              <w:rPr>
                <w:szCs w:val="21"/>
              </w:rPr>
              <w:t>减少扬尘污染</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5</w:t>
            </w:r>
          </w:p>
        </w:tc>
        <w:tc>
          <w:tcPr>
            <w:tcW w:w="915" w:type="pct"/>
            <w:vAlign w:val="center"/>
          </w:tcPr>
          <w:p>
            <w:pPr>
              <w:spacing w:line="276" w:lineRule="auto"/>
              <w:jc w:val="center"/>
              <w:rPr>
                <w:szCs w:val="21"/>
              </w:rPr>
            </w:pPr>
            <w:r>
              <w:rPr>
                <w:szCs w:val="21"/>
              </w:rPr>
              <w:t>建筑砂石</w:t>
            </w:r>
          </w:p>
          <w:p>
            <w:pPr>
              <w:spacing w:line="276" w:lineRule="auto"/>
              <w:jc w:val="center"/>
              <w:rPr>
                <w:szCs w:val="21"/>
              </w:rPr>
            </w:pPr>
            <w:r>
              <w:rPr>
                <w:szCs w:val="21"/>
              </w:rPr>
              <w:t>材料外运</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水泥、石灰等袋装运输</w:t>
            </w:r>
          </w:p>
          <w:p>
            <w:pPr>
              <w:spacing w:line="276" w:lineRule="auto"/>
              <w:jc w:val="center"/>
              <w:rPr>
                <w:szCs w:val="21"/>
              </w:rPr>
            </w:pPr>
            <w:r>
              <w:rPr>
                <w:rFonts w:hAnsi="宋体"/>
                <w:szCs w:val="21"/>
              </w:rPr>
              <w:t>②</w:t>
            </w:r>
            <w:r>
              <w:rPr>
                <w:szCs w:val="21"/>
              </w:rPr>
              <w:t>运输建筑砂石料车辆加盖篷布</w:t>
            </w:r>
          </w:p>
        </w:tc>
        <w:tc>
          <w:tcPr>
            <w:tcW w:w="1527"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减少运输扬尘</w:t>
            </w: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无篷布车辆不得运输沙土、粉料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6</w:t>
            </w:r>
          </w:p>
        </w:tc>
        <w:tc>
          <w:tcPr>
            <w:tcW w:w="915" w:type="pct"/>
            <w:vAlign w:val="center"/>
          </w:tcPr>
          <w:p>
            <w:pPr>
              <w:spacing w:line="276" w:lineRule="auto"/>
              <w:jc w:val="center"/>
              <w:rPr>
                <w:szCs w:val="21"/>
              </w:rPr>
            </w:pPr>
            <w:r>
              <w:rPr>
                <w:szCs w:val="21"/>
              </w:rPr>
              <w:t>建筑物料堆放</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沙、渣土、灰土等易产生扬尘的物料，设置专门的堆场，堆场四周有围挡结构</w:t>
            </w:r>
          </w:p>
        </w:tc>
        <w:tc>
          <w:tcPr>
            <w:tcW w:w="1527"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扬尘物料不得露天堆放</w:t>
            </w: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扬尘控制不利追究责任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7</w:t>
            </w:r>
          </w:p>
        </w:tc>
        <w:tc>
          <w:tcPr>
            <w:tcW w:w="915" w:type="pct"/>
            <w:vAlign w:val="center"/>
          </w:tcPr>
          <w:p>
            <w:pPr>
              <w:spacing w:line="276" w:lineRule="auto"/>
              <w:jc w:val="center"/>
              <w:rPr>
                <w:szCs w:val="21"/>
              </w:rPr>
            </w:pPr>
            <w:r>
              <w:rPr>
                <w:szCs w:val="21"/>
              </w:rPr>
              <w:t>厂区临时运输道路</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道路两旁设防渗排水沟</w:t>
            </w:r>
          </w:p>
          <w:p>
            <w:pPr>
              <w:spacing w:line="276" w:lineRule="auto"/>
              <w:jc w:val="center"/>
              <w:rPr>
                <w:szCs w:val="21"/>
              </w:rPr>
            </w:pPr>
            <w:r>
              <w:rPr>
                <w:rFonts w:hAnsi="宋体"/>
                <w:szCs w:val="21"/>
              </w:rPr>
              <w:t>②</w:t>
            </w:r>
            <w:r>
              <w:rPr>
                <w:szCs w:val="21"/>
              </w:rPr>
              <w:t>硬化临时道路地面</w:t>
            </w:r>
          </w:p>
        </w:tc>
        <w:tc>
          <w:tcPr>
            <w:tcW w:w="1527"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废水不得随意排放</w:t>
            </w:r>
          </w:p>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定时洒水灭尘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8</w:t>
            </w:r>
          </w:p>
        </w:tc>
        <w:tc>
          <w:tcPr>
            <w:tcW w:w="915" w:type="pct"/>
            <w:vAlign w:val="center"/>
          </w:tcPr>
          <w:p>
            <w:pPr>
              <w:spacing w:line="276" w:lineRule="auto"/>
              <w:jc w:val="center"/>
              <w:rPr>
                <w:szCs w:val="21"/>
              </w:rPr>
            </w:pPr>
            <w:r>
              <w:rPr>
                <w:szCs w:val="21"/>
              </w:rPr>
              <w:t>施工噪声</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定期在临近周边居民点监测施工噪声</w:t>
            </w:r>
          </w:p>
          <w:p>
            <w:pPr>
              <w:spacing w:line="276" w:lineRule="auto"/>
              <w:jc w:val="center"/>
              <w:rPr>
                <w:szCs w:val="21"/>
              </w:rPr>
            </w:pPr>
            <w:r>
              <w:rPr>
                <w:rFonts w:hAnsi="宋体"/>
                <w:szCs w:val="21"/>
              </w:rPr>
              <w:t>②</w:t>
            </w:r>
            <w:r>
              <w:rPr>
                <w:szCs w:val="21"/>
              </w:rPr>
              <w:t>选用噪声低、效率高的机械设备</w:t>
            </w:r>
          </w:p>
        </w:tc>
        <w:tc>
          <w:tcPr>
            <w:tcW w:w="1527"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施工场界噪声符合GB12523-2011《建筑施工场界环境噪声排放标准》</w:t>
            </w: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夜间22时～凌晨06时严禁施工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9</w:t>
            </w:r>
          </w:p>
        </w:tc>
        <w:tc>
          <w:tcPr>
            <w:tcW w:w="915" w:type="pct"/>
            <w:vAlign w:val="center"/>
          </w:tcPr>
          <w:p>
            <w:pPr>
              <w:spacing w:line="276" w:lineRule="auto"/>
              <w:jc w:val="center"/>
              <w:rPr>
                <w:szCs w:val="21"/>
              </w:rPr>
            </w:pPr>
            <w:r>
              <w:rPr>
                <w:szCs w:val="21"/>
              </w:rPr>
              <w:t>施工固废</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设置生活垃圾箱</w:t>
            </w:r>
          </w:p>
          <w:p>
            <w:pPr>
              <w:spacing w:line="276" w:lineRule="auto"/>
              <w:jc w:val="center"/>
              <w:rPr>
                <w:szCs w:val="21"/>
              </w:rPr>
            </w:pPr>
            <w:r>
              <w:rPr>
                <w:rFonts w:hAnsi="宋体"/>
                <w:szCs w:val="21"/>
              </w:rPr>
              <w:t>②</w:t>
            </w:r>
            <w:r>
              <w:rPr>
                <w:szCs w:val="21"/>
              </w:rPr>
              <w:t>建筑垃圾运往指定场所</w:t>
            </w:r>
          </w:p>
        </w:tc>
        <w:tc>
          <w:tcPr>
            <w:tcW w:w="1527"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合理处置，不得乱堆乱放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10</w:t>
            </w:r>
          </w:p>
        </w:tc>
        <w:tc>
          <w:tcPr>
            <w:tcW w:w="915" w:type="pct"/>
            <w:vAlign w:val="center"/>
          </w:tcPr>
          <w:p>
            <w:pPr>
              <w:spacing w:line="276" w:lineRule="auto"/>
              <w:jc w:val="center"/>
              <w:rPr>
                <w:szCs w:val="21"/>
              </w:rPr>
            </w:pPr>
            <w:r>
              <w:rPr>
                <w:szCs w:val="21"/>
              </w:rPr>
              <w:t>施工废水</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设临时化粪池</w:t>
            </w:r>
          </w:p>
          <w:p>
            <w:pPr>
              <w:spacing w:line="276" w:lineRule="auto"/>
              <w:jc w:val="center"/>
              <w:rPr>
                <w:szCs w:val="21"/>
              </w:rPr>
            </w:pPr>
            <w:r>
              <w:rPr>
                <w:rFonts w:hAnsi="宋体"/>
                <w:szCs w:val="21"/>
              </w:rPr>
              <w:t>②</w:t>
            </w:r>
            <w:r>
              <w:rPr>
                <w:szCs w:val="21"/>
              </w:rPr>
              <w:t>设临时沉淀池</w:t>
            </w:r>
          </w:p>
        </w:tc>
        <w:tc>
          <w:tcPr>
            <w:tcW w:w="1527"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施工废水合理处置，不得随意排放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11</w:t>
            </w:r>
          </w:p>
        </w:tc>
        <w:tc>
          <w:tcPr>
            <w:tcW w:w="915" w:type="pct"/>
            <w:vAlign w:val="center"/>
          </w:tcPr>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环保设施和</w:t>
            </w:r>
          </w:p>
          <w:p>
            <w:pPr>
              <w:pStyle w:val="58"/>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环保投资</w:t>
            </w:r>
          </w:p>
          <w:p>
            <w:pPr>
              <w:spacing w:line="276" w:lineRule="auto"/>
              <w:jc w:val="center"/>
              <w:rPr>
                <w:szCs w:val="21"/>
              </w:rPr>
            </w:pPr>
            <w:r>
              <w:rPr>
                <w:szCs w:val="21"/>
              </w:rPr>
              <w:t>落实情况</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环保设施在施工阶段的工程进展情况和环保投资落实情况</w:t>
            </w:r>
          </w:p>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对危险废物贮存设施的防渗措施进行重点监理</w:t>
            </w:r>
          </w:p>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③</w:t>
            </w:r>
            <w:r>
              <w:rPr>
                <w:rFonts w:ascii="Times New Roman" w:hAnsi="Times New Roman" w:cs="Times New Roman"/>
                <w:color w:val="auto"/>
                <w:sz w:val="21"/>
                <w:szCs w:val="21"/>
                <w:lang w:eastAsia="zh-CN"/>
              </w:rPr>
              <w:t>生产废水及循环水的所有贮运管线及循环水槽必须采取防渗措施</w:t>
            </w:r>
          </w:p>
          <w:p>
            <w:pPr>
              <w:spacing w:line="276" w:lineRule="auto"/>
              <w:jc w:val="center"/>
              <w:rPr>
                <w:szCs w:val="21"/>
              </w:rPr>
            </w:pPr>
            <w:r>
              <w:rPr>
                <w:rFonts w:hAnsi="宋体"/>
                <w:szCs w:val="21"/>
              </w:rPr>
              <w:t>④</w:t>
            </w:r>
            <w:r>
              <w:rPr>
                <w:szCs w:val="21"/>
              </w:rPr>
              <w:t>焦油渣贮槽、初期雨水池、事故池建设进行重点监理</w:t>
            </w:r>
          </w:p>
        </w:tc>
        <w:tc>
          <w:tcPr>
            <w:tcW w:w="1527" w:type="pct"/>
            <w:vAlign w:val="center"/>
          </w:tcPr>
          <w:p>
            <w:pPr>
              <w:pStyle w:val="58"/>
              <w:jc w:val="center"/>
              <w:rPr>
                <w:color w:val="auto"/>
                <w:sz w:val="21"/>
                <w:szCs w:val="21"/>
                <w:lang w:eastAsia="zh-CN"/>
              </w:rPr>
            </w:pPr>
            <w:r>
              <w:rPr>
                <w:rFonts w:ascii="Times New Roman" w:hAnsi="Times New Roman" w:cs="Times New Roman"/>
                <w:color w:val="auto"/>
                <w:sz w:val="21"/>
                <w:szCs w:val="21"/>
                <w:lang w:eastAsia="zh-CN"/>
              </w:rPr>
              <w:t>严格执行“三同时”制度，确保环保措施按工程设计和报告书要求同时施工建设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13" w:type="pct"/>
            <w:vAlign w:val="center"/>
          </w:tcPr>
          <w:p>
            <w:pPr>
              <w:spacing w:line="276" w:lineRule="auto"/>
              <w:jc w:val="center"/>
              <w:rPr>
                <w:szCs w:val="21"/>
              </w:rPr>
            </w:pPr>
            <w:r>
              <w:rPr>
                <w:szCs w:val="21"/>
              </w:rPr>
              <w:t>12</w:t>
            </w:r>
          </w:p>
        </w:tc>
        <w:tc>
          <w:tcPr>
            <w:tcW w:w="915" w:type="pct"/>
            <w:vAlign w:val="center"/>
          </w:tcPr>
          <w:p>
            <w:pPr>
              <w:spacing w:line="276" w:lineRule="auto"/>
              <w:jc w:val="center"/>
              <w:rPr>
                <w:szCs w:val="21"/>
              </w:rPr>
            </w:pPr>
            <w:r>
              <w:rPr>
                <w:szCs w:val="21"/>
              </w:rPr>
              <w:t>生态环境</w:t>
            </w:r>
          </w:p>
        </w:tc>
        <w:tc>
          <w:tcPr>
            <w:tcW w:w="2245"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及时平整，植被恢复</w:t>
            </w:r>
          </w:p>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易引起水土流失的土石方堆放点采取土工布围栏等措施</w:t>
            </w:r>
          </w:p>
          <w:p>
            <w:pPr>
              <w:spacing w:line="276" w:lineRule="auto"/>
              <w:jc w:val="center"/>
              <w:rPr>
                <w:szCs w:val="21"/>
              </w:rPr>
            </w:pPr>
            <w:r>
              <w:rPr>
                <w:rFonts w:hAnsi="宋体"/>
                <w:szCs w:val="21"/>
              </w:rPr>
              <w:t>③</w:t>
            </w:r>
            <w:r>
              <w:rPr>
                <w:szCs w:val="21"/>
              </w:rPr>
              <w:t>强化环保意识</w:t>
            </w:r>
          </w:p>
        </w:tc>
        <w:tc>
          <w:tcPr>
            <w:tcW w:w="1527" w:type="pct"/>
            <w:vAlign w:val="center"/>
          </w:tcPr>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①</w:t>
            </w:r>
            <w:r>
              <w:rPr>
                <w:rFonts w:ascii="Times New Roman" w:hAnsi="Times New Roman" w:cs="Times New Roman"/>
                <w:color w:val="auto"/>
                <w:sz w:val="21"/>
                <w:szCs w:val="21"/>
                <w:lang w:eastAsia="zh-CN"/>
              </w:rPr>
              <w:t>完工后地表裸露面植被必须平整恢复</w:t>
            </w:r>
          </w:p>
          <w:p>
            <w:pPr>
              <w:pStyle w:val="58"/>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②</w:t>
            </w:r>
            <w:r>
              <w:rPr>
                <w:rFonts w:ascii="Times New Roman" w:hAnsi="Times New Roman" w:cs="Times New Roman"/>
                <w:color w:val="auto"/>
                <w:sz w:val="21"/>
                <w:szCs w:val="21"/>
                <w:lang w:eastAsia="zh-CN"/>
              </w:rPr>
              <w:t>严格控制水土流失发生</w:t>
            </w:r>
          </w:p>
          <w:p>
            <w:pPr>
              <w:spacing w:line="276" w:lineRule="auto"/>
              <w:jc w:val="center"/>
              <w:rPr>
                <w:szCs w:val="21"/>
              </w:rPr>
            </w:pPr>
            <w:r>
              <w:rPr>
                <w:rFonts w:hAnsi="宋体"/>
                <w:szCs w:val="21"/>
              </w:rPr>
              <w:t>③</w:t>
            </w:r>
            <w:r>
              <w:rPr>
                <w:szCs w:val="21"/>
              </w:rPr>
              <w:t>开展环保意识教育、设置环保标志</w:t>
            </w:r>
          </w:p>
        </w:tc>
      </w:tr>
    </w:tbl>
    <w:p>
      <w:pPr>
        <w:pStyle w:val="63"/>
        <w:ind w:firstLine="480"/>
        <w:rPr>
          <w:color w:val="auto"/>
          <w:szCs w:val="24"/>
        </w:rPr>
      </w:pPr>
    </w:p>
    <w:p>
      <w:pPr>
        <w:pStyle w:val="61"/>
        <w:rPr>
          <w:color w:val="auto"/>
        </w:rPr>
      </w:pPr>
      <w:bookmarkStart w:id="121" w:name="_Toc436902204"/>
      <w:r>
        <w:rPr>
          <w:rFonts w:hint="eastAsia"/>
          <w:color w:val="auto"/>
        </w:rPr>
        <w:t>12.4环保竣工验收清单</w:t>
      </w:r>
      <w:bookmarkEnd w:id="121"/>
    </w:p>
    <w:p>
      <w:pPr>
        <w:pStyle w:val="63"/>
        <w:ind w:firstLine="480"/>
        <w:rPr>
          <w:color w:val="auto"/>
        </w:rPr>
      </w:pPr>
      <w:r>
        <w:rPr>
          <w:color w:val="auto"/>
        </w:rPr>
        <w:t>本项目环保验收清单见表12.4-1。</w:t>
      </w:r>
    </w:p>
    <w:p>
      <w:pPr>
        <w:pStyle w:val="65"/>
      </w:pPr>
      <w:r>
        <w:t>表12.4-1    环保验收清单（建议）</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731"/>
        <w:gridCol w:w="2211"/>
        <w:gridCol w:w="1418"/>
        <w:gridCol w:w="828"/>
        <w:gridCol w:w="769"/>
        <w:gridCol w:w="3285"/>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Align w:val="center"/>
          </w:tcPr>
          <w:p>
            <w:pPr>
              <w:spacing w:line="276" w:lineRule="auto"/>
              <w:jc w:val="center"/>
              <w:rPr>
                <w:szCs w:val="21"/>
              </w:rPr>
            </w:pPr>
            <w:r>
              <w:rPr>
                <w:rFonts w:hAnsi="宋体"/>
                <w:szCs w:val="21"/>
              </w:rPr>
              <w:t>类别</w:t>
            </w:r>
          </w:p>
        </w:tc>
        <w:tc>
          <w:tcPr>
            <w:tcW w:w="1196" w:type="pct"/>
            <w:vAlign w:val="center"/>
          </w:tcPr>
          <w:p>
            <w:pPr>
              <w:spacing w:line="276" w:lineRule="auto"/>
              <w:jc w:val="center"/>
              <w:rPr>
                <w:szCs w:val="21"/>
              </w:rPr>
            </w:pPr>
            <w:r>
              <w:rPr>
                <w:rFonts w:hAnsi="宋体"/>
                <w:szCs w:val="21"/>
              </w:rPr>
              <w:t>环保设施名称</w:t>
            </w:r>
          </w:p>
        </w:tc>
        <w:tc>
          <w:tcPr>
            <w:tcW w:w="767" w:type="pct"/>
            <w:vAlign w:val="center"/>
          </w:tcPr>
          <w:p>
            <w:pPr>
              <w:spacing w:line="276" w:lineRule="auto"/>
              <w:jc w:val="center"/>
              <w:rPr>
                <w:szCs w:val="21"/>
              </w:rPr>
            </w:pPr>
            <w:r>
              <w:rPr>
                <w:rFonts w:hAnsi="宋体"/>
                <w:szCs w:val="21"/>
              </w:rPr>
              <w:t>来源</w:t>
            </w:r>
          </w:p>
        </w:tc>
        <w:tc>
          <w:tcPr>
            <w:tcW w:w="448" w:type="pct"/>
            <w:vAlign w:val="center"/>
          </w:tcPr>
          <w:p>
            <w:pPr>
              <w:spacing w:line="276" w:lineRule="auto"/>
              <w:jc w:val="center"/>
              <w:rPr>
                <w:szCs w:val="21"/>
              </w:rPr>
            </w:pPr>
            <w:r>
              <w:rPr>
                <w:rFonts w:hAnsi="宋体"/>
                <w:szCs w:val="21"/>
              </w:rPr>
              <w:t>处理</w:t>
            </w:r>
          </w:p>
          <w:p>
            <w:pPr>
              <w:spacing w:line="276" w:lineRule="auto"/>
              <w:jc w:val="center"/>
              <w:rPr>
                <w:szCs w:val="21"/>
              </w:rPr>
            </w:pPr>
            <w:r>
              <w:rPr>
                <w:rFonts w:hAnsi="宋体"/>
                <w:szCs w:val="21"/>
              </w:rPr>
              <w:t>规模</w:t>
            </w:r>
          </w:p>
        </w:tc>
        <w:tc>
          <w:tcPr>
            <w:tcW w:w="416" w:type="pct"/>
            <w:vAlign w:val="center"/>
          </w:tcPr>
          <w:p>
            <w:pPr>
              <w:spacing w:line="276" w:lineRule="auto"/>
              <w:jc w:val="center"/>
              <w:rPr>
                <w:szCs w:val="21"/>
              </w:rPr>
            </w:pPr>
            <w:r>
              <w:rPr>
                <w:rFonts w:hAnsi="宋体"/>
                <w:szCs w:val="21"/>
              </w:rPr>
              <w:t>数量</w:t>
            </w:r>
          </w:p>
        </w:tc>
        <w:tc>
          <w:tcPr>
            <w:tcW w:w="1776" w:type="pct"/>
            <w:vAlign w:val="center"/>
          </w:tcPr>
          <w:p>
            <w:pPr>
              <w:spacing w:line="276" w:lineRule="auto"/>
              <w:jc w:val="center"/>
              <w:rPr>
                <w:szCs w:val="21"/>
              </w:rPr>
            </w:pPr>
            <w:r>
              <w:rPr>
                <w:rFonts w:hAnsi="宋体"/>
                <w:szCs w:val="21"/>
              </w:rPr>
              <w:t>验收标准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Align w:val="center"/>
          </w:tcPr>
          <w:p>
            <w:pPr>
              <w:spacing w:line="276" w:lineRule="auto"/>
              <w:jc w:val="center"/>
              <w:rPr>
                <w:szCs w:val="21"/>
              </w:rPr>
            </w:pPr>
            <w:r>
              <w:rPr>
                <w:rFonts w:hAnsi="宋体"/>
                <w:szCs w:val="21"/>
              </w:rPr>
              <w:t>废气</w:t>
            </w:r>
          </w:p>
        </w:tc>
        <w:tc>
          <w:tcPr>
            <w:tcW w:w="1196" w:type="pct"/>
            <w:vAlign w:val="center"/>
          </w:tcPr>
          <w:p>
            <w:pPr>
              <w:spacing w:line="276" w:lineRule="auto"/>
              <w:jc w:val="center"/>
              <w:rPr>
                <w:szCs w:val="21"/>
              </w:rPr>
            </w:pPr>
            <w:r>
              <w:rPr>
                <w:rFonts w:hAnsi="宋体"/>
                <w:szCs w:val="21"/>
              </w:rPr>
              <w:t>油烟净化装置</w:t>
            </w:r>
          </w:p>
        </w:tc>
        <w:tc>
          <w:tcPr>
            <w:tcW w:w="767" w:type="pct"/>
            <w:vAlign w:val="center"/>
          </w:tcPr>
          <w:p>
            <w:pPr>
              <w:spacing w:line="276" w:lineRule="auto"/>
              <w:jc w:val="center"/>
              <w:rPr>
                <w:szCs w:val="21"/>
              </w:rPr>
            </w:pPr>
            <w:r>
              <w:rPr>
                <w:rFonts w:hAnsi="宋体"/>
                <w:szCs w:val="21"/>
              </w:rPr>
              <w:t>餐饮油烟</w:t>
            </w:r>
          </w:p>
        </w:tc>
        <w:tc>
          <w:tcPr>
            <w:tcW w:w="448" w:type="pct"/>
            <w:vAlign w:val="center"/>
          </w:tcPr>
          <w:p>
            <w:pPr>
              <w:spacing w:line="276" w:lineRule="auto"/>
              <w:jc w:val="center"/>
              <w:rPr>
                <w:szCs w:val="21"/>
              </w:rPr>
            </w:pPr>
            <w:r>
              <w:rPr>
                <w:szCs w:val="21"/>
              </w:rPr>
              <w:t>/</w:t>
            </w:r>
          </w:p>
        </w:tc>
        <w:tc>
          <w:tcPr>
            <w:tcW w:w="416" w:type="pct"/>
            <w:vAlign w:val="center"/>
          </w:tcPr>
          <w:p>
            <w:pPr>
              <w:spacing w:line="276" w:lineRule="auto"/>
              <w:jc w:val="center"/>
              <w:rPr>
                <w:szCs w:val="21"/>
              </w:rPr>
            </w:pPr>
            <w:r>
              <w:rPr>
                <w:szCs w:val="21"/>
              </w:rPr>
              <w:t>1</w:t>
            </w:r>
          </w:p>
        </w:tc>
        <w:tc>
          <w:tcPr>
            <w:tcW w:w="1776" w:type="pct"/>
            <w:vAlign w:val="center"/>
          </w:tcPr>
          <w:p>
            <w:pPr>
              <w:spacing w:line="276" w:lineRule="auto"/>
              <w:jc w:val="center"/>
              <w:rPr>
                <w:szCs w:val="21"/>
              </w:rPr>
            </w:pPr>
            <w:r>
              <w:rPr>
                <w:rFonts w:hAnsi="宋体"/>
                <w:szCs w:val="21"/>
              </w:rPr>
              <w:t>《饮食业油烟排放标准》</w:t>
            </w:r>
            <w:r>
              <w:rPr>
                <w:rFonts w:hint="eastAsia" w:hAnsi="宋体"/>
                <w:szCs w:val="21"/>
              </w:rPr>
              <w:t>（</w:t>
            </w:r>
            <w:r>
              <w:rPr>
                <w:szCs w:val="21"/>
              </w:rPr>
              <w:t>GB18483-2001</w:t>
            </w:r>
            <w:r>
              <w:rPr>
                <w:rFonts w:hint="eastAsia"/>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Align w:val="center"/>
          </w:tcPr>
          <w:p>
            <w:pPr>
              <w:spacing w:line="276" w:lineRule="auto"/>
              <w:jc w:val="center"/>
              <w:rPr>
                <w:szCs w:val="21"/>
              </w:rPr>
            </w:pPr>
            <w:r>
              <w:rPr>
                <w:rFonts w:hAnsi="宋体"/>
                <w:szCs w:val="21"/>
              </w:rPr>
              <w:t>废水</w:t>
            </w:r>
          </w:p>
        </w:tc>
        <w:tc>
          <w:tcPr>
            <w:tcW w:w="1196" w:type="pct"/>
            <w:vAlign w:val="center"/>
          </w:tcPr>
          <w:p>
            <w:pPr>
              <w:pStyle w:val="58"/>
              <w:spacing w:line="276" w:lineRule="auto"/>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地埋式污水处理设施</w:t>
            </w:r>
          </w:p>
        </w:tc>
        <w:tc>
          <w:tcPr>
            <w:tcW w:w="767" w:type="pct"/>
            <w:vAlign w:val="center"/>
          </w:tcPr>
          <w:p>
            <w:pPr>
              <w:spacing w:line="276" w:lineRule="auto"/>
              <w:jc w:val="center"/>
              <w:rPr>
                <w:szCs w:val="21"/>
              </w:rPr>
            </w:pPr>
            <w:r>
              <w:rPr>
                <w:rFonts w:hAnsi="宋体"/>
                <w:szCs w:val="21"/>
              </w:rPr>
              <w:t>生活废水</w:t>
            </w:r>
          </w:p>
        </w:tc>
        <w:tc>
          <w:tcPr>
            <w:tcW w:w="448" w:type="pct"/>
            <w:vAlign w:val="center"/>
          </w:tcPr>
          <w:p>
            <w:pPr>
              <w:spacing w:line="276" w:lineRule="auto"/>
              <w:jc w:val="center"/>
              <w:rPr>
                <w:szCs w:val="21"/>
              </w:rPr>
            </w:pPr>
            <w:r>
              <w:rPr>
                <w:szCs w:val="21"/>
              </w:rPr>
              <w:t>2m</w:t>
            </w:r>
            <w:r>
              <w:rPr>
                <w:szCs w:val="21"/>
                <w:vertAlign w:val="superscript"/>
              </w:rPr>
              <w:t>3</w:t>
            </w:r>
          </w:p>
        </w:tc>
        <w:tc>
          <w:tcPr>
            <w:tcW w:w="416" w:type="pct"/>
            <w:vAlign w:val="center"/>
          </w:tcPr>
          <w:p>
            <w:pPr>
              <w:spacing w:line="276" w:lineRule="auto"/>
              <w:jc w:val="center"/>
              <w:rPr>
                <w:szCs w:val="21"/>
              </w:rPr>
            </w:pPr>
            <w:r>
              <w:rPr>
                <w:szCs w:val="21"/>
              </w:rPr>
              <w:t>1</w:t>
            </w:r>
          </w:p>
        </w:tc>
        <w:tc>
          <w:tcPr>
            <w:tcW w:w="1776" w:type="pct"/>
            <w:vAlign w:val="center"/>
          </w:tcPr>
          <w:p>
            <w:pPr>
              <w:pStyle w:val="58"/>
              <w:spacing w:line="276" w:lineRule="auto"/>
              <w:jc w:val="center"/>
              <w:rPr>
                <w:rFonts w:ascii="Times New Roman" w:hAnsi="Times New Roman" w:cs="Times New Roman"/>
                <w:color w:val="auto"/>
                <w:sz w:val="21"/>
                <w:szCs w:val="21"/>
                <w:lang w:eastAsia="zh-CN"/>
              </w:rPr>
            </w:pPr>
            <w:r>
              <w:rPr>
                <w:rFonts w:hint="eastAsia" w:ascii="Times New Roman" w:hAnsi="宋体" w:cs="Times New Roman"/>
                <w:color w:val="auto"/>
                <w:sz w:val="21"/>
                <w:szCs w:val="21"/>
                <w:lang w:eastAsia="zh-CN"/>
              </w:rPr>
              <w:t>《城市杂用水水质标准》GB/T18920-2002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Merge w:val="restart"/>
            <w:vAlign w:val="center"/>
          </w:tcPr>
          <w:p>
            <w:pPr>
              <w:spacing w:line="276" w:lineRule="auto"/>
              <w:jc w:val="center"/>
              <w:rPr>
                <w:szCs w:val="21"/>
              </w:rPr>
            </w:pPr>
            <w:r>
              <w:rPr>
                <w:rFonts w:hAnsi="宋体"/>
                <w:szCs w:val="21"/>
              </w:rPr>
              <w:t>固废</w:t>
            </w:r>
          </w:p>
        </w:tc>
        <w:tc>
          <w:tcPr>
            <w:tcW w:w="1196" w:type="pct"/>
            <w:vAlign w:val="center"/>
          </w:tcPr>
          <w:p>
            <w:pPr>
              <w:pStyle w:val="58"/>
              <w:spacing w:line="276" w:lineRule="auto"/>
              <w:jc w:val="center"/>
              <w:rPr>
                <w:rFonts w:ascii="Times New Roman" w:hAnsi="Times New Roman" w:cs="Times New Roman"/>
                <w:color w:val="auto"/>
                <w:sz w:val="21"/>
                <w:szCs w:val="21"/>
              </w:rPr>
            </w:pPr>
            <w:r>
              <w:rPr>
                <w:rFonts w:ascii="Times New Roman" w:hAnsi="宋体" w:cs="Times New Roman"/>
                <w:color w:val="auto"/>
                <w:sz w:val="21"/>
                <w:szCs w:val="21"/>
              </w:rPr>
              <w:t>化验废水暂存罐</w:t>
            </w:r>
          </w:p>
        </w:tc>
        <w:tc>
          <w:tcPr>
            <w:tcW w:w="767" w:type="pct"/>
            <w:vAlign w:val="center"/>
          </w:tcPr>
          <w:p>
            <w:pPr>
              <w:spacing w:line="276" w:lineRule="auto"/>
              <w:jc w:val="center"/>
              <w:rPr>
                <w:szCs w:val="21"/>
              </w:rPr>
            </w:pPr>
            <w:r>
              <w:rPr>
                <w:rFonts w:hAnsi="宋体"/>
                <w:szCs w:val="21"/>
              </w:rPr>
              <w:t>化验废水</w:t>
            </w:r>
          </w:p>
        </w:tc>
        <w:tc>
          <w:tcPr>
            <w:tcW w:w="448" w:type="pct"/>
            <w:vAlign w:val="center"/>
          </w:tcPr>
          <w:p>
            <w:pPr>
              <w:spacing w:line="276" w:lineRule="auto"/>
              <w:jc w:val="center"/>
              <w:rPr>
                <w:szCs w:val="21"/>
              </w:rPr>
            </w:pPr>
            <w:r>
              <w:rPr>
                <w:szCs w:val="21"/>
              </w:rPr>
              <w:t>0.5m</w:t>
            </w:r>
            <w:r>
              <w:rPr>
                <w:szCs w:val="21"/>
                <w:vertAlign w:val="superscript"/>
              </w:rPr>
              <w:t>3</w:t>
            </w:r>
          </w:p>
        </w:tc>
        <w:tc>
          <w:tcPr>
            <w:tcW w:w="416" w:type="pct"/>
            <w:vAlign w:val="center"/>
          </w:tcPr>
          <w:p>
            <w:pPr>
              <w:spacing w:line="276" w:lineRule="auto"/>
              <w:jc w:val="center"/>
              <w:rPr>
                <w:szCs w:val="21"/>
              </w:rPr>
            </w:pPr>
            <w:r>
              <w:rPr>
                <w:szCs w:val="21"/>
              </w:rPr>
              <w:t>1</w:t>
            </w:r>
          </w:p>
        </w:tc>
        <w:tc>
          <w:tcPr>
            <w:tcW w:w="1776" w:type="pct"/>
            <w:vAlign w:val="center"/>
          </w:tcPr>
          <w:p>
            <w:pPr>
              <w:pStyle w:val="58"/>
              <w:spacing w:line="276" w:lineRule="auto"/>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GB18597-2001</w:t>
            </w:r>
            <w:r>
              <w:rPr>
                <w:rFonts w:ascii="Times New Roman" w:hAnsi="宋体" w:cs="Times New Roman"/>
                <w:color w:val="auto"/>
                <w:sz w:val="21"/>
                <w:szCs w:val="21"/>
                <w:lang w:eastAsia="zh-CN"/>
              </w:rPr>
              <w:t>《危险固体废物贮存污染防治控制标准》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Merge w:val="continue"/>
            <w:vAlign w:val="center"/>
          </w:tcPr>
          <w:p>
            <w:pPr>
              <w:spacing w:line="276" w:lineRule="auto"/>
              <w:jc w:val="center"/>
              <w:rPr>
                <w:rFonts w:hAnsi="宋体"/>
                <w:szCs w:val="21"/>
              </w:rPr>
            </w:pPr>
          </w:p>
        </w:tc>
        <w:tc>
          <w:tcPr>
            <w:tcW w:w="1196" w:type="pct"/>
            <w:vAlign w:val="center"/>
          </w:tcPr>
          <w:p>
            <w:pPr>
              <w:pStyle w:val="58"/>
              <w:spacing w:line="276" w:lineRule="auto"/>
              <w:jc w:val="center"/>
              <w:rPr>
                <w:rFonts w:ascii="Times New Roman" w:hAnsi="宋体" w:cs="Times New Roman"/>
                <w:color w:val="auto"/>
                <w:sz w:val="21"/>
                <w:szCs w:val="21"/>
                <w:lang w:eastAsia="zh-CN"/>
              </w:rPr>
            </w:pPr>
            <w:r>
              <w:rPr>
                <w:rFonts w:hint="eastAsia" w:ascii="Times New Roman" w:hAnsi="宋体" w:cs="Times New Roman"/>
                <w:color w:val="auto"/>
                <w:sz w:val="21"/>
                <w:szCs w:val="21"/>
                <w:lang w:eastAsia="zh-CN"/>
              </w:rPr>
              <w:t>污泥储存池</w:t>
            </w:r>
          </w:p>
        </w:tc>
        <w:tc>
          <w:tcPr>
            <w:tcW w:w="767" w:type="pct"/>
            <w:vAlign w:val="center"/>
          </w:tcPr>
          <w:p>
            <w:pPr>
              <w:spacing w:line="276" w:lineRule="auto"/>
              <w:jc w:val="center"/>
              <w:rPr>
                <w:rFonts w:hAnsi="宋体"/>
                <w:szCs w:val="21"/>
              </w:rPr>
            </w:pPr>
            <w:r>
              <w:rPr>
                <w:rFonts w:hint="eastAsia" w:hAnsi="宋体"/>
                <w:szCs w:val="21"/>
              </w:rPr>
              <w:t>污泥</w:t>
            </w:r>
          </w:p>
        </w:tc>
        <w:tc>
          <w:tcPr>
            <w:tcW w:w="448" w:type="pct"/>
            <w:vAlign w:val="center"/>
          </w:tcPr>
          <w:p>
            <w:pPr>
              <w:spacing w:line="276" w:lineRule="auto"/>
              <w:jc w:val="center"/>
              <w:rPr>
                <w:szCs w:val="21"/>
              </w:rPr>
            </w:pPr>
            <w:r>
              <w:rPr>
                <w:rFonts w:hint="eastAsia"/>
                <w:szCs w:val="21"/>
              </w:rPr>
              <w:t>/</w:t>
            </w:r>
          </w:p>
        </w:tc>
        <w:tc>
          <w:tcPr>
            <w:tcW w:w="416" w:type="pct"/>
            <w:vAlign w:val="center"/>
          </w:tcPr>
          <w:p>
            <w:pPr>
              <w:spacing w:line="276" w:lineRule="auto"/>
              <w:jc w:val="center"/>
              <w:rPr>
                <w:szCs w:val="21"/>
              </w:rPr>
            </w:pPr>
            <w:r>
              <w:rPr>
                <w:rFonts w:hint="eastAsia"/>
                <w:szCs w:val="21"/>
              </w:rPr>
              <w:t>1</w:t>
            </w:r>
          </w:p>
        </w:tc>
        <w:tc>
          <w:tcPr>
            <w:tcW w:w="1776" w:type="pct"/>
            <w:vAlign w:val="center"/>
          </w:tcPr>
          <w:p>
            <w:pPr>
              <w:pStyle w:val="58"/>
              <w:spacing w:line="276" w:lineRule="auto"/>
              <w:jc w:val="center"/>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《一般工业固废贮存、处置场污染控制标准》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Merge w:val="continue"/>
            <w:vAlign w:val="center"/>
          </w:tcPr>
          <w:p>
            <w:pPr>
              <w:spacing w:line="276" w:lineRule="auto"/>
              <w:jc w:val="center"/>
              <w:rPr>
                <w:szCs w:val="21"/>
              </w:rPr>
            </w:pPr>
          </w:p>
        </w:tc>
        <w:tc>
          <w:tcPr>
            <w:tcW w:w="1196" w:type="pct"/>
            <w:vAlign w:val="center"/>
          </w:tcPr>
          <w:p>
            <w:pPr>
              <w:pStyle w:val="58"/>
              <w:spacing w:line="276" w:lineRule="auto"/>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垃圾桶</w:t>
            </w:r>
          </w:p>
        </w:tc>
        <w:tc>
          <w:tcPr>
            <w:tcW w:w="767" w:type="pct"/>
            <w:vAlign w:val="center"/>
          </w:tcPr>
          <w:p>
            <w:pPr>
              <w:spacing w:line="276" w:lineRule="auto"/>
              <w:jc w:val="center"/>
              <w:rPr>
                <w:szCs w:val="21"/>
              </w:rPr>
            </w:pPr>
            <w:r>
              <w:rPr>
                <w:rFonts w:hAnsi="宋体"/>
                <w:szCs w:val="21"/>
              </w:rPr>
              <w:t>厂区</w:t>
            </w:r>
          </w:p>
        </w:tc>
        <w:tc>
          <w:tcPr>
            <w:tcW w:w="448" w:type="pct"/>
            <w:vAlign w:val="center"/>
          </w:tcPr>
          <w:p>
            <w:pPr>
              <w:spacing w:line="276" w:lineRule="auto"/>
              <w:jc w:val="center"/>
              <w:rPr>
                <w:szCs w:val="21"/>
              </w:rPr>
            </w:pPr>
            <w:r>
              <w:rPr>
                <w:szCs w:val="21"/>
              </w:rPr>
              <w:t>/</w:t>
            </w:r>
          </w:p>
        </w:tc>
        <w:tc>
          <w:tcPr>
            <w:tcW w:w="416" w:type="pct"/>
            <w:vAlign w:val="center"/>
          </w:tcPr>
          <w:p>
            <w:pPr>
              <w:spacing w:line="276" w:lineRule="auto"/>
              <w:jc w:val="center"/>
              <w:rPr>
                <w:szCs w:val="21"/>
              </w:rPr>
            </w:pPr>
            <w:r>
              <w:rPr>
                <w:rFonts w:hAnsi="宋体"/>
                <w:szCs w:val="21"/>
              </w:rPr>
              <w:t>若干</w:t>
            </w:r>
          </w:p>
        </w:tc>
        <w:tc>
          <w:tcPr>
            <w:tcW w:w="1776" w:type="pct"/>
            <w:vAlign w:val="center"/>
          </w:tcPr>
          <w:p>
            <w:pPr>
              <w:spacing w:line="276" w:lineRule="auto"/>
              <w:jc w:val="center"/>
              <w:rPr>
                <w:szCs w:val="21"/>
              </w:rPr>
            </w:pPr>
            <w:r>
              <w:rPr>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Merge w:val="restart"/>
            <w:vAlign w:val="center"/>
          </w:tcPr>
          <w:p>
            <w:pPr>
              <w:spacing w:line="276" w:lineRule="auto"/>
              <w:jc w:val="center"/>
              <w:rPr>
                <w:szCs w:val="21"/>
              </w:rPr>
            </w:pPr>
            <w:r>
              <w:rPr>
                <w:rFonts w:hAnsi="宋体"/>
                <w:szCs w:val="21"/>
              </w:rPr>
              <w:t>噪声</w:t>
            </w:r>
          </w:p>
        </w:tc>
        <w:tc>
          <w:tcPr>
            <w:tcW w:w="1196" w:type="pct"/>
            <w:vAlign w:val="center"/>
          </w:tcPr>
          <w:p>
            <w:pPr>
              <w:pStyle w:val="58"/>
              <w:spacing w:line="276" w:lineRule="auto"/>
              <w:jc w:val="center"/>
              <w:rPr>
                <w:rFonts w:ascii="Times New Roman" w:hAnsi="Times New Roman" w:cs="Times New Roman"/>
                <w:color w:val="auto"/>
                <w:sz w:val="21"/>
                <w:szCs w:val="21"/>
              </w:rPr>
            </w:pPr>
            <w:r>
              <w:rPr>
                <w:rFonts w:ascii="Times New Roman" w:hAnsi="宋体" w:cs="Times New Roman"/>
                <w:color w:val="auto"/>
                <w:sz w:val="21"/>
                <w:szCs w:val="21"/>
              </w:rPr>
              <w:t>减振设施</w:t>
            </w:r>
          </w:p>
        </w:tc>
        <w:tc>
          <w:tcPr>
            <w:tcW w:w="767" w:type="pct"/>
            <w:vAlign w:val="center"/>
          </w:tcPr>
          <w:p>
            <w:pPr>
              <w:spacing w:line="276" w:lineRule="auto"/>
              <w:jc w:val="center"/>
              <w:rPr>
                <w:szCs w:val="21"/>
              </w:rPr>
            </w:pPr>
            <w:r>
              <w:rPr>
                <w:rFonts w:hAnsi="宋体"/>
                <w:szCs w:val="21"/>
              </w:rPr>
              <w:t>泵类、电葫芦</w:t>
            </w:r>
          </w:p>
        </w:tc>
        <w:tc>
          <w:tcPr>
            <w:tcW w:w="448" w:type="pct"/>
            <w:vAlign w:val="center"/>
          </w:tcPr>
          <w:p>
            <w:pPr>
              <w:spacing w:line="276" w:lineRule="auto"/>
              <w:jc w:val="center"/>
              <w:rPr>
                <w:szCs w:val="21"/>
              </w:rPr>
            </w:pPr>
            <w:r>
              <w:rPr>
                <w:szCs w:val="21"/>
              </w:rPr>
              <w:t>/</w:t>
            </w:r>
          </w:p>
        </w:tc>
        <w:tc>
          <w:tcPr>
            <w:tcW w:w="416" w:type="pct"/>
            <w:vAlign w:val="center"/>
          </w:tcPr>
          <w:p>
            <w:pPr>
              <w:spacing w:line="276" w:lineRule="auto"/>
              <w:jc w:val="center"/>
              <w:rPr>
                <w:szCs w:val="21"/>
              </w:rPr>
            </w:pPr>
            <w:r>
              <w:rPr>
                <w:rFonts w:hAnsi="宋体"/>
                <w:szCs w:val="21"/>
              </w:rPr>
              <w:t>若干</w:t>
            </w:r>
          </w:p>
        </w:tc>
        <w:tc>
          <w:tcPr>
            <w:tcW w:w="1776" w:type="pct"/>
            <w:vMerge w:val="restart"/>
            <w:vAlign w:val="center"/>
          </w:tcPr>
          <w:p>
            <w:pPr>
              <w:pStyle w:val="58"/>
              <w:spacing w:line="276" w:lineRule="auto"/>
              <w:jc w:val="center"/>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GB12348-2008</w:t>
            </w:r>
            <w:r>
              <w:rPr>
                <w:rFonts w:ascii="Times New Roman" w:hAnsi="宋体" w:cs="Times New Roman"/>
                <w:color w:val="auto"/>
                <w:sz w:val="21"/>
                <w:szCs w:val="21"/>
                <w:lang w:eastAsia="zh-CN"/>
              </w:rPr>
              <w:t>《工业企业厂界环境噪声排放标准》</w:t>
            </w:r>
            <w:r>
              <w:rPr>
                <w:rFonts w:ascii="Times New Roman" w:hAnsi="Times New Roman" w:cs="Times New Roman"/>
                <w:color w:val="auto"/>
                <w:sz w:val="21"/>
                <w:szCs w:val="21"/>
                <w:lang w:eastAsia="zh-CN"/>
              </w:rPr>
              <w:t>2</w:t>
            </w:r>
            <w:r>
              <w:rPr>
                <w:rFonts w:ascii="Times New Roman" w:hAnsi="宋体" w:cs="Times New Roman"/>
                <w:color w:val="auto"/>
                <w:sz w:val="21"/>
                <w:szCs w:val="21"/>
                <w:lang w:eastAsia="zh-CN"/>
              </w:rPr>
              <w:t>、</w:t>
            </w:r>
            <w:r>
              <w:rPr>
                <w:rFonts w:ascii="Times New Roman" w:hAnsi="Times New Roman" w:cs="Times New Roman"/>
                <w:color w:val="auto"/>
                <w:sz w:val="21"/>
                <w:szCs w:val="21"/>
                <w:lang w:eastAsia="zh-CN"/>
              </w:rPr>
              <w:t>4</w:t>
            </w:r>
            <w:r>
              <w:rPr>
                <w:rFonts w:ascii="Times New Roman" w:hAnsi="宋体" w:cs="Times New Roman"/>
                <w:color w:val="auto"/>
                <w:sz w:val="21"/>
                <w:szCs w:val="21"/>
                <w:lang w:eastAsia="zh-CN"/>
              </w:rPr>
              <w:t>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Merge w:val="continue"/>
            <w:vAlign w:val="center"/>
          </w:tcPr>
          <w:p>
            <w:pPr>
              <w:spacing w:line="276" w:lineRule="auto"/>
              <w:jc w:val="center"/>
              <w:rPr>
                <w:szCs w:val="21"/>
              </w:rPr>
            </w:pPr>
          </w:p>
        </w:tc>
        <w:tc>
          <w:tcPr>
            <w:tcW w:w="1196" w:type="pct"/>
            <w:vAlign w:val="center"/>
          </w:tcPr>
          <w:p>
            <w:pPr>
              <w:pStyle w:val="58"/>
              <w:spacing w:line="276" w:lineRule="auto"/>
              <w:jc w:val="center"/>
              <w:rPr>
                <w:rFonts w:ascii="Times New Roman" w:hAnsi="Times New Roman" w:cs="Times New Roman"/>
                <w:color w:val="auto"/>
                <w:sz w:val="21"/>
                <w:szCs w:val="21"/>
              </w:rPr>
            </w:pPr>
            <w:r>
              <w:rPr>
                <w:rFonts w:ascii="Times New Roman" w:hAnsi="宋体" w:cs="Times New Roman"/>
                <w:color w:val="auto"/>
                <w:sz w:val="21"/>
                <w:szCs w:val="21"/>
              </w:rPr>
              <w:t>消声器</w:t>
            </w:r>
          </w:p>
        </w:tc>
        <w:tc>
          <w:tcPr>
            <w:tcW w:w="767" w:type="pct"/>
            <w:vAlign w:val="center"/>
          </w:tcPr>
          <w:p>
            <w:pPr>
              <w:spacing w:line="276" w:lineRule="auto"/>
              <w:jc w:val="center"/>
              <w:rPr>
                <w:szCs w:val="21"/>
              </w:rPr>
            </w:pPr>
            <w:r>
              <w:rPr>
                <w:rFonts w:hAnsi="宋体"/>
                <w:szCs w:val="21"/>
              </w:rPr>
              <w:t>风机</w:t>
            </w:r>
          </w:p>
        </w:tc>
        <w:tc>
          <w:tcPr>
            <w:tcW w:w="448" w:type="pct"/>
            <w:vAlign w:val="center"/>
          </w:tcPr>
          <w:p>
            <w:pPr>
              <w:spacing w:line="276" w:lineRule="auto"/>
              <w:jc w:val="center"/>
              <w:rPr>
                <w:szCs w:val="21"/>
              </w:rPr>
            </w:pPr>
            <w:r>
              <w:rPr>
                <w:szCs w:val="21"/>
              </w:rPr>
              <w:t>/</w:t>
            </w:r>
          </w:p>
        </w:tc>
        <w:tc>
          <w:tcPr>
            <w:tcW w:w="416" w:type="pct"/>
            <w:vAlign w:val="center"/>
          </w:tcPr>
          <w:p>
            <w:pPr>
              <w:spacing w:line="276" w:lineRule="auto"/>
              <w:jc w:val="center"/>
              <w:rPr>
                <w:szCs w:val="21"/>
              </w:rPr>
            </w:pPr>
            <w:r>
              <w:rPr>
                <w:rFonts w:hAnsi="宋体"/>
                <w:szCs w:val="21"/>
              </w:rPr>
              <w:t>若干</w:t>
            </w:r>
          </w:p>
        </w:tc>
        <w:tc>
          <w:tcPr>
            <w:tcW w:w="1776" w:type="pct"/>
            <w:vMerge w:val="continue"/>
            <w:vAlign w:val="center"/>
          </w:tcPr>
          <w:p>
            <w:pPr>
              <w:spacing w:line="276" w:lineRule="auto"/>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Align w:val="center"/>
          </w:tcPr>
          <w:p>
            <w:pPr>
              <w:spacing w:line="276" w:lineRule="auto"/>
              <w:jc w:val="center"/>
              <w:rPr>
                <w:szCs w:val="21"/>
              </w:rPr>
            </w:pPr>
            <w:r>
              <w:rPr>
                <w:rFonts w:hAnsi="宋体"/>
                <w:szCs w:val="21"/>
              </w:rPr>
              <w:t>生态</w:t>
            </w:r>
          </w:p>
        </w:tc>
        <w:tc>
          <w:tcPr>
            <w:tcW w:w="4604" w:type="pct"/>
            <w:gridSpan w:val="5"/>
            <w:vAlign w:val="center"/>
          </w:tcPr>
          <w:p>
            <w:pPr>
              <w:pStyle w:val="58"/>
              <w:spacing w:line="276" w:lineRule="auto"/>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水源管理站绿化率</w:t>
            </w:r>
            <w:r>
              <w:rPr>
                <w:rFonts w:ascii="Times New Roman" w:hAnsi="Times New Roman" w:cs="Times New Roman"/>
                <w:color w:val="auto"/>
                <w:sz w:val="21"/>
                <w:szCs w:val="21"/>
                <w:lang w:eastAsia="zh-CN"/>
              </w:rPr>
              <w:t>30%</w:t>
            </w:r>
            <w:r>
              <w:rPr>
                <w:rFonts w:ascii="Times New Roman" w:hAnsi="宋体" w:cs="Times New Roman"/>
                <w:color w:val="auto"/>
                <w:sz w:val="21"/>
                <w:szCs w:val="21"/>
                <w:lang w:eastAsia="zh-CN"/>
              </w:rPr>
              <w:t>；输水管线临时占地全部恢复植被；道路两侧绿化</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Merge w:val="restart"/>
            <w:vAlign w:val="center"/>
          </w:tcPr>
          <w:p>
            <w:pPr>
              <w:spacing w:line="276" w:lineRule="auto"/>
              <w:jc w:val="center"/>
              <w:rPr>
                <w:szCs w:val="21"/>
              </w:rPr>
            </w:pPr>
            <w:r>
              <w:rPr>
                <w:rFonts w:hAnsi="宋体"/>
                <w:szCs w:val="21"/>
              </w:rPr>
              <w:t>环境管理</w:t>
            </w:r>
          </w:p>
        </w:tc>
        <w:tc>
          <w:tcPr>
            <w:tcW w:w="4604" w:type="pct"/>
            <w:gridSpan w:val="5"/>
            <w:vAlign w:val="center"/>
          </w:tcPr>
          <w:p>
            <w:pPr>
              <w:pStyle w:val="58"/>
              <w:spacing w:line="276" w:lineRule="auto"/>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成立环保科，设专职环保管理人员，购置环境监测设备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Merge w:val="continue"/>
            <w:vAlign w:val="center"/>
          </w:tcPr>
          <w:p>
            <w:pPr>
              <w:spacing w:line="276" w:lineRule="auto"/>
              <w:jc w:val="center"/>
              <w:rPr>
                <w:szCs w:val="21"/>
              </w:rPr>
            </w:pPr>
          </w:p>
        </w:tc>
        <w:tc>
          <w:tcPr>
            <w:tcW w:w="4604" w:type="pct"/>
            <w:gridSpan w:val="5"/>
            <w:vAlign w:val="center"/>
          </w:tcPr>
          <w:p>
            <w:pPr>
              <w:pStyle w:val="58"/>
              <w:spacing w:line="276" w:lineRule="auto"/>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设厂区绿化专职管理人员</w:t>
            </w:r>
            <w:r>
              <w:rPr>
                <w:rFonts w:ascii="Times New Roman" w:hAnsi="Times New Roman" w:cs="Times New Roman"/>
                <w:color w:val="auto"/>
                <w:sz w:val="21"/>
                <w:szCs w:val="21"/>
                <w:lang w:eastAsia="zh-CN"/>
              </w:rPr>
              <w:t>1</w:t>
            </w:r>
            <w:r>
              <w:rPr>
                <w:rFonts w:ascii="Times New Roman" w:hAnsi="宋体" w:cs="Times New Roman"/>
                <w:color w:val="auto"/>
                <w:sz w:val="21"/>
                <w:szCs w:val="21"/>
                <w:lang w:eastAsia="zh-CN"/>
              </w:rPr>
              <w:t>～</w:t>
            </w:r>
            <w:r>
              <w:rPr>
                <w:rFonts w:ascii="Times New Roman" w:hAnsi="Times New Roman" w:cs="Times New Roman"/>
                <w:color w:val="auto"/>
                <w:sz w:val="21"/>
                <w:szCs w:val="21"/>
                <w:lang w:eastAsia="zh-CN"/>
              </w:rPr>
              <w:t>2</w:t>
            </w:r>
            <w:r>
              <w:rPr>
                <w:rFonts w:ascii="Times New Roman" w:hAnsi="宋体" w:cs="Times New Roman"/>
                <w:color w:val="auto"/>
                <w:sz w:val="21"/>
                <w:szCs w:val="21"/>
                <w:lang w:eastAsia="zh-CN"/>
              </w:rPr>
              <w:t>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Merge w:val="continue"/>
            <w:vAlign w:val="center"/>
          </w:tcPr>
          <w:p>
            <w:pPr>
              <w:spacing w:line="276" w:lineRule="auto"/>
              <w:jc w:val="center"/>
              <w:rPr>
                <w:szCs w:val="21"/>
              </w:rPr>
            </w:pPr>
          </w:p>
        </w:tc>
        <w:tc>
          <w:tcPr>
            <w:tcW w:w="4604" w:type="pct"/>
            <w:gridSpan w:val="5"/>
            <w:vAlign w:val="center"/>
          </w:tcPr>
          <w:p>
            <w:pPr>
              <w:pStyle w:val="58"/>
              <w:spacing w:line="276" w:lineRule="auto"/>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建立健全风险防范措施和应急预案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396" w:type="pct"/>
            <w:vMerge w:val="continue"/>
            <w:vAlign w:val="center"/>
          </w:tcPr>
          <w:p>
            <w:pPr>
              <w:spacing w:line="276" w:lineRule="auto"/>
              <w:jc w:val="center"/>
              <w:rPr>
                <w:szCs w:val="21"/>
              </w:rPr>
            </w:pPr>
          </w:p>
        </w:tc>
        <w:tc>
          <w:tcPr>
            <w:tcW w:w="4604" w:type="pct"/>
            <w:gridSpan w:val="5"/>
            <w:vAlign w:val="center"/>
          </w:tcPr>
          <w:p>
            <w:pPr>
              <w:pStyle w:val="58"/>
              <w:spacing w:line="276" w:lineRule="auto"/>
              <w:jc w:val="center"/>
              <w:rPr>
                <w:rFonts w:ascii="Times New Roman" w:hAnsi="Times New Roman" w:cs="Times New Roman"/>
                <w:color w:val="auto"/>
                <w:sz w:val="21"/>
                <w:szCs w:val="21"/>
                <w:lang w:eastAsia="zh-CN"/>
              </w:rPr>
            </w:pPr>
            <w:r>
              <w:rPr>
                <w:rFonts w:ascii="Times New Roman" w:hAnsi="宋体" w:cs="Times New Roman"/>
                <w:color w:val="auto"/>
                <w:sz w:val="21"/>
                <w:szCs w:val="21"/>
                <w:lang w:eastAsia="zh-CN"/>
              </w:rPr>
              <w:t>环保设施、环境管理规章制度、施工期环境监理报告等</w:t>
            </w:r>
          </w:p>
        </w:tc>
      </w:tr>
    </w:tbl>
    <w:p>
      <w:pPr>
        <w:pStyle w:val="61"/>
        <w:rPr>
          <w:i/>
          <w:color w:val="auto"/>
        </w:rPr>
      </w:pPr>
      <w:bookmarkStart w:id="122" w:name="_Toc436902205"/>
      <w:r>
        <w:rPr>
          <w:rFonts w:hint="eastAsia"/>
          <w:color w:val="auto"/>
        </w:rPr>
        <w:t>12.5环保监督管理</w:t>
      </w:r>
      <w:bookmarkEnd w:id="122"/>
    </w:p>
    <w:p>
      <w:pPr>
        <w:pStyle w:val="63"/>
        <w:ind w:firstLine="480"/>
        <w:rPr>
          <w:color w:val="auto"/>
        </w:rPr>
      </w:pPr>
      <w:r>
        <w:rPr>
          <w:color w:val="auto"/>
        </w:rPr>
        <w:t>西咸新区泾河新城管委会规划建设环保局负责对项目环境保护工作实施监督管理，组织和协调有关机构为项目环境保护工作服务，审查环境影响报告书，监督项目环境管理计划的实施，负责项目环保设施的竣工验收，确认项目应执行的环境管理法规和标准。</w:t>
      </w:r>
    </w:p>
    <w:p>
      <w:pPr>
        <w:pStyle w:val="61"/>
        <w:rPr>
          <w:color w:val="auto"/>
        </w:rPr>
      </w:pPr>
      <w:bookmarkStart w:id="123" w:name="_Toc436902206"/>
      <w:r>
        <w:rPr>
          <w:rFonts w:hint="eastAsia"/>
          <w:color w:val="auto"/>
        </w:rPr>
        <w:t>12.6排污口管理</w:t>
      </w:r>
      <w:bookmarkEnd w:id="123"/>
    </w:p>
    <w:p>
      <w:pPr>
        <w:pStyle w:val="63"/>
        <w:ind w:firstLine="480"/>
        <w:rPr>
          <w:color w:val="auto"/>
        </w:rPr>
      </w:pPr>
      <w:r>
        <w:rPr>
          <w:rFonts w:hint="eastAsia"/>
          <w:color w:val="auto"/>
        </w:rPr>
        <w:t>排污口是企业排放污染物进入环境的通道，强化排污口的管理是实施污染物总量控制的基础工作之一，也是区域环境管理逐步实现污染物排放科学化、定量化的重要手段。</w:t>
      </w:r>
    </w:p>
    <w:p>
      <w:pPr>
        <w:pStyle w:val="62"/>
        <w:rPr>
          <w:color w:val="auto"/>
        </w:rPr>
      </w:pPr>
      <w:r>
        <w:rPr>
          <w:rFonts w:hint="eastAsia"/>
          <w:color w:val="auto"/>
        </w:rPr>
        <w:t>12.6.1排污口规范化管理的基本原则</w:t>
      </w:r>
    </w:p>
    <w:p>
      <w:pPr>
        <w:pStyle w:val="63"/>
        <w:ind w:firstLine="480"/>
        <w:rPr>
          <w:color w:val="auto"/>
        </w:rPr>
      </w:pPr>
      <w:r>
        <w:rPr>
          <w:rFonts w:hint="eastAsia"/>
          <w:color w:val="auto"/>
        </w:rPr>
        <w:t>（1）向环境排放污染物的排污口必须规范化；</w:t>
      </w:r>
    </w:p>
    <w:p>
      <w:pPr>
        <w:pStyle w:val="63"/>
        <w:ind w:firstLine="480"/>
        <w:rPr>
          <w:color w:val="auto"/>
        </w:rPr>
      </w:pPr>
      <w:r>
        <w:rPr>
          <w:rFonts w:hint="eastAsia"/>
          <w:color w:val="auto"/>
        </w:rPr>
        <w:t>（2）排污口应便于采样与计量监测，便于日常现场监督检查。</w:t>
      </w:r>
    </w:p>
    <w:p>
      <w:pPr>
        <w:pStyle w:val="62"/>
        <w:rPr>
          <w:color w:val="auto"/>
        </w:rPr>
      </w:pPr>
      <w:r>
        <w:rPr>
          <w:rFonts w:hint="eastAsia"/>
          <w:color w:val="auto"/>
        </w:rPr>
        <w:t>12.6.2排污口的技术要求</w:t>
      </w:r>
    </w:p>
    <w:p>
      <w:pPr>
        <w:pStyle w:val="63"/>
        <w:ind w:firstLine="480"/>
        <w:rPr>
          <w:color w:val="auto"/>
        </w:rPr>
      </w:pPr>
      <w:r>
        <w:rPr>
          <w:rFonts w:hint="eastAsia"/>
          <w:color w:val="auto"/>
        </w:rPr>
        <w:t>（1）</w:t>
      </w:r>
      <w:r>
        <w:rPr>
          <w:color w:val="auto"/>
        </w:rPr>
        <w:t>排污口的位置必须合理确定，按环监（1996）470号文件《排污口规范化整治技术要求》的要求进行规范化管理；</w:t>
      </w:r>
    </w:p>
    <w:p>
      <w:pPr>
        <w:pStyle w:val="63"/>
        <w:ind w:firstLine="480"/>
        <w:rPr>
          <w:color w:val="auto"/>
        </w:rPr>
      </w:pPr>
      <w:r>
        <w:rPr>
          <w:rFonts w:hint="eastAsia"/>
          <w:color w:val="auto"/>
        </w:rPr>
        <w:t>（2）</w:t>
      </w:r>
      <w:r>
        <w:rPr>
          <w:color w:val="auto"/>
        </w:rPr>
        <w:t>排放的采样点设置应按《污染源监测技术规范》要求，设置在企业污染物总排口处；</w:t>
      </w:r>
    </w:p>
    <w:p>
      <w:pPr>
        <w:pStyle w:val="62"/>
        <w:rPr>
          <w:color w:val="auto"/>
        </w:rPr>
      </w:pPr>
      <w:r>
        <w:rPr>
          <w:rFonts w:hint="eastAsia"/>
          <w:color w:val="auto"/>
        </w:rPr>
        <w:t>12.6.3排污口建档管理</w:t>
      </w:r>
    </w:p>
    <w:p>
      <w:pPr>
        <w:pStyle w:val="63"/>
        <w:ind w:firstLine="480"/>
        <w:rPr>
          <w:rFonts w:cs="Times New Roman"/>
          <w:color w:val="auto"/>
        </w:rPr>
      </w:pPr>
      <w:r>
        <w:rPr>
          <w:rFonts w:cs="Times New Roman"/>
          <w:color w:val="auto"/>
        </w:rPr>
        <w:t>（1）要求使用国家环保局统一印刷的《中华人民共和国规范化排污口标志登记证》，并按要求填写有关内容</w:t>
      </w:r>
      <w:r>
        <w:rPr>
          <w:rFonts w:hint="eastAsia" w:cs="Times New Roman"/>
          <w:color w:val="auto"/>
        </w:rPr>
        <w:t>。</w:t>
      </w:r>
    </w:p>
    <w:p>
      <w:pPr>
        <w:pStyle w:val="63"/>
        <w:ind w:firstLine="480"/>
        <w:rPr>
          <w:rFonts w:cs="Times New Roman"/>
          <w:color w:val="auto"/>
        </w:rPr>
        <w:sectPr>
          <w:pgSz w:w="11906" w:h="16838"/>
          <w:pgMar w:top="1440" w:right="1440" w:bottom="1440" w:left="1440" w:header="851" w:footer="992" w:gutter="0"/>
          <w:cols w:space="720" w:num="1"/>
          <w:titlePg/>
          <w:docGrid w:type="linesAndChars" w:linePitch="312" w:charSpace="0"/>
        </w:sectPr>
      </w:pPr>
      <w:r>
        <w:rPr>
          <w:rFonts w:hint="eastAsia"/>
          <w:color w:val="auto"/>
        </w:rPr>
        <w:t>（2）根据排污口管理档案内容要求，项目建成后，应将主要污染物种类、数量、浓度、排放去向、达标情况及设施运行情况纪录于档案。</w:t>
      </w:r>
    </w:p>
    <w:p>
      <w:pPr>
        <w:pStyle w:val="60"/>
        <w:spacing w:before="156" w:after="156"/>
      </w:pPr>
      <w:bookmarkStart w:id="124" w:name="_Toc436902207"/>
      <w:r>
        <w:rPr>
          <w:rFonts w:hint="eastAsia"/>
        </w:rPr>
        <w:t>13 产业政策及规划符合性分析</w:t>
      </w:r>
      <w:bookmarkEnd w:id="124"/>
    </w:p>
    <w:p>
      <w:pPr>
        <w:pStyle w:val="61"/>
        <w:rPr>
          <w:i/>
          <w:color w:val="auto"/>
        </w:rPr>
      </w:pPr>
      <w:bookmarkStart w:id="125" w:name="_Toc436902208"/>
      <w:r>
        <w:rPr>
          <w:rFonts w:hint="eastAsia"/>
          <w:color w:val="auto"/>
        </w:rPr>
        <w:t>13.1产业政策符合性分析</w:t>
      </w:r>
      <w:bookmarkEnd w:id="125"/>
    </w:p>
    <w:p>
      <w:pPr>
        <w:pStyle w:val="63"/>
        <w:ind w:firstLine="480"/>
        <w:rPr>
          <w:color w:val="auto"/>
        </w:rPr>
      </w:pPr>
      <w:r>
        <w:rPr>
          <w:color w:val="auto"/>
        </w:rPr>
        <w:t>本项目主要建设内容为新建水源地、输水管线及水源地管理站</w:t>
      </w:r>
      <w:r>
        <w:rPr>
          <w:rFonts w:hint="eastAsia"/>
          <w:color w:val="auto"/>
        </w:rPr>
        <w:t>和给水处理站</w:t>
      </w:r>
      <w:r>
        <w:rPr>
          <w:color w:val="auto"/>
        </w:rPr>
        <w:t>。</w:t>
      </w:r>
    </w:p>
    <w:p>
      <w:pPr>
        <w:pStyle w:val="63"/>
        <w:ind w:firstLine="480"/>
        <w:rPr>
          <w:color w:val="auto"/>
        </w:rPr>
      </w:pPr>
      <w:r>
        <w:rPr>
          <w:color w:val="auto"/>
        </w:rPr>
        <w:t>根据国家发展和改革委员会2011第9号令《产业结构调整指导目录（2011年本）》（2013年修订）本项目属于鼓励类中</w:t>
      </w:r>
      <w:r>
        <w:rPr>
          <w:rFonts w:hint="eastAsia"/>
          <w:color w:val="auto"/>
        </w:rPr>
        <w:t>“</w:t>
      </w:r>
      <w:r>
        <w:rPr>
          <w:color w:val="auto"/>
        </w:rPr>
        <w:t>第二十二、城市基础设施</w:t>
      </w:r>
      <w:r>
        <w:rPr>
          <w:rFonts w:hint="eastAsia"/>
          <w:color w:val="auto"/>
        </w:rPr>
        <w:t>”</w:t>
      </w:r>
      <w:r>
        <w:rPr>
          <w:color w:val="auto"/>
        </w:rPr>
        <w:t>中</w:t>
      </w:r>
      <w:r>
        <w:rPr>
          <w:rFonts w:hint="eastAsia"/>
          <w:color w:val="auto"/>
        </w:rPr>
        <w:t>“</w:t>
      </w:r>
      <w:r>
        <w:rPr>
          <w:color w:val="auto"/>
        </w:rPr>
        <w:t>9、城镇供排水管网工程、供水水源及净水厂工程</w:t>
      </w:r>
      <w:r>
        <w:rPr>
          <w:rFonts w:hint="eastAsia"/>
          <w:color w:val="auto"/>
        </w:rPr>
        <w:t>”</w:t>
      </w:r>
      <w:r>
        <w:rPr>
          <w:color w:val="auto"/>
        </w:rPr>
        <w:t>，项目所采用的主要生产工艺及设备不属于指导目录里的限制类和淘汰类；所以，本项目属于《产业结构调整指导目录（2011年本）》（2013年修订）中的鼓励类项目。</w:t>
      </w:r>
    </w:p>
    <w:p>
      <w:pPr>
        <w:pStyle w:val="61"/>
        <w:rPr>
          <w:i/>
          <w:color w:val="auto"/>
        </w:rPr>
      </w:pPr>
      <w:bookmarkStart w:id="126" w:name="_Toc436902209"/>
      <w:r>
        <w:rPr>
          <w:rFonts w:hint="eastAsia"/>
          <w:color w:val="auto"/>
        </w:rPr>
        <w:t>13.2规划符合性分析</w:t>
      </w:r>
      <w:bookmarkEnd w:id="126"/>
    </w:p>
    <w:p>
      <w:pPr>
        <w:pStyle w:val="62"/>
        <w:rPr>
          <w:color w:val="auto"/>
        </w:rPr>
      </w:pPr>
      <w:r>
        <w:rPr>
          <w:rFonts w:hint="eastAsia"/>
          <w:color w:val="auto"/>
        </w:rPr>
        <w:t>13.2.1《陕西省国民经济和社会发展第十二个五年规划纲要》</w:t>
      </w:r>
    </w:p>
    <w:p>
      <w:pPr>
        <w:pStyle w:val="63"/>
        <w:ind w:firstLine="480"/>
        <w:rPr>
          <w:color w:val="auto"/>
        </w:rPr>
      </w:pPr>
      <w:r>
        <w:rPr>
          <w:color w:val="auto"/>
        </w:rPr>
        <w:t>《陕西省国民经济和社会发展第十二个五年规划纲要》第七章，加强水利设施建设，一、重点水源建设。建成引红济石调水、延安延川引黄和榆林王圪堵、延安南沟门、咸阳亭口水库等骨干水源工程，推进引汉济渭取得重大进展，力争完成主体工程。加强中小水库建设，完善重点城镇和工业区供水设施。积极开展泾河东庄水库、榆林大泉引黄、月河补水等前期工作，力争开工建设。五年投资300多亿元，新增供水能力18亿立方米，水资源调配和保障能力显著增强，对经济社会发展的瓶颈制约明显缓解。</w:t>
      </w:r>
    </w:p>
    <w:p>
      <w:pPr>
        <w:pStyle w:val="63"/>
        <w:ind w:firstLine="480"/>
        <w:rPr>
          <w:rFonts w:cs="Times New Roman"/>
          <w:color w:val="auto"/>
        </w:rPr>
      </w:pPr>
      <w:r>
        <w:rPr>
          <w:rFonts w:cs="Times New Roman"/>
          <w:color w:val="auto"/>
        </w:rPr>
        <w:t>本项目位于西咸新区泾河新城，包括水源地、水源管理站、输水管线工程及保障房给水处理站，建成后为泾河南北两岸在建项目提供水源。符合《陕西省国民经济和社会发展第十二个五年规划纲要》的相关内容。</w:t>
      </w:r>
    </w:p>
    <w:p>
      <w:pPr>
        <w:pStyle w:val="62"/>
        <w:rPr>
          <w:color w:val="auto"/>
        </w:rPr>
      </w:pPr>
      <w:r>
        <w:rPr>
          <w:rFonts w:hint="eastAsia"/>
          <w:color w:val="auto"/>
        </w:rPr>
        <w:t>13.2.2《西咸新区总体规划》（2010-2020年）</w:t>
      </w:r>
    </w:p>
    <w:p>
      <w:pPr>
        <w:pStyle w:val="63"/>
        <w:ind w:firstLine="480"/>
        <w:rPr>
          <w:color w:val="auto"/>
        </w:rPr>
      </w:pPr>
      <w:r>
        <w:rPr>
          <w:color w:val="auto"/>
        </w:rPr>
        <w:t>《西咸新区总体规划》（2010-2020年）文件中，第十一章市政设施规划第53条给水工程指出：</w:t>
      </w:r>
      <w:r>
        <w:rPr>
          <w:rFonts w:ascii="宋体" w:hAnsi="宋体"/>
          <w:color w:val="auto"/>
        </w:rPr>
        <w:t>“2、水源地规划：以秦岭北麓地表水引汉济渭工程作为区域主要供水水源，远景建设东庄水库作为第二水源，用区域内污水资源化利用后的再生水、雨水资源等，形成区域多水源联合供水保障体系</w:t>
      </w:r>
      <w:r>
        <w:rPr>
          <w:rFonts w:hint="eastAsia" w:ascii="宋体" w:hAnsi="宋体"/>
          <w:color w:val="auto"/>
        </w:rPr>
        <w:t>。整合现状地下水源，将其纳入区域应急备用供水系统</w:t>
      </w:r>
      <w:r>
        <w:rPr>
          <w:rFonts w:ascii="宋体" w:hAnsi="宋体"/>
          <w:color w:val="auto"/>
        </w:rPr>
        <w:t>”</w:t>
      </w:r>
      <w:r>
        <w:rPr>
          <w:color w:val="auto"/>
        </w:rPr>
        <w:t>；</w:t>
      </w:r>
      <w:r>
        <w:rPr>
          <w:rFonts w:ascii="宋体" w:hAnsi="宋体"/>
          <w:color w:val="auto"/>
        </w:rPr>
        <w:t>“3、给水设施规划：渭河以北建设引汉过渭工程，配套建设引汉过渭泾渭水厂，渭河以南以汉济渭工程调水作为主供水源，建设沣河水厂，建设形成新区与西安，咸阳主城区供水设施全面对接，渭河南北相连，主环相接的供水网络”</w:t>
      </w:r>
      <w:r>
        <w:rPr>
          <w:color w:val="auto"/>
        </w:rPr>
        <w:t>。</w:t>
      </w:r>
    </w:p>
    <w:p>
      <w:pPr>
        <w:pStyle w:val="63"/>
        <w:ind w:firstLine="480"/>
        <w:rPr>
          <w:rFonts w:cs="Times New Roman"/>
          <w:color w:val="auto"/>
        </w:rPr>
      </w:pPr>
      <w:r>
        <w:rPr>
          <w:rFonts w:cs="Times New Roman"/>
          <w:color w:val="auto"/>
        </w:rPr>
        <w:t>西咸新区泾河新城截止2014年底，人口总数突破15万，现状供水主要靠地下水源，县自来水公司共有机井10眼，供水管网覆盖面积约9平方公里，供水范围覆盖现状城区大部分区域。近期泾河新城内主要的在建项目为泾河南岸乐华城、泾河北岸秦龙现代农业产业园及崇文重点镇保障房，三处项目都即将交付使用，存在有网无水的状态。而规划中的水源张家山泉水、西安市供水管网以及引汉济渭工程在短期内都难以解决。</w:t>
      </w:r>
    </w:p>
    <w:p>
      <w:pPr>
        <w:pStyle w:val="63"/>
        <w:ind w:firstLine="480"/>
        <w:rPr>
          <w:rFonts w:cs="Times New Roman"/>
          <w:color w:val="auto"/>
        </w:rPr>
      </w:pPr>
      <w:r>
        <w:rPr>
          <w:rFonts w:cs="Times New Roman"/>
          <w:color w:val="auto"/>
        </w:rPr>
        <w:t>本项目为应急供水工程，项目运营后可彻底解决泾河新城近期用水的供需矛盾，促进经济的发展。符合《西咸新区总体规划》中提出的“整合地下水资源，将其纳入区域应急备用供水系统”的要求。</w:t>
      </w:r>
    </w:p>
    <w:p>
      <w:pPr>
        <w:pStyle w:val="62"/>
        <w:rPr>
          <w:color w:val="auto"/>
        </w:rPr>
      </w:pPr>
      <w:r>
        <w:rPr>
          <w:rFonts w:hint="eastAsia"/>
          <w:color w:val="auto"/>
        </w:rPr>
        <w:t>13.2.3《西咸新区-泾河新城分区规划》（2010-2020年）</w:t>
      </w:r>
    </w:p>
    <w:p>
      <w:pPr>
        <w:pStyle w:val="63"/>
        <w:ind w:firstLine="480"/>
        <w:rPr>
          <w:color w:val="auto"/>
        </w:rPr>
      </w:pPr>
      <w:r>
        <w:rPr>
          <w:color w:val="auto"/>
        </w:rPr>
        <w:t>《西咸新区-泾河新城分区规划》（2010-2020年）中</w:t>
      </w:r>
      <w:r>
        <w:rPr>
          <w:rFonts w:ascii="宋体" w:hAnsi="宋体"/>
          <w:color w:val="auto"/>
        </w:rPr>
        <w:t>“给水工程规划”</w:t>
      </w:r>
      <w:r>
        <w:rPr>
          <w:color w:val="auto"/>
        </w:rPr>
        <w:t>指出：</w:t>
      </w:r>
    </w:p>
    <w:p>
      <w:pPr>
        <w:pStyle w:val="63"/>
        <w:ind w:firstLine="480"/>
        <w:rPr>
          <w:color w:val="auto"/>
        </w:rPr>
      </w:pPr>
      <w:r>
        <w:rPr>
          <w:color w:val="auto"/>
        </w:rPr>
        <w:t>（1）供水方案：</w:t>
      </w:r>
    </w:p>
    <w:p>
      <w:pPr>
        <w:pStyle w:val="63"/>
        <w:ind w:firstLine="480"/>
        <w:rPr>
          <w:color w:val="auto"/>
        </w:rPr>
      </w:pPr>
      <w:r>
        <w:rPr>
          <w:rFonts w:hint="eastAsia" w:ascii="宋体" w:hAnsi="宋体"/>
          <w:color w:val="auto"/>
        </w:rPr>
        <w:t>①</w:t>
      </w:r>
      <w:r>
        <w:rPr>
          <w:color w:val="auto"/>
        </w:rPr>
        <w:t>近期供水方案：水源：泾河傍河地下水源。</w:t>
      </w:r>
    </w:p>
    <w:p>
      <w:pPr>
        <w:pStyle w:val="63"/>
        <w:ind w:firstLine="480"/>
        <w:rPr>
          <w:color w:val="auto"/>
        </w:rPr>
      </w:pPr>
      <w:r>
        <w:rPr>
          <w:color w:val="auto"/>
        </w:rPr>
        <w:t>规划在泾河南岸、北岸各建给水厂一座，南岸给水厂规模3万m</w:t>
      </w:r>
      <w:r>
        <w:rPr>
          <w:color w:val="auto"/>
          <w:vertAlign w:val="superscript"/>
        </w:rPr>
        <w:t>3</w:t>
      </w:r>
      <w:r>
        <w:rPr>
          <w:color w:val="auto"/>
        </w:rPr>
        <w:t>/d，北岸给水厂规模3万m</w:t>
      </w:r>
      <w:r>
        <w:rPr>
          <w:color w:val="auto"/>
          <w:vertAlign w:val="superscript"/>
        </w:rPr>
        <w:t>3</w:t>
      </w:r>
      <w:r>
        <w:rPr>
          <w:color w:val="auto"/>
        </w:rPr>
        <w:t>/d。</w:t>
      </w:r>
    </w:p>
    <w:p>
      <w:pPr>
        <w:pStyle w:val="63"/>
        <w:ind w:firstLine="480"/>
        <w:rPr>
          <w:color w:val="auto"/>
        </w:rPr>
      </w:pPr>
      <w:r>
        <w:rPr>
          <w:rFonts w:hint="eastAsia" w:ascii="宋体" w:hAnsi="宋体"/>
          <w:color w:val="auto"/>
        </w:rPr>
        <w:t>②</w:t>
      </w:r>
      <w:r>
        <w:rPr>
          <w:color w:val="auto"/>
        </w:rPr>
        <w:t>远期供水方案：水源：泾河傍河地下水源；泾河东庄水库。</w:t>
      </w:r>
    </w:p>
    <w:p>
      <w:pPr>
        <w:pStyle w:val="63"/>
        <w:ind w:firstLine="480"/>
        <w:rPr>
          <w:color w:val="auto"/>
        </w:rPr>
      </w:pPr>
      <w:r>
        <w:rPr>
          <w:color w:val="auto"/>
        </w:rPr>
        <w:t>泾河东庄水库工程是陕西省实施西部大开发战略、加快关中经济区发展的重大水利项目。是《关中-天水经济区发展规划》中唯一的大型水源工程。工程位于泾河下游礼泉县东庄乡，淳化县车坞乡河段处，总库容30.08亿m</w:t>
      </w:r>
      <w:r>
        <w:rPr>
          <w:color w:val="auto"/>
          <w:vertAlign w:val="superscript"/>
        </w:rPr>
        <w:t>3</w:t>
      </w:r>
      <w:r>
        <w:rPr>
          <w:color w:val="auto"/>
        </w:rPr>
        <w:t>。在规划区西北角建设给水厂两座，规模分别为6万m</w:t>
      </w:r>
      <w:r>
        <w:rPr>
          <w:color w:val="auto"/>
          <w:vertAlign w:val="superscript"/>
        </w:rPr>
        <w:t>3</w:t>
      </w:r>
      <w:r>
        <w:rPr>
          <w:color w:val="auto"/>
        </w:rPr>
        <w:t>/d，10万m</w:t>
      </w:r>
      <w:r>
        <w:rPr>
          <w:color w:val="auto"/>
          <w:vertAlign w:val="superscript"/>
        </w:rPr>
        <w:t>3</w:t>
      </w:r>
      <w:r>
        <w:rPr>
          <w:color w:val="auto"/>
        </w:rPr>
        <w:t>/d。</w:t>
      </w:r>
    </w:p>
    <w:p>
      <w:pPr>
        <w:pStyle w:val="63"/>
        <w:ind w:firstLine="480"/>
        <w:rPr>
          <w:color w:val="auto"/>
        </w:rPr>
      </w:pPr>
      <w:r>
        <w:rPr>
          <w:color w:val="auto"/>
        </w:rPr>
        <w:t>（2）输配水管网规划</w:t>
      </w:r>
    </w:p>
    <w:p>
      <w:pPr>
        <w:pStyle w:val="63"/>
        <w:ind w:firstLine="480"/>
        <w:rPr>
          <w:color w:val="auto"/>
        </w:rPr>
      </w:pPr>
      <w:r>
        <w:rPr>
          <w:rFonts w:ascii="宋体" w:hAnsi="宋体"/>
          <w:color w:val="auto"/>
        </w:rPr>
        <w:t>“</w:t>
      </w:r>
      <w:r>
        <w:rPr>
          <w:color w:val="auto"/>
        </w:rPr>
        <w:t>根据规划区近期由北向南供水，远期双水源供水的格局，在高泾南路、高泾大道、高泾中路等主要东西主通道布置双线输配水管道，在秦汉大道、县东路、正阳大道南北双向道宽度大于</w:t>
      </w:r>
      <w:r>
        <w:rPr>
          <w:rFonts w:hint="eastAsia"/>
          <w:color w:val="auto"/>
        </w:rPr>
        <w:t>等于60m主干道布置双线配水管道，其余道路布置DN300-DN600配水管道”。</w:t>
      </w:r>
    </w:p>
    <w:p>
      <w:pPr>
        <w:pStyle w:val="63"/>
        <w:ind w:firstLine="480"/>
        <w:rPr>
          <w:color w:val="auto"/>
        </w:rPr>
      </w:pPr>
      <w:r>
        <w:rPr>
          <w:rFonts w:hint="eastAsia"/>
          <w:color w:val="auto"/>
        </w:rPr>
        <w:t>本项目为应急供水工程，由</w:t>
      </w:r>
      <w:r>
        <w:rPr>
          <w:color w:val="auto"/>
        </w:rPr>
        <w:t>水源地、水源管理站</w:t>
      </w:r>
      <w:r>
        <w:rPr>
          <w:rFonts w:hint="eastAsia"/>
          <w:color w:val="auto"/>
        </w:rPr>
        <w:t>、</w:t>
      </w:r>
      <w:r>
        <w:rPr>
          <w:color w:val="auto"/>
        </w:rPr>
        <w:t>输水管线</w:t>
      </w:r>
      <w:r>
        <w:rPr>
          <w:rFonts w:hint="eastAsia"/>
          <w:color w:val="auto"/>
        </w:rPr>
        <w:t>及保障房给水处理站四部分构成。其中，泾河北岸水源管理站一期（2015年）新建水源地水源井15眼（13用2备）；泾河北岸保障房给水处理站新建水源地水源井3眼（2用1备）；泾河南岸新建水源地水源井3眼（2用1备）。新建水源地水源井全部为浅层承压井。符合《西咸西区-泾河新城分区规划》中给水工程规划提出的供水方案。</w:t>
      </w:r>
    </w:p>
    <w:p>
      <w:pPr>
        <w:pStyle w:val="63"/>
        <w:ind w:firstLine="480"/>
        <w:rPr>
          <w:color w:val="auto"/>
        </w:rPr>
      </w:pPr>
      <w:r>
        <w:rPr>
          <w:rFonts w:hint="eastAsia"/>
          <w:color w:val="auto"/>
        </w:rPr>
        <w:t>本项目输水管线</w:t>
      </w:r>
      <w:r>
        <w:rPr>
          <w:color w:val="auto"/>
        </w:rPr>
        <w:t>采用DN200~DN</w:t>
      </w:r>
      <w:r>
        <w:rPr>
          <w:rFonts w:hint="eastAsia"/>
          <w:color w:val="auto"/>
        </w:rPr>
        <w:t>500</w:t>
      </w:r>
      <w:r>
        <w:rPr>
          <w:color w:val="auto"/>
        </w:rPr>
        <w:t>的球墨铸铁管</w:t>
      </w:r>
      <w:r>
        <w:rPr>
          <w:rFonts w:hint="eastAsia"/>
          <w:color w:val="auto"/>
        </w:rPr>
        <w:t>。输水管线</w:t>
      </w:r>
      <w:r>
        <w:rPr>
          <w:color w:val="auto"/>
        </w:rPr>
        <w:t>沿</w:t>
      </w:r>
      <w:r>
        <w:rPr>
          <w:rFonts w:hint="eastAsia"/>
          <w:color w:val="auto"/>
        </w:rPr>
        <w:t>高泾中路及高泾南路两侧20m宽绿带内布设，</w:t>
      </w:r>
      <w:r>
        <w:rPr>
          <w:color w:val="auto"/>
        </w:rPr>
        <w:t>覆土深度管顶不小于1.5m。</w:t>
      </w:r>
      <w:r>
        <w:rPr>
          <w:rFonts w:hint="eastAsia"/>
          <w:color w:val="auto"/>
        </w:rPr>
        <w:t>符合《西咸西区-泾河新城分区规划》中给水工程规划提出的输配水管网规划内容。</w:t>
      </w:r>
    </w:p>
    <w:p>
      <w:pPr>
        <w:pStyle w:val="63"/>
        <w:ind w:firstLine="480"/>
        <w:rPr>
          <w:color w:val="auto"/>
        </w:rPr>
      </w:pPr>
    </w:p>
    <w:p>
      <w:pPr>
        <w:pStyle w:val="63"/>
        <w:ind w:firstLine="480"/>
        <w:rPr>
          <w:color w:val="auto"/>
        </w:rPr>
      </w:pPr>
    </w:p>
    <w:p>
      <w:pPr>
        <w:pStyle w:val="63"/>
        <w:ind w:firstLine="480"/>
        <w:rPr>
          <w:color w:val="auto"/>
        </w:rPr>
        <w:sectPr>
          <w:pgSz w:w="11906" w:h="16838"/>
          <w:pgMar w:top="1440" w:right="1440" w:bottom="1440" w:left="1440" w:header="851" w:footer="992" w:gutter="0"/>
          <w:cols w:space="720" w:num="1"/>
          <w:titlePg/>
          <w:docGrid w:type="linesAndChars" w:linePitch="312" w:charSpace="0"/>
        </w:sectPr>
      </w:pPr>
    </w:p>
    <w:p>
      <w:pPr>
        <w:pStyle w:val="60"/>
        <w:spacing w:before="156" w:after="156"/>
      </w:pPr>
      <w:bookmarkStart w:id="127" w:name="_Toc436902210"/>
      <w:r>
        <w:rPr>
          <w:rFonts w:hint="eastAsia"/>
        </w:rPr>
        <w:t>14 公众参与</w:t>
      </w:r>
      <w:bookmarkEnd w:id="127"/>
    </w:p>
    <w:p>
      <w:pPr>
        <w:pStyle w:val="61"/>
        <w:rPr>
          <w:i/>
          <w:color w:val="auto"/>
        </w:rPr>
      </w:pPr>
      <w:bookmarkStart w:id="128" w:name="_Toc436902211"/>
      <w:r>
        <w:rPr>
          <w:rFonts w:hint="eastAsia"/>
          <w:color w:val="auto"/>
        </w:rPr>
        <w:t>14.1公众参与的目的和意义</w:t>
      </w:r>
      <w:bookmarkEnd w:id="128"/>
    </w:p>
    <w:p>
      <w:pPr>
        <w:pStyle w:val="63"/>
        <w:ind w:firstLine="480"/>
        <w:rPr>
          <w:color w:val="auto"/>
        </w:rPr>
      </w:pPr>
      <w:r>
        <w:rPr>
          <w:color w:val="auto"/>
        </w:rPr>
        <w:t>公众参与的目的在于让公众了解建设项目，使项目的建设能够被当地公众理解与认可。实施公众参与能有效地让公众了解此建设项目的内容，使公众帮助辨析项目可能引起的环境问题，尤其是一些潜在的环境问题，以便采取相应的措施，有利于评价工作的进行，充分考虑公众的看法和意见，起到公众监督的作用，维护公众的切身利益，对建设方案的决策与顺利实施非常必要。通过公众参与可以提高环评的有效性、合理性和社会可接受性，并在公众参与的过程中提高公民的环保意识，共同保护生态环境，提高环境质量，从而有利于最大限度的发挥建设项目的综合效益和长远效益。</w:t>
      </w:r>
    </w:p>
    <w:p>
      <w:pPr>
        <w:pStyle w:val="63"/>
        <w:ind w:firstLine="480"/>
        <w:rPr>
          <w:color w:val="auto"/>
        </w:rPr>
      </w:pPr>
      <w:r>
        <w:rPr>
          <w:color w:val="auto"/>
        </w:rPr>
        <w:t>在本次环境评价中，通过对项目所在区域周边的公众调查，使公众充分了解项目建设有关的重大环境问题，广泛听取社会各阶层对该项目的意见和看法，实现评价单位与公众之间的双向交流，有助于评价人员发现问题，了解公众关心的问题，确认所有因项目建设引起的重大环境问题在环境影响报告书中都得到了科学分析评价，环境资源得到恰当的评估，确保环保措施的可行性和方案优化。</w:t>
      </w:r>
    </w:p>
    <w:p>
      <w:pPr>
        <w:pStyle w:val="61"/>
        <w:rPr>
          <w:i/>
          <w:color w:val="auto"/>
        </w:rPr>
      </w:pPr>
      <w:bookmarkStart w:id="129" w:name="_Toc436902212"/>
      <w:r>
        <w:rPr>
          <w:rFonts w:hint="eastAsia"/>
          <w:color w:val="auto"/>
        </w:rPr>
        <w:t>14.2公众参与的方式和对象</w:t>
      </w:r>
      <w:bookmarkEnd w:id="129"/>
    </w:p>
    <w:p>
      <w:pPr>
        <w:pStyle w:val="63"/>
        <w:ind w:firstLine="480"/>
        <w:rPr>
          <w:color w:val="auto"/>
        </w:rPr>
      </w:pPr>
      <w:r>
        <w:rPr>
          <w:color w:val="auto"/>
        </w:rPr>
        <w:t>本次公众参与依据国家环保总局2006年2月13日，环发2006[28]号文《环境影响评价公众参与暂行办法》要求进行。本次公众参与采用网站公示与问卷调查相结合的方式。</w:t>
      </w:r>
    </w:p>
    <w:p>
      <w:pPr>
        <w:pStyle w:val="63"/>
        <w:ind w:firstLine="480"/>
        <w:rPr>
          <w:color w:val="auto"/>
        </w:rPr>
      </w:pPr>
      <w:r>
        <w:rPr>
          <w:color w:val="auto"/>
        </w:rPr>
        <w:t>调查主要在项目周边进行，调查对象有干部、农民、工人、教师等。</w:t>
      </w:r>
    </w:p>
    <w:p>
      <w:pPr>
        <w:pStyle w:val="61"/>
        <w:rPr>
          <w:i/>
          <w:color w:val="auto"/>
        </w:rPr>
      </w:pPr>
      <w:bookmarkStart w:id="130" w:name="_Toc436902213"/>
      <w:r>
        <w:rPr>
          <w:rFonts w:hint="eastAsia"/>
          <w:color w:val="auto"/>
        </w:rPr>
        <w:t>14.3公众参与调查结果统计分析</w:t>
      </w:r>
      <w:bookmarkEnd w:id="130"/>
    </w:p>
    <w:p>
      <w:pPr>
        <w:pStyle w:val="62"/>
        <w:rPr>
          <w:color w:val="auto"/>
        </w:rPr>
      </w:pPr>
      <w:r>
        <w:rPr>
          <w:rFonts w:hint="eastAsia"/>
          <w:color w:val="auto"/>
        </w:rPr>
        <w:t>14.3.1第一次公示结果</w:t>
      </w:r>
    </w:p>
    <w:p>
      <w:pPr>
        <w:pStyle w:val="63"/>
        <w:ind w:firstLine="480"/>
        <w:rPr>
          <w:color w:val="auto"/>
        </w:rPr>
      </w:pPr>
      <w:r>
        <w:rPr>
          <w:color w:val="auto"/>
        </w:rPr>
        <w:t>本项目一次公示采用</w:t>
      </w:r>
      <w:r>
        <w:rPr>
          <w:rFonts w:hint="eastAsia"/>
          <w:color w:val="auto"/>
        </w:rPr>
        <w:t>张贴告示</w:t>
      </w:r>
      <w:r>
        <w:rPr>
          <w:color w:val="auto"/>
        </w:rPr>
        <w:t>的方式。建设单位于2015年10月8日在项目周边以张贴告示的形式发布了项目环境影响评价一次公示。见附件5。</w:t>
      </w:r>
    </w:p>
    <w:p>
      <w:pPr>
        <w:pStyle w:val="63"/>
        <w:ind w:firstLine="480"/>
        <w:rPr>
          <w:color w:val="auto"/>
        </w:rPr>
      </w:pPr>
      <w:r>
        <w:rPr>
          <w:color w:val="auto"/>
        </w:rPr>
        <w:t>第一次公示期间，未收到任何意见和建议。</w:t>
      </w:r>
    </w:p>
    <w:p>
      <w:pPr>
        <w:pStyle w:val="62"/>
        <w:rPr>
          <w:color w:val="auto"/>
        </w:rPr>
      </w:pPr>
      <w:r>
        <w:rPr>
          <w:rFonts w:hint="eastAsia"/>
          <w:color w:val="auto"/>
        </w:rPr>
        <w:t>14.3.2第二次公示结果</w:t>
      </w:r>
    </w:p>
    <w:p>
      <w:pPr>
        <w:spacing w:line="360" w:lineRule="auto"/>
        <w:ind w:firstLine="566" w:firstLineChars="236"/>
        <w:rPr>
          <w:sz w:val="24"/>
        </w:rPr>
      </w:pPr>
      <w:r>
        <w:rPr>
          <w:rFonts w:hint="eastAsia"/>
          <w:sz w:val="24"/>
        </w:rPr>
        <w:t>报告书编制完成后，环评单位于2015年,10月28日在《三秦都市报日报》发布了项目环境影响评价二次公示，同时发布报告书全本，见附件6。</w:t>
      </w:r>
    </w:p>
    <w:p>
      <w:pPr>
        <w:spacing w:line="360" w:lineRule="auto"/>
        <w:ind w:firstLine="566" w:firstLineChars="236"/>
        <w:rPr>
          <w:sz w:val="24"/>
        </w:rPr>
      </w:pPr>
      <w:r>
        <w:rPr>
          <w:rFonts w:hint="eastAsia"/>
          <w:sz w:val="24"/>
        </w:rPr>
        <w:t>在二次公示期间，未收到任何意见和建议。</w:t>
      </w:r>
    </w:p>
    <w:p>
      <w:pPr>
        <w:pStyle w:val="62"/>
        <w:rPr>
          <w:color w:val="auto"/>
        </w:rPr>
      </w:pPr>
      <w:r>
        <w:rPr>
          <w:rFonts w:hint="eastAsia"/>
          <w:color w:val="auto"/>
        </w:rPr>
        <w:t>14.3.3调查问卷结果</w:t>
      </w:r>
    </w:p>
    <w:p>
      <w:pPr>
        <w:pStyle w:val="63"/>
        <w:ind w:firstLine="480"/>
        <w:rPr>
          <w:color w:val="auto"/>
        </w:rPr>
      </w:pPr>
      <w:r>
        <w:rPr>
          <w:rFonts w:hint="eastAsia"/>
          <w:color w:val="auto"/>
        </w:rPr>
        <w:t>项目二次公示期满，报告书送审前，环评单位与建设单位于2015年11月12日在项目拟建地周边进行公众参与调查问卷，收集公众意见。调查样表见附件7，调查名单见附件8。</w:t>
      </w:r>
    </w:p>
    <w:p>
      <w:pPr>
        <w:pStyle w:val="63"/>
        <w:ind w:firstLine="480"/>
        <w:rPr>
          <w:color w:val="auto"/>
        </w:rPr>
      </w:pPr>
      <w:r>
        <w:rPr>
          <w:rFonts w:hint="eastAsia"/>
          <w:color w:val="auto"/>
        </w:rPr>
        <w:t>本次公众调查发放调查表100份，收回有效答卷90份，回收率90%。问卷调查考虑到不同职业、不同文化程度及不同年龄段，基本反映了各方面公众的意见与建议。</w:t>
      </w:r>
    </w:p>
    <w:p>
      <w:pPr>
        <w:pStyle w:val="63"/>
        <w:ind w:firstLine="480"/>
        <w:rPr>
          <w:color w:val="auto"/>
        </w:rPr>
      </w:pPr>
      <w:r>
        <w:rPr>
          <w:rFonts w:hint="eastAsia"/>
          <w:color w:val="auto"/>
        </w:rPr>
        <w:t>调查人员结构分析见表14.3-1，公众参与问卷调查结果汇总见表14.3-2。</w:t>
      </w:r>
    </w:p>
    <w:p>
      <w:pPr>
        <w:pStyle w:val="65"/>
      </w:pPr>
      <w:r>
        <w:t>表14.3-1    公众构成表</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2310"/>
        <w:gridCol w:w="2310"/>
        <w:gridCol w:w="2311"/>
        <w:gridCol w:w="231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499" w:type="pct"/>
            <w:gridSpan w:val="2"/>
            <w:tcBorders>
              <w:tl2br w:val="single" w:color="000000" w:sz="12" w:space="0"/>
            </w:tcBorders>
            <w:vAlign w:val="center"/>
          </w:tcPr>
          <w:p>
            <w:pPr>
              <w:spacing w:line="276" w:lineRule="auto"/>
              <w:jc w:val="right"/>
              <w:rPr>
                <w:szCs w:val="21"/>
              </w:rPr>
            </w:pPr>
            <w:r>
              <w:rPr>
                <w:rFonts w:hint="eastAsia"/>
                <w:szCs w:val="21"/>
              </w:rPr>
              <w:t>项目</w:t>
            </w:r>
          </w:p>
          <w:p>
            <w:pPr>
              <w:spacing w:line="276" w:lineRule="auto"/>
              <w:jc w:val="left"/>
              <w:rPr>
                <w:szCs w:val="21"/>
              </w:rPr>
            </w:pPr>
            <w:r>
              <w:rPr>
                <w:rFonts w:hint="eastAsia"/>
                <w:szCs w:val="21"/>
              </w:rPr>
              <w:t>类别</w:t>
            </w:r>
          </w:p>
        </w:tc>
        <w:tc>
          <w:tcPr>
            <w:tcW w:w="1250" w:type="pct"/>
            <w:vAlign w:val="center"/>
          </w:tcPr>
          <w:p>
            <w:pPr>
              <w:spacing w:line="276" w:lineRule="auto"/>
              <w:jc w:val="center"/>
              <w:rPr>
                <w:szCs w:val="21"/>
              </w:rPr>
            </w:pPr>
            <w:r>
              <w:rPr>
                <w:rFonts w:hint="eastAsia"/>
                <w:szCs w:val="21"/>
              </w:rPr>
              <w:t>人数</w:t>
            </w:r>
          </w:p>
          <w:p>
            <w:pPr>
              <w:spacing w:line="276" w:lineRule="auto"/>
              <w:jc w:val="center"/>
              <w:rPr>
                <w:szCs w:val="21"/>
              </w:rPr>
            </w:pPr>
            <w:r>
              <w:rPr>
                <w:rFonts w:hint="eastAsia"/>
                <w:szCs w:val="21"/>
              </w:rPr>
              <w:t>（人）</w:t>
            </w:r>
          </w:p>
        </w:tc>
        <w:tc>
          <w:tcPr>
            <w:tcW w:w="1250" w:type="pct"/>
            <w:vAlign w:val="center"/>
          </w:tcPr>
          <w:p>
            <w:pPr>
              <w:spacing w:line="276" w:lineRule="auto"/>
              <w:jc w:val="center"/>
              <w:rPr>
                <w:szCs w:val="21"/>
              </w:rPr>
            </w:pPr>
            <w:r>
              <w:rPr>
                <w:rFonts w:hint="eastAsia"/>
                <w:szCs w:val="21"/>
              </w:rPr>
              <w:t>比例</w:t>
            </w:r>
          </w:p>
          <w:p>
            <w:pPr>
              <w:spacing w:line="276" w:lineRule="auto"/>
              <w:jc w:val="center"/>
              <w:rPr>
                <w:szCs w:val="21"/>
              </w:rPr>
            </w:pPr>
            <w:r>
              <w:rPr>
                <w:rFonts w:hint="eastAsia"/>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restart"/>
            <w:vAlign w:val="center"/>
          </w:tcPr>
          <w:p>
            <w:pPr>
              <w:spacing w:line="276" w:lineRule="auto"/>
              <w:jc w:val="center"/>
              <w:rPr>
                <w:szCs w:val="21"/>
              </w:rPr>
            </w:pPr>
            <w:r>
              <w:rPr>
                <w:rFonts w:hint="eastAsia"/>
                <w:szCs w:val="21"/>
              </w:rPr>
              <w:t>性别</w:t>
            </w:r>
          </w:p>
        </w:tc>
        <w:tc>
          <w:tcPr>
            <w:tcW w:w="1250" w:type="pct"/>
            <w:vAlign w:val="center"/>
          </w:tcPr>
          <w:p>
            <w:pPr>
              <w:spacing w:line="276" w:lineRule="auto"/>
              <w:jc w:val="center"/>
              <w:rPr>
                <w:szCs w:val="21"/>
              </w:rPr>
            </w:pPr>
            <w:r>
              <w:rPr>
                <w:rFonts w:hint="eastAsia"/>
                <w:szCs w:val="21"/>
              </w:rPr>
              <w:t>男</w:t>
            </w:r>
          </w:p>
        </w:tc>
        <w:tc>
          <w:tcPr>
            <w:tcW w:w="1250" w:type="pct"/>
            <w:vAlign w:val="center"/>
          </w:tcPr>
          <w:p>
            <w:pPr>
              <w:spacing w:line="276" w:lineRule="auto"/>
              <w:jc w:val="center"/>
              <w:rPr>
                <w:szCs w:val="21"/>
              </w:rPr>
            </w:pPr>
            <w:r>
              <w:rPr>
                <w:rFonts w:hint="eastAsia"/>
                <w:szCs w:val="21"/>
              </w:rPr>
              <w:t>13</w:t>
            </w:r>
          </w:p>
        </w:tc>
        <w:tc>
          <w:tcPr>
            <w:tcW w:w="1250" w:type="pct"/>
            <w:vAlign w:val="center"/>
          </w:tcPr>
          <w:p>
            <w:pPr>
              <w:spacing w:line="276" w:lineRule="auto"/>
              <w:jc w:val="center"/>
              <w:rPr>
                <w:szCs w:val="21"/>
              </w:rPr>
            </w:pPr>
            <w:r>
              <w:rPr>
                <w:rFonts w:hint="eastAsia"/>
                <w:szCs w:val="21"/>
              </w:rPr>
              <w:t>14.4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continue"/>
            <w:vAlign w:val="center"/>
          </w:tcPr>
          <w:p>
            <w:pPr>
              <w:spacing w:line="276" w:lineRule="auto"/>
              <w:jc w:val="center"/>
              <w:rPr>
                <w:szCs w:val="21"/>
              </w:rPr>
            </w:pPr>
          </w:p>
        </w:tc>
        <w:tc>
          <w:tcPr>
            <w:tcW w:w="1250" w:type="pct"/>
            <w:vAlign w:val="center"/>
          </w:tcPr>
          <w:p>
            <w:pPr>
              <w:spacing w:line="276" w:lineRule="auto"/>
              <w:jc w:val="center"/>
              <w:rPr>
                <w:szCs w:val="21"/>
              </w:rPr>
            </w:pPr>
            <w:r>
              <w:rPr>
                <w:rFonts w:hint="eastAsia"/>
                <w:szCs w:val="21"/>
              </w:rPr>
              <w:t>女</w:t>
            </w:r>
          </w:p>
        </w:tc>
        <w:tc>
          <w:tcPr>
            <w:tcW w:w="1250" w:type="pct"/>
            <w:vAlign w:val="center"/>
          </w:tcPr>
          <w:p>
            <w:pPr>
              <w:spacing w:line="276" w:lineRule="auto"/>
              <w:jc w:val="center"/>
              <w:rPr>
                <w:szCs w:val="21"/>
              </w:rPr>
            </w:pPr>
            <w:r>
              <w:rPr>
                <w:rFonts w:hint="eastAsia"/>
                <w:szCs w:val="21"/>
              </w:rPr>
              <w:t>77</w:t>
            </w:r>
          </w:p>
        </w:tc>
        <w:tc>
          <w:tcPr>
            <w:tcW w:w="1250" w:type="pct"/>
            <w:vAlign w:val="center"/>
          </w:tcPr>
          <w:p>
            <w:pPr>
              <w:spacing w:line="276" w:lineRule="auto"/>
              <w:jc w:val="center"/>
              <w:rPr>
                <w:szCs w:val="21"/>
              </w:rPr>
            </w:pPr>
            <w:r>
              <w:rPr>
                <w:rFonts w:hint="eastAsia"/>
                <w:szCs w:val="21"/>
              </w:rPr>
              <w:t>85.6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restart"/>
            <w:vAlign w:val="center"/>
          </w:tcPr>
          <w:p>
            <w:pPr>
              <w:spacing w:line="276" w:lineRule="auto"/>
              <w:jc w:val="center"/>
              <w:rPr>
                <w:szCs w:val="21"/>
              </w:rPr>
            </w:pPr>
            <w:r>
              <w:rPr>
                <w:rFonts w:hint="eastAsia"/>
                <w:szCs w:val="21"/>
              </w:rPr>
              <w:t>年龄</w:t>
            </w:r>
          </w:p>
        </w:tc>
        <w:tc>
          <w:tcPr>
            <w:tcW w:w="1250" w:type="pct"/>
            <w:vAlign w:val="center"/>
          </w:tcPr>
          <w:p>
            <w:pPr>
              <w:spacing w:line="276" w:lineRule="auto"/>
              <w:jc w:val="center"/>
              <w:rPr>
                <w:szCs w:val="21"/>
              </w:rPr>
            </w:pPr>
            <w:r>
              <w:rPr>
                <w:rFonts w:hint="eastAsia"/>
                <w:szCs w:val="21"/>
              </w:rPr>
              <w:t>20-30岁</w:t>
            </w:r>
          </w:p>
        </w:tc>
        <w:tc>
          <w:tcPr>
            <w:tcW w:w="1250" w:type="pct"/>
            <w:vAlign w:val="center"/>
          </w:tcPr>
          <w:p>
            <w:pPr>
              <w:spacing w:line="276" w:lineRule="auto"/>
              <w:jc w:val="center"/>
              <w:rPr>
                <w:szCs w:val="21"/>
              </w:rPr>
            </w:pPr>
            <w:r>
              <w:rPr>
                <w:rFonts w:hint="eastAsia"/>
                <w:szCs w:val="21"/>
              </w:rPr>
              <w:t>10</w:t>
            </w:r>
          </w:p>
        </w:tc>
        <w:tc>
          <w:tcPr>
            <w:tcW w:w="1250" w:type="pct"/>
            <w:vAlign w:val="center"/>
          </w:tcPr>
          <w:p>
            <w:pPr>
              <w:spacing w:line="276" w:lineRule="auto"/>
              <w:jc w:val="center"/>
              <w:rPr>
                <w:szCs w:val="21"/>
              </w:rPr>
            </w:pPr>
            <w:r>
              <w:rPr>
                <w:rFonts w:hint="eastAsia"/>
                <w:szCs w:val="21"/>
              </w:rPr>
              <w:t>11.0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continue"/>
            <w:vAlign w:val="center"/>
          </w:tcPr>
          <w:p>
            <w:pPr>
              <w:spacing w:line="276" w:lineRule="auto"/>
              <w:jc w:val="center"/>
              <w:rPr>
                <w:szCs w:val="21"/>
              </w:rPr>
            </w:pPr>
          </w:p>
        </w:tc>
        <w:tc>
          <w:tcPr>
            <w:tcW w:w="1250" w:type="pct"/>
            <w:vAlign w:val="center"/>
          </w:tcPr>
          <w:p>
            <w:pPr>
              <w:spacing w:line="276" w:lineRule="auto"/>
              <w:jc w:val="center"/>
              <w:rPr>
                <w:szCs w:val="21"/>
              </w:rPr>
            </w:pPr>
            <w:r>
              <w:rPr>
                <w:rFonts w:hint="eastAsia"/>
                <w:szCs w:val="21"/>
              </w:rPr>
              <w:t>31-50岁</w:t>
            </w:r>
          </w:p>
        </w:tc>
        <w:tc>
          <w:tcPr>
            <w:tcW w:w="1250" w:type="pct"/>
            <w:vAlign w:val="center"/>
          </w:tcPr>
          <w:p>
            <w:pPr>
              <w:spacing w:line="276" w:lineRule="auto"/>
              <w:jc w:val="center"/>
              <w:rPr>
                <w:szCs w:val="21"/>
              </w:rPr>
            </w:pPr>
            <w:r>
              <w:rPr>
                <w:rFonts w:hint="eastAsia"/>
                <w:szCs w:val="21"/>
              </w:rPr>
              <w:t>70</w:t>
            </w:r>
          </w:p>
        </w:tc>
        <w:tc>
          <w:tcPr>
            <w:tcW w:w="1250" w:type="pct"/>
            <w:vAlign w:val="center"/>
          </w:tcPr>
          <w:p>
            <w:pPr>
              <w:spacing w:line="276" w:lineRule="auto"/>
              <w:jc w:val="center"/>
              <w:rPr>
                <w:szCs w:val="21"/>
              </w:rPr>
            </w:pPr>
            <w:r>
              <w:rPr>
                <w:rFonts w:hint="eastAsia"/>
                <w:szCs w:val="21"/>
              </w:rPr>
              <w:t>78.0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continue"/>
            <w:vAlign w:val="center"/>
          </w:tcPr>
          <w:p>
            <w:pPr>
              <w:spacing w:line="276" w:lineRule="auto"/>
              <w:jc w:val="center"/>
              <w:rPr>
                <w:szCs w:val="21"/>
              </w:rPr>
            </w:pPr>
          </w:p>
        </w:tc>
        <w:tc>
          <w:tcPr>
            <w:tcW w:w="1250" w:type="pct"/>
            <w:vAlign w:val="center"/>
          </w:tcPr>
          <w:p>
            <w:pPr>
              <w:spacing w:line="276" w:lineRule="auto"/>
              <w:jc w:val="center"/>
              <w:rPr>
                <w:szCs w:val="21"/>
              </w:rPr>
            </w:pPr>
            <w:r>
              <w:rPr>
                <w:rFonts w:hint="eastAsia"/>
                <w:szCs w:val="21"/>
              </w:rPr>
              <w:t>51岁及其以上</w:t>
            </w:r>
          </w:p>
        </w:tc>
        <w:tc>
          <w:tcPr>
            <w:tcW w:w="1250" w:type="pct"/>
            <w:vAlign w:val="center"/>
          </w:tcPr>
          <w:p>
            <w:pPr>
              <w:spacing w:line="276" w:lineRule="auto"/>
              <w:jc w:val="center"/>
              <w:rPr>
                <w:szCs w:val="21"/>
              </w:rPr>
            </w:pPr>
            <w:r>
              <w:rPr>
                <w:rFonts w:hint="eastAsia"/>
                <w:szCs w:val="21"/>
              </w:rPr>
              <w:t>10</w:t>
            </w:r>
          </w:p>
        </w:tc>
        <w:tc>
          <w:tcPr>
            <w:tcW w:w="1250" w:type="pct"/>
            <w:vAlign w:val="center"/>
          </w:tcPr>
          <w:p>
            <w:pPr>
              <w:spacing w:line="276" w:lineRule="auto"/>
              <w:jc w:val="center"/>
              <w:rPr>
                <w:szCs w:val="21"/>
              </w:rPr>
            </w:pPr>
            <w:r>
              <w:rPr>
                <w:rFonts w:hint="eastAsia"/>
                <w:szCs w:val="21"/>
              </w:rPr>
              <w:t>11.0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restart"/>
            <w:vAlign w:val="center"/>
          </w:tcPr>
          <w:p>
            <w:pPr>
              <w:spacing w:line="276" w:lineRule="auto"/>
              <w:jc w:val="center"/>
              <w:rPr>
                <w:szCs w:val="21"/>
              </w:rPr>
            </w:pPr>
            <w:r>
              <w:rPr>
                <w:rFonts w:hint="eastAsia"/>
                <w:szCs w:val="21"/>
              </w:rPr>
              <w:t>文化程度</w:t>
            </w:r>
          </w:p>
        </w:tc>
        <w:tc>
          <w:tcPr>
            <w:tcW w:w="1250" w:type="pct"/>
            <w:vAlign w:val="center"/>
          </w:tcPr>
          <w:p>
            <w:pPr>
              <w:spacing w:line="276" w:lineRule="auto"/>
              <w:jc w:val="center"/>
              <w:rPr>
                <w:szCs w:val="21"/>
              </w:rPr>
            </w:pPr>
            <w:r>
              <w:rPr>
                <w:rFonts w:hint="eastAsia"/>
                <w:szCs w:val="21"/>
              </w:rPr>
              <w:t>本科及其以上</w:t>
            </w:r>
          </w:p>
        </w:tc>
        <w:tc>
          <w:tcPr>
            <w:tcW w:w="1250" w:type="pct"/>
            <w:vAlign w:val="center"/>
          </w:tcPr>
          <w:p>
            <w:pPr>
              <w:spacing w:line="276" w:lineRule="auto"/>
              <w:jc w:val="center"/>
              <w:rPr>
                <w:szCs w:val="21"/>
              </w:rPr>
            </w:pPr>
            <w:r>
              <w:rPr>
                <w:rFonts w:hint="eastAsia"/>
                <w:szCs w:val="21"/>
              </w:rPr>
              <w:t>8</w:t>
            </w:r>
          </w:p>
        </w:tc>
        <w:tc>
          <w:tcPr>
            <w:tcW w:w="1250" w:type="pct"/>
            <w:vAlign w:val="center"/>
          </w:tcPr>
          <w:p>
            <w:pPr>
              <w:spacing w:line="276" w:lineRule="auto"/>
              <w:jc w:val="center"/>
              <w:rPr>
                <w:szCs w:val="21"/>
              </w:rPr>
            </w:pPr>
            <w:r>
              <w:rPr>
                <w:rFonts w:hint="eastAsia"/>
                <w:szCs w:val="21"/>
              </w:rPr>
              <w:t>8.8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continue"/>
            <w:vAlign w:val="center"/>
          </w:tcPr>
          <w:p>
            <w:pPr>
              <w:spacing w:line="276" w:lineRule="auto"/>
              <w:jc w:val="center"/>
              <w:rPr>
                <w:szCs w:val="21"/>
              </w:rPr>
            </w:pPr>
          </w:p>
        </w:tc>
        <w:tc>
          <w:tcPr>
            <w:tcW w:w="1250" w:type="pct"/>
            <w:vAlign w:val="center"/>
          </w:tcPr>
          <w:p>
            <w:pPr>
              <w:spacing w:line="276" w:lineRule="auto"/>
              <w:jc w:val="center"/>
              <w:rPr>
                <w:szCs w:val="21"/>
              </w:rPr>
            </w:pPr>
            <w:r>
              <w:rPr>
                <w:rFonts w:hint="eastAsia"/>
                <w:szCs w:val="21"/>
              </w:rPr>
              <w:t>高中</w:t>
            </w:r>
          </w:p>
        </w:tc>
        <w:tc>
          <w:tcPr>
            <w:tcW w:w="1250" w:type="pct"/>
            <w:vAlign w:val="center"/>
          </w:tcPr>
          <w:p>
            <w:pPr>
              <w:spacing w:line="276" w:lineRule="auto"/>
              <w:jc w:val="center"/>
              <w:rPr>
                <w:szCs w:val="21"/>
              </w:rPr>
            </w:pPr>
            <w:r>
              <w:rPr>
                <w:rFonts w:hint="eastAsia"/>
                <w:szCs w:val="21"/>
              </w:rPr>
              <w:t>8</w:t>
            </w:r>
          </w:p>
        </w:tc>
        <w:tc>
          <w:tcPr>
            <w:tcW w:w="1250" w:type="pct"/>
            <w:vAlign w:val="center"/>
          </w:tcPr>
          <w:p>
            <w:pPr>
              <w:spacing w:line="276" w:lineRule="auto"/>
              <w:jc w:val="center"/>
              <w:rPr>
                <w:szCs w:val="21"/>
              </w:rPr>
            </w:pPr>
            <w:r>
              <w:rPr>
                <w:rFonts w:hint="eastAsia"/>
                <w:szCs w:val="21"/>
              </w:rPr>
              <w:t>8.8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continue"/>
            <w:vAlign w:val="center"/>
          </w:tcPr>
          <w:p>
            <w:pPr>
              <w:spacing w:line="276" w:lineRule="auto"/>
              <w:jc w:val="center"/>
              <w:rPr>
                <w:szCs w:val="21"/>
              </w:rPr>
            </w:pPr>
          </w:p>
        </w:tc>
        <w:tc>
          <w:tcPr>
            <w:tcW w:w="1250" w:type="pct"/>
            <w:vAlign w:val="center"/>
          </w:tcPr>
          <w:p>
            <w:pPr>
              <w:spacing w:line="276" w:lineRule="auto"/>
              <w:jc w:val="center"/>
              <w:rPr>
                <w:szCs w:val="21"/>
              </w:rPr>
            </w:pPr>
            <w:r>
              <w:rPr>
                <w:rFonts w:hint="eastAsia"/>
                <w:szCs w:val="21"/>
              </w:rPr>
              <w:t>初中</w:t>
            </w:r>
          </w:p>
        </w:tc>
        <w:tc>
          <w:tcPr>
            <w:tcW w:w="1250" w:type="pct"/>
            <w:vAlign w:val="center"/>
          </w:tcPr>
          <w:p>
            <w:pPr>
              <w:spacing w:line="276" w:lineRule="auto"/>
              <w:jc w:val="center"/>
              <w:rPr>
                <w:szCs w:val="21"/>
              </w:rPr>
            </w:pPr>
            <w:r>
              <w:rPr>
                <w:rFonts w:hint="eastAsia"/>
                <w:szCs w:val="21"/>
              </w:rPr>
              <w:t>68</w:t>
            </w:r>
          </w:p>
        </w:tc>
        <w:tc>
          <w:tcPr>
            <w:tcW w:w="1250" w:type="pct"/>
            <w:vAlign w:val="center"/>
          </w:tcPr>
          <w:p>
            <w:pPr>
              <w:spacing w:line="276" w:lineRule="auto"/>
              <w:jc w:val="center"/>
              <w:rPr>
                <w:szCs w:val="21"/>
              </w:rPr>
            </w:pPr>
            <w:r>
              <w:rPr>
                <w:rFonts w:hint="eastAsia"/>
                <w:szCs w:val="21"/>
              </w:rPr>
              <w:t>75.7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250" w:type="pct"/>
            <w:vMerge w:val="continue"/>
            <w:vAlign w:val="center"/>
          </w:tcPr>
          <w:p>
            <w:pPr>
              <w:spacing w:line="276" w:lineRule="auto"/>
              <w:jc w:val="center"/>
              <w:rPr>
                <w:szCs w:val="21"/>
              </w:rPr>
            </w:pPr>
          </w:p>
        </w:tc>
        <w:tc>
          <w:tcPr>
            <w:tcW w:w="1250" w:type="pct"/>
            <w:vAlign w:val="center"/>
          </w:tcPr>
          <w:p>
            <w:pPr>
              <w:spacing w:line="276" w:lineRule="auto"/>
              <w:jc w:val="center"/>
              <w:rPr>
                <w:szCs w:val="21"/>
              </w:rPr>
            </w:pPr>
            <w:r>
              <w:rPr>
                <w:rFonts w:hint="eastAsia"/>
                <w:szCs w:val="21"/>
              </w:rPr>
              <w:t>小学</w:t>
            </w:r>
          </w:p>
        </w:tc>
        <w:tc>
          <w:tcPr>
            <w:tcW w:w="1250" w:type="pct"/>
            <w:vAlign w:val="center"/>
          </w:tcPr>
          <w:p>
            <w:pPr>
              <w:spacing w:line="276" w:lineRule="auto"/>
              <w:jc w:val="center"/>
              <w:rPr>
                <w:szCs w:val="21"/>
              </w:rPr>
            </w:pPr>
            <w:r>
              <w:rPr>
                <w:rFonts w:hint="eastAsia"/>
                <w:szCs w:val="21"/>
              </w:rPr>
              <w:t>6</w:t>
            </w:r>
          </w:p>
        </w:tc>
        <w:tc>
          <w:tcPr>
            <w:tcW w:w="1250" w:type="pct"/>
            <w:vAlign w:val="center"/>
          </w:tcPr>
          <w:p>
            <w:pPr>
              <w:spacing w:line="276" w:lineRule="auto"/>
              <w:jc w:val="center"/>
              <w:rPr>
                <w:szCs w:val="21"/>
              </w:rPr>
            </w:pPr>
            <w:r>
              <w:rPr>
                <w:rFonts w:hint="eastAsia"/>
                <w:szCs w:val="21"/>
              </w:rPr>
              <w:t>6.7</w:t>
            </w:r>
          </w:p>
        </w:tc>
      </w:tr>
    </w:tbl>
    <w:p>
      <w:pPr>
        <w:spacing w:line="360" w:lineRule="auto"/>
        <w:jc w:val="center"/>
      </w:pPr>
    </w:p>
    <w:p>
      <w:pPr>
        <w:pStyle w:val="65"/>
      </w:pPr>
      <w:r>
        <w:rPr>
          <w:rFonts w:hint="eastAsia"/>
        </w:rPr>
        <w:t>表14.3-2    调查结果统计表</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4115"/>
        <w:gridCol w:w="2920"/>
        <w:gridCol w:w="1076"/>
        <w:gridCol w:w="113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restart"/>
            <w:vAlign w:val="center"/>
          </w:tcPr>
          <w:p>
            <w:pPr>
              <w:spacing w:line="276" w:lineRule="auto"/>
              <w:jc w:val="center"/>
              <w:rPr>
                <w:szCs w:val="21"/>
              </w:rPr>
            </w:pPr>
            <w:r>
              <w:rPr>
                <w:rFonts w:hint="eastAsia"/>
                <w:szCs w:val="21"/>
              </w:rPr>
              <w:t>调查问题</w:t>
            </w:r>
          </w:p>
        </w:tc>
        <w:tc>
          <w:tcPr>
            <w:tcW w:w="1580" w:type="pct"/>
            <w:vMerge w:val="restart"/>
            <w:vAlign w:val="center"/>
          </w:tcPr>
          <w:p>
            <w:pPr>
              <w:spacing w:line="276" w:lineRule="auto"/>
              <w:jc w:val="center"/>
              <w:rPr>
                <w:szCs w:val="21"/>
              </w:rPr>
            </w:pPr>
            <w:r>
              <w:rPr>
                <w:rFonts w:hint="eastAsia"/>
                <w:szCs w:val="21"/>
              </w:rPr>
              <w:t>选项</w:t>
            </w:r>
          </w:p>
        </w:tc>
        <w:tc>
          <w:tcPr>
            <w:tcW w:w="1194" w:type="pct"/>
            <w:gridSpan w:val="2"/>
            <w:vAlign w:val="center"/>
          </w:tcPr>
          <w:p>
            <w:pPr>
              <w:spacing w:line="276" w:lineRule="auto"/>
              <w:jc w:val="center"/>
              <w:rPr>
                <w:szCs w:val="21"/>
              </w:rPr>
            </w:pPr>
            <w:r>
              <w:rPr>
                <w:rFonts w:hint="eastAsia"/>
                <w:szCs w:val="21"/>
              </w:rPr>
              <w:t>调查结果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spacing w:line="276" w:lineRule="auto"/>
              <w:jc w:val="center"/>
              <w:rPr>
                <w:szCs w:val="21"/>
              </w:rPr>
            </w:pPr>
          </w:p>
        </w:tc>
        <w:tc>
          <w:tcPr>
            <w:tcW w:w="1580" w:type="pct"/>
            <w:vMerge w:val="continue"/>
            <w:vAlign w:val="center"/>
          </w:tcPr>
          <w:p>
            <w:pPr>
              <w:spacing w:line="276" w:lineRule="auto"/>
              <w:jc w:val="center"/>
              <w:rPr>
                <w:szCs w:val="21"/>
              </w:rPr>
            </w:pPr>
          </w:p>
        </w:tc>
        <w:tc>
          <w:tcPr>
            <w:tcW w:w="582" w:type="pct"/>
            <w:vAlign w:val="center"/>
          </w:tcPr>
          <w:p>
            <w:pPr>
              <w:spacing w:line="276" w:lineRule="auto"/>
              <w:jc w:val="center"/>
              <w:rPr>
                <w:szCs w:val="21"/>
              </w:rPr>
            </w:pPr>
            <w:r>
              <w:rPr>
                <w:rFonts w:hint="eastAsia"/>
                <w:szCs w:val="21"/>
              </w:rPr>
              <w:t>人数</w:t>
            </w:r>
          </w:p>
        </w:tc>
        <w:tc>
          <w:tcPr>
            <w:tcW w:w="612" w:type="pct"/>
            <w:vAlign w:val="center"/>
          </w:tcPr>
          <w:p>
            <w:pPr>
              <w:spacing w:line="276" w:lineRule="auto"/>
              <w:jc w:val="center"/>
              <w:rPr>
                <w:szCs w:val="21"/>
              </w:rPr>
            </w:pPr>
            <w:r>
              <w:rPr>
                <w:rFonts w:hint="eastAsia"/>
                <w:szCs w:val="21"/>
              </w:rPr>
              <w:t>比例%</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restart"/>
            <w:vAlign w:val="center"/>
          </w:tcPr>
          <w:p>
            <w:pPr>
              <w:pStyle w:val="58"/>
              <w:jc w:val="center"/>
              <w:rPr>
                <w:color w:val="auto"/>
                <w:sz w:val="21"/>
                <w:szCs w:val="21"/>
                <w:lang w:eastAsia="zh-CN"/>
              </w:rPr>
            </w:pPr>
            <w:r>
              <w:rPr>
                <w:color w:val="auto"/>
                <w:sz w:val="21"/>
                <w:szCs w:val="21"/>
                <w:lang w:eastAsia="zh-CN"/>
              </w:rPr>
              <w:t>您对本项目的了解程度</w:t>
            </w:r>
            <w:r>
              <w:rPr>
                <w:rFonts w:hint="eastAsia" w:ascii="Times New Roman" w:hAnsi="Times New Roman"/>
                <w:color w:val="auto"/>
                <w:sz w:val="21"/>
                <w:szCs w:val="21"/>
                <w:lang w:eastAsia="zh-CN"/>
              </w:rPr>
              <w:t>如何？</w:t>
            </w:r>
          </w:p>
        </w:tc>
        <w:tc>
          <w:tcPr>
            <w:tcW w:w="1580" w:type="pct"/>
            <w:vAlign w:val="center"/>
          </w:tcPr>
          <w:p>
            <w:pPr>
              <w:spacing w:line="276" w:lineRule="auto"/>
              <w:jc w:val="center"/>
              <w:rPr>
                <w:szCs w:val="21"/>
              </w:rPr>
            </w:pPr>
            <w:r>
              <w:rPr>
                <w:rFonts w:hint="eastAsia"/>
                <w:szCs w:val="21"/>
              </w:rPr>
              <w:t>了解</w:t>
            </w:r>
          </w:p>
        </w:tc>
        <w:tc>
          <w:tcPr>
            <w:tcW w:w="582" w:type="pct"/>
            <w:vAlign w:val="center"/>
          </w:tcPr>
          <w:p>
            <w:pPr>
              <w:spacing w:line="276" w:lineRule="auto"/>
              <w:jc w:val="center"/>
              <w:rPr>
                <w:szCs w:val="21"/>
              </w:rPr>
            </w:pPr>
            <w:r>
              <w:rPr>
                <w:rFonts w:hint="eastAsia"/>
                <w:szCs w:val="21"/>
              </w:rPr>
              <w:t>62</w:t>
            </w:r>
          </w:p>
        </w:tc>
        <w:tc>
          <w:tcPr>
            <w:tcW w:w="612" w:type="pct"/>
            <w:vAlign w:val="center"/>
          </w:tcPr>
          <w:p>
            <w:pPr>
              <w:spacing w:line="276" w:lineRule="auto"/>
              <w:jc w:val="center"/>
              <w:rPr>
                <w:szCs w:val="21"/>
              </w:rPr>
            </w:pPr>
            <w:r>
              <w:rPr>
                <w:rFonts w:hint="eastAsia"/>
                <w:szCs w:val="21"/>
              </w:rPr>
              <w:t>68.9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spacing w:line="276" w:lineRule="auto"/>
              <w:jc w:val="center"/>
              <w:rPr>
                <w:szCs w:val="21"/>
              </w:rPr>
            </w:pPr>
          </w:p>
        </w:tc>
        <w:tc>
          <w:tcPr>
            <w:tcW w:w="1580" w:type="pct"/>
            <w:vAlign w:val="center"/>
          </w:tcPr>
          <w:p>
            <w:pPr>
              <w:spacing w:line="276" w:lineRule="auto"/>
              <w:jc w:val="center"/>
              <w:rPr>
                <w:szCs w:val="21"/>
              </w:rPr>
            </w:pPr>
            <w:r>
              <w:rPr>
                <w:rFonts w:hint="eastAsia"/>
                <w:szCs w:val="21"/>
              </w:rPr>
              <w:t>知道一点</w:t>
            </w:r>
          </w:p>
        </w:tc>
        <w:tc>
          <w:tcPr>
            <w:tcW w:w="582" w:type="pct"/>
            <w:vAlign w:val="center"/>
          </w:tcPr>
          <w:p>
            <w:pPr>
              <w:spacing w:line="276" w:lineRule="auto"/>
              <w:jc w:val="center"/>
              <w:rPr>
                <w:szCs w:val="21"/>
              </w:rPr>
            </w:pPr>
            <w:r>
              <w:rPr>
                <w:rFonts w:hint="eastAsia"/>
                <w:szCs w:val="21"/>
              </w:rPr>
              <w:t>26</w:t>
            </w:r>
          </w:p>
        </w:tc>
        <w:tc>
          <w:tcPr>
            <w:tcW w:w="612" w:type="pct"/>
            <w:vAlign w:val="center"/>
          </w:tcPr>
          <w:p>
            <w:pPr>
              <w:spacing w:line="276" w:lineRule="auto"/>
              <w:jc w:val="center"/>
              <w:rPr>
                <w:szCs w:val="21"/>
              </w:rPr>
            </w:pPr>
            <w:r>
              <w:rPr>
                <w:rFonts w:hint="eastAsia"/>
                <w:szCs w:val="21"/>
              </w:rPr>
              <w:t>28.9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spacing w:line="276" w:lineRule="auto"/>
              <w:jc w:val="center"/>
              <w:rPr>
                <w:szCs w:val="21"/>
              </w:rPr>
            </w:pPr>
          </w:p>
        </w:tc>
        <w:tc>
          <w:tcPr>
            <w:tcW w:w="1580" w:type="pct"/>
            <w:vAlign w:val="center"/>
          </w:tcPr>
          <w:p>
            <w:pPr>
              <w:spacing w:line="276" w:lineRule="auto"/>
              <w:jc w:val="center"/>
              <w:rPr>
                <w:szCs w:val="21"/>
              </w:rPr>
            </w:pPr>
            <w:r>
              <w:rPr>
                <w:rFonts w:hint="eastAsia"/>
                <w:szCs w:val="21"/>
              </w:rPr>
              <w:t>不了解</w:t>
            </w:r>
          </w:p>
        </w:tc>
        <w:tc>
          <w:tcPr>
            <w:tcW w:w="582" w:type="pct"/>
            <w:vAlign w:val="center"/>
          </w:tcPr>
          <w:p>
            <w:pPr>
              <w:spacing w:line="276" w:lineRule="auto"/>
              <w:jc w:val="center"/>
              <w:rPr>
                <w:szCs w:val="21"/>
              </w:rPr>
            </w:pPr>
            <w:r>
              <w:rPr>
                <w:rFonts w:hint="eastAsia"/>
                <w:szCs w:val="21"/>
              </w:rPr>
              <w:t>2</w:t>
            </w:r>
          </w:p>
        </w:tc>
        <w:tc>
          <w:tcPr>
            <w:tcW w:w="612" w:type="pct"/>
            <w:vAlign w:val="center"/>
          </w:tcPr>
          <w:p>
            <w:pPr>
              <w:spacing w:line="276" w:lineRule="auto"/>
              <w:jc w:val="center"/>
              <w:rPr>
                <w:szCs w:val="21"/>
              </w:rPr>
            </w:pPr>
            <w:r>
              <w:rPr>
                <w:rFonts w:hint="eastAsia"/>
                <w:szCs w:val="21"/>
              </w:rPr>
              <w:t>2.2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restart"/>
            <w:vAlign w:val="center"/>
          </w:tcPr>
          <w:p>
            <w:pPr>
              <w:pStyle w:val="58"/>
              <w:jc w:val="center"/>
              <w:rPr>
                <w:color w:val="auto"/>
                <w:sz w:val="21"/>
                <w:szCs w:val="21"/>
                <w:lang w:eastAsia="zh-CN"/>
              </w:rPr>
            </w:pPr>
            <w:r>
              <w:rPr>
                <w:color w:val="auto"/>
                <w:sz w:val="21"/>
                <w:szCs w:val="21"/>
                <w:lang w:eastAsia="zh-CN"/>
              </w:rPr>
              <w:t>您认为项目所在地目前的环境质量状况如何？</w:t>
            </w:r>
          </w:p>
        </w:tc>
        <w:tc>
          <w:tcPr>
            <w:tcW w:w="1580" w:type="pct"/>
            <w:vAlign w:val="center"/>
          </w:tcPr>
          <w:p>
            <w:pPr>
              <w:spacing w:line="276" w:lineRule="auto"/>
              <w:jc w:val="center"/>
              <w:rPr>
                <w:szCs w:val="21"/>
              </w:rPr>
            </w:pPr>
            <w:r>
              <w:rPr>
                <w:rFonts w:hint="eastAsia"/>
                <w:szCs w:val="21"/>
              </w:rPr>
              <w:t>非常好</w:t>
            </w:r>
          </w:p>
        </w:tc>
        <w:tc>
          <w:tcPr>
            <w:tcW w:w="582" w:type="pct"/>
            <w:vAlign w:val="center"/>
          </w:tcPr>
          <w:p>
            <w:pPr>
              <w:spacing w:line="276" w:lineRule="auto"/>
              <w:jc w:val="center"/>
              <w:rPr>
                <w:szCs w:val="21"/>
              </w:rPr>
            </w:pPr>
            <w:r>
              <w:rPr>
                <w:rFonts w:hint="eastAsia"/>
                <w:szCs w:val="21"/>
              </w:rPr>
              <w:t>6</w:t>
            </w:r>
          </w:p>
        </w:tc>
        <w:tc>
          <w:tcPr>
            <w:tcW w:w="612" w:type="pct"/>
            <w:vAlign w:val="center"/>
          </w:tcPr>
          <w:p>
            <w:pPr>
              <w:spacing w:line="276" w:lineRule="auto"/>
              <w:jc w:val="center"/>
              <w:rPr>
                <w:szCs w:val="21"/>
              </w:rPr>
            </w:pPr>
            <w:r>
              <w:rPr>
                <w:rFonts w:hint="eastAsia"/>
                <w:szCs w:val="21"/>
              </w:rPr>
              <w:t>6.7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好</w:t>
            </w:r>
          </w:p>
        </w:tc>
        <w:tc>
          <w:tcPr>
            <w:tcW w:w="582" w:type="pct"/>
            <w:vAlign w:val="center"/>
          </w:tcPr>
          <w:p>
            <w:pPr>
              <w:spacing w:line="276" w:lineRule="auto"/>
              <w:jc w:val="center"/>
              <w:rPr>
                <w:szCs w:val="21"/>
              </w:rPr>
            </w:pPr>
            <w:r>
              <w:rPr>
                <w:rFonts w:hint="eastAsia"/>
                <w:szCs w:val="21"/>
              </w:rPr>
              <w:t>55</w:t>
            </w:r>
          </w:p>
        </w:tc>
        <w:tc>
          <w:tcPr>
            <w:tcW w:w="612" w:type="pct"/>
            <w:vAlign w:val="center"/>
          </w:tcPr>
          <w:p>
            <w:pPr>
              <w:spacing w:line="276" w:lineRule="auto"/>
              <w:jc w:val="center"/>
              <w:rPr>
                <w:szCs w:val="21"/>
              </w:rPr>
            </w:pPr>
            <w:r>
              <w:rPr>
                <w:rFonts w:hint="eastAsia"/>
                <w:szCs w:val="21"/>
              </w:rPr>
              <w:t>61.1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一般</w:t>
            </w:r>
          </w:p>
        </w:tc>
        <w:tc>
          <w:tcPr>
            <w:tcW w:w="582" w:type="pct"/>
            <w:vAlign w:val="center"/>
          </w:tcPr>
          <w:p>
            <w:pPr>
              <w:spacing w:line="276" w:lineRule="auto"/>
              <w:jc w:val="center"/>
              <w:rPr>
                <w:szCs w:val="21"/>
              </w:rPr>
            </w:pPr>
            <w:r>
              <w:rPr>
                <w:rFonts w:hint="eastAsia"/>
                <w:szCs w:val="21"/>
              </w:rPr>
              <w:t>25</w:t>
            </w:r>
          </w:p>
        </w:tc>
        <w:tc>
          <w:tcPr>
            <w:tcW w:w="612" w:type="pct"/>
            <w:vAlign w:val="center"/>
          </w:tcPr>
          <w:p>
            <w:pPr>
              <w:spacing w:line="276" w:lineRule="auto"/>
              <w:jc w:val="center"/>
              <w:rPr>
                <w:szCs w:val="21"/>
              </w:rPr>
            </w:pPr>
            <w:r>
              <w:rPr>
                <w:rFonts w:hint="eastAsia"/>
                <w:szCs w:val="21"/>
              </w:rPr>
              <w:t>27.8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不好</w:t>
            </w:r>
          </w:p>
        </w:tc>
        <w:tc>
          <w:tcPr>
            <w:tcW w:w="582" w:type="pct"/>
            <w:vAlign w:val="center"/>
          </w:tcPr>
          <w:p>
            <w:pPr>
              <w:spacing w:line="276" w:lineRule="auto"/>
              <w:jc w:val="center"/>
              <w:rPr>
                <w:szCs w:val="21"/>
              </w:rPr>
            </w:pPr>
            <w:r>
              <w:rPr>
                <w:rFonts w:hint="eastAsia"/>
                <w:szCs w:val="21"/>
              </w:rPr>
              <w:t>3</w:t>
            </w:r>
          </w:p>
        </w:tc>
        <w:tc>
          <w:tcPr>
            <w:tcW w:w="612" w:type="pct"/>
            <w:vAlign w:val="center"/>
          </w:tcPr>
          <w:p>
            <w:pPr>
              <w:spacing w:line="276" w:lineRule="auto"/>
              <w:jc w:val="center"/>
              <w:rPr>
                <w:szCs w:val="21"/>
              </w:rPr>
            </w:pPr>
            <w:r>
              <w:rPr>
                <w:rFonts w:hint="eastAsia"/>
                <w:szCs w:val="21"/>
              </w:rPr>
              <w:t>3.3</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不知道</w:t>
            </w:r>
          </w:p>
        </w:tc>
        <w:tc>
          <w:tcPr>
            <w:tcW w:w="582" w:type="pct"/>
            <w:vAlign w:val="center"/>
          </w:tcPr>
          <w:p>
            <w:pPr>
              <w:spacing w:line="276" w:lineRule="auto"/>
              <w:jc w:val="center"/>
              <w:rPr>
                <w:szCs w:val="21"/>
              </w:rPr>
            </w:pPr>
            <w:r>
              <w:rPr>
                <w:rFonts w:hint="eastAsia"/>
                <w:szCs w:val="21"/>
              </w:rPr>
              <w:t>1</w:t>
            </w:r>
          </w:p>
        </w:tc>
        <w:tc>
          <w:tcPr>
            <w:tcW w:w="612" w:type="pct"/>
            <w:vAlign w:val="center"/>
          </w:tcPr>
          <w:p>
            <w:pPr>
              <w:spacing w:line="276" w:lineRule="auto"/>
              <w:jc w:val="center"/>
              <w:rPr>
                <w:szCs w:val="21"/>
              </w:rPr>
            </w:pPr>
            <w:r>
              <w:rPr>
                <w:rFonts w:hint="eastAsia"/>
                <w:szCs w:val="21"/>
              </w:rPr>
              <w:t>1.1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restart"/>
            <w:vAlign w:val="center"/>
          </w:tcPr>
          <w:p>
            <w:pPr>
              <w:pStyle w:val="58"/>
              <w:jc w:val="center"/>
              <w:rPr>
                <w:color w:val="auto"/>
                <w:sz w:val="21"/>
                <w:szCs w:val="21"/>
                <w:lang w:eastAsia="zh-CN"/>
              </w:rPr>
            </w:pPr>
            <w:r>
              <w:rPr>
                <w:color w:val="auto"/>
                <w:sz w:val="21"/>
                <w:szCs w:val="21"/>
                <w:lang w:eastAsia="zh-CN"/>
              </w:rPr>
              <w:t>您认为项目建设所在地目前是否存在环境问题，若有，主要有哪方面？（可多选）</w:t>
            </w:r>
          </w:p>
        </w:tc>
        <w:tc>
          <w:tcPr>
            <w:tcW w:w="1580" w:type="pct"/>
            <w:vAlign w:val="center"/>
          </w:tcPr>
          <w:p>
            <w:pPr>
              <w:spacing w:line="276" w:lineRule="auto"/>
              <w:jc w:val="center"/>
              <w:rPr>
                <w:szCs w:val="21"/>
              </w:rPr>
            </w:pPr>
            <w:r>
              <w:rPr>
                <w:rFonts w:hint="eastAsia"/>
                <w:szCs w:val="21"/>
              </w:rPr>
              <w:t>不存在</w:t>
            </w:r>
          </w:p>
        </w:tc>
        <w:tc>
          <w:tcPr>
            <w:tcW w:w="582" w:type="pct"/>
            <w:vAlign w:val="center"/>
          </w:tcPr>
          <w:p>
            <w:pPr>
              <w:spacing w:line="276" w:lineRule="auto"/>
              <w:jc w:val="center"/>
              <w:rPr>
                <w:szCs w:val="21"/>
              </w:rPr>
            </w:pPr>
            <w:r>
              <w:rPr>
                <w:rFonts w:hint="eastAsia"/>
                <w:szCs w:val="21"/>
              </w:rPr>
              <w:t>56</w:t>
            </w:r>
          </w:p>
        </w:tc>
        <w:tc>
          <w:tcPr>
            <w:tcW w:w="612" w:type="pct"/>
            <w:vAlign w:val="center"/>
          </w:tcPr>
          <w:p>
            <w:pPr>
              <w:spacing w:line="276" w:lineRule="auto"/>
              <w:jc w:val="center"/>
              <w:rPr>
                <w:szCs w:val="21"/>
              </w:rPr>
            </w:pPr>
            <w:r>
              <w:rPr>
                <w:rFonts w:hint="eastAsia"/>
                <w:szCs w:val="21"/>
              </w:rPr>
              <w:t>62.2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大气污染</w:t>
            </w:r>
          </w:p>
        </w:tc>
        <w:tc>
          <w:tcPr>
            <w:tcW w:w="582" w:type="pct"/>
            <w:vAlign w:val="center"/>
          </w:tcPr>
          <w:p>
            <w:pPr>
              <w:spacing w:line="276" w:lineRule="auto"/>
              <w:jc w:val="center"/>
              <w:rPr>
                <w:szCs w:val="21"/>
              </w:rPr>
            </w:pPr>
            <w:r>
              <w:rPr>
                <w:rFonts w:hint="eastAsia"/>
                <w:szCs w:val="21"/>
              </w:rPr>
              <w:t>27</w:t>
            </w:r>
          </w:p>
        </w:tc>
        <w:tc>
          <w:tcPr>
            <w:tcW w:w="612" w:type="pct"/>
            <w:vAlign w:val="center"/>
          </w:tcPr>
          <w:p>
            <w:pPr>
              <w:spacing w:line="276" w:lineRule="auto"/>
              <w:jc w:val="center"/>
              <w:rPr>
                <w:szCs w:val="21"/>
              </w:rPr>
            </w:pPr>
            <w:r>
              <w:rPr>
                <w:rFonts w:hint="eastAsia"/>
                <w:szCs w:val="21"/>
              </w:rPr>
              <w:t>30.0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水体污染</w:t>
            </w:r>
          </w:p>
        </w:tc>
        <w:tc>
          <w:tcPr>
            <w:tcW w:w="582" w:type="pct"/>
            <w:vAlign w:val="center"/>
          </w:tcPr>
          <w:p>
            <w:pPr>
              <w:spacing w:line="276" w:lineRule="auto"/>
              <w:jc w:val="center"/>
              <w:rPr>
                <w:szCs w:val="21"/>
              </w:rPr>
            </w:pPr>
            <w:r>
              <w:rPr>
                <w:rFonts w:hint="eastAsia"/>
                <w:szCs w:val="21"/>
              </w:rPr>
              <w:t>24</w:t>
            </w:r>
          </w:p>
        </w:tc>
        <w:tc>
          <w:tcPr>
            <w:tcW w:w="612" w:type="pct"/>
            <w:vAlign w:val="center"/>
          </w:tcPr>
          <w:p>
            <w:pPr>
              <w:spacing w:line="276" w:lineRule="auto"/>
              <w:jc w:val="center"/>
              <w:rPr>
                <w:szCs w:val="21"/>
              </w:rPr>
            </w:pPr>
            <w:r>
              <w:rPr>
                <w:rFonts w:hint="eastAsia"/>
                <w:szCs w:val="21"/>
              </w:rPr>
              <w:t>26.7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噪声污染</w:t>
            </w:r>
          </w:p>
        </w:tc>
        <w:tc>
          <w:tcPr>
            <w:tcW w:w="582" w:type="pct"/>
            <w:vAlign w:val="center"/>
          </w:tcPr>
          <w:p>
            <w:pPr>
              <w:spacing w:line="276" w:lineRule="auto"/>
              <w:jc w:val="center"/>
              <w:rPr>
                <w:szCs w:val="21"/>
              </w:rPr>
            </w:pPr>
            <w:r>
              <w:rPr>
                <w:rFonts w:hint="eastAsia"/>
                <w:szCs w:val="21"/>
              </w:rPr>
              <w:t>4</w:t>
            </w:r>
          </w:p>
        </w:tc>
        <w:tc>
          <w:tcPr>
            <w:tcW w:w="612" w:type="pct"/>
            <w:vAlign w:val="center"/>
          </w:tcPr>
          <w:p>
            <w:pPr>
              <w:spacing w:line="276" w:lineRule="auto"/>
              <w:jc w:val="center"/>
              <w:rPr>
                <w:szCs w:val="21"/>
              </w:rPr>
            </w:pPr>
            <w:r>
              <w:rPr>
                <w:rFonts w:hint="eastAsia"/>
                <w:szCs w:val="21"/>
              </w:rPr>
              <w:t>4.4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生态破坏和水土流失</w:t>
            </w:r>
          </w:p>
        </w:tc>
        <w:tc>
          <w:tcPr>
            <w:tcW w:w="582" w:type="pct"/>
            <w:vAlign w:val="center"/>
          </w:tcPr>
          <w:p>
            <w:pPr>
              <w:spacing w:line="276" w:lineRule="auto"/>
              <w:jc w:val="center"/>
              <w:rPr>
                <w:szCs w:val="21"/>
              </w:rPr>
            </w:pPr>
            <w:r>
              <w:rPr>
                <w:rFonts w:hint="eastAsia"/>
                <w:szCs w:val="21"/>
              </w:rPr>
              <w:t>9</w:t>
            </w:r>
          </w:p>
        </w:tc>
        <w:tc>
          <w:tcPr>
            <w:tcW w:w="612" w:type="pct"/>
            <w:vAlign w:val="center"/>
          </w:tcPr>
          <w:p>
            <w:pPr>
              <w:spacing w:line="276" w:lineRule="auto"/>
              <w:jc w:val="center"/>
              <w:rPr>
                <w:szCs w:val="21"/>
              </w:rPr>
            </w:pPr>
            <w:r>
              <w:rPr>
                <w:rFonts w:hint="eastAsia"/>
                <w:szCs w:val="21"/>
              </w:rPr>
              <w:t>10.0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其他</w:t>
            </w:r>
          </w:p>
        </w:tc>
        <w:tc>
          <w:tcPr>
            <w:tcW w:w="582" w:type="pct"/>
            <w:vAlign w:val="center"/>
          </w:tcPr>
          <w:p>
            <w:pPr>
              <w:spacing w:line="276" w:lineRule="auto"/>
              <w:jc w:val="center"/>
              <w:rPr>
                <w:szCs w:val="21"/>
              </w:rPr>
            </w:pPr>
            <w:r>
              <w:rPr>
                <w:rFonts w:hint="eastAsia"/>
                <w:szCs w:val="21"/>
              </w:rPr>
              <w:t>7</w:t>
            </w:r>
          </w:p>
        </w:tc>
        <w:tc>
          <w:tcPr>
            <w:tcW w:w="612" w:type="pct"/>
            <w:vAlign w:val="center"/>
          </w:tcPr>
          <w:p>
            <w:pPr>
              <w:spacing w:line="276" w:lineRule="auto"/>
              <w:jc w:val="center"/>
              <w:rPr>
                <w:szCs w:val="21"/>
              </w:rPr>
            </w:pPr>
            <w:r>
              <w:rPr>
                <w:rFonts w:hint="eastAsia"/>
                <w:szCs w:val="21"/>
              </w:rPr>
              <w:t>7.9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restart"/>
            <w:vAlign w:val="center"/>
          </w:tcPr>
          <w:p>
            <w:pPr>
              <w:pStyle w:val="58"/>
              <w:jc w:val="center"/>
              <w:rPr>
                <w:color w:val="auto"/>
                <w:sz w:val="21"/>
                <w:szCs w:val="21"/>
                <w:lang w:eastAsia="zh-CN"/>
              </w:rPr>
            </w:pPr>
            <w:r>
              <w:rPr>
                <w:color w:val="auto"/>
                <w:sz w:val="21"/>
                <w:szCs w:val="21"/>
                <w:lang w:eastAsia="zh-CN"/>
              </w:rPr>
              <w:t>您认为项目建设施工可能对当地环境产生哪些不利影响？（可多选）</w:t>
            </w:r>
          </w:p>
          <w:p>
            <w:pPr>
              <w:pStyle w:val="58"/>
              <w:jc w:val="center"/>
              <w:rPr>
                <w:color w:val="auto"/>
                <w:sz w:val="21"/>
                <w:szCs w:val="21"/>
                <w:lang w:eastAsia="zh-CN"/>
              </w:rPr>
            </w:pPr>
          </w:p>
        </w:tc>
        <w:tc>
          <w:tcPr>
            <w:tcW w:w="1580" w:type="pct"/>
            <w:vAlign w:val="center"/>
          </w:tcPr>
          <w:p>
            <w:pPr>
              <w:spacing w:line="276" w:lineRule="auto"/>
              <w:jc w:val="center"/>
              <w:rPr>
                <w:szCs w:val="21"/>
              </w:rPr>
            </w:pPr>
            <w:r>
              <w:rPr>
                <w:rFonts w:hint="eastAsia"/>
                <w:szCs w:val="21"/>
              </w:rPr>
              <w:t>大气污染</w:t>
            </w:r>
          </w:p>
        </w:tc>
        <w:tc>
          <w:tcPr>
            <w:tcW w:w="582" w:type="pct"/>
            <w:vAlign w:val="center"/>
          </w:tcPr>
          <w:p>
            <w:pPr>
              <w:spacing w:line="276" w:lineRule="auto"/>
              <w:jc w:val="center"/>
              <w:rPr>
                <w:szCs w:val="21"/>
              </w:rPr>
            </w:pPr>
            <w:r>
              <w:rPr>
                <w:rFonts w:hint="eastAsia"/>
                <w:szCs w:val="21"/>
              </w:rPr>
              <w:t>34</w:t>
            </w:r>
          </w:p>
        </w:tc>
        <w:tc>
          <w:tcPr>
            <w:tcW w:w="612" w:type="pct"/>
            <w:vAlign w:val="center"/>
          </w:tcPr>
          <w:p>
            <w:pPr>
              <w:spacing w:line="276" w:lineRule="auto"/>
              <w:jc w:val="center"/>
              <w:rPr>
                <w:szCs w:val="21"/>
              </w:rPr>
            </w:pPr>
            <w:r>
              <w:rPr>
                <w:rFonts w:hint="eastAsia"/>
                <w:szCs w:val="21"/>
              </w:rPr>
              <w:t>37.8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水体污染</w:t>
            </w:r>
          </w:p>
        </w:tc>
        <w:tc>
          <w:tcPr>
            <w:tcW w:w="582" w:type="pct"/>
            <w:vAlign w:val="center"/>
          </w:tcPr>
          <w:p>
            <w:pPr>
              <w:spacing w:line="276" w:lineRule="auto"/>
              <w:jc w:val="center"/>
              <w:rPr>
                <w:szCs w:val="21"/>
              </w:rPr>
            </w:pPr>
            <w:r>
              <w:rPr>
                <w:rFonts w:hint="eastAsia"/>
                <w:szCs w:val="21"/>
              </w:rPr>
              <w:t>12</w:t>
            </w:r>
          </w:p>
        </w:tc>
        <w:tc>
          <w:tcPr>
            <w:tcW w:w="612" w:type="pct"/>
            <w:vAlign w:val="center"/>
          </w:tcPr>
          <w:p>
            <w:pPr>
              <w:spacing w:line="276" w:lineRule="auto"/>
              <w:jc w:val="center"/>
              <w:rPr>
                <w:szCs w:val="21"/>
              </w:rPr>
            </w:pPr>
            <w:r>
              <w:rPr>
                <w:rFonts w:hint="eastAsia"/>
                <w:szCs w:val="21"/>
              </w:rPr>
              <w:t>13.3</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施工噪声扰民</w:t>
            </w:r>
          </w:p>
        </w:tc>
        <w:tc>
          <w:tcPr>
            <w:tcW w:w="582" w:type="pct"/>
            <w:vAlign w:val="center"/>
          </w:tcPr>
          <w:p>
            <w:pPr>
              <w:spacing w:line="276" w:lineRule="auto"/>
              <w:jc w:val="center"/>
              <w:rPr>
                <w:szCs w:val="21"/>
              </w:rPr>
            </w:pPr>
            <w:r>
              <w:rPr>
                <w:rFonts w:hint="eastAsia"/>
                <w:szCs w:val="21"/>
              </w:rPr>
              <w:t>45</w:t>
            </w:r>
          </w:p>
        </w:tc>
        <w:tc>
          <w:tcPr>
            <w:tcW w:w="612" w:type="pct"/>
            <w:vAlign w:val="center"/>
          </w:tcPr>
          <w:p>
            <w:pPr>
              <w:spacing w:line="276" w:lineRule="auto"/>
              <w:jc w:val="center"/>
              <w:rPr>
                <w:szCs w:val="21"/>
              </w:rPr>
            </w:pPr>
            <w:r>
              <w:rPr>
                <w:rFonts w:hint="eastAsia"/>
                <w:szCs w:val="21"/>
              </w:rPr>
              <w:t>50.0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施工固废污染</w:t>
            </w:r>
          </w:p>
        </w:tc>
        <w:tc>
          <w:tcPr>
            <w:tcW w:w="582" w:type="pct"/>
            <w:vAlign w:val="center"/>
          </w:tcPr>
          <w:p>
            <w:pPr>
              <w:spacing w:line="276" w:lineRule="auto"/>
              <w:jc w:val="center"/>
              <w:rPr>
                <w:szCs w:val="21"/>
              </w:rPr>
            </w:pPr>
            <w:r>
              <w:rPr>
                <w:rFonts w:hint="eastAsia"/>
                <w:szCs w:val="21"/>
              </w:rPr>
              <w:t>12</w:t>
            </w:r>
          </w:p>
        </w:tc>
        <w:tc>
          <w:tcPr>
            <w:tcW w:w="612" w:type="pct"/>
            <w:vAlign w:val="center"/>
          </w:tcPr>
          <w:p>
            <w:pPr>
              <w:spacing w:line="276" w:lineRule="auto"/>
              <w:jc w:val="center"/>
              <w:rPr>
                <w:szCs w:val="21"/>
              </w:rPr>
            </w:pPr>
            <w:r>
              <w:rPr>
                <w:rFonts w:hint="eastAsia"/>
                <w:szCs w:val="21"/>
              </w:rPr>
              <w:t>13.3</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生态破坏和水土流失</w:t>
            </w:r>
          </w:p>
        </w:tc>
        <w:tc>
          <w:tcPr>
            <w:tcW w:w="582" w:type="pct"/>
            <w:vAlign w:val="center"/>
          </w:tcPr>
          <w:p>
            <w:pPr>
              <w:spacing w:line="276" w:lineRule="auto"/>
              <w:jc w:val="center"/>
              <w:rPr>
                <w:szCs w:val="21"/>
              </w:rPr>
            </w:pPr>
            <w:r>
              <w:rPr>
                <w:rFonts w:hint="eastAsia"/>
                <w:szCs w:val="21"/>
              </w:rPr>
              <w:t>37</w:t>
            </w:r>
          </w:p>
        </w:tc>
        <w:tc>
          <w:tcPr>
            <w:tcW w:w="612" w:type="pct"/>
            <w:vAlign w:val="center"/>
          </w:tcPr>
          <w:p>
            <w:pPr>
              <w:spacing w:line="276" w:lineRule="auto"/>
              <w:jc w:val="center"/>
              <w:rPr>
                <w:szCs w:val="21"/>
              </w:rPr>
            </w:pPr>
            <w:r>
              <w:rPr>
                <w:rFonts w:hint="eastAsia"/>
                <w:szCs w:val="21"/>
              </w:rPr>
              <w:t>41.1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农业生产损失</w:t>
            </w:r>
          </w:p>
        </w:tc>
        <w:tc>
          <w:tcPr>
            <w:tcW w:w="582" w:type="pct"/>
            <w:vAlign w:val="center"/>
          </w:tcPr>
          <w:p>
            <w:pPr>
              <w:spacing w:line="276" w:lineRule="auto"/>
              <w:jc w:val="center"/>
              <w:rPr>
                <w:szCs w:val="21"/>
              </w:rPr>
            </w:pPr>
            <w:r>
              <w:rPr>
                <w:rFonts w:hint="eastAsia"/>
                <w:szCs w:val="21"/>
              </w:rPr>
              <w:t>5</w:t>
            </w:r>
          </w:p>
        </w:tc>
        <w:tc>
          <w:tcPr>
            <w:tcW w:w="612" w:type="pct"/>
            <w:vAlign w:val="center"/>
          </w:tcPr>
          <w:p>
            <w:pPr>
              <w:spacing w:line="276" w:lineRule="auto"/>
              <w:jc w:val="center"/>
              <w:rPr>
                <w:szCs w:val="21"/>
              </w:rPr>
            </w:pPr>
            <w:r>
              <w:rPr>
                <w:rFonts w:hint="eastAsia"/>
                <w:szCs w:val="21"/>
              </w:rPr>
              <w:t>5.6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其他</w:t>
            </w:r>
          </w:p>
        </w:tc>
        <w:tc>
          <w:tcPr>
            <w:tcW w:w="582" w:type="pct"/>
            <w:vAlign w:val="center"/>
          </w:tcPr>
          <w:p>
            <w:pPr>
              <w:spacing w:line="276" w:lineRule="auto"/>
              <w:jc w:val="center"/>
              <w:rPr>
                <w:szCs w:val="21"/>
              </w:rPr>
            </w:pPr>
            <w:r>
              <w:rPr>
                <w:rFonts w:hint="eastAsia"/>
                <w:szCs w:val="21"/>
              </w:rPr>
              <w:t>7</w:t>
            </w:r>
          </w:p>
        </w:tc>
        <w:tc>
          <w:tcPr>
            <w:tcW w:w="612" w:type="pct"/>
            <w:vAlign w:val="center"/>
          </w:tcPr>
          <w:p>
            <w:pPr>
              <w:spacing w:line="276" w:lineRule="auto"/>
              <w:jc w:val="center"/>
              <w:rPr>
                <w:szCs w:val="21"/>
              </w:rPr>
            </w:pPr>
            <w:r>
              <w:rPr>
                <w:rFonts w:hint="eastAsia"/>
                <w:szCs w:val="21"/>
              </w:rPr>
              <w:t>7.8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restart"/>
            <w:vAlign w:val="center"/>
          </w:tcPr>
          <w:p>
            <w:pPr>
              <w:pStyle w:val="58"/>
              <w:jc w:val="center"/>
              <w:rPr>
                <w:color w:val="auto"/>
                <w:sz w:val="21"/>
                <w:szCs w:val="21"/>
                <w:lang w:eastAsia="zh-CN"/>
              </w:rPr>
            </w:pPr>
            <w:r>
              <w:rPr>
                <w:color w:val="auto"/>
                <w:sz w:val="21"/>
                <w:szCs w:val="21"/>
                <w:lang w:eastAsia="zh-CN"/>
              </w:rPr>
              <w:t>您认为项目投入运营后可能对当地环境产生哪些不利的影响？（可多</w:t>
            </w:r>
            <w:r>
              <w:rPr>
                <w:rFonts w:hint="eastAsia"/>
                <w:color w:val="auto"/>
                <w:sz w:val="21"/>
                <w:szCs w:val="21"/>
                <w:lang w:eastAsia="zh-CN"/>
              </w:rPr>
              <w:t>选）</w:t>
            </w:r>
          </w:p>
        </w:tc>
        <w:tc>
          <w:tcPr>
            <w:tcW w:w="1580" w:type="pct"/>
            <w:vAlign w:val="center"/>
          </w:tcPr>
          <w:p>
            <w:pPr>
              <w:spacing w:line="276" w:lineRule="auto"/>
              <w:jc w:val="center"/>
              <w:rPr>
                <w:szCs w:val="21"/>
              </w:rPr>
            </w:pPr>
            <w:r>
              <w:rPr>
                <w:rFonts w:hint="eastAsia"/>
                <w:szCs w:val="21"/>
              </w:rPr>
              <w:t>大气污染</w:t>
            </w:r>
          </w:p>
        </w:tc>
        <w:tc>
          <w:tcPr>
            <w:tcW w:w="582" w:type="pct"/>
            <w:vAlign w:val="center"/>
          </w:tcPr>
          <w:p>
            <w:pPr>
              <w:spacing w:line="276" w:lineRule="auto"/>
              <w:jc w:val="center"/>
              <w:rPr>
                <w:szCs w:val="21"/>
              </w:rPr>
            </w:pPr>
            <w:r>
              <w:rPr>
                <w:rFonts w:hint="eastAsia"/>
                <w:szCs w:val="21"/>
              </w:rPr>
              <w:t>4</w:t>
            </w:r>
          </w:p>
        </w:tc>
        <w:tc>
          <w:tcPr>
            <w:tcW w:w="612" w:type="pct"/>
            <w:vAlign w:val="center"/>
          </w:tcPr>
          <w:p>
            <w:pPr>
              <w:spacing w:line="276" w:lineRule="auto"/>
              <w:jc w:val="center"/>
              <w:rPr>
                <w:szCs w:val="21"/>
              </w:rPr>
            </w:pPr>
            <w:r>
              <w:rPr>
                <w:rFonts w:hint="eastAsia"/>
                <w:szCs w:val="21"/>
              </w:rPr>
              <w:t>4.4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水体污染</w:t>
            </w:r>
          </w:p>
        </w:tc>
        <w:tc>
          <w:tcPr>
            <w:tcW w:w="582" w:type="pct"/>
            <w:vAlign w:val="center"/>
          </w:tcPr>
          <w:p>
            <w:pPr>
              <w:spacing w:line="276" w:lineRule="auto"/>
              <w:jc w:val="center"/>
              <w:rPr>
                <w:szCs w:val="21"/>
              </w:rPr>
            </w:pPr>
            <w:r>
              <w:rPr>
                <w:rFonts w:hint="eastAsia"/>
                <w:szCs w:val="21"/>
              </w:rPr>
              <w:t>35</w:t>
            </w:r>
          </w:p>
        </w:tc>
        <w:tc>
          <w:tcPr>
            <w:tcW w:w="612" w:type="pct"/>
            <w:vAlign w:val="center"/>
          </w:tcPr>
          <w:p>
            <w:pPr>
              <w:spacing w:line="276" w:lineRule="auto"/>
              <w:jc w:val="center"/>
              <w:rPr>
                <w:szCs w:val="21"/>
              </w:rPr>
            </w:pPr>
            <w:r>
              <w:rPr>
                <w:rFonts w:hint="eastAsia"/>
                <w:szCs w:val="21"/>
              </w:rPr>
              <w:t>38.9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噪声扰民</w:t>
            </w:r>
          </w:p>
        </w:tc>
        <w:tc>
          <w:tcPr>
            <w:tcW w:w="582" w:type="pct"/>
            <w:vAlign w:val="center"/>
          </w:tcPr>
          <w:p>
            <w:pPr>
              <w:spacing w:line="276" w:lineRule="auto"/>
              <w:jc w:val="center"/>
              <w:rPr>
                <w:szCs w:val="21"/>
              </w:rPr>
            </w:pPr>
            <w:r>
              <w:rPr>
                <w:rFonts w:hint="eastAsia"/>
                <w:szCs w:val="21"/>
              </w:rPr>
              <w:t>46</w:t>
            </w:r>
          </w:p>
        </w:tc>
        <w:tc>
          <w:tcPr>
            <w:tcW w:w="612" w:type="pct"/>
            <w:vAlign w:val="center"/>
          </w:tcPr>
          <w:p>
            <w:pPr>
              <w:spacing w:line="276" w:lineRule="auto"/>
              <w:jc w:val="center"/>
              <w:rPr>
                <w:szCs w:val="21"/>
              </w:rPr>
            </w:pPr>
            <w:r>
              <w:rPr>
                <w:rFonts w:hint="eastAsia"/>
                <w:szCs w:val="21"/>
              </w:rPr>
              <w:t>51.1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固废污染</w:t>
            </w:r>
          </w:p>
        </w:tc>
        <w:tc>
          <w:tcPr>
            <w:tcW w:w="582" w:type="pct"/>
            <w:vAlign w:val="center"/>
          </w:tcPr>
          <w:p>
            <w:pPr>
              <w:spacing w:line="276" w:lineRule="auto"/>
              <w:jc w:val="center"/>
              <w:rPr>
                <w:szCs w:val="21"/>
              </w:rPr>
            </w:pPr>
            <w:r>
              <w:rPr>
                <w:rFonts w:hint="eastAsia"/>
                <w:szCs w:val="21"/>
              </w:rPr>
              <w:t>11</w:t>
            </w:r>
          </w:p>
        </w:tc>
        <w:tc>
          <w:tcPr>
            <w:tcW w:w="612" w:type="pct"/>
            <w:vAlign w:val="center"/>
          </w:tcPr>
          <w:p>
            <w:pPr>
              <w:spacing w:line="276" w:lineRule="auto"/>
              <w:jc w:val="center"/>
              <w:rPr>
                <w:szCs w:val="21"/>
              </w:rPr>
            </w:pPr>
            <w:r>
              <w:rPr>
                <w:rFonts w:hint="eastAsia"/>
                <w:szCs w:val="21"/>
              </w:rPr>
              <w:t>12.2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风险事故</w:t>
            </w:r>
          </w:p>
        </w:tc>
        <w:tc>
          <w:tcPr>
            <w:tcW w:w="582" w:type="pct"/>
            <w:vAlign w:val="center"/>
          </w:tcPr>
          <w:p>
            <w:pPr>
              <w:spacing w:line="276" w:lineRule="auto"/>
              <w:jc w:val="center"/>
              <w:rPr>
                <w:szCs w:val="21"/>
              </w:rPr>
            </w:pPr>
            <w:r>
              <w:rPr>
                <w:rFonts w:hint="eastAsia"/>
                <w:szCs w:val="21"/>
              </w:rPr>
              <w:t>8</w:t>
            </w:r>
          </w:p>
        </w:tc>
        <w:tc>
          <w:tcPr>
            <w:tcW w:w="612" w:type="pct"/>
            <w:vAlign w:val="center"/>
          </w:tcPr>
          <w:p>
            <w:pPr>
              <w:spacing w:line="276" w:lineRule="auto"/>
              <w:jc w:val="center"/>
              <w:rPr>
                <w:szCs w:val="21"/>
              </w:rPr>
            </w:pPr>
            <w:r>
              <w:rPr>
                <w:rFonts w:hint="eastAsia"/>
                <w:szCs w:val="21"/>
              </w:rPr>
              <w:t>8.9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生态影响和破坏</w:t>
            </w:r>
          </w:p>
        </w:tc>
        <w:tc>
          <w:tcPr>
            <w:tcW w:w="582" w:type="pct"/>
            <w:vAlign w:val="center"/>
          </w:tcPr>
          <w:p>
            <w:pPr>
              <w:spacing w:line="276" w:lineRule="auto"/>
              <w:jc w:val="center"/>
              <w:rPr>
                <w:szCs w:val="21"/>
              </w:rPr>
            </w:pPr>
            <w:r>
              <w:rPr>
                <w:rFonts w:hint="eastAsia"/>
                <w:szCs w:val="21"/>
              </w:rPr>
              <w:t>24</w:t>
            </w:r>
          </w:p>
        </w:tc>
        <w:tc>
          <w:tcPr>
            <w:tcW w:w="612" w:type="pct"/>
            <w:vAlign w:val="center"/>
          </w:tcPr>
          <w:p>
            <w:pPr>
              <w:spacing w:line="276" w:lineRule="auto"/>
              <w:jc w:val="center"/>
              <w:rPr>
                <w:szCs w:val="21"/>
              </w:rPr>
            </w:pPr>
            <w:r>
              <w:rPr>
                <w:rFonts w:hint="eastAsia"/>
                <w:szCs w:val="21"/>
              </w:rPr>
              <w:t>26.7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其他</w:t>
            </w:r>
          </w:p>
        </w:tc>
        <w:tc>
          <w:tcPr>
            <w:tcW w:w="582" w:type="pct"/>
            <w:vAlign w:val="center"/>
          </w:tcPr>
          <w:p>
            <w:pPr>
              <w:spacing w:line="276" w:lineRule="auto"/>
              <w:jc w:val="center"/>
              <w:rPr>
                <w:szCs w:val="21"/>
              </w:rPr>
            </w:pPr>
            <w:r>
              <w:rPr>
                <w:rFonts w:hint="eastAsia"/>
                <w:szCs w:val="21"/>
              </w:rPr>
              <w:t>5</w:t>
            </w:r>
          </w:p>
        </w:tc>
        <w:tc>
          <w:tcPr>
            <w:tcW w:w="612" w:type="pct"/>
            <w:vAlign w:val="center"/>
          </w:tcPr>
          <w:p>
            <w:pPr>
              <w:spacing w:line="276" w:lineRule="auto"/>
              <w:jc w:val="center"/>
              <w:rPr>
                <w:szCs w:val="21"/>
              </w:rPr>
            </w:pPr>
            <w:r>
              <w:rPr>
                <w:rFonts w:hint="eastAsia"/>
                <w:szCs w:val="21"/>
              </w:rPr>
              <w:t>5.6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restart"/>
            <w:vAlign w:val="center"/>
          </w:tcPr>
          <w:p>
            <w:pPr>
              <w:pStyle w:val="58"/>
              <w:jc w:val="center"/>
              <w:rPr>
                <w:color w:val="auto"/>
                <w:sz w:val="21"/>
                <w:szCs w:val="21"/>
                <w:lang w:eastAsia="zh-CN"/>
              </w:rPr>
            </w:pPr>
            <w:r>
              <w:rPr>
                <w:color w:val="auto"/>
                <w:sz w:val="21"/>
                <w:szCs w:val="21"/>
                <w:lang w:eastAsia="zh-CN"/>
              </w:rPr>
              <w:t>你认为该项目的建设对你周围社会经济状况产生的影响如何？</w:t>
            </w:r>
          </w:p>
        </w:tc>
        <w:tc>
          <w:tcPr>
            <w:tcW w:w="1580" w:type="pct"/>
            <w:vAlign w:val="center"/>
          </w:tcPr>
          <w:p>
            <w:pPr>
              <w:spacing w:line="276" w:lineRule="auto"/>
              <w:jc w:val="center"/>
              <w:rPr>
                <w:szCs w:val="21"/>
              </w:rPr>
            </w:pPr>
            <w:r>
              <w:rPr>
                <w:rFonts w:hint="eastAsia"/>
                <w:szCs w:val="21"/>
              </w:rPr>
              <w:t>有利</w:t>
            </w:r>
          </w:p>
        </w:tc>
        <w:tc>
          <w:tcPr>
            <w:tcW w:w="582" w:type="pct"/>
            <w:vAlign w:val="center"/>
          </w:tcPr>
          <w:p>
            <w:pPr>
              <w:spacing w:line="276" w:lineRule="auto"/>
              <w:jc w:val="center"/>
              <w:rPr>
                <w:szCs w:val="21"/>
              </w:rPr>
            </w:pPr>
            <w:r>
              <w:rPr>
                <w:rFonts w:hint="eastAsia"/>
                <w:szCs w:val="21"/>
              </w:rPr>
              <w:t>83</w:t>
            </w:r>
          </w:p>
        </w:tc>
        <w:tc>
          <w:tcPr>
            <w:tcW w:w="612" w:type="pct"/>
            <w:vAlign w:val="center"/>
          </w:tcPr>
          <w:p>
            <w:pPr>
              <w:spacing w:line="276" w:lineRule="auto"/>
              <w:jc w:val="center"/>
              <w:rPr>
                <w:szCs w:val="21"/>
              </w:rPr>
            </w:pPr>
            <w:r>
              <w:rPr>
                <w:rFonts w:hint="eastAsia"/>
                <w:szCs w:val="21"/>
              </w:rPr>
              <w:t>92.3</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不利</w:t>
            </w:r>
          </w:p>
        </w:tc>
        <w:tc>
          <w:tcPr>
            <w:tcW w:w="582" w:type="pct"/>
            <w:vAlign w:val="center"/>
          </w:tcPr>
          <w:p>
            <w:pPr>
              <w:spacing w:line="276" w:lineRule="auto"/>
              <w:jc w:val="center"/>
              <w:rPr>
                <w:szCs w:val="21"/>
              </w:rPr>
            </w:pPr>
            <w:r>
              <w:rPr>
                <w:rFonts w:hint="eastAsia"/>
                <w:szCs w:val="21"/>
              </w:rPr>
              <w:t>0</w:t>
            </w:r>
          </w:p>
        </w:tc>
        <w:tc>
          <w:tcPr>
            <w:tcW w:w="612" w:type="pct"/>
            <w:vAlign w:val="center"/>
          </w:tcPr>
          <w:p>
            <w:pPr>
              <w:spacing w:line="276" w:lineRule="auto"/>
              <w:jc w:val="center"/>
              <w:rPr>
                <w:szCs w:val="21"/>
              </w:rPr>
            </w:pPr>
            <w:r>
              <w:rPr>
                <w:rFonts w:hint="eastAsia"/>
                <w:szCs w:val="21"/>
              </w:rPr>
              <w:t>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很小</w:t>
            </w:r>
          </w:p>
        </w:tc>
        <w:tc>
          <w:tcPr>
            <w:tcW w:w="582" w:type="pct"/>
            <w:vAlign w:val="center"/>
          </w:tcPr>
          <w:p>
            <w:pPr>
              <w:spacing w:line="276" w:lineRule="auto"/>
              <w:jc w:val="center"/>
              <w:rPr>
                <w:szCs w:val="21"/>
              </w:rPr>
            </w:pPr>
            <w:r>
              <w:rPr>
                <w:rFonts w:hint="eastAsia"/>
                <w:szCs w:val="21"/>
              </w:rPr>
              <w:t>2</w:t>
            </w:r>
          </w:p>
        </w:tc>
        <w:tc>
          <w:tcPr>
            <w:tcW w:w="612" w:type="pct"/>
            <w:vAlign w:val="center"/>
          </w:tcPr>
          <w:p>
            <w:pPr>
              <w:spacing w:line="276" w:lineRule="auto"/>
              <w:jc w:val="center"/>
              <w:rPr>
                <w:szCs w:val="21"/>
              </w:rPr>
            </w:pPr>
            <w:r>
              <w:rPr>
                <w:rFonts w:hint="eastAsia"/>
                <w:szCs w:val="21"/>
              </w:rPr>
              <w:t>2.2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不知道</w:t>
            </w:r>
          </w:p>
        </w:tc>
        <w:tc>
          <w:tcPr>
            <w:tcW w:w="582" w:type="pct"/>
            <w:vAlign w:val="center"/>
          </w:tcPr>
          <w:p>
            <w:pPr>
              <w:spacing w:line="276" w:lineRule="auto"/>
              <w:jc w:val="center"/>
              <w:rPr>
                <w:szCs w:val="21"/>
              </w:rPr>
            </w:pPr>
            <w:r>
              <w:rPr>
                <w:rFonts w:hint="eastAsia"/>
                <w:szCs w:val="21"/>
              </w:rPr>
              <w:t>5</w:t>
            </w:r>
          </w:p>
        </w:tc>
        <w:tc>
          <w:tcPr>
            <w:tcW w:w="612" w:type="pct"/>
            <w:vAlign w:val="center"/>
          </w:tcPr>
          <w:p>
            <w:pPr>
              <w:spacing w:line="276" w:lineRule="auto"/>
              <w:jc w:val="center"/>
              <w:rPr>
                <w:szCs w:val="21"/>
              </w:rPr>
            </w:pPr>
            <w:r>
              <w:rPr>
                <w:rFonts w:hint="eastAsia"/>
                <w:szCs w:val="21"/>
              </w:rPr>
              <w:t>5.5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restart"/>
            <w:vAlign w:val="center"/>
          </w:tcPr>
          <w:p>
            <w:pPr>
              <w:pStyle w:val="58"/>
              <w:jc w:val="center"/>
              <w:rPr>
                <w:color w:val="auto"/>
                <w:sz w:val="21"/>
                <w:szCs w:val="21"/>
                <w:lang w:eastAsia="zh-CN"/>
              </w:rPr>
            </w:pPr>
            <w:r>
              <w:rPr>
                <w:color w:val="auto"/>
                <w:sz w:val="21"/>
                <w:szCs w:val="21"/>
                <w:lang w:eastAsia="zh-CN"/>
              </w:rPr>
              <w:t>您认为该项目的建设会对您的生活产生的影响</w:t>
            </w:r>
            <w:r>
              <w:rPr>
                <w:rFonts w:hint="eastAsia"/>
                <w:color w:val="auto"/>
                <w:sz w:val="21"/>
                <w:szCs w:val="21"/>
                <w:lang w:eastAsia="zh-CN"/>
              </w:rPr>
              <w:t>如何？</w:t>
            </w:r>
          </w:p>
        </w:tc>
        <w:tc>
          <w:tcPr>
            <w:tcW w:w="1580" w:type="pct"/>
            <w:vAlign w:val="center"/>
          </w:tcPr>
          <w:p>
            <w:pPr>
              <w:spacing w:line="276" w:lineRule="auto"/>
              <w:jc w:val="center"/>
              <w:rPr>
                <w:szCs w:val="21"/>
              </w:rPr>
            </w:pPr>
            <w:r>
              <w:rPr>
                <w:rFonts w:hint="eastAsia"/>
                <w:szCs w:val="21"/>
              </w:rPr>
              <w:t>有利</w:t>
            </w:r>
          </w:p>
        </w:tc>
        <w:tc>
          <w:tcPr>
            <w:tcW w:w="582" w:type="pct"/>
            <w:vAlign w:val="center"/>
          </w:tcPr>
          <w:p>
            <w:pPr>
              <w:spacing w:line="276" w:lineRule="auto"/>
              <w:jc w:val="center"/>
              <w:rPr>
                <w:szCs w:val="21"/>
              </w:rPr>
            </w:pPr>
            <w:r>
              <w:rPr>
                <w:rFonts w:hint="eastAsia"/>
                <w:szCs w:val="21"/>
              </w:rPr>
              <w:t>84</w:t>
            </w:r>
          </w:p>
        </w:tc>
        <w:tc>
          <w:tcPr>
            <w:tcW w:w="612" w:type="pct"/>
            <w:vAlign w:val="center"/>
          </w:tcPr>
          <w:p>
            <w:pPr>
              <w:spacing w:line="276" w:lineRule="auto"/>
              <w:jc w:val="center"/>
              <w:rPr>
                <w:szCs w:val="21"/>
              </w:rPr>
            </w:pPr>
            <w:r>
              <w:rPr>
                <w:rFonts w:hint="eastAsia"/>
                <w:szCs w:val="21"/>
              </w:rPr>
              <w:t>93.4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不利</w:t>
            </w:r>
          </w:p>
        </w:tc>
        <w:tc>
          <w:tcPr>
            <w:tcW w:w="582" w:type="pct"/>
            <w:vAlign w:val="center"/>
          </w:tcPr>
          <w:p>
            <w:pPr>
              <w:spacing w:line="276" w:lineRule="auto"/>
              <w:jc w:val="center"/>
              <w:rPr>
                <w:szCs w:val="21"/>
              </w:rPr>
            </w:pPr>
            <w:r>
              <w:rPr>
                <w:rFonts w:hint="eastAsia"/>
                <w:szCs w:val="21"/>
              </w:rPr>
              <w:t>0</w:t>
            </w:r>
          </w:p>
        </w:tc>
        <w:tc>
          <w:tcPr>
            <w:tcW w:w="612" w:type="pct"/>
            <w:vAlign w:val="center"/>
          </w:tcPr>
          <w:p>
            <w:pPr>
              <w:spacing w:line="276" w:lineRule="auto"/>
              <w:jc w:val="center"/>
              <w:rPr>
                <w:szCs w:val="21"/>
              </w:rPr>
            </w:pPr>
            <w:r>
              <w:rPr>
                <w:rFonts w:hint="eastAsia"/>
                <w:szCs w:val="21"/>
              </w:rPr>
              <w:t>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很小</w:t>
            </w:r>
          </w:p>
        </w:tc>
        <w:tc>
          <w:tcPr>
            <w:tcW w:w="582" w:type="pct"/>
            <w:vAlign w:val="center"/>
          </w:tcPr>
          <w:p>
            <w:pPr>
              <w:spacing w:line="276" w:lineRule="auto"/>
              <w:jc w:val="center"/>
              <w:rPr>
                <w:szCs w:val="21"/>
              </w:rPr>
            </w:pPr>
            <w:r>
              <w:rPr>
                <w:rFonts w:hint="eastAsia"/>
                <w:szCs w:val="21"/>
              </w:rPr>
              <w:t>2</w:t>
            </w:r>
          </w:p>
        </w:tc>
        <w:tc>
          <w:tcPr>
            <w:tcW w:w="612" w:type="pct"/>
            <w:vAlign w:val="center"/>
          </w:tcPr>
          <w:p>
            <w:pPr>
              <w:spacing w:line="276" w:lineRule="auto"/>
              <w:jc w:val="center"/>
              <w:rPr>
                <w:szCs w:val="21"/>
              </w:rPr>
            </w:pPr>
            <w:r>
              <w:rPr>
                <w:rFonts w:hint="eastAsia"/>
                <w:szCs w:val="21"/>
              </w:rPr>
              <w:t>2.2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不知道</w:t>
            </w:r>
          </w:p>
        </w:tc>
        <w:tc>
          <w:tcPr>
            <w:tcW w:w="582" w:type="pct"/>
            <w:vAlign w:val="center"/>
          </w:tcPr>
          <w:p>
            <w:pPr>
              <w:spacing w:line="276" w:lineRule="auto"/>
              <w:jc w:val="center"/>
              <w:rPr>
                <w:szCs w:val="21"/>
              </w:rPr>
            </w:pPr>
            <w:r>
              <w:rPr>
                <w:rFonts w:hint="eastAsia"/>
                <w:szCs w:val="21"/>
              </w:rPr>
              <w:t>4</w:t>
            </w:r>
          </w:p>
        </w:tc>
        <w:tc>
          <w:tcPr>
            <w:tcW w:w="612" w:type="pct"/>
            <w:vAlign w:val="center"/>
          </w:tcPr>
          <w:p>
            <w:pPr>
              <w:spacing w:line="276" w:lineRule="auto"/>
              <w:jc w:val="center"/>
              <w:rPr>
                <w:szCs w:val="21"/>
              </w:rPr>
            </w:pPr>
            <w:r>
              <w:rPr>
                <w:rFonts w:hint="eastAsia"/>
                <w:szCs w:val="21"/>
              </w:rPr>
              <w:t>4.4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restart"/>
            <w:vAlign w:val="center"/>
          </w:tcPr>
          <w:p>
            <w:pPr>
              <w:pStyle w:val="58"/>
              <w:jc w:val="center"/>
              <w:rPr>
                <w:color w:val="auto"/>
                <w:sz w:val="21"/>
                <w:szCs w:val="21"/>
                <w:lang w:eastAsia="zh-CN"/>
              </w:rPr>
            </w:pPr>
            <w:r>
              <w:rPr>
                <w:color w:val="auto"/>
                <w:sz w:val="21"/>
                <w:szCs w:val="21"/>
                <w:lang w:eastAsia="zh-CN"/>
              </w:rPr>
              <w:t>您对本项目建设持何种态度？如不支持，请说明</w:t>
            </w:r>
            <w:r>
              <w:rPr>
                <w:rFonts w:hint="eastAsia"/>
                <w:color w:val="auto"/>
                <w:sz w:val="21"/>
                <w:szCs w:val="21"/>
                <w:lang w:eastAsia="zh-CN"/>
              </w:rPr>
              <w:t>理由</w:t>
            </w:r>
          </w:p>
        </w:tc>
        <w:tc>
          <w:tcPr>
            <w:tcW w:w="1580" w:type="pct"/>
            <w:vAlign w:val="center"/>
          </w:tcPr>
          <w:p>
            <w:pPr>
              <w:spacing w:line="276" w:lineRule="auto"/>
              <w:jc w:val="center"/>
              <w:rPr>
                <w:szCs w:val="21"/>
              </w:rPr>
            </w:pPr>
            <w:r>
              <w:rPr>
                <w:rFonts w:hint="eastAsia"/>
                <w:szCs w:val="21"/>
              </w:rPr>
              <w:t>支持</w:t>
            </w:r>
          </w:p>
        </w:tc>
        <w:tc>
          <w:tcPr>
            <w:tcW w:w="582" w:type="pct"/>
            <w:vAlign w:val="center"/>
          </w:tcPr>
          <w:p>
            <w:pPr>
              <w:spacing w:line="276" w:lineRule="auto"/>
              <w:jc w:val="center"/>
              <w:rPr>
                <w:b/>
                <w:szCs w:val="21"/>
              </w:rPr>
            </w:pPr>
            <w:r>
              <w:rPr>
                <w:rFonts w:hint="eastAsia"/>
                <w:b/>
                <w:szCs w:val="21"/>
              </w:rPr>
              <w:t>85</w:t>
            </w:r>
          </w:p>
        </w:tc>
        <w:tc>
          <w:tcPr>
            <w:tcW w:w="612" w:type="pct"/>
            <w:vAlign w:val="center"/>
          </w:tcPr>
          <w:p>
            <w:pPr>
              <w:spacing w:line="276" w:lineRule="auto"/>
              <w:jc w:val="center"/>
              <w:rPr>
                <w:b/>
                <w:szCs w:val="21"/>
              </w:rPr>
            </w:pPr>
            <w:r>
              <w:rPr>
                <w:rFonts w:hint="eastAsia"/>
                <w:b/>
                <w:szCs w:val="21"/>
              </w:rPr>
              <w:t>94.4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无所谓</w:t>
            </w:r>
          </w:p>
        </w:tc>
        <w:tc>
          <w:tcPr>
            <w:tcW w:w="582" w:type="pct"/>
            <w:vAlign w:val="center"/>
          </w:tcPr>
          <w:p>
            <w:pPr>
              <w:spacing w:line="276" w:lineRule="auto"/>
              <w:jc w:val="center"/>
              <w:rPr>
                <w:szCs w:val="21"/>
              </w:rPr>
            </w:pPr>
            <w:r>
              <w:rPr>
                <w:rFonts w:hint="eastAsia"/>
                <w:szCs w:val="21"/>
              </w:rPr>
              <w:t>5</w:t>
            </w:r>
          </w:p>
        </w:tc>
        <w:tc>
          <w:tcPr>
            <w:tcW w:w="612" w:type="pct"/>
            <w:vAlign w:val="center"/>
          </w:tcPr>
          <w:p>
            <w:pPr>
              <w:spacing w:line="276" w:lineRule="auto"/>
              <w:jc w:val="center"/>
              <w:rPr>
                <w:szCs w:val="21"/>
              </w:rPr>
            </w:pPr>
            <w:r>
              <w:rPr>
                <w:rFonts w:hint="eastAsia"/>
                <w:szCs w:val="21"/>
              </w:rPr>
              <w:t>5.6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226" w:type="pct"/>
            <w:vMerge w:val="continue"/>
            <w:vAlign w:val="center"/>
          </w:tcPr>
          <w:p>
            <w:pPr>
              <w:pStyle w:val="58"/>
              <w:jc w:val="center"/>
              <w:rPr>
                <w:color w:val="auto"/>
                <w:sz w:val="21"/>
                <w:szCs w:val="21"/>
              </w:rPr>
            </w:pPr>
          </w:p>
        </w:tc>
        <w:tc>
          <w:tcPr>
            <w:tcW w:w="1580" w:type="pct"/>
            <w:vAlign w:val="center"/>
          </w:tcPr>
          <w:p>
            <w:pPr>
              <w:spacing w:line="276" w:lineRule="auto"/>
              <w:jc w:val="center"/>
              <w:rPr>
                <w:szCs w:val="21"/>
              </w:rPr>
            </w:pPr>
            <w:r>
              <w:rPr>
                <w:rFonts w:hint="eastAsia"/>
                <w:szCs w:val="21"/>
              </w:rPr>
              <w:t>不支持</w:t>
            </w:r>
          </w:p>
        </w:tc>
        <w:tc>
          <w:tcPr>
            <w:tcW w:w="582" w:type="pct"/>
            <w:vAlign w:val="center"/>
          </w:tcPr>
          <w:p>
            <w:pPr>
              <w:spacing w:line="276" w:lineRule="auto"/>
              <w:jc w:val="center"/>
              <w:rPr>
                <w:szCs w:val="21"/>
              </w:rPr>
            </w:pPr>
            <w:r>
              <w:rPr>
                <w:rFonts w:hint="eastAsia"/>
                <w:szCs w:val="21"/>
              </w:rPr>
              <w:t>0</w:t>
            </w:r>
          </w:p>
        </w:tc>
        <w:tc>
          <w:tcPr>
            <w:tcW w:w="612" w:type="pct"/>
            <w:vAlign w:val="center"/>
          </w:tcPr>
          <w:p>
            <w:pPr>
              <w:spacing w:line="276" w:lineRule="auto"/>
              <w:jc w:val="center"/>
              <w:rPr>
                <w:szCs w:val="21"/>
              </w:rPr>
            </w:pPr>
            <w:r>
              <w:rPr>
                <w:rFonts w:hint="eastAsia"/>
                <w:szCs w:val="21"/>
              </w:rPr>
              <w:t>0</w:t>
            </w:r>
          </w:p>
        </w:tc>
      </w:tr>
    </w:tbl>
    <w:p>
      <w:pPr>
        <w:pStyle w:val="61"/>
        <w:rPr>
          <w:i/>
          <w:color w:val="auto"/>
        </w:rPr>
      </w:pPr>
      <w:bookmarkStart w:id="131" w:name="_Toc436902214"/>
      <w:r>
        <w:rPr>
          <w:rFonts w:hint="eastAsia"/>
          <w:color w:val="auto"/>
        </w:rPr>
        <w:t>14.4公众参与调查结果总结</w:t>
      </w:r>
      <w:bookmarkEnd w:id="131"/>
    </w:p>
    <w:p>
      <w:pPr>
        <w:spacing w:line="360" w:lineRule="auto"/>
        <w:ind w:firstLine="566" w:firstLineChars="236"/>
        <w:rPr>
          <w:sz w:val="24"/>
        </w:rPr>
      </w:pPr>
      <w:r>
        <w:rPr>
          <w:rFonts w:hint="eastAsia"/>
          <w:sz w:val="24"/>
        </w:rPr>
        <w:t>由表14.3-2可以看出，公众对建设项目的态度和认识有如下几个特点：</w:t>
      </w:r>
    </w:p>
    <w:p>
      <w:pPr>
        <w:spacing w:line="360" w:lineRule="auto"/>
        <w:ind w:firstLine="566" w:firstLineChars="236"/>
        <w:rPr>
          <w:sz w:val="24"/>
        </w:rPr>
      </w:pPr>
      <w:r>
        <w:rPr>
          <w:rFonts w:hint="eastAsia"/>
          <w:sz w:val="24"/>
        </w:rPr>
        <w:t>（1）受调查68.9%公众表示了解该项目，28.9%公众表示对该项目了解一点，2.2%公众表示对该项目不了解。说明建设单位对该项目的建设有一定的宣传，但宣传力度还需加强；</w:t>
      </w:r>
    </w:p>
    <w:p>
      <w:pPr>
        <w:spacing w:line="360" w:lineRule="auto"/>
        <w:ind w:firstLine="566" w:firstLineChars="236"/>
        <w:rPr>
          <w:sz w:val="24"/>
        </w:rPr>
      </w:pPr>
      <w:r>
        <w:rPr>
          <w:rFonts w:hint="eastAsia"/>
          <w:sz w:val="24"/>
        </w:rPr>
        <w:t>（2）受调查公众认为本项目所在地环境状况好的占61.1%，一般的占27.8%，不好的占3.3%，不知道占1.1%；</w:t>
      </w:r>
    </w:p>
    <w:p>
      <w:pPr>
        <w:spacing w:line="360" w:lineRule="auto"/>
        <w:ind w:firstLine="566" w:firstLineChars="236"/>
        <w:rPr>
          <w:sz w:val="24"/>
        </w:rPr>
      </w:pPr>
      <w:r>
        <w:rPr>
          <w:rFonts w:hint="eastAsia"/>
          <w:sz w:val="24"/>
        </w:rPr>
        <w:t>（3）受调查公众对项目所在地存在的环境问题中，大气污染和水体污染占较高比例，分别占30.0%和26.7%，其次是生态破坏和水土流失，占10%。</w:t>
      </w:r>
    </w:p>
    <w:p>
      <w:pPr>
        <w:spacing w:line="360" w:lineRule="auto"/>
        <w:ind w:firstLine="566" w:firstLineChars="236"/>
        <w:rPr>
          <w:sz w:val="24"/>
        </w:rPr>
      </w:pPr>
      <w:r>
        <w:rPr>
          <w:rFonts w:hint="eastAsia"/>
          <w:sz w:val="24"/>
        </w:rPr>
        <w:t>（4）受调查公众认为该项目建设施工可能造成的不利环境影响主要是施工扬尘、噪声扰民和生态破坏，分别占37.8%、50.0%和41.1%。可见，近一半公众担心项目施工期给当地带来施工噪声扰民。因此，建设单位在项目施工过程中应尤其注意对施工噪声的控制；</w:t>
      </w:r>
    </w:p>
    <w:p>
      <w:pPr>
        <w:spacing w:line="360" w:lineRule="auto"/>
        <w:ind w:firstLine="566" w:firstLineChars="236"/>
        <w:rPr>
          <w:sz w:val="24"/>
        </w:rPr>
      </w:pPr>
      <w:r>
        <w:rPr>
          <w:rFonts w:hint="eastAsia"/>
          <w:sz w:val="24"/>
        </w:rPr>
        <w:t>（5）受调查公众认为项目运营期可能造成的不利影响主要是噪声扰民和水体污染，分别占到51.1%和38.9%。可见，大部分公众担心项目运营期可能会给当地带来噪声扰民。因此，建设单位应按照项目设计、安全评价及环评的相关要求执行，减少对外环境的影响。</w:t>
      </w:r>
    </w:p>
    <w:p>
      <w:pPr>
        <w:spacing w:line="360" w:lineRule="auto"/>
        <w:ind w:firstLine="566" w:firstLineChars="236"/>
        <w:rPr>
          <w:sz w:val="24"/>
        </w:rPr>
      </w:pPr>
      <w:r>
        <w:rPr>
          <w:rFonts w:hint="eastAsia"/>
          <w:sz w:val="24"/>
        </w:rPr>
        <w:t>（6）受调查公众92.3%表示该项目建设会对当地社会经济状况产生推动作用，仅2.2%的公众认为该项目会产生较小影响，5.5%表示不知道；</w:t>
      </w:r>
    </w:p>
    <w:p>
      <w:pPr>
        <w:spacing w:line="360" w:lineRule="auto"/>
        <w:ind w:firstLine="566" w:firstLineChars="236"/>
        <w:rPr>
          <w:sz w:val="24"/>
        </w:rPr>
      </w:pPr>
      <w:r>
        <w:rPr>
          <w:rFonts w:hint="eastAsia"/>
          <w:sz w:val="24"/>
        </w:rPr>
        <w:t>（7）93.4%的受调查公众认为该项目建设对自己的生活将产生有利影响，仅有2.2%的人认为产生的影响很小，另有4.4%的公众表示不知道；</w:t>
      </w:r>
    </w:p>
    <w:p>
      <w:pPr>
        <w:spacing w:line="360" w:lineRule="auto"/>
        <w:ind w:firstLine="566" w:firstLineChars="236"/>
        <w:rPr>
          <w:sz w:val="24"/>
        </w:rPr>
      </w:pPr>
      <w:r>
        <w:rPr>
          <w:rFonts w:hint="eastAsia"/>
          <w:sz w:val="24"/>
        </w:rPr>
        <w:t>（8）94.4%受调查公众对本项目建设表示支持，另有5.6%公众表示无所谓，无人反对。</w:t>
      </w:r>
    </w:p>
    <w:p>
      <w:pPr>
        <w:spacing w:line="360" w:lineRule="auto"/>
        <w:ind w:firstLine="566" w:firstLineChars="236"/>
        <w:rPr>
          <w:sz w:val="24"/>
        </w:rPr>
      </w:pPr>
      <w:r>
        <w:rPr>
          <w:rFonts w:hint="eastAsia"/>
          <w:sz w:val="24"/>
        </w:rPr>
        <w:t>从统计的公众对项目所持态度调查结果表明，各界公众对本项目是积极支持的，认为项目的建设能促进和带动当地经济的发展。通过调查，也发现广大民众的环保意识日益增强，对项目建成后的污染问题也给予了高度重视。这就要求建设单位在今后的环保工作中必须落实切实有效的污染防治措施，确保当地环境质量，做到环境与经济持续协调发展。</w:t>
      </w:r>
    </w:p>
    <w:p>
      <w:pPr>
        <w:pStyle w:val="61"/>
        <w:rPr>
          <w:color w:val="auto"/>
        </w:rPr>
      </w:pPr>
      <w:bookmarkStart w:id="132" w:name="_Toc436902215"/>
      <w:r>
        <w:rPr>
          <w:rFonts w:hint="eastAsia"/>
          <w:color w:val="auto"/>
        </w:rPr>
        <w:t>14.5公众意见采纳处理情况</w:t>
      </w:r>
      <w:bookmarkEnd w:id="132"/>
    </w:p>
    <w:p>
      <w:pPr>
        <w:pStyle w:val="63"/>
        <w:ind w:firstLine="566" w:firstLineChars="236"/>
        <w:rPr>
          <w:color w:val="auto"/>
        </w:rPr>
      </w:pPr>
      <w:r>
        <w:rPr>
          <w:rFonts w:hint="eastAsia"/>
          <w:color w:val="auto"/>
        </w:rPr>
        <w:t>本着对环境和当地群众负责的态度，建设单位和评价单位对于公众提出的意见和建议进行了充分的分析，对于其中合理化建议进行了采纳，建设单位也出具了采纳公众意见承诺函。</w:t>
      </w:r>
    </w:p>
    <w:p>
      <w:pPr>
        <w:pStyle w:val="63"/>
        <w:ind w:firstLine="566" w:firstLineChars="236"/>
        <w:rPr>
          <w:color w:val="auto"/>
        </w:rPr>
      </w:pPr>
      <w:r>
        <w:rPr>
          <w:rFonts w:hint="eastAsia"/>
          <w:color w:val="auto"/>
        </w:rPr>
        <w:t>评价对于项目公众参与工作对于建设单位提出以下要求：</w:t>
      </w:r>
    </w:p>
    <w:p>
      <w:pPr>
        <w:pStyle w:val="63"/>
        <w:ind w:firstLine="566" w:firstLineChars="236"/>
        <w:rPr>
          <w:color w:val="auto"/>
        </w:rPr>
      </w:pPr>
      <w:r>
        <w:rPr>
          <w:rFonts w:hint="eastAsia"/>
          <w:color w:val="auto"/>
        </w:rPr>
        <w:t>（1）建设单位应在项目建设和运行过程中充分重视环境保护工作，加强污染治理和生态保护，对于公众参与调查中公众关心的环保问题应积极采取措施进行防治，对于提出的合理化建议积极采纳并严格落实。</w:t>
      </w:r>
    </w:p>
    <w:p>
      <w:pPr>
        <w:pStyle w:val="63"/>
        <w:ind w:firstLine="566" w:firstLineChars="236"/>
        <w:rPr>
          <w:color w:val="auto"/>
        </w:rPr>
      </w:pPr>
      <w:r>
        <w:rPr>
          <w:rFonts w:hint="eastAsia"/>
          <w:color w:val="auto"/>
        </w:rPr>
        <w:t>（2）建设单位应对工程施工期间的环境影响极其预防措施以定期发布通告的形式告知周围民众，并设立意见箱，及时征求公众意见，关注公众意见的动态变化，并积极应对。</w:t>
      </w:r>
    </w:p>
    <w:p>
      <w:pPr>
        <w:pStyle w:val="63"/>
        <w:ind w:firstLine="199" w:firstLineChars="83"/>
        <w:rPr>
          <w:color w:val="auto"/>
        </w:rPr>
      </w:pPr>
    </w:p>
    <w:p>
      <w:pPr>
        <w:pStyle w:val="63"/>
        <w:ind w:firstLine="199" w:firstLineChars="83"/>
        <w:rPr>
          <w:color w:val="auto"/>
        </w:rPr>
        <w:sectPr>
          <w:pgSz w:w="11906" w:h="16838"/>
          <w:pgMar w:top="1440" w:right="1440" w:bottom="1440" w:left="1440" w:header="851" w:footer="992" w:gutter="0"/>
          <w:cols w:space="720" w:num="1"/>
          <w:titlePg/>
          <w:docGrid w:type="linesAndChars" w:linePitch="312" w:charSpace="0"/>
        </w:sectPr>
      </w:pPr>
    </w:p>
    <w:p>
      <w:pPr>
        <w:pStyle w:val="60"/>
        <w:spacing w:before="156" w:after="156"/>
      </w:pPr>
      <w:bookmarkStart w:id="133" w:name="_Toc436902216"/>
      <w:r>
        <w:rPr>
          <w:rFonts w:hint="eastAsia"/>
        </w:rPr>
        <w:t>15 结论</w:t>
      </w:r>
      <w:bookmarkEnd w:id="133"/>
    </w:p>
    <w:p>
      <w:pPr>
        <w:pStyle w:val="61"/>
        <w:rPr>
          <w:color w:val="auto"/>
        </w:rPr>
      </w:pPr>
      <w:bookmarkStart w:id="134" w:name="_Toc436902217"/>
      <w:r>
        <w:rPr>
          <w:rFonts w:hint="eastAsia"/>
          <w:color w:val="auto"/>
        </w:rPr>
        <w:t>15.1项目概况</w:t>
      </w:r>
      <w:bookmarkEnd w:id="134"/>
    </w:p>
    <w:p>
      <w:pPr>
        <w:pStyle w:val="63"/>
        <w:ind w:firstLine="480"/>
        <w:jc w:val="both"/>
        <w:rPr>
          <w:color w:val="auto"/>
        </w:rPr>
      </w:pPr>
      <w:r>
        <w:rPr>
          <w:rFonts w:hint="eastAsia"/>
          <w:color w:val="auto"/>
        </w:rPr>
        <w:t>陕西西咸新区泾河新城水务有限公司拟投资8523.48</w:t>
      </w:r>
      <w:r>
        <w:rPr>
          <w:color w:val="auto"/>
        </w:rPr>
        <w:t>万元</w:t>
      </w:r>
      <w:r>
        <w:rPr>
          <w:rFonts w:hint="eastAsia"/>
          <w:color w:val="auto"/>
        </w:rPr>
        <w:t>建设“泾河新城应急供水工程（一期）项目”。该项目为应急供水工程，新建水源井21眼（18用4备）。主要建设内容有水源地、输水管线、水源地管理站及泾河北岸保障房给水处理工程。泾河北岸水源管理站取水规模16250</w:t>
      </w:r>
      <w:r>
        <w:rPr>
          <w:color w:val="auto"/>
        </w:rPr>
        <w:t>m</w:t>
      </w:r>
      <w:r>
        <w:rPr>
          <w:color w:val="auto"/>
          <w:vertAlign w:val="superscript"/>
        </w:rPr>
        <w:t>3</w:t>
      </w:r>
      <w:r>
        <w:rPr>
          <w:color w:val="auto"/>
        </w:rPr>
        <w:t>/d</w:t>
      </w:r>
      <w:r>
        <w:rPr>
          <w:rFonts w:hint="eastAsia"/>
          <w:color w:val="auto"/>
        </w:rPr>
        <w:t>，泾河北岸保障房给水处理站工程供水规模2000</w:t>
      </w:r>
      <w:r>
        <w:rPr>
          <w:color w:val="auto"/>
        </w:rPr>
        <w:t>m</w:t>
      </w:r>
      <w:r>
        <w:rPr>
          <w:color w:val="auto"/>
          <w:vertAlign w:val="superscript"/>
        </w:rPr>
        <w:t>3</w:t>
      </w:r>
      <w:r>
        <w:rPr>
          <w:color w:val="auto"/>
        </w:rPr>
        <w:t>/d</w:t>
      </w:r>
      <w:r>
        <w:rPr>
          <w:rFonts w:hint="eastAsia"/>
          <w:color w:val="auto"/>
        </w:rPr>
        <w:t>，泾河南岸取水规模1500</w:t>
      </w:r>
      <w:r>
        <w:rPr>
          <w:color w:val="auto"/>
        </w:rPr>
        <w:t>m</w:t>
      </w:r>
      <w:r>
        <w:rPr>
          <w:color w:val="auto"/>
          <w:vertAlign w:val="superscript"/>
        </w:rPr>
        <w:t>3</w:t>
      </w:r>
      <w:r>
        <w:rPr>
          <w:color w:val="auto"/>
        </w:rPr>
        <w:t>/d</w:t>
      </w:r>
      <w:r>
        <w:rPr>
          <w:rFonts w:hint="eastAsia"/>
          <w:color w:val="auto"/>
        </w:rPr>
        <w:t>。</w:t>
      </w:r>
    </w:p>
    <w:p>
      <w:pPr>
        <w:pStyle w:val="63"/>
        <w:ind w:firstLine="480"/>
        <w:jc w:val="both"/>
        <w:rPr>
          <w:color w:val="auto"/>
        </w:rPr>
      </w:pPr>
      <w:r>
        <w:rPr>
          <w:rFonts w:hint="eastAsia"/>
          <w:color w:val="auto"/>
        </w:rPr>
        <w:t>本项目建设工期10个月，预计2016年9月建成。建成后，可以彻底解决泾河新城近期用水的供需矛盾，促进经济的发展，而且从远期来看，该工程的建成将产生巨大的社会效益和经济效益。</w:t>
      </w:r>
    </w:p>
    <w:p>
      <w:pPr>
        <w:pStyle w:val="61"/>
        <w:rPr>
          <w:color w:val="auto"/>
        </w:rPr>
      </w:pPr>
      <w:bookmarkStart w:id="135" w:name="_Toc436902218"/>
      <w:r>
        <w:rPr>
          <w:rFonts w:hint="eastAsia"/>
          <w:color w:val="auto"/>
        </w:rPr>
        <w:t>15.2环境现状与主要环境问题</w:t>
      </w:r>
      <w:bookmarkEnd w:id="135"/>
    </w:p>
    <w:p>
      <w:pPr>
        <w:pStyle w:val="63"/>
        <w:ind w:firstLine="480"/>
        <w:jc w:val="both"/>
        <w:rPr>
          <w:color w:val="auto"/>
        </w:rPr>
      </w:pPr>
      <w:r>
        <w:rPr>
          <w:rFonts w:hint="eastAsia"/>
          <w:color w:val="auto"/>
        </w:rPr>
        <w:t>（1）环境空气质量现状</w:t>
      </w:r>
    </w:p>
    <w:p>
      <w:pPr>
        <w:pStyle w:val="63"/>
        <w:ind w:firstLine="480"/>
        <w:jc w:val="both"/>
        <w:rPr>
          <w:color w:val="auto"/>
        </w:rPr>
      </w:pPr>
      <w:r>
        <w:rPr>
          <w:rFonts w:hint="eastAsia" w:hAnsi="宋体" w:cs="Times New Roman"/>
          <w:color w:val="auto"/>
          <w:szCs w:val="24"/>
        </w:rPr>
        <w:t>根据监测报告</w:t>
      </w:r>
      <w:r>
        <w:rPr>
          <w:rFonts w:hAnsi="宋体" w:cs="Times New Roman"/>
          <w:color w:val="auto"/>
          <w:szCs w:val="24"/>
        </w:rPr>
        <w:t>可知，本项目监测因子中</w:t>
      </w:r>
      <w:r>
        <w:rPr>
          <w:rFonts w:cs="Times New Roman"/>
          <w:color w:val="auto"/>
          <w:szCs w:val="24"/>
        </w:rPr>
        <w:t>SO</w:t>
      </w:r>
      <w:r>
        <w:rPr>
          <w:rFonts w:cs="Times New Roman"/>
          <w:color w:val="auto"/>
          <w:szCs w:val="24"/>
          <w:vertAlign w:val="subscript"/>
        </w:rPr>
        <w:t>2</w:t>
      </w:r>
      <w:r>
        <w:rPr>
          <w:rFonts w:hint="eastAsia" w:cs="Times New Roman"/>
          <w:color w:val="auto"/>
          <w:szCs w:val="24"/>
        </w:rPr>
        <w:t>1小时平均值</w:t>
      </w:r>
      <w:r>
        <w:rPr>
          <w:rFonts w:hAnsi="宋体" w:cs="Times New Roman"/>
          <w:color w:val="auto"/>
          <w:szCs w:val="24"/>
        </w:rPr>
        <w:t>、</w:t>
      </w:r>
      <w:r>
        <w:rPr>
          <w:rFonts w:cs="Times New Roman"/>
          <w:color w:val="auto"/>
          <w:szCs w:val="24"/>
        </w:rPr>
        <w:t>NO</w:t>
      </w:r>
      <w:r>
        <w:rPr>
          <w:rFonts w:cs="Times New Roman"/>
          <w:color w:val="auto"/>
          <w:szCs w:val="24"/>
          <w:vertAlign w:val="subscript"/>
        </w:rPr>
        <w:t>2</w:t>
      </w:r>
      <w:r>
        <w:rPr>
          <w:rFonts w:hint="eastAsia" w:cs="Times New Roman"/>
          <w:color w:val="auto"/>
          <w:szCs w:val="24"/>
        </w:rPr>
        <w:t>1小时平均值</w:t>
      </w:r>
      <w:r>
        <w:rPr>
          <w:rFonts w:hint="eastAsia" w:hAnsi="宋体" w:cs="Times New Roman"/>
          <w:color w:val="auto"/>
          <w:szCs w:val="24"/>
        </w:rPr>
        <w:t>及</w:t>
      </w:r>
      <w:r>
        <w:rPr>
          <w:rFonts w:cs="Times New Roman"/>
          <w:color w:val="auto"/>
          <w:szCs w:val="24"/>
        </w:rPr>
        <w:t>SO</w:t>
      </w:r>
      <w:r>
        <w:rPr>
          <w:rFonts w:cs="Times New Roman"/>
          <w:color w:val="auto"/>
          <w:szCs w:val="24"/>
          <w:vertAlign w:val="subscript"/>
        </w:rPr>
        <w:t>2</w:t>
      </w:r>
      <w:r>
        <w:rPr>
          <w:rFonts w:hAnsi="宋体" w:cs="Times New Roman"/>
          <w:color w:val="auto"/>
          <w:szCs w:val="24"/>
        </w:rPr>
        <w:t>、</w:t>
      </w:r>
      <w:r>
        <w:rPr>
          <w:rFonts w:cs="Times New Roman"/>
          <w:color w:val="auto"/>
          <w:szCs w:val="24"/>
        </w:rPr>
        <w:t>NO</w:t>
      </w:r>
      <w:r>
        <w:rPr>
          <w:rFonts w:cs="Times New Roman"/>
          <w:color w:val="auto"/>
          <w:szCs w:val="24"/>
          <w:vertAlign w:val="subscript"/>
        </w:rPr>
        <w:t>2</w:t>
      </w:r>
      <w:r>
        <w:rPr>
          <w:rFonts w:hint="eastAsia" w:cs="Times New Roman"/>
          <w:color w:val="auto"/>
          <w:szCs w:val="24"/>
        </w:rPr>
        <w:t>24小时平均值</w:t>
      </w:r>
      <w:r>
        <w:rPr>
          <w:rFonts w:hAnsi="宋体" w:cs="Times New Roman"/>
          <w:color w:val="auto"/>
          <w:szCs w:val="24"/>
        </w:rPr>
        <w:t>均满足《环境空气质量标准》（</w:t>
      </w:r>
      <w:r>
        <w:rPr>
          <w:rFonts w:cs="Times New Roman"/>
          <w:color w:val="auto"/>
          <w:szCs w:val="24"/>
        </w:rPr>
        <w:t>GB3095-2012</w:t>
      </w:r>
      <w:r>
        <w:rPr>
          <w:rFonts w:hAnsi="宋体" w:cs="Times New Roman"/>
          <w:color w:val="auto"/>
          <w:szCs w:val="24"/>
        </w:rPr>
        <w:t>）的二级标准</w:t>
      </w:r>
      <w:r>
        <w:rPr>
          <w:rFonts w:hint="eastAsia" w:hAnsi="宋体" w:cs="Times New Roman"/>
          <w:color w:val="auto"/>
          <w:szCs w:val="24"/>
        </w:rPr>
        <w:t>，</w:t>
      </w:r>
      <w:r>
        <w:rPr>
          <w:rFonts w:hint="eastAsia" w:cs="Times New Roman"/>
          <w:color w:val="auto"/>
          <w:szCs w:val="24"/>
        </w:rPr>
        <w:t>Cl</w:t>
      </w:r>
      <w:r>
        <w:rPr>
          <w:rFonts w:hint="eastAsia" w:cs="Times New Roman"/>
          <w:color w:val="auto"/>
          <w:szCs w:val="24"/>
          <w:vertAlign w:val="subscript"/>
        </w:rPr>
        <w:t>2</w:t>
      </w:r>
      <w:r>
        <w:rPr>
          <w:rFonts w:hint="eastAsia" w:cs="Times New Roman"/>
          <w:color w:val="auto"/>
          <w:szCs w:val="24"/>
        </w:rPr>
        <w:t>1小时平均值</w:t>
      </w:r>
      <w:r>
        <w:rPr>
          <w:rFonts w:hAnsi="宋体" w:cs="Times New Roman"/>
          <w:color w:val="auto"/>
          <w:szCs w:val="24"/>
        </w:rPr>
        <w:t>满足</w:t>
      </w:r>
      <w:r>
        <w:rPr>
          <w:rFonts w:hint="eastAsia" w:hAnsi="宋体" w:cs="Times New Roman"/>
          <w:color w:val="auto"/>
          <w:szCs w:val="24"/>
        </w:rPr>
        <w:t>《工企业设计卫生标准》（TJ36-79）中表1</w:t>
      </w:r>
      <w:r>
        <w:rPr>
          <w:rFonts w:hint="eastAsia" w:ascii="宋体" w:hAnsi="宋体"/>
          <w:color w:val="auto"/>
          <w:szCs w:val="21"/>
        </w:rPr>
        <w:t>居住区大气中有害物质的最高容许浓度限值。</w:t>
      </w:r>
      <w:r>
        <w:rPr>
          <w:rFonts w:hint="eastAsia" w:hAnsi="宋体" w:cs="Times New Roman"/>
          <w:color w:val="auto"/>
          <w:szCs w:val="24"/>
        </w:rPr>
        <w:t>PM</w:t>
      </w:r>
      <w:r>
        <w:rPr>
          <w:rFonts w:hint="eastAsia" w:hAnsi="宋体" w:cs="Times New Roman"/>
          <w:color w:val="auto"/>
          <w:szCs w:val="24"/>
          <w:vertAlign w:val="subscript"/>
        </w:rPr>
        <w:t>10</w:t>
      </w:r>
      <w:r>
        <w:rPr>
          <w:rFonts w:hint="eastAsia" w:hAnsi="宋体" w:cs="Times New Roman"/>
          <w:color w:val="auto"/>
          <w:szCs w:val="24"/>
        </w:rPr>
        <w:t>和PM</w:t>
      </w:r>
      <w:r>
        <w:rPr>
          <w:rFonts w:hint="eastAsia" w:hAnsi="宋体" w:cs="Times New Roman"/>
          <w:color w:val="auto"/>
          <w:szCs w:val="24"/>
          <w:vertAlign w:val="subscript"/>
        </w:rPr>
        <w:t>2.5</w:t>
      </w:r>
      <w:r>
        <w:rPr>
          <w:rFonts w:hint="eastAsia" w:hAnsi="宋体" w:cs="Times New Roman"/>
          <w:color w:val="auto"/>
          <w:szCs w:val="24"/>
        </w:rPr>
        <w:t>24小时平均值均有不同程度超标，具体为12日、13日、14日、15日两个监测点的PM</w:t>
      </w:r>
      <w:r>
        <w:rPr>
          <w:rFonts w:hint="eastAsia" w:hAnsi="宋体" w:cs="Times New Roman"/>
          <w:color w:val="auto"/>
          <w:szCs w:val="24"/>
          <w:vertAlign w:val="subscript"/>
        </w:rPr>
        <w:t>10</w:t>
      </w:r>
      <w:r>
        <w:rPr>
          <w:rFonts w:hint="eastAsia" w:hAnsi="宋体" w:cs="Times New Roman"/>
          <w:color w:val="auto"/>
          <w:szCs w:val="24"/>
        </w:rPr>
        <w:t>24小时平均值均超标，14日两个监测点的PM</w:t>
      </w:r>
      <w:r>
        <w:rPr>
          <w:rFonts w:hint="eastAsia" w:hAnsi="宋体" w:cs="Times New Roman"/>
          <w:color w:val="auto"/>
          <w:szCs w:val="24"/>
          <w:vertAlign w:val="subscript"/>
        </w:rPr>
        <w:t>2.5</w:t>
      </w:r>
      <w:r>
        <w:rPr>
          <w:rFonts w:hint="eastAsia" w:hAnsi="宋体" w:cs="Times New Roman"/>
          <w:color w:val="auto"/>
          <w:szCs w:val="24"/>
        </w:rPr>
        <w:t>24小时平均值超标，其余时间均PM</w:t>
      </w:r>
      <w:r>
        <w:rPr>
          <w:rFonts w:hint="eastAsia" w:hAnsi="宋体" w:cs="Times New Roman"/>
          <w:color w:val="auto"/>
          <w:szCs w:val="24"/>
          <w:vertAlign w:val="subscript"/>
        </w:rPr>
        <w:t>10</w:t>
      </w:r>
      <w:r>
        <w:rPr>
          <w:rFonts w:hint="eastAsia" w:hAnsi="宋体" w:cs="Times New Roman"/>
          <w:color w:val="auto"/>
          <w:szCs w:val="24"/>
        </w:rPr>
        <w:t>和PM</w:t>
      </w:r>
      <w:r>
        <w:rPr>
          <w:rFonts w:hint="eastAsia" w:hAnsi="宋体" w:cs="Times New Roman"/>
          <w:color w:val="auto"/>
          <w:szCs w:val="24"/>
          <w:vertAlign w:val="subscript"/>
        </w:rPr>
        <w:t>2.5</w:t>
      </w:r>
      <w:r>
        <w:rPr>
          <w:rFonts w:hint="eastAsia" w:hAnsi="宋体" w:cs="Times New Roman"/>
          <w:color w:val="auto"/>
          <w:szCs w:val="24"/>
        </w:rPr>
        <w:t>均满足</w:t>
      </w:r>
      <w:r>
        <w:rPr>
          <w:rFonts w:hAnsi="宋体" w:cs="Times New Roman"/>
          <w:color w:val="auto"/>
          <w:szCs w:val="24"/>
        </w:rPr>
        <w:t>《环境空气质量标准》（</w:t>
      </w:r>
      <w:r>
        <w:rPr>
          <w:rFonts w:cs="Times New Roman"/>
          <w:color w:val="auto"/>
          <w:szCs w:val="24"/>
        </w:rPr>
        <w:t>GB3095-2012</w:t>
      </w:r>
      <w:r>
        <w:rPr>
          <w:rFonts w:hAnsi="宋体" w:cs="Times New Roman"/>
          <w:color w:val="auto"/>
          <w:szCs w:val="24"/>
        </w:rPr>
        <w:t>）的二级标准</w:t>
      </w:r>
      <w:r>
        <w:rPr>
          <w:rFonts w:hint="eastAsia" w:hAnsi="宋体" w:cs="Times New Roman"/>
          <w:color w:val="auto"/>
          <w:szCs w:val="24"/>
        </w:rPr>
        <w:t>。超标原因主要与</w:t>
      </w:r>
      <w:r>
        <w:rPr>
          <w:rFonts w:cs="Times New Roman"/>
          <w:color w:val="auto"/>
        </w:rPr>
        <w:t>监测点地处西北、监测期干燥少雨的气候特征有关</w:t>
      </w:r>
    </w:p>
    <w:p>
      <w:pPr>
        <w:pStyle w:val="63"/>
        <w:ind w:firstLine="480"/>
        <w:jc w:val="both"/>
        <w:rPr>
          <w:color w:val="auto"/>
        </w:rPr>
      </w:pPr>
      <w:r>
        <w:rPr>
          <w:rFonts w:hint="eastAsia"/>
          <w:color w:val="auto"/>
        </w:rPr>
        <w:t>（2）地表水质量现状</w:t>
      </w:r>
    </w:p>
    <w:p>
      <w:pPr>
        <w:pStyle w:val="63"/>
        <w:ind w:firstLine="480"/>
        <w:jc w:val="both"/>
        <w:rPr>
          <w:color w:val="auto"/>
        </w:rPr>
      </w:pPr>
      <w:r>
        <w:rPr>
          <w:rFonts w:hint="eastAsia" w:hAnsi="宋体" w:cs="Times New Roman"/>
          <w:color w:val="auto"/>
          <w:szCs w:val="24"/>
        </w:rPr>
        <w:t>根据监测报告</w:t>
      </w:r>
      <w:r>
        <w:rPr>
          <w:rFonts w:hAnsi="宋体" w:cs="Times New Roman"/>
          <w:color w:val="auto"/>
          <w:szCs w:val="24"/>
        </w:rPr>
        <w:t>可知</w:t>
      </w:r>
      <w:r>
        <w:rPr>
          <w:color w:val="auto"/>
        </w:rPr>
        <w:t>，</w:t>
      </w:r>
      <w:r>
        <w:rPr>
          <w:rFonts w:hint="eastAsia"/>
          <w:color w:val="auto"/>
        </w:rPr>
        <w:t>地表水两个监测断面所有</w:t>
      </w:r>
      <w:r>
        <w:rPr>
          <w:color w:val="auto"/>
        </w:rPr>
        <w:t>监测因子均满足《地表水环境质量标准》（</w:t>
      </w:r>
      <w:r>
        <w:rPr>
          <w:rFonts w:cs="Times New Roman"/>
          <w:color w:val="auto"/>
        </w:rPr>
        <w:t>GB3838-2002</w:t>
      </w:r>
      <w:r>
        <w:rPr>
          <w:color w:val="auto"/>
        </w:rPr>
        <w:t>）</w:t>
      </w:r>
      <w:r>
        <w:rPr>
          <w:rFonts w:hint="eastAsia" w:ascii="宋体" w:hAnsi="宋体"/>
          <w:color w:val="auto"/>
        </w:rPr>
        <w:t>Ⅲ</w:t>
      </w:r>
      <w:r>
        <w:rPr>
          <w:color w:val="auto"/>
        </w:rPr>
        <w:t>类水质要求，</w:t>
      </w:r>
      <w:r>
        <w:rPr>
          <w:rFonts w:hint="eastAsia"/>
          <w:color w:val="auto"/>
        </w:rPr>
        <w:t>表明当地地表水水质较好。</w:t>
      </w:r>
    </w:p>
    <w:p>
      <w:pPr>
        <w:pStyle w:val="63"/>
        <w:ind w:firstLine="480"/>
        <w:jc w:val="both"/>
        <w:rPr>
          <w:color w:val="auto"/>
        </w:rPr>
      </w:pPr>
      <w:r>
        <w:rPr>
          <w:rFonts w:hint="eastAsia"/>
          <w:color w:val="auto"/>
        </w:rPr>
        <w:t>（3）地下水质量现状</w:t>
      </w:r>
    </w:p>
    <w:p>
      <w:pPr>
        <w:pStyle w:val="63"/>
        <w:ind w:firstLine="480"/>
        <w:jc w:val="both"/>
        <w:rPr>
          <w:color w:val="auto"/>
        </w:rPr>
      </w:pPr>
      <w:r>
        <w:rPr>
          <w:rFonts w:hint="eastAsia" w:hAnsi="宋体" w:cs="Times New Roman"/>
          <w:color w:val="auto"/>
          <w:szCs w:val="24"/>
        </w:rPr>
        <w:t>根据监测报告</w:t>
      </w:r>
      <w:r>
        <w:rPr>
          <w:rFonts w:hAnsi="宋体" w:cs="Times New Roman"/>
          <w:color w:val="auto"/>
          <w:szCs w:val="24"/>
        </w:rPr>
        <w:t>可知</w:t>
      </w:r>
      <w:r>
        <w:rPr>
          <w:color w:val="auto"/>
        </w:rPr>
        <w:t>，</w:t>
      </w:r>
      <w:r>
        <w:rPr>
          <w:rFonts w:hint="eastAsia"/>
          <w:color w:val="auto"/>
        </w:rPr>
        <w:t>泾河北岸JK1、JK2</w:t>
      </w:r>
      <w:r>
        <w:rPr>
          <w:color w:val="auto"/>
        </w:rPr>
        <w:t>浅层承压水</w:t>
      </w:r>
      <w:r>
        <w:rPr>
          <w:rFonts w:hint="eastAsia"/>
          <w:color w:val="auto"/>
        </w:rPr>
        <w:t>井PH、氟化物、砷、肉眼可见物；泾河南岸JK3</w:t>
      </w:r>
      <w:r>
        <w:rPr>
          <w:color w:val="auto"/>
        </w:rPr>
        <w:t>浅层承压水</w:t>
      </w:r>
      <w:r>
        <w:rPr>
          <w:rFonts w:hint="eastAsia"/>
          <w:color w:val="auto"/>
        </w:rPr>
        <w:t>井溶解性总固体、硫酸盐、铬（六价）；泾河北岸16号</w:t>
      </w:r>
      <w:r>
        <w:rPr>
          <w:color w:val="auto"/>
        </w:rPr>
        <w:t>浅层承压水</w:t>
      </w:r>
      <w:r>
        <w:rPr>
          <w:rFonts w:hint="eastAsia"/>
          <w:color w:val="auto"/>
        </w:rPr>
        <w:t>井溶解性固体、硫酸盐、氯化物、氟化物；泾河北岸17号</w:t>
      </w:r>
      <w:r>
        <w:rPr>
          <w:color w:val="auto"/>
        </w:rPr>
        <w:t>浅层承压水</w:t>
      </w:r>
      <w:r>
        <w:rPr>
          <w:rFonts w:hint="eastAsia"/>
          <w:color w:val="auto"/>
        </w:rPr>
        <w:t>井氯化物</w:t>
      </w:r>
      <w:r>
        <w:rPr>
          <w:color w:val="auto"/>
        </w:rPr>
        <w:t>超过《地下水质量标准》</w:t>
      </w:r>
      <w:r>
        <w:rPr>
          <w:rFonts w:hint="eastAsia"/>
          <w:color w:val="auto"/>
        </w:rPr>
        <w:t>（</w:t>
      </w:r>
      <w:r>
        <w:rPr>
          <w:color w:val="auto"/>
        </w:rPr>
        <w:t>GB/T14848-93</w:t>
      </w:r>
      <w:r>
        <w:rPr>
          <w:rFonts w:hint="eastAsia"/>
          <w:color w:val="auto"/>
        </w:rPr>
        <w:t>）</w:t>
      </w:r>
      <w:r>
        <w:rPr>
          <w:rFonts w:hint="eastAsia" w:ascii="宋体" w:hAnsi="宋体"/>
          <w:color w:val="auto"/>
        </w:rPr>
        <w:t>Ⅲ</w:t>
      </w:r>
      <w:r>
        <w:rPr>
          <w:color w:val="auto"/>
        </w:rPr>
        <w:t>类</w:t>
      </w:r>
      <w:r>
        <w:rPr>
          <w:rFonts w:hint="eastAsia"/>
          <w:color w:val="auto"/>
        </w:rPr>
        <w:t>，其他监测椅子均符合</w:t>
      </w:r>
      <w:r>
        <w:rPr>
          <w:color w:val="auto"/>
        </w:rPr>
        <w:t>《地下水质量标准》</w:t>
      </w:r>
      <w:r>
        <w:rPr>
          <w:rFonts w:hint="eastAsia"/>
          <w:color w:val="auto"/>
        </w:rPr>
        <w:t>（</w:t>
      </w:r>
      <w:r>
        <w:rPr>
          <w:color w:val="auto"/>
        </w:rPr>
        <w:t>GB/T14848-93</w:t>
      </w:r>
      <w:r>
        <w:rPr>
          <w:rFonts w:hint="eastAsia"/>
          <w:color w:val="auto"/>
        </w:rPr>
        <w:t>）</w:t>
      </w:r>
      <w:r>
        <w:rPr>
          <w:rFonts w:hint="eastAsia" w:ascii="宋体" w:hAnsi="宋体"/>
          <w:color w:val="auto"/>
        </w:rPr>
        <w:t>Ⅲ类标准要求。</w:t>
      </w:r>
      <w:r>
        <w:rPr>
          <w:color w:val="auto"/>
        </w:rPr>
        <w:t>超标原因主要是因为</w:t>
      </w:r>
      <w:r>
        <w:rPr>
          <w:rFonts w:hint="eastAsia"/>
          <w:color w:val="auto"/>
        </w:rPr>
        <w:t>当地地下水背景值较高，</w:t>
      </w:r>
      <w:r>
        <w:rPr>
          <w:rFonts w:hint="eastAsia" w:ascii="宋体" w:hAnsi="宋体"/>
          <w:color w:val="auto"/>
        </w:rPr>
        <w:t>浅层地下水多为高氟水、苦咸水，氟化物、氯化物、硫酸盐、氨氮、溶解性总固体等水质指标不同程度超标</w:t>
      </w:r>
      <w:r>
        <w:rPr>
          <w:rFonts w:hint="eastAsia"/>
          <w:color w:val="auto"/>
        </w:rPr>
        <w:t>，</w:t>
      </w:r>
      <w:r>
        <w:rPr>
          <w:rFonts w:hint="eastAsia" w:ascii="宋体" w:hAnsi="宋体"/>
          <w:color w:val="auto"/>
        </w:rPr>
        <w:t>水质较差，不适宜饮用。</w:t>
      </w:r>
      <w:r>
        <w:rPr>
          <w:rFonts w:hint="eastAsia"/>
          <w:color w:val="auto"/>
        </w:rPr>
        <w:t>总体来说区浅层承压水水样为差~好的生活饮用水，需经过除氟等深度水处理后方可作为泾河新城应急供水水源地。</w:t>
      </w:r>
    </w:p>
    <w:p>
      <w:pPr>
        <w:pStyle w:val="63"/>
        <w:ind w:firstLine="480"/>
        <w:jc w:val="both"/>
        <w:rPr>
          <w:color w:val="auto"/>
        </w:rPr>
      </w:pPr>
      <w:r>
        <w:rPr>
          <w:rFonts w:hint="eastAsia"/>
          <w:color w:val="auto"/>
        </w:rPr>
        <w:t>（4）噪声质量现状</w:t>
      </w:r>
    </w:p>
    <w:p>
      <w:pPr>
        <w:pStyle w:val="63"/>
        <w:ind w:firstLine="480"/>
        <w:jc w:val="both"/>
        <w:rPr>
          <w:color w:val="auto"/>
        </w:rPr>
      </w:pPr>
      <w:r>
        <w:rPr>
          <w:rFonts w:hint="eastAsia" w:hAnsi="宋体" w:cs="Times New Roman"/>
          <w:color w:val="auto"/>
          <w:szCs w:val="24"/>
        </w:rPr>
        <w:t>根据监测报告</w:t>
      </w:r>
      <w:r>
        <w:rPr>
          <w:rFonts w:hAnsi="宋体" w:cs="Times New Roman"/>
          <w:color w:val="auto"/>
          <w:szCs w:val="24"/>
        </w:rPr>
        <w:t>可知</w:t>
      </w:r>
      <w:r>
        <w:rPr>
          <w:color w:val="auto"/>
        </w:rPr>
        <w:t>，拟建</w:t>
      </w:r>
      <w:r>
        <w:rPr>
          <w:rFonts w:hint="eastAsia"/>
          <w:color w:val="auto"/>
        </w:rPr>
        <w:t>水源管理站3#、4#厂界</w:t>
      </w:r>
      <w:r>
        <w:rPr>
          <w:color w:val="auto"/>
        </w:rPr>
        <w:t>紧邻</w:t>
      </w:r>
      <w:r>
        <w:rPr>
          <w:rFonts w:hint="eastAsia"/>
          <w:color w:val="auto"/>
        </w:rPr>
        <w:t>规划路和高泾南路</w:t>
      </w:r>
      <w:r>
        <w:rPr>
          <w:color w:val="auto"/>
        </w:rPr>
        <w:t>，其噪声监测值可满足《声环境质量标准》（</w:t>
      </w:r>
      <w:r>
        <w:rPr>
          <w:rFonts w:cs="Times New Roman"/>
          <w:color w:val="auto"/>
        </w:rPr>
        <w:t>GB3096-2008</w:t>
      </w:r>
      <w:r>
        <w:rPr>
          <w:color w:val="auto"/>
        </w:rPr>
        <w:t>）</w:t>
      </w:r>
      <w:r>
        <w:rPr>
          <w:rFonts w:cs="Times New Roman"/>
          <w:color w:val="auto"/>
        </w:rPr>
        <w:t>4a</w:t>
      </w:r>
      <w:r>
        <w:rPr>
          <w:color w:val="auto"/>
        </w:rPr>
        <w:t>类标准要求超标外，其他点位均满足《声环境质量标准》（</w:t>
      </w:r>
      <w:r>
        <w:rPr>
          <w:rFonts w:cs="Times New Roman"/>
          <w:color w:val="auto"/>
        </w:rPr>
        <w:t>GB3096-2008</w:t>
      </w:r>
      <w:r>
        <w:rPr>
          <w:color w:val="auto"/>
        </w:rPr>
        <w:t>）</w:t>
      </w:r>
      <w:r>
        <w:rPr>
          <w:rFonts w:cs="Times New Roman"/>
          <w:color w:val="auto"/>
        </w:rPr>
        <w:t>2</w:t>
      </w:r>
      <w:r>
        <w:rPr>
          <w:color w:val="auto"/>
        </w:rPr>
        <w:t>类标准要求。</w:t>
      </w:r>
    </w:p>
    <w:p>
      <w:pPr>
        <w:pStyle w:val="63"/>
        <w:ind w:firstLine="480"/>
        <w:jc w:val="both"/>
        <w:rPr>
          <w:color w:val="auto"/>
        </w:rPr>
      </w:pPr>
      <w:r>
        <w:rPr>
          <w:rFonts w:hint="eastAsia"/>
          <w:color w:val="auto"/>
        </w:rPr>
        <w:t>（5）生态环境现状</w:t>
      </w:r>
    </w:p>
    <w:p>
      <w:pPr>
        <w:pStyle w:val="63"/>
        <w:ind w:firstLine="480"/>
        <w:jc w:val="both"/>
        <w:rPr>
          <w:color w:val="auto"/>
        </w:rPr>
      </w:pPr>
      <w:r>
        <w:rPr>
          <w:color w:val="auto"/>
        </w:rPr>
        <w:t>评价区土地利用现状以耕地为主，其次为河流及滩地，输水管线北侧为交通用地，井间联络管及输水管线沿线分布有少量农村宅基地及工矿企业。评价区植被以农作物为主，动物以家庭零星圈养的家禽畜为</w:t>
      </w:r>
      <w:r>
        <w:rPr>
          <w:rFonts w:hint="eastAsia"/>
          <w:color w:val="auto"/>
        </w:rPr>
        <w:t>主。</w:t>
      </w:r>
    </w:p>
    <w:p>
      <w:pPr>
        <w:pStyle w:val="61"/>
        <w:rPr>
          <w:color w:val="auto"/>
        </w:rPr>
      </w:pPr>
      <w:bookmarkStart w:id="136" w:name="_Toc436902219"/>
      <w:r>
        <w:rPr>
          <w:rFonts w:hint="eastAsia"/>
          <w:color w:val="auto"/>
        </w:rPr>
        <w:t>15.3环境影响预测与评价结论</w:t>
      </w:r>
      <w:bookmarkEnd w:id="136"/>
    </w:p>
    <w:p>
      <w:pPr>
        <w:spacing w:line="360" w:lineRule="auto"/>
        <w:ind w:firstLine="566" w:firstLineChars="236"/>
        <w:rPr>
          <w:sz w:val="24"/>
        </w:rPr>
      </w:pPr>
      <w:r>
        <w:rPr>
          <w:rFonts w:hint="eastAsia"/>
          <w:sz w:val="24"/>
        </w:rPr>
        <w:t>（1）环境空气</w:t>
      </w:r>
    </w:p>
    <w:p>
      <w:pPr>
        <w:pStyle w:val="63"/>
        <w:ind w:firstLine="480"/>
        <w:rPr>
          <w:color w:val="auto"/>
          <w:szCs w:val="24"/>
        </w:rPr>
      </w:pPr>
      <w:r>
        <w:rPr>
          <w:rFonts w:hint="eastAsia"/>
          <w:color w:val="auto"/>
          <w:szCs w:val="24"/>
        </w:rPr>
        <w:t>①</w:t>
      </w:r>
      <w:r>
        <w:rPr>
          <w:color w:val="auto"/>
          <w:szCs w:val="24"/>
        </w:rPr>
        <w:t>微量泄漏的Cl</w:t>
      </w:r>
      <w:r>
        <w:rPr>
          <w:color w:val="auto"/>
          <w:szCs w:val="24"/>
          <w:vertAlign w:val="subscript"/>
        </w:rPr>
        <w:t>2</w:t>
      </w:r>
    </w:p>
    <w:p>
      <w:pPr>
        <w:pStyle w:val="63"/>
        <w:ind w:firstLine="480"/>
        <w:rPr>
          <w:color w:val="auto"/>
          <w:szCs w:val="24"/>
        </w:rPr>
      </w:pPr>
      <w:r>
        <w:rPr>
          <w:color w:val="auto"/>
          <w:szCs w:val="24"/>
        </w:rPr>
        <w:t>项目营运期废气仅有加氯车间微量泄漏的Cl</w:t>
      </w:r>
      <w:r>
        <w:rPr>
          <w:color w:val="auto"/>
          <w:szCs w:val="24"/>
          <w:vertAlign w:val="subscript"/>
        </w:rPr>
        <w:t>2</w:t>
      </w:r>
      <w:r>
        <w:rPr>
          <w:color w:val="auto"/>
          <w:szCs w:val="24"/>
        </w:rPr>
        <w:t>。设计采用全真空投加方式，以防止氯的外泄，并在氯库内设置了漏氯检测仪和氯气吸收装置，当发生氯气意外泄漏时，氯气吸收装置自动投运，可将泄漏出的氯气全部进行中和处理，能够保护周围的环境免受氯气泄漏的影响。</w:t>
      </w:r>
    </w:p>
    <w:p>
      <w:pPr>
        <w:pStyle w:val="63"/>
        <w:ind w:firstLine="480"/>
        <w:rPr>
          <w:color w:val="auto"/>
          <w:szCs w:val="24"/>
        </w:rPr>
      </w:pPr>
      <w:r>
        <w:rPr>
          <w:rFonts w:hint="eastAsia"/>
          <w:color w:val="auto"/>
          <w:szCs w:val="24"/>
        </w:rPr>
        <w:t>②餐饮油烟</w:t>
      </w:r>
    </w:p>
    <w:p>
      <w:pPr>
        <w:pStyle w:val="63"/>
        <w:wordWrap w:val="0"/>
        <w:ind w:firstLine="480"/>
        <w:rPr>
          <w:color w:val="auto"/>
          <w:szCs w:val="24"/>
        </w:rPr>
      </w:pPr>
      <w:r>
        <w:rPr>
          <w:rFonts w:hint="eastAsia"/>
          <w:color w:val="auto"/>
          <w:szCs w:val="24"/>
        </w:rPr>
        <w:t>水源管理站</w:t>
      </w:r>
      <w:r>
        <w:rPr>
          <w:color w:val="auto"/>
          <w:szCs w:val="24"/>
        </w:rPr>
        <w:t>拟设计在食堂安装1套油烟净化设备对油烟进行净化，处理后的废气经屋顶排空</w:t>
      </w:r>
      <w:r>
        <w:rPr>
          <w:rFonts w:hint="eastAsia"/>
          <w:color w:val="auto"/>
          <w:szCs w:val="24"/>
        </w:rPr>
        <w:t>，排放浓度和油烟净化设施去除率均满足《饮食业油烟排放标准》（GB18483-2001）中的相关要求。</w:t>
      </w:r>
    </w:p>
    <w:p>
      <w:pPr>
        <w:spacing w:line="360" w:lineRule="auto"/>
        <w:ind w:firstLine="566" w:firstLineChars="236"/>
      </w:pPr>
      <w:r>
        <w:rPr>
          <w:sz w:val="24"/>
        </w:rPr>
        <w:t>因此，本项目建成运营后不会对周围环境空气造成影响。</w:t>
      </w:r>
    </w:p>
    <w:p>
      <w:pPr>
        <w:spacing w:line="360" w:lineRule="auto"/>
        <w:ind w:firstLine="566" w:firstLineChars="236"/>
        <w:rPr>
          <w:sz w:val="24"/>
        </w:rPr>
      </w:pPr>
      <w:r>
        <w:rPr>
          <w:rFonts w:hint="eastAsia"/>
          <w:sz w:val="24"/>
        </w:rPr>
        <w:t>（2）地表水</w:t>
      </w:r>
    </w:p>
    <w:p>
      <w:pPr>
        <w:pStyle w:val="63"/>
        <w:ind w:firstLine="480"/>
        <w:rPr>
          <w:color w:val="auto"/>
        </w:rPr>
      </w:pPr>
      <w:r>
        <w:rPr>
          <w:rFonts w:hint="eastAsia"/>
          <w:color w:val="auto"/>
        </w:rPr>
        <w:t>本项目产生的废水类型为生产废水和生活污水，生产废水经回用处理后最终随污泥排出，不直接排放；生活污水产生量为1.12</w:t>
      </w:r>
      <w:r>
        <w:rPr>
          <w:color w:val="auto"/>
        </w:rPr>
        <w:t>m</w:t>
      </w:r>
      <w:r>
        <w:rPr>
          <w:color w:val="auto"/>
          <w:vertAlign w:val="superscript"/>
        </w:rPr>
        <w:t>3</w:t>
      </w:r>
      <w:r>
        <w:rPr>
          <w:color w:val="auto"/>
        </w:rPr>
        <w:t>/d</w:t>
      </w:r>
      <w:r>
        <w:rPr>
          <w:rFonts w:hint="eastAsia"/>
          <w:color w:val="auto"/>
        </w:rPr>
        <w:t>，经“A/O生物接触氧化工艺”的地埋式污水处理装置处理后，回用于水源管理站厂区内绿化，废水无外排</w:t>
      </w:r>
    </w:p>
    <w:p>
      <w:pPr>
        <w:spacing w:line="360" w:lineRule="auto"/>
        <w:ind w:firstLine="566" w:firstLineChars="236"/>
        <w:rPr>
          <w:sz w:val="24"/>
        </w:rPr>
      </w:pPr>
      <w:r>
        <w:rPr>
          <w:rFonts w:hint="eastAsia"/>
          <w:sz w:val="24"/>
        </w:rPr>
        <w:t>综上所述，本项目废水产生量较小，且经处理后不直接排入地表水体，对地表水环境影响不大。</w:t>
      </w:r>
    </w:p>
    <w:p>
      <w:pPr>
        <w:spacing w:line="360" w:lineRule="auto"/>
        <w:ind w:firstLine="566" w:firstLineChars="236"/>
        <w:rPr>
          <w:sz w:val="24"/>
        </w:rPr>
      </w:pPr>
      <w:r>
        <w:rPr>
          <w:rFonts w:hint="eastAsia"/>
          <w:sz w:val="24"/>
        </w:rPr>
        <w:t>（3）地下水</w:t>
      </w:r>
    </w:p>
    <w:p>
      <w:pPr>
        <w:spacing w:line="360" w:lineRule="auto"/>
        <w:ind w:firstLine="566" w:firstLineChars="236"/>
        <w:rPr>
          <w:sz w:val="24"/>
        </w:rPr>
      </w:pPr>
      <w:r>
        <w:rPr>
          <w:rFonts w:hint="eastAsia"/>
          <w:sz w:val="24"/>
        </w:rPr>
        <w:t>本项目属于水源地一期工程，泾河北岸布设水源井18眼，设计供水规模为18250m</w:t>
      </w:r>
      <w:r>
        <w:rPr>
          <w:rFonts w:hint="eastAsia"/>
          <w:sz w:val="24"/>
          <w:vertAlign w:val="superscript"/>
        </w:rPr>
        <w:t>3</w:t>
      </w:r>
      <w:r>
        <w:rPr>
          <w:rFonts w:hint="eastAsia"/>
          <w:sz w:val="24"/>
        </w:rPr>
        <w:t>/d，单井日开采量为1250m</w:t>
      </w:r>
      <w:r>
        <w:rPr>
          <w:rFonts w:hint="eastAsia"/>
          <w:sz w:val="24"/>
          <w:vertAlign w:val="superscript"/>
        </w:rPr>
        <w:t>3</w:t>
      </w:r>
      <w:r>
        <w:rPr>
          <w:rFonts w:hint="eastAsia"/>
          <w:sz w:val="24"/>
        </w:rPr>
        <w:t>/d，布井间距1000m；泾河南岸布设水源井3眼，设计供水规模为1500m</w:t>
      </w:r>
      <w:r>
        <w:rPr>
          <w:rFonts w:hint="eastAsia"/>
          <w:sz w:val="24"/>
          <w:vertAlign w:val="superscript"/>
        </w:rPr>
        <w:t>3</w:t>
      </w:r>
      <w:r>
        <w:rPr>
          <w:rFonts w:hint="eastAsia"/>
          <w:sz w:val="24"/>
        </w:rPr>
        <w:t>/d，单井日开采量为750m</w:t>
      </w:r>
      <w:r>
        <w:rPr>
          <w:rFonts w:hint="eastAsia"/>
          <w:sz w:val="24"/>
          <w:vertAlign w:val="superscript"/>
        </w:rPr>
        <w:t>3/</w:t>
      </w:r>
      <w:r>
        <w:rPr>
          <w:rFonts w:hint="eastAsia"/>
          <w:sz w:val="24"/>
        </w:rPr>
        <w:t>d，布井间距1000m。共布设21口水源井，总供水规模为19750m</w:t>
      </w:r>
      <w:r>
        <w:rPr>
          <w:rFonts w:hint="eastAsia"/>
          <w:sz w:val="24"/>
          <w:vertAlign w:val="superscript"/>
        </w:rPr>
        <w:t>3/</w:t>
      </w:r>
      <w:r>
        <w:rPr>
          <w:rFonts w:hint="eastAsia"/>
          <w:sz w:val="24"/>
        </w:rPr>
        <w:t>d。项目运营后，各井位处经抽水后水位平均降深小于1m，最大降深小于2.2m，因此，水源地开采地下水不会对环境地质产生较大影响。</w:t>
      </w:r>
    </w:p>
    <w:p>
      <w:pPr>
        <w:spacing w:line="360" w:lineRule="auto"/>
        <w:ind w:firstLine="566" w:firstLineChars="236"/>
        <w:rPr>
          <w:sz w:val="24"/>
        </w:rPr>
      </w:pPr>
      <w:r>
        <w:rPr>
          <w:rFonts w:hint="eastAsia"/>
          <w:sz w:val="24"/>
        </w:rPr>
        <w:t>（4）声环境</w:t>
      </w:r>
    </w:p>
    <w:p>
      <w:pPr>
        <w:pStyle w:val="63"/>
        <w:ind w:firstLine="480"/>
        <w:rPr>
          <w:color w:val="auto"/>
        </w:rPr>
      </w:pPr>
      <w:r>
        <w:rPr>
          <w:color w:val="auto"/>
        </w:rPr>
        <w:t>本项目深井泵房外10m处，噪声可降至45dB（A），且深井泵房周围无常住居民居住，故深井泵房对周围声环境影响较小。</w:t>
      </w:r>
    </w:p>
    <w:p>
      <w:pPr>
        <w:pStyle w:val="63"/>
        <w:ind w:firstLine="480"/>
        <w:rPr>
          <w:color w:val="auto"/>
        </w:rPr>
      </w:pPr>
      <w:r>
        <w:rPr>
          <w:rFonts w:hint="eastAsia"/>
          <w:color w:val="auto"/>
        </w:rPr>
        <w:t>水源管理站</w:t>
      </w:r>
      <w:r>
        <w:rPr>
          <w:color w:val="auto"/>
        </w:rPr>
        <w:t>噪声经厂房降噪和距离衰减后，对附近居民点的贡献值小，</w:t>
      </w:r>
      <w:r>
        <w:rPr>
          <w:rFonts w:hint="eastAsia"/>
          <w:color w:val="auto"/>
        </w:rPr>
        <w:t>声环境质量可达2类标准，</w:t>
      </w:r>
      <w:r>
        <w:rPr>
          <w:color w:val="auto"/>
        </w:rPr>
        <w:t>对居民区的影响较小。</w:t>
      </w:r>
    </w:p>
    <w:p>
      <w:pPr>
        <w:pStyle w:val="63"/>
        <w:ind w:firstLine="480"/>
        <w:rPr>
          <w:color w:val="auto"/>
        </w:rPr>
      </w:pPr>
      <w:r>
        <w:rPr>
          <w:rFonts w:hint="eastAsia"/>
          <w:color w:val="auto"/>
        </w:rPr>
        <w:t>保障房给水处理站</w:t>
      </w:r>
      <w:r>
        <w:rPr>
          <w:color w:val="auto"/>
        </w:rPr>
        <w:t>采取一定的防护措施</w:t>
      </w:r>
      <w:r>
        <w:rPr>
          <w:rFonts w:hint="eastAsia"/>
          <w:color w:val="auto"/>
        </w:rPr>
        <w:t>后噪声不会对</w:t>
      </w:r>
      <w:r>
        <w:rPr>
          <w:color w:val="auto"/>
        </w:rPr>
        <w:t>居民</w:t>
      </w:r>
      <w:r>
        <w:rPr>
          <w:rFonts w:hint="eastAsia"/>
          <w:color w:val="auto"/>
        </w:rPr>
        <w:t>生活产生较大影响</w:t>
      </w:r>
      <w:r>
        <w:rPr>
          <w:color w:val="auto"/>
        </w:rPr>
        <w:t>。水厂水泵等设备基本都安装在地下井中，风机位于水厂厂房内，隔音效果好。噪声经厂房降噪和距离衰减后，对附近居民点的贡献值小，</w:t>
      </w:r>
      <w:r>
        <w:rPr>
          <w:rFonts w:hint="eastAsia"/>
          <w:color w:val="auto"/>
        </w:rPr>
        <w:t>声环境质量可达2类标准，</w:t>
      </w:r>
      <w:r>
        <w:rPr>
          <w:color w:val="auto"/>
        </w:rPr>
        <w:t>对居民区的影响较小。</w:t>
      </w:r>
    </w:p>
    <w:p>
      <w:pPr>
        <w:spacing w:line="360" w:lineRule="auto"/>
        <w:ind w:firstLine="566" w:firstLineChars="236"/>
        <w:rPr>
          <w:sz w:val="24"/>
        </w:rPr>
      </w:pPr>
      <w:r>
        <w:rPr>
          <w:rFonts w:hint="eastAsia"/>
          <w:sz w:val="24"/>
        </w:rPr>
        <w:t>（5）固体废弃物</w:t>
      </w:r>
    </w:p>
    <w:p>
      <w:pPr>
        <w:spacing w:line="360" w:lineRule="auto"/>
        <w:ind w:firstLine="566" w:firstLineChars="236"/>
        <w:rPr>
          <w:sz w:val="24"/>
        </w:rPr>
      </w:pPr>
      <w:r>
        <w:rPr>
          <w:sz w:val="24"/>
        </w:rPr>
        <w:t>项目营运期固体废弃物</w:t>
      </w:r>
      <w:r>
        <w:rPr>
          <w:rFonts w:hint="eastAsia"/>
          <w:sz w:val="24"/>
        </w:rPr>
        <w:t>产生量，其中一般固废3.906t/a，主要为</w:t>
      </w:r>
      <w:r>
        <w:rPr>
          <w:sz w:val="24"/>
        </w:rPr>
        <w:t>沉淀池和滤池产生的泥沙</w:t>
      </w:r>
      <w:r>
        <w:rPr>
          <w:rFonts w:hint="eastAsia"/>
          <w:sz w:val="24"/>
        </w:rPr>
        <w:t>及生活垃圾，生活垃圾集中收集后由环卫部门统一处理，</w:t>
      </w:r>
      <w:r>
        <w:rPr>
          <w:sz w:val="24"/>
        </w:rPr>
        <w:t>沉淀池和滤池产生的泥沙</w:t>
      </w:r>
      <w:r>
        <w:rPr>
          <w:rFonts w:hint="eastAsia"/>
          <w:sz w:val="24"/>
        </w:rPr>
        <w:t>脱水后定期运至附近垃圾填埋场处置；餐厨垃圾14.7kg/a，主要为废油脂，收集后交由有资质单位统一处理；危险废物1.96t/a，主要为活性氧化铝吸附法除氟罐清洗废液和</w:t>
      </w:r>
      <w:r>
        <w:rPr>
          <w:sz w:val="24"/>
        </w:rPr>
        <w:t>化验室</w:t>
      </w:r>
      <w:r>
        <w:rPr>
          <w:rFonts w:hint="eastAsia"/>
          <w:sz w:val="24"/>
        </w:rPr>
        <w:t>废液，交由有资质的单位处理。</w:t>
      </w:r>
    </w:p>
    <w:p>
      <w:pPr>
        <w:pStyle w:val="63"/>
        <w:ind w:firstLine="480"/>
        <w:rPr>
          <w:color w:val="auto"/>
          <w:szCs w:val="24"/>
        </w:rPr>
      </w:pPr>
      <w:r>
        <w:rPr>
          <w:rFonts w:hint="eastAsia"/>
          <w:color w:val="auto"/>
        </w:rPr>
        <w:t>本工程产生的各类固体废弃物得到有效的处理或处置，对环境产生的影响较小。</w:t>
      </w:r>
    </w:p>
    <w:p>
      <w:pPr>
        <w:spacing w:line="360" w:lineRule="auto"/>
        <w:ind w:firstLine="566" w:firstLineChars="236"/>
        <w:rPr>
          <w:sz w:val="24"/>
        </w:rPr>
      </w:pPr>
      <w:r>
        <w:rPr>
          <w:rFonts w:hint="eastAsia"/>
          <w:sz w:val="24"/>
        </w:rPr>
        <w:t>（6）生态环境</w:t>
      </w:r>
    </w:p>
    <w:p>
      <w:pPr>
        <w:pStyle w:val="63"/>
        <w:ind w:firstLine="480"/>
        <w:jc w:val="both"/>
        <w:rPr>
          <w:color w:val="auto"/>
          <w:szCs w:val="24"/>
        </w:rPr>
      </w:pPr>
      <w:r>
        <w:rPr>
          <w:color w:val="auto"/>
          <w:szCs w:val="24"/>
        </w:rPr>
        <w:t>拟建工程永久性占地总面积为</w:t>
      </w:r>
      <w:r>
        <w:rPr>
          <w:rFonts w:hint="eastAsia"/>
          <w:color w:val="auto"/>
          <w:szCs w:val="24"/>
        </w:rPr>
        <w:t>20</w:t>
      </w:r>
      <w:r>
        <w:rPr>
          <w:color w:val="auto"/>
          <w:szCs w:val="24"/>
        </w:rPr>
        <w:t>亩，项目基建施工开挖、回填土石方使厂区地表形态有明显的改变、局部生态环境受到影响，但就整体生态环境而言影响范围有限。</w:t>
      </w:r>
    </w:p>
    <w:p>
      <w:pPr>
        <w:spacing w:line="360" w:lineRule="auto"/>
        <w:ind w:firstLine="566" w:firstLineChars="236"/>
      </w:pPr>
      <w:r>
        <w:rPr>
          <w:sz w:val="24"/>
        </w:rPr>
        <w:t>拟建工程建成运营后，工程装置区内的各种活动仅限于工程场区/厂区内。同时，由于工程建成后，绿化工作不断深入和完善，天然植被将逐渐被人工植被绿化树木等所代替，建设过程中遭受破坏的植被将得到逐步恢复。</w:t>
      </w:r>
    </w:p>
    <w:p>
      <w:pPr>
        <w:pStyle w:val="61"/>
        <w:rPr>
          <w:color w:val="auto"/>
        </w:rPr>
      </w:pPr>
      <w:bookmarkStart w:id="137" w:name="_Toc436902220"/>
      <w:r>
        <w:rPr>
          <w:rFonts w:hint="eastAsia"/>
          <w:color w:val="auto"/>
        </w:rPr>
        <w:t>15.4项目建设的环境可行性</w:t>
      </w:r>
      <w:bookmarkEnd w:id="137"/>
    </w:p>
    <w:p>
      <w:pPr>
        <w:pStyle w:val="63"/>
        <w:ind w:firstLine="480"/>
        <w:rPr>
          <w:color w:val="auto"/>
        </w:rPr>
      </w:pPr>
      <w:r>
        <w:rPr>
          <w:color w:val="auto"/>
        </w:rPr>
        <w:t>（1）法规政策及相关规划一致性</w:t>
      </w:r>
    </w:p>
    <w:p>
      <w:pPr>
        <w:pStyle w:val="63"/>
        <w:ind w:firstLine="480"/>
        <w:rPr>
          <w:color w:val="auto"/>
        </w:rPr>
      </w:pPr>
      <w:r>
        <w:rPr>
          <w:color w:val="auto"/>
        </w:rPr>
        <w:t>本项目属于《产业结构调整指导目录（2011年本）》（2013年修订）中鼓励类第二十二条第九款“城镇供排水管网工程、供水水源及净水厂工程”，项目建设符合《陕西国民经济和社会发展第十二个五年规划纲要》、《西咸新区总体规划（2010-2020）》、《西咸新区-泾河新城分区规划（2011-2020）》。</w:t>
      </w:r>
    </w:p>
    <w:p>
      <w:pPr>
        <w:pStyle w:val="63"/>
        <w:ind w:firstLine="480"/>
        <w:rPr>
          <w:color w:val="auto"/>
        </w:rPr>
      </w:pPr>
      <w:r>
        <w:rPr>
          <w:color w:val="auto"/>
        </w:rPr>
        <w:t>（2）清洁生产和污染物排放水平</w:t>
      </w:r>
    </w:p>
    <w:p>
      <w:pPr>
        <w:pStyle w:val="63"/>
        <w:ind w:firstLine="480"/>
        <w:rPr>
          <w:color w:val="auto"/>
        </w:rPr>
      </w:pPr>
      <w:r>
        <w:rPr>
          <w:color w:val="auto"/>
        </w:rPr>
        <w:t>本项目生产工艺简单且较为成熟。项目不属于高耗能产业，生产过程中采用清洁能源电能。项目原材料主要为地下水，产品为自来水，对环境无毒无害。运行过程中产生的固体废物为生活垃圾</w:t>
      </w:r>
      <w:r>
        <w:rPr>
          <w:rFonts w:hint="eastAsia"/>
          <w:color w:val="auto"/>
        </w:rPr>
        <w:t>、污泥</w:t>
      </w:r>
      <w:r>
        <w:rPr>
          <w:color w:val="auto"/>
        </w:rPr>
        <w:t>和少量</w:t>
      </w:r>
      <w:r>
        <w:rPr>
          <w:rFonts w:hint="eastAsia"/>
          <w:color w:val="auto"/>
        </w:rPr>
        <w:t>危险废物</w:t>
      </w:r>
      <w:r>
        <w:rPr>
          <w:color w:val="auto"/>
        </w:rPr>
        <w:t>，废气主要为餐饮油烟，噪声主要有水泵、风机的运行噪声，各污染物均采取有效措施进行治理。</w:t>
      </w:r>
    </w:p>
    <w:p>
      <w:pPr>
        <w:pStyle w:val="63"/>
        <w:ind w:firstLine="480"/>
        <w:rPr>
          <w:color w:val="auto"/>
        </w:rPr>
      </w:pPr>
      <w:r>
        <w:rPr>
          <w:color w:val="auto"/>
        </w:rPr>
        <w:t>综合来看，本项目生产工艺与技术装备指标、产品指标、资源能源利用指标、污染物产生指标、过程控制指标和废物回收利用指标均具有清洁生产特点，满足清洁生产基本要求。</w:t>
      </w:r>
    </w:p>
    <w:p>
      <w:pPr>
        <w:pStyle w:val="63"/>
        <w:ind w:firstLine="480"/>
        <w:rPr>
          <w:color w:val="auto"/>
        </w:rPr>
      </w:pPr>
      <w:r>
        <w:rPr>
          <w:color w:val="auto"/>
        </w:rPr>
        <w:t>根据环境保护部《关于印发&lt;“十二五”主要污染物总量控制规划编制指南&gt;的通知》（环办[2010]97号）中提出的总量控制因子，结合工程的工艺特征和排污特点，所在区域环境质量现状、当地环保部门的要求，评价最终确定本项目不申请总量控制建议指标。</w:t>
      </w:r>
    </w:p>
    <w:p>
      <w:pPr>
        <w:pStyle w:val="63"/>
        <w:ind w:firstLine="480"/>
        <w:rPr>
          <w:color w:val="auto"/>
        </w:rPr>
      </w:pPr>
      <w:r>
        <w:rPr>
          <w:color w:val="auto"/>
        </w:rPr>
        <w:t>（3）环境保护措施可靠性和合理性及达标排放稳定性</w:t>
      </w:r>
    </w:p>
    <w:p>
      <w:pPr>
        <w:pStyle w:val="63"/>
        <w:ind w:firstLine="480"/>
        <w:rPr>
          <w:color w:val="auto"/>
        </w:rPr>
      </w:pPr>
      <w:r>
        <w:rPr>
          <w:rFonts w:hAnsi="宋体"/>
          <w:color w:val="auto"/>
        </w:rPr>
        <w:t>①</w:t>
      </w:r>
      <w:r>
        <w:rPr>
          <w:color w:val="auto"/>
        </w:rPr>
        <w:t>环境空气污染防治措施</w:t>
      </w:r>
    </w:p>
    <w:p>
      <w:pPr>
        <w:pStyle w:val="63"/>
        <w:ind w:firstLine="480"/>
        <w:rPr>
          <w:color w:val="auto"/>
        </w:rPr>
      </w:pPr>
      <w:r>
        <w:rPr>
          <w:color w:val="auto"/>
        </w:rPr>
        <w:t>项目营运期废气仅有职工食堂餐饮油烟</w:t>
      </w:r>
      <w:r>
        <w:rPr>
          <w:rFonts w:hint="eastAsia"/>
          <w:color w:val="auto"/>
        </w:rPr>
        <w:t>和加氯车间微量泄漏的氯气。</w:t>
      </w:r>
    </w:p>
    <w:p>
      <w:pPr>
        <w:pStyle w:val="63"/>
        <w:ind w:firstLine="480"/>
        <w:rPr>
          <w:color w:val="auto"/>
        </w:rPr>
      </w:pPr>
      <w:r>
        <w:rPr>
          <w:rFonts w:hint="eastAsia"/>
          <w:color w:val="auto"/>
        </w:rPr>
        <w:t>建设单位</w:t>
      </w:r>
      <w:r>
        <w:rPr>
          <w:color w:val="auto"/>
        </w:rPr>
        <w:t>设计在食堂安装1套油烟净化设备对油烟进行净化，处理后的废气经屋顶排空。排放浓度和油烟净化设施去除率均满足《饮食业油烟排放标准》（GB18483-2001）中的相关要求。对周围环境影响很小</w:t>
      </w:r>
      <w:r>
        <w:rPr>
          <w:rFonts w:hint="eastAsia"/>
          <w:color w:val="auto"/>
        </w:rPr>
        <w:t>。</w:t>
      </w:r>
    </w:p>
    <w:p>
      <w:pPr>
        <w:pStyle w:val="63"/>
        <w:ind w:firstLine="480"/>
        <w:rPr>
          <w:color w:val="auto"/>
        </w:rPr>
      </w:pPr>
      <w:r>
        <w:rPr>
          <w:rFonts w:hint="eastAsia"/>
          <w:color w:val="auto"/>
        </w:rPr>
        <w:t>本项目采用全真空加投方式，以防止氯的外泄。并在氯库内设置了漏氯检测仪和氯气吸收装置。当发生氯气意外泄漏时，氯气吸收装置自动投运，可将泄漏的氯气全部进行中和处理。能够保护周围环境免受氯气泄漏的影响。</w:t>
      </w:r>
    </w:p>
    <w:p>
      <w:pPr>
        <w:pStyle w:val="63"/>
        <w:ind w:firstLine="480"/>
        <w:rPr>
          <w:color w:val="auto"/>
        </w:rPr>
      </w:pPr>
      <w:r>
        <w:rPr>
          <w:rFonts w:hAnsi="宋体"/>
          <w:color w:val="auto"/>
        </w:rPr>
        <w:t>②</w:t>
      </w:r>
      <w:r>
        <w:rPr>
          <w:color w:val="auto"/>
        </w:rPr>
        <w:t>水污染防治措施</w:t>
      </w:r>
    </w:p>
    <w:p>
      <w:pPr>
        <w:pStyle w:val="63"/>
        <w:ind w:firstLine="480"/>
        <w:rPr>
          <w:color w:val="auto"/>
        </w:rPr>
      </w:pPr>
      <w:r>
        <w:rPr>
          <w:color w:val="auto"/>
        </w:rPr>
        <w:t>本项目运营期无生产废水产生，运营期废水主要为生活污水。</w:t>
      </w:r>
      <w:r>
        <w:rPr>
          <w:rFonts w:hint="eastAsia"/>
          <w:color w:val="auto"/>
        </w:rPr>
        <w:t>生活污水经地埋式污水处理装置处理后水质满足《城市杂用水水质标准》GB/T18920-2002绿化要求，全部回用于水源地管理站绿化。</w:t>
      </w:r>
    </w:p>
    <w:p>
      <w:pPr>
        <w:pStyle w:val="63"/>
        <w:ind w:firstLine="480"/>
        <w:rPr>
          <w:color w:val="auto"/>
        </w:rPr>
      </w:pPr>
      <w:r>
        <w:rPr>
          <w:rFonts w:hint="eastAsia"/>
          <w:color w:val="auto"/>
        </w:rPr>
        <w:t>本项目废水全部综合利用，达到零排放，措施可行。</w:t>
      </w:r>
    </w:p>
    <w:p>
      <w:pPr>
        <w:pStyle w:val="63"/>
        <w:ind w:firstLine="480"/>
        <w:rPr>
          <w:color w:val="auto"/>
        </w:rPr>
      </w:pPr>
      <w:r>
        <w:rPr>
          <w:rFonts w:hAnsi="宋体"/>
          <w:color w:val="auto"/>
        </w:rPr>
        <w:t>③</w:t>
      </w:r>
      <w:r>
        <w:rPr>
          <w:color w:val="auto"/>
        </w:rPr>
        <w:t>噪声污染防治措施</w:t>
      </w:r>
    </w:p>
    <w:p>
      <w:pPr>
        <w:pStyle w:val="63"/>
        <w:ind w:firstLine="480"/>
        <w:rPr>
          <w:color w:val="auto"/>
        </w:rPr>
      </w:pPr>
      <w:r>
        <w:rPr>
          <w:color w:val="auto"/>
        </w:rPr>
        <w:t>水源地水泵选用低噪声产品，并集中在泵房内，泵房墙壁、房顶采用吸声材料。类比已建成运行的泵房，采取上述措施后，泵房外1m处可满足GB12348-2008《工业企业厂界环境噪声排放标准》2类标准限值。</w:t>
      </w:r>
    </w:p>
    <w:p>
      <w:pPr>
        <w:pStyle w:val="63"/>
        <w:ind w:firstLine="480"/>
        <w:rPr>
          <w:color w:val="auto"/>
        </w:rPr>
      </w:pPr>
      <w:r>
        <w:rPr>
          <w:color w:val="auto"/>
        </w:rPr>
        <w:t>水源地管理站</w:t>
      </w:r>
      <w:r>
        <w:rPr>
          <w:rFonts w:hint="eastAsia"/>
          <w:color w:val="auto"/>
        </w:rPr>
        <w:t>及保障房给水处理站</w:t>
      </w:r>
      <w:r>
        <w:rPr>
          <w:color w:val="auto"/>
        </w:rPr>
        <w:t>泵类等采取基础减震措施，风机等进出口加装消声器；在室内设置吸音墙裙、吸音吊顶和悬挂强吸声体，同时加强门窗密闭性；厂界周围栽种树木进行绿化，以降低噪声。</w:t>
      </w:r>
    </w:p>
    <w:p>
      <w:pPr>
        <w:pStyle w:val="63"/>
        <w:ind w:firstLine="480"/>
        <w:rPr>
          <w:color w:val="auto"/>
        </w:rPr>
      </w:pPr>
      <w:r>
        <w:rPr>
          <w:color w:val="auto"/>
        </w:rPr>
        <w:t>采取上述措施后，水源地管理站</w:t>
      </w:r>
      <w:r>
        <w:rPr>
          <w:rFonts w:hint="eastAsia"/>
          <w:color w:val="auto"/>
        </w:rPr>
        <w:t>及保障房给水处理站</w:t>
      </w:r>
      <w:r>
        <w:rPr>
          <w:color w:val="auto"/>
        </w:rPr>
        <w:t>厂界外1m处可满足《工业企业厂界环境噪声排放标准》GB12348-2008</w:t>
      </w:r>
      <w:r>
        <w:rPr>
          <w:rFonts w:hint="eastAsia"/>
          <w:color w:val="auto"/>
        </w:rPr>
        <w:t>相关标准要求</w:t>
      </w:r>
      <w:r>
        <w:rPr>
          <w:color w:val="auto"/>
        </w:rPr>
        <w:t>。</w:t>
      </w:r>
    </w:p>
    <w:p>
      <w:pPr>
        <w:pStyle w:val="63"/>
        <w:ind w:firstLine="480"/>
        <w:rPr>
          <w:color w:val="auto"/>
        </w:rPr>
      </w:pPr>
      <w:r>
        <w:rPr>
          <w:rFonts w:hAnsi="宋体"/>
          <w:color w:val="auto"/>
        </w:rPr>
        <w:t>④</w:t>
      </w:r>
      <w:r>
        <w:rPr>
          <w:color w:val="auto"/>
        </w:rPr>
        <w:t>固体废物污染防治措施</w:t>
      </w:r>
    </w:p>
    <w:p>
      <w:pPr>
        <w:pStyle w:val="63"/>
        <w:ind w:firstLine="480"/>
        <w:rPr>
          <w:color w:val="auto"/>
        </w:rPr>
      </w:pPr>
      <w:r>
        <w:rPr>
          <w:color w:val="auto"/>
        </w:rPr>
        <w:t>项目营运期固体废弃物主要是生活垃圾</w:t>
      </w:r>
      <w:r>
        <w:rPr>
          <w:rFonts w:hint="eastAsia"/>
          <w:color w:val="auto"/>
        </w:rPr>
        <w:t>、污泥</w:t>
      </w:r>
      <w:r>
        <w:rPr>
          <w:color w:val="auto"/>
        </w:rPr>
        <w:t>和</w:t>
      </w:r>
      <w:r>
        <w:rPr>
          <w:rFonts w:hint="eastAsia"/>
          <w:color w:val="auto"/>
        </w:rPr>
        <w:t>少量</w:t>
      </w:r>
      <w:r>
        <w:rPr>
          <w:color w:val="auto"/>
        </w:rPr>
        <w:t>危险废物。</w:t>
      </w:r>
    </w:p>
    <w:p>
      <w:pPr>
        <w:pStyle w:val="63"/>
        <w:ind w:firstLine="480"/>
        <w:rPr>
          <w:color w:val="auto"/>
        </w:rPr>
      </w:pPr>
      <w:r>
        <w:rPr>
          <w:color w:val="auto"/>
        </w:rPr>
        <w:t>生活垃圾集中收集后统一外运；</w:t>
      </w:r>
      <w:r>
        <w:rPr>
          <w:rFonts w:hint="eastAsia"/>
          <w:color w:val="auto"/>
        </w:rPr>
        <w:t>食堂废油脂集中收集后交由有资质单位处置；</w:t>
      </w:r>
      <w:r>
        <w:rPr>
          <w:color w:val="auto"/>
        </w:rPr>
        <w:t>沉淀池和滤池产生的泥沙</w:t>
      </w:r>
      <w:r>
        <w:rPr>
          <w:rFonts w:hint="eastAsia"/>
          <w:color w:val="auto"/>
        </w:rPr>
        <w:t>为一般工业固废，脱水后定期运至附近垃圾填埋场处置。</w:t>
      </w:r>
    </w:p>
    <w:p>
      <w:pPr>
        <w:pStyle w:val="63"/>
        <w:ind w:firstLine="480"/>
        <w:rPr>
          <w:color w:val="auto"/>
        </w:rPr>
      </w:pPr>
      <w:r>
        <w:rPr>
          <w:rFonts w:hint="eastAsia"/>
          <w:color w:val="auto"/>
        </w:rPr>
        <w:t>活性氧化铝吸附法除氟罐清洗废液、</w:t>
      </w:r>
      <w:r>
        <w:rPr>
          <w:color w:val="auto"/>
        </w:rPr>
        <w:t>化验室废水含有酸、碱及其他化学品，为危险废物，应交由有资质单位处理。</w:t>
      </w:r>
    </w:p>
    <w:p>
      <w:pPr>
        <w:pStyle w:val="63"/>
        <w:ind w:firstLine="480"/>
        <w:rPr>
          <w:color w:val="auto"/>
        </w:rPr>
      </w:pPr>
      <w:r>
        <w:rPr>
          <w:color w:val="auto"/>
        </w:rPr>
        <w:t>采取上述措施后，项目营运期产生的固体废弃物均能得到妥善处理，措施可行。</w:t>
      </w:r>
    </w:p>
    <w:p>
      <w:pPr>
        <w:pStyle w:val="63"/>
        <w:ind w:firstLine="480"/>
        <w:rPr>
          <w:color w:val="auto"/>
        </w:rPr>
      </w:pPr>
      <w:r>
        <w:rPr>
          <w:rFonts w:hAnsi="宋体"/>
          <w:color w:val="auto"/>
        </w:rPr>
        <w:t>⑤</w:t>
      </w:r>
      <w:r>
        <w:rPr>
          <w:color w:val="auto"/>
        </w:rPr>
        <w:t>生态环境保护措施</w:t>
      </w:r>
    </w:p>
    <w:p>
      <w:pPr>
        <w:pStyle w:val="63"/>
        <w:ind w:firstLine="480"/>
        <w:rPr>
          <w:color w:val="auto"/>
        </w:rPr>
      </w:pPr>
      <w:r>
        <w:rPr>
          <w:color w:val="auto"/>
        </w:rPr>
        <w:t>项目建成后，通过对水源地管理站周边进行绿化，可有效补偿因永久占地改变地表形态及地貌景观对周围环境的影响；对临时占地及时进行土壤及植被恢复；加强管理，在输水管线上方设置标志，以防附近的各类施工活动对管线的破坏。</w:t>
      </w:r>
    </w:p>
    <w:p>
      <w:pPr>
        <w:pStyle w:val="63"/>
        <w:ind w:firstLine="480"/>
        <w:rPr>
          <w:color w:val="auto"/>
        </w:rPr>
      </w:pPr>
      <w:r>
        <w:rPr>
          <w:color w:val="auto"/>
        </w:rPr>
        <w:t>采取上述措施后，可有效减缓项目建设对生态环境造成的破坏。</w:t>
      </w:r>
    </w:p>
    <w:p>
      <w:pPr>
        <w:pStyle w:val="63"/>
        <w:ind w:firstLine="480"/>
        <w:rPr>
          <w:color w:val="auto"/>
        </w:rPr>
      </w:pPr>
      <w:r>
        <w:rPr>
          <w:rFonts w:hAnsi="宋体"/>
          <w:color w:val="auto"/>
        </w:rPr>
        <w:t>⑥</w:t>
      </w:r>
      <w:r>
        <w:rPr>
          <w:color w:val="auto"/>
        </w:rPr>
        <w:t>风险防范措施</w:t>
      </w:r>
    </w:p>
    <w:p>
      <w:pPr>
        <w:pStyle w:val="63"/>
        <w:ind w:firstLine="480"/>
        <w:rPr>
          <w:color w:val="auto"/>
        </w:rPr>
      </w:pPr>
      <w:r>
        <w:rPr>
          <w:rFonts w:hint="eastAsia"/>
          <w:color w:val="auto"/>
        </w:rPr>
        <w:t>·</w:t>
      </w:r>
      <w:r>
        <w:rPr>
          <w:color w:val="auto"/>
        </w:rPr>
        <w:t>坚持“安全第一，预防为主”的方针，积极推行全员预防性管理，不断增强安全意识，给安全工作以优先权和否决权；实行安全工作责任制；建立安全规章制度；设立安全机构；对压力容器实行规范管理</w:t>
      </w:r>
      <w:r>
        <w:rPr>
          <w:rFonts w:hint="eastAsia"/>
          <w:color w:val="auto"/>
        </w:rPr>
        <w:t>。</w:t>
      </w:r>
    </w:p>
    <w:p>
      <w:pPr>
        <w:pStyle w:val="63"/>
        <w:ind w:firstLine="480"/>
        <w:rPr>
          <w:color w:val="auto"/>
        </w:rPr>
      </w:pPr>
      <w:r>
        <w:rPr>
          <w:rFonts w:hint="eastAsia"/>
          <w:color w:val="auto"/>
        </w:rPr>
        <w:t>·</w:t>
      </w:r>
      <w:r>
        <w:rPr>
          <w:color w:val="auto"/>
        </w:rPr>
        <w:t>氯瓶搬运进库及堆放时不得敲击、碰撞、花落，搬运时注意不要把瓶阀对准人体；进库氯瓶应旋紧摘帽，氯瓶需套上防震圈，不得在地上滚动；氯瓶仓库应阴凉，库内不得有热源，严禁明火；氯瓶仓库地坪应平整，以免氯瓶立放时不正，容易倾倒；退库的空氯瓶不得全部用尽，应当有余压，余压应为0.2MPa左右，至少不得低于0.05MPa。</w:t>
      </w:r>
    </w:p>
    <w:p>
      <w:pPr>
        <w:pStyle w:val="63"/>
        <w:ind w:firstLine="480"/>
        <w:rPr>
          <w:color w:val="auto"/>
        </w:rPr>
      </w:pPr>
      <w:r>
        <w:rPr>
          <w:rFonts w:hint="eastAsia"/>
          <w:color w:val="auto"/>
        </w:rPr>
        <w:t>·工作</w:t>
      </w:r>
      <w:r>
        <w:rPr>
          <w:color w:val="auto"/>
        </w:rPr>
        <w:t>人员应</w:t>
      </w:r>
      <w:r>
        <w:rPr>
          <w:rFonts w:hint="eastAsia"/>
          <w:color w:val="auto"/>
        </w:rPr>
        <w:t>经过</w:t>
      </w:r>
      <w:r>
        <w:rPr>
          <w:color w:val="auto"/>
        </w:rPr>
        <w:t>严格和特殊的训练，并熟悉详细操作液氯钢瓶程序才能上岗；采用双重安全保护措施。；要采取措施防止氯气跑、冒、滴、漏，有氯气的管道、设备要经常处于密闭状态；液氯在气化时要吸收热量，当气温较低时，瓶阀可能冻结，这时要给钢瓶加温，一般宜用温水加热，但温水不能超过40</w:t>
      </w:r>
      <w:r>
        <w:rPr>
          <w:rFonts w:hint="eastAsia" w:ascii="宋体" w:hAnsi="宋体"/>
          <w:color w:val="auto"/>
        </w:rPr>
        <w:t>℃</w:t>
      </w:r>
      <w:r>
        <w:rPr>
          <w:color w:val="auto"/>
        </w:rPr>
        <w:t>，不能用明火直接烘烤；由于氯气有腐蚀性，管道、设备要经常维护，发现故障即使修理或调换。</w:t>
      </w:r>
    </w:p>
    <w:p>
      <w:pPr>
        <w:pStyle w:val="63"/>
        <w:ind w:firstLine="480"/>
        <w:rPr>
          <w:color w:val="auto"/>
        </w:rPr>
      </w:pPr>
      <w:r>
        <w:rPr>
          <w:color w:val="auto"/>
        </w:rPr>
        <w:t>（4）公众参与接受性</w:t>
      </w:r>
    </w:p>
    <w:p>
      <w:pPr>
        <w:pStyle w:val="63"/>
        <w:ind w:firstLine="480"/>
        <w:rPr>
          <w:color w:val="auto"/>
          <w:szCs w:val="24"/>
        </w:rPr>
      </w:pPr>
      <w:r>
        <w:rPr>
          <w:color w:val="auto"/>
          <w:szCs w:val="24"/>
        </w:rPr>
        <w:t>项目按照《环境影响评价公众参与暂行办法》规定进行了公示和公众意见调查。</w:t>
      </w:r>
    </w:p>
    <w:p>
      <w:pPr>
        <w:pStyle w:val="63"/>
        <w:ind w:firstLine="480"/>
        <w:rPr>
          <w:color w:val="auto"/>
          <w:szCs w:val="24"/>
        </w:rPr>
      </w:pPr>
      <w:r>
        <w:rPr>
          <w:rFonts w:hint="eastAsia"/>
          <w:color w:val="auto"/>
          <w:szCs w:val="24"/>
        </w:rPr>
        <w:t>本项目采用报纸公示和发放《公众参与调查表》两种调查方式收集公众意见。通过调查问卷反馈信息证明，94.4%的公众对本项目持赞成或基本赞成态度，5.6%的人认为所谓，无不赞成意见。</w:t>
      </w:r>
    </w:p>
    <w:p>
      <w:pPr>
        <w:pStyle w:val="61"/>
        <w:rPr>
          <w:color w:val="auto"/>
        </w:rPr>
      </w:pPr>
      <w:bookmarkStart w:id="138" w:name="_Toc436902221"/>
      <w:r>
        <w:rPr>
          <w:rFonts w:hint="eastAsia"/>
          <w:color w:val="auto"/>
        </w:rPr>
        <w:t>15.5结论与建议</w:t>
      </w:r>
      <w:bookmarkEnd w:id="138"/>
    </w:p>
    <w:p>
      <w:pPr>
        <w:pStyle w:val="63"/>
        <w:ind w:firstLine="480"/>
        <w:rPr>
          <w:color w:val="auto"/>
        </w:rPr>
      </w:pPr>
      <w:r>
        <w:rPr>
          <w:color w:val="auto"/>
        </w:rPr>
        <w:t>（1）总结论</w:t>
      </w:r>
    </w:p>
    <w:p>
      <w:pPr>
        <w:pStyle w:val="63"/>
        <w:ind w:firstLine="480"/>
        <w:rPr>
          <w:color w:val="auto"/>
        </w:rPr>
      </w:pPr>
      <w:r>
        <w:rPr>
          <w:color w:val="auto"/>
        </w:rPr>
        <w:t>本项目属于《产业结构调整指导目录（2011年本）》（2013年修订）中的鼓励类，符合西咸新区、泾河新城相关规划的要求。项目建设可有效缓解</w:t>
      </w:r>
      <w:r>
        <w:rPr>
          <w:rFonts w:hint="eastAsia"/>
          <w:color w:val="auto"/>
        </w:rPr>
        <w:t>泾河新城</w:t>
      </w:r>
      <w:r>
        <w:rPr>
          <w:color w:val="auto"/>
        </w:rPr>
        <w:t>供水紧张局势，解决泾河新城发展用水问题，是完善泾河新城供水系统的重要举措，社会效益显著。项目各污染物产生环节均有相应的污染物控制措施，可做到污染物达标排放，对周边环境的影响可接受，符合清洁生产的要求；大多数群众支持该项目建设。因此，在严格执行“三同时”制度，强化环境保护管理，保证各类环境保护设施正常运行，控制污染物总量排放达到指标要求的前提下，从环境保护角度看，本项目建设可行。</w:t>
      </w:r>
    </w:p>
    <w:p>
      <w:pPr>
        <w:pStyle w:val="63"/>
        <w:ind w:firstLine="480"/>
        <w:rPr>
          <w:color w:val="auto"/>
        </w:rPr>
      </w:pPr>
      <w:r>
        <w:rPr>
          <w:color w:val="auto"/>
        </w:rPr>
        <w:t>（2）要求</w:t>
      </w:r>
    </w:p>
    <w:p>
      <w:pPr>
        <w:pStyle w:val="63"/>
        <w:ind w:firstLine="480"/>
        <w:rPr>
          <w:color w:val="auto"/>
        </w:rPr>
      </w:pPr>
      <w:r>
        <w:rPr>
          <w:rFonts w:hAnsi="宋体"/>
          <w:color w:val="auto"/>
        </w:rPr>
        <w:t>①</w:t>
      </w:r>
      <w:r>
        <w:rPr>
          <w:color w:val="auto"/>
        </w:rPr>
        <w:t>严格落实水源保护措施。划定水源保护区，严格落实水源保护区管理措施，并对水源进行定期监测。</w:t>
      </w:r>
    </w:p>
    <w:p>
      <w:pPr>
        <w:pStyle w:val="63"/>
        <w:ind w:firstLine="480"/>
        <w:rPr>
          <w:color w:val="auto"/>
        </w:rPr>
      </w:pPr>
      <w:r>
        <w:rPr>
          <w:rFonts w:hAnsi="宋体"/>
          <w:color w:val="auto"/>
        </w:rPr>
        <w:t>②</w:t>
      </w:r>
      <w:r>
        <w:rPr>
          <w:color w:val="auto"/>
        </w:rPr>
        <w:t>严格落实环评及设计文件提出的污染防治、生态环境保护及风险防范措施。</w:t>
      </w:r>
    </w:p>
    <w:p>
      <w:pPr>
        <w:pStyle w:val="63"/>
        <w:ind w:firstLine="480"/>
        <w:rPr>
          <w:color w:val="auto"/>
        </w:rPr>
      </w:pPr>
      <w:r>
        <w:rPr>
          <w:color w:val="auto"/>
        </w:rPr>
        <w:t>（3）建议</w:t>
      </w:r>
    </w:p>
    <w:p>
      <w:pPr>
        <w:pStyle w:val="63"/>
        <w:ind w:firstLine="480"/>
        <w:rPr>
          <w:color w:val="auto"/>
        </w:rPr>
      </w:pPr>
      <w:r>
        <w:rPr>
          <w:rFonts w:hint="eastAsia" w:ascii="宋体" w:hAnsi="宋体"/>
          <w:color w:val="auto"/>
        </w:rPr>
        <w:t>①</w:t>
      </w:r>
      <w:r>
        <w:rPr>
          <w:color w:val="auto"/>
        </w:rPr>
        <w:t>建议相关部门加快泾河流域污染治理实施力度及进度。</w:t>
      </w:r>
    </w:p>
    <w:p>
      <w:pPr>
        <w:pStyle w:val="63"/>
        <w:ind w:firstLine="480"/>
        <w:rPr>
          <w:color w:val="auto"/>
        </w:rPr>
      </w:pPr>
      <w:r>
        <w:rPr>
          <w:rFonts w:hint="eastAsia"/>
          <w:color w:val="auto"/>
        </w:rPr>
        <w:t>②项目所在区污水管网铺设到位后，水源管理站职工生活污水应排入污水管网，进入污水处理站处理。</w:t>
      </w:r>
    </w:p>
    <w:sectPr>
      <w:pgSz w:w="11906" w:h="16838"/>
      <w:pgMar w:top="1440" w:right="1440" w:bottom="1440" w:left="1440" w:header="851" w:footer="992"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ËÎÌå">
    <w:altName w:val="Times New Roman"/>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 PAGE   \* MERGEFORMAT </w:instrText>
    </w:r>
    <w:r>
      <w:fldChar w:fldCharType="separate"/>
    </w:r>
    <w:r>
      <w:rPr>
        <w:lang w:val="zh-CN"/>
      </w:rPr>
      <w:t>11</w:t>
    </w:r>
    <w:r>
      <w:rPr>
        <w:lang w:val="zh-CN"/>
      </w:rPr>
      <w:fldChar w:fldCharType="end"/>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p>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006321"/>
      <w:docPartObj>
        <w:docPartGallery w:val="AutoText"/>
      </w:docPartObj>
    </w:sdtPr>
    <w:sdtContent>
      <w:p>
        <w:pPr>
          <w:pStyle w:val="17"/>
          <w:jc w:val="center"/>
        </w:pPr>
        <w:r>
          <w:fldChar w:fldCharType="begin"/>
        </w:r>
        <w:r>
          <w:instrText xml:space="preserve"> PAGE   \* MERGEFORMAT </w:instrText>
        </w:r>
        <w:r>
          <w:fldChar w:fldCharType="separate"/>
        </w:r>
        <w:r>
          <w:rPr>
            <w:lang w:val="zh-CN"/>
          </w:rPr>
          <w:t>i</w:t>
        </w:r>
        <w:r>
          <w:rPr>
            <w:lang w:val="zh-CN"/>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 PAGE   \* MERGEFORMAT </w:instrText>
    </w:r>
    <w:r>
      <w:fldChar w:fldCharType="separate"/>
    </w:r>
    <w:r>
      <w:rPr>
        <w:lang w:val="zh-CN"/>
      </w:rPr>
      <w:t>1</w:t>
    </w:r>
    <w:r>
      <w:rPr>
        <w:lang w:val="zh-CN"/>
      </w:rPr>
      <w:fldChar w:fldCharType="end"/>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single" w:color="auto" w:sz="4" w:space="1"/>
        <w:right w:val="none" w:color="auto" w:sz="0" w:space="0"/>
      </w:pBdr>
      <w:jc w:val="center"/>
    </w:pPr>
    <w:r>
      <w:rPr>
        <w:rFonts w:hint="eastAsia" w:eastAsia="仿宋_GB2312"/>
        <w:b/>
        <w:sz w:val="24"/>
      </w:rPr>
      <w:t>泾河新城应急供水工程（一期）项目环境影响报告书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single" w:color="auto" w:sz="4" w:space="1"/>
        <w:right w:val="none" w:color="auto" w:sz="0" w:space="0"/>
      </w:pBdr>
      <w:jc w:val="center"/>
    </w:pPr>
    <w:r>
      <w:rPr>
        <w:rFonts w:hint="eastAsia" w:eastAsia="仿宋_GB2312"/>
        <w:b/>
        <w:sz w:val="24"/>
      </w:rPr>
      <w:t>泾河新城应急供水工程（一期）项目环境影响报告书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single" w:color="000000" w:sz="4" w:space="1"/>
        <w:right w:val="none" w:color="auto" w:sz="0" w:space="0"/>
      </w:pBdr>
      <w:jc w:val="center"/>
      <w:rPr>
        <w:sz w:val="24"/>
      </w:rPr>
    </w:pPr>
    <w:r>
      <w:rPr>
        <w:rFonts w:hint="eastAsia" w:eastAsia="仿宋_GB2312"/>
        <w:b/>
        <w:sz w:val="24"/>
      </w:rPr>
      <w:t>泾河新城应急供水工程（一期）项目环境影响报告书</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single" w:color="auto" w:sz="4" w:space="1"/>
        <w:right w:val="none" w:color="auto" w:sz="0" w:space="0"/>
      </w:pBdr>
      <w:jc w:val="center"/>
    </w:pPr>
    <w:r>
      <w:rPr>
        <w:rFonts w:hint="eastAsia" w:eastAsia="仿宋_GB2312"/>
        <w:b/>
        <w:sz w:val="24"/>
      </w:rPr>
      <w:t>城应急供水工程（一期）项目环境影响报告书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3ODhhMWM1ZmI1YjQxZTQyNjY1NjAxYjgxMTlkZjMifQ=="/>
  </w:docVars>
  <w:rsids>
    <w:rsidRoot w:val="00172A27"/>
    <w:rsid w:val="00001170"/>
    <w:rsid w:val="000055EF"/>
    <w:rsid w:val="00006D40"/>
    <w:rsid w:val="0001120C"/>
    <w:rsid w:val="00012725"/>
    <w:rsid w:val="00013C4B"/>
    <w:rsid w:val="00013CC7"/>
    <w:rsid w:val="00017E09"/>
    <w:rsid w:val="000209E4"/>
    <w:rsid w:val="00021C5C"/>
    <w:rsid w:val="000259F5"/>
    <w:rsid w:val="00026FE0"/>
    <w:rsid w:val="00034FA6"/>
    <w:rsid w:val="00037641"/>
    <w:rsid w:val="00037E3C"/>
    <w:rsid w:val="00041364"/>
    <w:rsid w:val="000439EE"/>
    <w:rsid w:val="00044D78"/>
    <w:rsid w:val="000468AB"/>
    <w:rsid w:val="000541C9"/>
    <w:rsid w:val="000600C4"/>
    <w:rsid w:val="00062644"/>
    <w:rsid w:val="00062B5F"/>
    <w:rsid w:val="00065BE3"/>
    <w:rsid w:val="00065C16"/>
    <w:rsid w:val="00065F8B"/>
    <w:rsid w:val="00066C83"/>
    <w:rsid w:val="00067DD8"/>
    <w:rsid w:val="0007207B"/>
    <w:rsid w:val="00084D38"/>
    <w:rsid w:val="00085A81"/>
    <w:rsid w:val="0008602B"/>
    <w:rsid w:val="00086189"/>
    <w:rsid w:val="000908C7"/>
    <w:rsid w:val="000A3A96"/>
    <w:rsid w:val="000A4491"/>
    <w:rsid w:val="000A4BF4"/>
    <w:rsid w:val="000B34E5"/>
    <w:rsid w:val="000B37F5"/>
    <w:rsid w:val="000B5A3D"/>
    <w:rsid w:val="000C252F"/>
    <w:rsid w:val="000C40C0"/>
    <w:rsid w:val="000C47C5"/>
    <w:rsid w:val="000C755B"/>
    <w:rsid w:val="000D0219"/>
    <w:rsid w:val="000D4A53"/>
    <w:rsid w:val="000D5E55"/>
    <w:rsid w:val="000D6235"/>
    <w:rsid w:val="000D7F64"/>
    <w:rsid w:val="000E42CB"/>
    <w:rsid w:val="000E6532"/>
    <w:rsid w:val="000F16EE"/>
    <w:rsid w:val="000F3350"/>
    <w:rsid w:val="000F3CB2"/>
    <w:rsid w:val="000F3F97"/>
    <w:rsid w:val="000F47A1"/>
    <w:rsid w:val="000F53AC"/>
    <w:rsid w:val="001003F6"/>
    <w:rsid w:val="00100F90"/>
    <w:rsid w:val="00102BD2"/>
    <w:rsid w:val="001032F9"/>
    <w:rsid w:val="0010759E"/>
    <w:rsid w:val="00110CBB"/>
    <w:rsid w:val="00115710"/>
    <w:rsid w:val="00116C9E"/>
    <w:rsid w:val="0011766B"/>
    <w:rsid w:val="00117D87"/>
    <w:rsid w:val="00120639"/>
    <w:rsid w:val="00121FB8"/>
    <w:rsid w:val="00124CCD"/>
    <w:rsid w:val="0012569C"/>
    <w:rsid w:val="00126A07"/>
    <w:rsid w:val="001323B4"/>
    <w:rsid w:val="00134144"/>
    <w:rsid w:val="0013686A"/>
    <w:rsid w:val="00137D46"/>
    <w:rsid w:val="00140BB1"/>
    <w:rsid w:val="00140EA2"/>
    <w:rsid w:val="001454ED"/>
    <w:rsid w:val="00145DC9"/>
    <w:rsid w:val="00147D23"/>
    <w:rsid w:val="001501EB"/>
    <w:rsid w:val="001503EE"/>
    <w:rsid w:val="00151144"/>
    <w:rsid w:val="0015217A"/>
    <w:rsid w:val="00152B96"/>
    <w:rsid w:val="0015450B"/>
    <w:rsid w:val="001548B7"/>
    <w:rsid w:val="0015540E"/>
    <w:rsid w:val="001562C5"/>
    <w:rsid w:val="001639AE"/>
    <w:rsid w:val="00164C0E"/>
    <w:rsid w:val="001705C1"/>
    <w:rsid w:val="00172A27"/>
    <w:rsid w:val="0017398C"/>
    <w:rsid w:val="00175510"/>
    <w:rsid w:val="00176C67"/>
    <w:rsid w:val="001815FB"/>
    <w:rsid w:val="0018415E"/>
    <w:rsid w:val="00186B30"/>
    <w:rsid w:val="00191C98"/>
    <w:rsid w:val="00192B83"/>
    <w:rsid w:val="00192C93"/>
    <w:rsid w:val="001946ED"/>
    <w:rsid w:val="00197349"/>
    <w:rsid w:val="001A05AF"/>
    <w:rsid w:val="001A18E9"/>
    <w:rsid w:val="001A2ED6"/>
    <w:rsid w:val="001A4E40"/>
    <w:rsid w:val="001A5D58"/>
    <w:rsid w:val="001A6415"/>
    <w:rsid w:val="001A691D"/>
    <w:rsid w:val="001A6933"/>
    <w:rsid w:val="001B2396"/>
    <w:rsid w:val="001B2F22"/>
    <w:rsid w:val="001B322F"/>
    <w:rsid w:val="001B426B"/>
    <w:rsid w:val="001B74CD"/>
    <w:rsid w:val="001B77BD"/>
    <w:rsid w:val="001C0B7C"/>
    <w:rsid w:val="001C0BAC"/>
    <w:rsid w:val="001C1DB7"/>
    <w:rsid w:val="001C664D"/>
    <w:rsid w:val="001D030B"/>
    <w:rsid w:val="001D196E"/>
    <w:rsid w:val="001D4743"/>
    <w:rsid w:val="001D4881"/>
    <w:rsid w:val="001D6972"/>
    <w:rsid w:val="001D7B10"/>
    <w:rsid w:val="001E06C6"/>
    <w:rsid w:val="001E09B1"/>
    <w:rsid w:val="001E19A7"/>
    <w:rsid w:val="001E488D"/>
    <w:rsid w:val="001E4CB8"/>
    <w:rsid w:val="001E4D43"/>
    <w:rsid w:val="001E5CC3"/>
    <w:rsid w:val="001E6354"/>
    <w:rsid w:val="001F3448"/>
    <w:rsid w:val="001F62AA"/>
    <w:rsid w:val="00200536"/>
    <w:rsid w:val="00201972"/>
    <w:rsid w:val="00202267"/>
    <w:rsid w:val="002034E0"/>
    <w:rsid w:val="00203AD1"/>
    <w:rsid w:val="002058EC"/>
    <w:rsid w:val="0020596B"/>
    <w:rsid w:val="00217F5B"/>
    <w:rsid w:val="00220A2E"/>
    <w:rsid w:val="002224AF"/>
    <w:rsid w:val="00231CF6"/>
    <w:rsid w:val="00232C04"/>
    <w:rsid w:val="002361AA"/>
    <w:rsid w:val="00237958"/>
    <w:rsid w:val="0024245F"/>
    <w:rsid w:val="0024449D"/>
    <w:rsid w:val="00244704"/>
    <w:rsid w:val="00244CA4"/>
    <w:rsid w:val="002452F0"/>
    <w:rsid w:val="00245548"/>
    <w:rsid w:val="002456BE"/>
    <w:rsid w:val="00246B79"/>
    <w:rsid w:val="00247ECD"/>
    <w:rsid w:val="00255F83"/>
    <w:rsid w:val="002560A0"/>
    <w:rsid w:val="002601B4"/>
    <w:rsid w:val="00265833"/>
    <w:rsid w:val="002731AA"/>
    <w:rsid w:val="00275409"/>
    <w:rsid w:val="002767EF"/>
    <w:rsid w:val="00276A6C"/>
    <w:rsid w:val="00280A65"/>
    <w:rsid w:val="00283B2B"/>
    <w:rsid w:val="00285A05"/>
    <w:rsid w:val="0028775B"/>
    <w:rsid w:val="0029006A"/>
    <w:rsid w:val="00290070"/>
    <w:rsid w:val="00290872"/>
    <w:rsid w:val="0029126E"/>
    <w:rsid w:val="002929CE"/>
    <w:rsid w:val="0029333B"/>
    <w:rsid w:val="00295292"/>
    <w:rsid w:val="00295FC2"/>
    <w:rsid w:val="002A2094"/>
    <w:rsid w:val="002A2EBA"/>
    <w:rsid w:val="002A3F82"/>
    <w:rsid w:val="002A5AB7"/>
    <w:rsid w:val="002A64CE"/>
    <w:rsid w:val="002A6EB2"/>
    <w:rsid w:val="002A7349"/>
    <w:rsid w:val="002B45CF"/>
    <w:rsid w:val="002C3107"/>
    <w:rsid w:val="002C59D3"/>
    <w:rsid w:val="002C6042"/>
    <w:rsid w:val="002D0560"/>
    <w:rsid w:val="002D0603"/>
    <w:rsid w:val="002D0A7E"/>
    <w:rsid w:val="002D1258"/>
    <w:rsid w:val="002D1CA5"/>
    <w:rsid w:val="002D4949"/>
    <w:rsid w:val="002D69A5"/>
    <w:rsid w:val="002E031E"/>
    <w:rsid w:val="002E26A4"/>
    <w:rsid w:val="002E4D6A"/>
    <w:rsid w:val="002E5F5C"/>
    <w:rsid w:val="002E748B"/>
    <w:rsid w:val="002E7D08"/>
    <w:rsid w:val="002F352E"/>
    <w:rsid w:val="002F398B"/>
    <w:rsid w:val="002F43DA"/>
    <w:rsid w:val="002F7555"/>
    <w:rsid w:val="00301C13"/>
    <w:rsid w:val="00302EB5"/>
    <w:rsid w:val="00303D76"/>
    <w:rsid w:val="0030403A"/>
    <w:rsid w:val="00314C95"/>
    <w:rsid w:val="00315E0A"/>
    <w:rsid w:val="00321BC5"/>
    <w:rsid w:val="00323734"/>
    <w:rsid w:val="00323A90"/>
    <w:rsid w:val="003271D4"/>
    <w:rsid w:val="003309BA"/>
    <w:rsid w:val="00332A73"/>
    <w:rsid w:val="003337FF"/>
    <w:rsid w:val="00335374"/>
    <w:rsid w:val="0034024B"/>
    <w:rsid w:val="0034080D"/>
    <w:rsid w:val="0034335F"/>
    <w:rsid w:val="00343682"/>
    <w:rsid w:val="00343756"/>
    <w:rsid w:val="003446F1"/>
    <w:rsid w:val="00345279"/>
    <w:rsid w:val="0034600A"/>
    <w:rsid w:val="00346131"/>
    <w:rsid w:val="00347435"/>
    <w:rsid w:val="00351C27"/>
    <w:rsid w:val="00360719"/>
    <w:rsid w:val="0036094E"/>
    <w:rsid w:val="00364839"/>
    <w:rsid w:val="0036680F"/>
    <w:rsid w:val="0036760F"/>
    <w:rsid w:val="0037009A"/>
    <w:rsid w:val="00370E26"/>
    <w:rsid w:val="0037178A"/>
    <w:rsid w:val="00371C8C"/>
    <w:rsid w:val="00372617"/>
    <w:rsid w:val="00374DAB"/>
    <w:rsid w:val="00380237"/>
    <w:rsid w:val="00380F05"/>
    <w:rsid w:val="00384053"/>
    <w:rsid w:val="0038530C"/>
    <w:rsid w:val="00390ABC"/>
    <w:rsid w:val="00393C92"/>
    <w:rsid w:val="003953A5"/>
    <w:rsid w:val="00396663"/>
    <w:rsid w:val="003A076D"/>
    <w:rsid w:val="003A2962"/>
    <w:rsid w:val="003A3D66"/>
    <w:rsid w:val="003A4411"/>
    <w:rsid w:val="003A5FC5"/>
    <w:rsid w:val="003A7806"/>
    <w:rsid w:val="003A7CDC"/>
    <w:rsid w:val="003B4AF9"/>
    <w:rsid w:val="003B55EE"/>
    <w:rsid w:val="003B66F4"/>
    <w:rsid w:val="003C2CF6"/>
    <w:rsid w:val="003C3AAC"/>
    <w:rsid w:val="003C421A"/>
    <w:rsid w:val="003C44B1"/>
    <w:rsid w:val="003C466D"/>
    <w:rsid w:val="003C4A9B"/>
    <w:rsid w:val="003C4D5E"/>
    <w:rsid w:val="003D0A2B"/>
    <w:rsid w:val="003D23AB"/>
    <w:rsid w:val="003D2B7B"/>
    <w:rsid w:val="003D4BBD"/>
    <w:rsid w:val="003D73F2"/>
    <w:rsid w:val="003D7CE4"/>
    <w:rsid w:val="003E5006"/>
    <w:rsid w:val="003E564C"/>
    <w:rsid w:val="003E693F"/>
    <w:rsid w:val="003E707D"/>
    <w:rsid w:val="003F0CEA"/>
    <w:rsid w:val="003F20E5"/>
    <w:rsid w:val="003F5B9F"/>
    <w:rsid w:val="003F76AE"/>
    <w:rsid w:val="003F7CA7"/>
    <w:rsid w:val="00401B5E"/>
    <w:rsid w:val="004048D8"/>
    <w:rsid w:val="00410230"/>
    <w:rsid w:val="0041287D"/>
    <w:rsid w:val="00414C13"/>
    <w:rsid w:val="00414EEE"/>
    <w:rsid w:val="0041664C"/>
    <w:rsid w:val="00420A87"/>
    <w:rsid w:val="00426CEA"/>
    <w:rsid w:val="00427FD2"/>
    <w:rsid w:val="0043432D"/>
    <w:rsid w:val="00434B65"/>
    <w:rsid w:val="00435291"/>
    <w:rsid w:val="004353EA"/>
    <w:rsid w:val="00442353"/>
    <w:rsid w:val="004464D0"/>
    <w:rsid w:val="0045134B"/>
    <w:rsid w:val="00456901"/>
    <w:rsid w:val="00456D93"/>
    <w:rsid w:val="0046119A"/>
    <w:rsid w:val="004644D2"/>
    <w:rsid w:val="0046523B"/>
    <w:rsid w:val="00467FD8"/>
    <w:rsid w:val="00472C48"/>
    <w:rsid w:val="004754DD"/>
    <w:rsid w:val="00476595"/>
    <w:rsid w:val="00476725"/>
    <w:rsid w:val="00477A2E"/>
    <w:rsid w:val="004820C8"/>
    <w:rsid w:val="00490245"/>
    <w:rsid w:val="00490A8B"/>
    <w:rsid w:val="00493BEC"/>
    <w:rsid w:val="004940B4"/>
    <w:rsid w:val="004966A8"/>
    <w:rsid w:val="0049761C"/>
    <w:rsid w:val="004A0D86"/>
    <w:rsid w:val="004A3BD4"/>
    <w:rsid w:val="004A656B"/>
    <w:rsid w:val="004C6912"/>
    <w:rsid w:val="004D0C6B"/>
    <w:rsid w:val="004D478F"/>
    <w:rsid w:val="004E0F3B"/>
    <w:rsid w:val="004E109D"/>
    <w:rsid w:val="004E21BD"/>
    <w:rsid w:val="004E7AE8"/>
    <w:rsid w:val="004E7F25"/>
    <w:rsid w:val="004F3F32"/>
    <w:rsid w:val="004F4CDE"/>
    <w:rsid w:val="004F6017"/>
    <w:rsid w:val="004F63DF"/>
    <w:rsid w:val="004F7C14"/>
    <w:rsid w:val="00503173"/>
    <w:rsid w:val="00503B05"/>
    <w:rsid w:val="00505A95"/>
    <w:rsid w:val="005111A6"/>
    <w:rsid w:val="00515090"/>
    <w:rsid w:val="00515225"/>
    <w:rsid w:val="005167AB"/>
    <w:rsid w:val="0051793C"/>
    <w:rsid w:val="00521867"/>
    <w:rsid w:val="0052315F"/>
    <w:rsid w:val="0052605E"/>
    <w:rsid w:val="0053180D"/>
    <w:rsid w:val="00532C04"/>
    <w:rsid w:val="00533033"/>
    <w:rsid w:val="00537D63"/>
    <w:rsid w:val="005445E4"/>
    <w:rsid w:val="00544B1F"/>
    <w:rsid w:val="00552156"/>
    <w:rsid w:val="005532B7"/>
    <w:rsid w:val="00556692"/>
    <w:rsid w:val="00556BF0"/>
    <w:rsid w:val="00565159"/>
    <w:rsid w:val="0057246F"/>
    <w:rsid w:val="005748B1"/>
    <w:rsid w:val="00580E3F"/>
    <w:rsid w:val="005817B6"/>
    <w:rsid w:val="00583BED"/>
    <w:rsid w:val="00584747"/>
    <w:rsid w:val="0058594F"/>
    <w:rsid w:val="005900A8"/>
    <w:rsid w:val="005909DF"/>
    <w:rsid w:val="00590D0C"/>
    <w:rsid w:val="0059177F"/>
    <w:rsid w:val="0059279D"/>
    <w:rsid w:val="005940CA"/>
    <w:rsid w:val="005950ED"/>
    <w:rsid w:val="00595F08"/>
    <w:rsid w:val="005A5AE9"/>
    <w:rsid w:val="005B23DF"/>
    <w:rsid w:val="005B435F"/>
    <w:rsid w:val="005B5B29"/>
    <w:rsid w:val="005B63D9"/>
    <w:rsid w:val="005B678B"/>
    <w:rsid w:val="005B71F4"/>
    <w:rsid w:val="005B75CF"/>
    <w:rsid w:val="005B7A9D"/>
    <w:rsid w:val="005C57F5"/>
    <w:rsid w:val="005D0FEB"/>
    <w:rsid w:val="005D2723"/>
    <w:rsid w:val="005D2FF3"/>
    <w:rsid w:val="005D32C2"/>
    <w:rsid w:val="005D4D1F"/>
    <w:rsid w:val="005D6ABC"/>
    <w:rsid w:val="005E3F02"/>
    <w:rsid w:val="005E57C9"/>
    <w:rsid w:val="005F5C44"/>
    <w:rsid w:val="0060544D"/>
    <w:rsid w:val="00614701"/>
    <w:rsid w:val="00615C0D"/>
    <w:rsid w:val="006179A0"/>
    <w:rsid w:val="00623C82"/>
    <w:rsid w:val="00625AB1"/>
    <w:rsid w:val="00631C53"/>
    <w:rsid w:val="00640BF9"/>
    <w:rsid w:val="00642E17"/>
    <w:rsid w:val="00644C7C"/>
    <w:rsid w:val="00650945"/>
    <w:rsid w:val="00651F75"/>
    <w:rsid w:val="0065485B"/>
    <w:rsid w:val="00654F40"/>
    <w:rsid w:val="00657BCB"/>
    <w:rsid w:val="00660E61"/>
    <w:rsid w:val="00661445"/>
    <w:rsid w:val="00662399"/>
    <w:rsid w:val="00663C48"/>
    <w:rsid w:val="00665DC7"/>
    <w:rsid w:val="00666B5B"/>
    <w:rsid w:val="00667F24"/>
    <w:rsid w:val="006736AD"/>
    <w:rsid w:val="0067552D"/>
    <w:rsid w:val="00680E88"/>
    <w:rsid w:val="00683594"/>
    <w:rsid w:val="00683FAD"/>
    <w:rsid w:val="00684EFC"/>
    <w:rsid w:val="006856E3"/>
    <w:rsid w:val="006932AE"/>
    <w:rsid w:val="006A08DB"/>
    <w:rsid w:val="006A346C"/>
    <w:rsid w:val="006A3AD5"/>
    <w:rsid w:val="006A452C"/>
    <w:rsid w:val="006A5703"/>
    <w:rsid w:val="006A6A36"/>
    <w:rsid w:val="006B0FCA"/>
    <w:rsid w:val="006B0FF6"/>
    <w:rsid w:val="006B17D5"/>
    <w:rsid w:val="006B3C35"/>
    <w:rsid w:val="006B6C95"/>
    <w:rsid w:val="006B7288"/>
    <w:rsid w:val="006C7120"/>
    <w:rsid w:val="006C7216"/>
    <w:rsid w:val="006C76FF"/>
    <w:rsid w:val="006D1F6C"/>
    <w:rsid w:val="006D3939"/>
    <w:rsid w:val="006D3F8D"/>
    <w:rsid w:val="006E48AA"/>
    <w:rsid w:val="006E5C79"/>
    <w:rsid w:val="006F2D87"/>
    <w:rsid w:val="006F514F"/>
    <w:rsid w:val="006F59DF"/>
    <w:rsid w:val="00700529"/>
    <w:rsid w:val="00700B56"/>
    <w:rsid w:val="00701D6E"/>
    <w:rsid w:val="00703438"/>
    <w:rsid w:val="007047D1"/>
    <w:rsid w:val="0070737E"/>
    <w:rsid w:val="0071512E"/>
    <w:rsid w:val="00720789"/>
    <w:rsid w:val="00726C89"/>
    <w:rsid w:val="0073036E"/>
    <w:rsid w:val="0074115C"/>
    <w:rsid w:val="00741610"/>
    <w:rsid w:val="007418B4"/>
    <w:rsid w:val="00743E4F"/>
    <w:rsid w:val="00750C97"/>
    <w:rsid w:val="00750F9B"/>
    <w:rsid w:val="00755A2F"/>
    <w:rsid w:val="00755E24"/>
    <w:rsid w:val="0075604A"/>
    <w:rsid w:val="007604E5"/>
    <w:rsid w:val="0076176B"/>
    <w:rsid w:val="00761D5E"/>
    <w:rsid w:val="00763330"/>
    <w:rsid w:val="00764827"/>
    <w:rsid w:val="00766D41"/>
    <w:rsid w:val="00774095"/>
    <w:rsid w:val="0077555A"/>
    <w:rsid w:val="007768CD"/>
    <w:rsid w:val="00777465"/>
    <w:rsid w:val="0077759F"/>
    <w:rsid w:val="00780624"/>
    <w:rsid w:val="007814D3"/>
    <w:rsid w:val="00781549"/>
    <w:rsid w:val="007831B7"/>
    <w:rsid w:val="0078628B"/>
    <w:rsid w:val="00792B48"/>
    <w:rsid w:val="00797A99"/>
    <w:rsid w:val="007A51B7"/>
    <w:rsid w:val="007A564A"/>
    <w:rsid w:val="007A7968"/>
    <w:rsid w:val="007B0553"/>
    <w:rsid w:val="007B44C5"/>
    <w:rsid w:val="007B5D17"/>
    <w:rsid w:val="007C1115"/>
    <w:rsid w:val="007C20DB"/>
    <w:rsid w:val="007C4AA2"/>
    <w:rsid w:val="007D207B"/>
    <w:rsid w:val="007D2425"/>
    <w:rsid w:val="007D2D12"/>
    <w:rsid w:val="007D560A"/>
    <w:rsid w:val="007D57FD"/>
    <w:rsid w:val="007D62A9"/>
    <w:rsid w:val="007D6FCA"/>
    <w:rsid w:val="007E19D0"/>
    <w:rsid w:val="007E1E83"/>
    <w:rsid w:val="007E25F3"/>
    <w:rsid w:val="007E6456"/>
    <w:rsid w:val="007F113B"/>
    <w:rsid w:val="007F241B"/>
    <w:rsid w:val="007F29AE"/>
    <w:rsid w:val="007F38D2"/>
    <w:rsid w:val="007F49D1"/>
    <w:rsid w:val="0080265C"/>
    <w:rsid w:val="00803F9E"/>
    <w:rsid w:val="00812E40"/>
    <w:rsid w:val="00814C3A"/>
    <w:rsid w:val="00820CDA"/>
    <w:rsid w:val="00822201"/>
    <w:rsid w:val="00824178"/>
    <w:rsid w:val="00824F5B"/>
    <w:rsid w:val="00832757"/>
    <w:rsid w:val="00836AC4"/>
    <w:rsid w:val="00840ECE"/>
    <w:rsid w:val="00843B5B"/>
    <w:rsid w:val="00845FE1"/>
    <w:rsid w:val="008468B4"/>
    <w:rsid w:val="00862D2E"/>
    <w:rsid w:val="00863C2C"/>
    <w:rsid w:val="00864657"/>
    <w:rsid w:val="00864D1D"/>
    <w:rsid w:val="008662E5"/>
    <w:rsid w:val="008724A9"/>
    <w:rsid w:val="00873E0A"/>
    <w:rsid w:val="00876757"/>
    <w:rsid w:val="008779C0"/>
    <w:rsid w:val="00881413"/>
    <w:rsid w:val="00881B29"/>
    <w:rsid w:val="008837E4"/>
    <w:rsid w:val="0088706B"/>
    <w:rsid w:val="00890551"/>
    <w:rsid w:val="008938F2"/>
    <w:rsid w:val="00893E67"/>
    <w:rsid w:val="00895ED0"/>
    <w:rsid w:val="008964CD"/>
    <w:rsid w:val="008A157D"/>
    <w:rsid w:val="008A1CC4"/>
    <w:rsid w:val="008B188C"/>
    <w:rsid w:val="008C069E"/>
    <w:rsid w:val="008C1E13"/>
    <w:rsid w:val="008C311F"/>
    <w:rsid w:val="008C5644"/>
    <w:rsid w:val="008C60BE"/>
    <w:rsid w:val="008C76D3"/>
    <w:rsid w:val="008D0AF1"/>
    <w:rsid w:val="008D28D9"/>
    <w:rsid w:val="008D306D"/>
    <w:rsid w:val="008D31C3"/>
    <w:rsid w:val="008D5764"/>
    <w:rsid w:val="008D68A0"/>
    <w:rsid w:val="008D78BC"/>
    <w:rsid w:val="008E201D"/>
    <w:rsid w:val="008E55F6"/>
    <w:rsid w:val="008E6CED"/>
    <w:rsid w:val="008F427D"/>
    <w:rsid w:val="008F49DA"/>
    <w:rsid w:val="008F49F4"/>
    <w:rsid w:val="008F4A18"/>
    <w:rsid w:val="00900ECD"/>
    <w:rsid w:val="00906A37"/>
    <w:rsid w:val="00906E57"/>
    <w:rsid w:val="0092267A"/>
    <w:rsid w:val="00923CFB"/>
    <w:rsid w:val="00923F65"/>
    <w:rsid w:val="00925D57"/>
    <w:rsid w:val="009262CA"/>
    <w:rsid w:val="00931993"/>
    <w:rsid w:val="00932E2F"/>
    <w:rsid w:val="00935CF6"/>
    <w:rsid w:val="00935E1D"/>
    <w:rsid w:val="00936A9B"/>
    <w:rsid w:val="0093704D"/>
    <w:rsid w:val="0094061F"/>
    <w:rsid w:val="009407BE"/>
    <w:rsid w:val="00940833"/>
    <w:rsid w:val="00944C37"/>
    <w:rsid w:val="00945D75"/>
    <w:rsid w:val="00951261"/>
    <w:rsid w:val="009537E3"/>
    <w:rsid w:val="00953902"/>
    <w:rsid w:val="00953988"/>
    <w:rsid w:val="00954C40"/>
    <w:rsid w:val="009631F1"/>
    <w:rsid w:val="0096496A"/>
    <w:rsid w:val="00972234"/>
    <w:rsid w:val="009724E6"/>
    <w:rsid w:val="009778D5"/>
    <w:rsid w:val="00977ED9"/>
    <w:rsid w:val="009800F1"/>
    <w:rsid w:val="00983E0B"/>
    <w:rsid w:val="00984359"/>
    <w:rsid w:val="00986174"/>
    <w:rsid w:val="009921F7"/>
    <w:rsid w:val="009922AE"/>
    <w:rsid w:val="00997078"/>
    <w:rsid w:val="009972B1"/>
    <w:rsid w:val="009A1272"/>
    <w:rsid w:val="009A49A8"/>
    <w:rsid w:val="009A5B58"/>
    <w:rsid w:val="009B05CD"/>
    <w:rsid w:val="009B57EC"/>
    <w:rsid w:val="009B59F2"/>
    <w:rsid w:val="009B69E5"/>
    <w:rsid w:val="009B6D2C"/>
    <w:rsid w:val="009B7B97"/>
    <w:rsid w:val="009B7DF4"/>
    <w:rsid w:val="009B7E60"/>
    <w:rsid w:val="009C1195"/>
    <w:rsid w:val="009C3154"/>
    <w:rsid w:val="009C40F4"/>
    <w:rsid w:val="009C52AE"/>
    <w:rsid w:val="009D0F9C"/>
    <w:rsid w:val="009D5EA3"/>
    <w:rsid w:val="009D6F94"/>
    <w:rsid w:val="009D7978"/>
    <w:rsid w:val="009E0489"/>
    <w:rsid w:val="009E0749"/>
    <w:rsid w:val="009E1F5D"/>
    <w:rsid w:val="009E2DFC"/>
    <w:rsid w:val="009E3601"/>
    <w:rsid w:val="009E366C"/>
    <w:rsid w:val="009E4EE6"/>
    <w:rsid w:val="009E5990"/>
    <w:rsid w:val="009F2957"/>
    <w:rsid w:val="009F5DF3"/>
    <w:rsid w:val="009F5EC3"/>
    <w:rsid w:val="00A054F6"/>
    <w:rsid w:val="00A11ADB"/>
    <w:rsid w:val="00A1229D"/>
    <w:rsid w:val="00A1565F"/>
    <w:rsid w:val="00A16AB8"/>
    <w:rsid w:val="00A24087"/>
    <w:rsid w:val="00A2444E"/>
    <w:rsid w:val="00A24B71"/>
    <w:rsid w:val="00A27512"/>
    <w:rsid w:val="00A27A33"/>
    <w:rsid w:val="00A27BA3"/>
    <w:rsid w:val="00A3258E"/>
    <w:rsid w:val="00A35668"/>
    <w:rsid w:val="00A41358"/>
    <w:rsid w:val="00A41B09"/>
    <w:rsid w:val="00A420A4"/>
    <w:rsid w:val="00A4713F"/>
    <w:rsid w:val="00A51041"/>
    <w:rsid w:val="00A52AC3"/>
    <w:rsid w:val="00A530DA"/>
    <w:rsid w:val="00A540C4"/>
    <w:rsid w:val="00A557E4"/>
    <w:rsid w:val="00A55BE5"/>
    <w:rsid w:val="00A64A30"/>
    <w:rsid w:val="00A661ED"/>
    <w:rsid w:val="00A66493"/>
    <w:rsid w:val="00A71409"/>
    <w:rsid w:val="00A80E4B"/>
    <w:rsid w:val="00A811E2"/>
    <w:rsid w:val="00A81308"/>
    <w:rsid w:val="00A81E21"/>
    <w:rsid w:val="00A839F6"/>
    <w:rsid w:val="00A842DF"/>
    <w:rsid w:val="00A86B8A"/>
    <w:rsid w:val="00A87ADA"/>
    <w:rsid w:val="00A96427"/>
    <w:rsid w:val="00A96741"/>
    <w:rsid w:val="00A972F7"/>
    <w:rsid w:val="00AA2EF5"/>
    <w:rsid w:val="00AA3057"/>
    <w:rsid w:val="00AA3158"/>
    <w:rsid w:val="00AA32F8"/>
    <w:rsid w:val="00AA3B8A"/>
    <w:rsid w:val="00AA3DC3"/>
    <w:rsid w:val="00AA7301"/>
    <w:rsid w:val="00AB34E7"/>
    <w:rsid w:val="00AB465C"/>
    <w:rsid w:val="00AB5679"/>
    <w:rsid w:val="00AC3124"/>
    <w:rsid w:val="00AC416B"/>
    <w:rsid w:val="00AC6F73"/>
    <w:rsid w:val="00AD074A"/>
    <w:rsid w:val="00AD0923"/>
    <w:rsid w:val="00AD1015"/>
    <w:rsid w:val="00AD526D"/>
    <w:rsid w:val="00AE1A7F"/>
    <w:rsid w:val="00AE1B74"/>
    <w:rsid w:val="00AE1EFC"/>
    <w:rsid w:val="00AE5B1C"/>
    <w:rsid w:val="00AF36C1"/>
    <w:rsid w:val="00AF3D12"/>
    <w:rsid w:val="00AF4B2D"/>
    <w:rsid w:val="00AF593D"/>
    <w:rsid w:val="00B01B30"/>
    <w:rsid w:val="00B02EA7"/>
    <w:rsid w:val="00B03D01"/>
    <w:rsid w:val="00B06AC4"/>
    <w:rsid w:val="00B073A7"/>
    <w:rsid w:val="00B11B85"/>
    <w:rsid w:val="00B12C50"/>
    <w:rsid w:val="00B1413E"/>
    <w:rsid w:val="00B14256"/>
    <w:rsid w:val="00B148C3"/>
    <w:rsid w:val="00B17BF8"/>
    <w:rsid w:val="00B20E39"/>
    <w:rsid w:val="00B20F5B"/>
    <w:rsid w:val="00B227C5"/>
    <w:rsid w:val="00B26178"/>
    <w:rsid w:val="00B26F01"/>
    <w:rsid w:val="00B34762"/>
    <w:rsid w:val="00B37656"/>
    <w:rsid w:val="00B37A05"/>
    <w:rsid w:val="00B462F9"/>
    <w:rsid w:val="00B5379A"/>
    <w:rsid w:val="00B558E4"/>
    <w:rsid w:val="00B55CAD"/>
    <w:rsid w:val="00B600BF"/>
    <w:rsid w:val="00B60F87"/>
    <w:rsid w:val="00B61D44"/>
    <w:rsid w:val="00B61D5D"/>
    <w:rsid w:val="00B64B5B"/>
    <w:rsid w:val="00B6612A"/>
    <w:rsid w:val="00B674B4"/>
    <w:rsid w:val="00B761EC"/>
    <w:rsid w:val="00B76296"/>
    <w:rsid w:val="00B76C56"/>
    <w:rsid w:val="00B83748"/>
    <w:rsid w:val="00B83D37"/>
    <w:rsid w:val="00B83E52"/>
    <w:rsid w:val="00B8565A"/>
    <w:rsid w:val="00B92FC5"/>
    <w:rsid w:val="00B9305C"/>
    <w:rsid w:val="00B95A9D"/>
    <w:rsid w:val="00BA1164"/>
    <w:rsid w:val="00BA2313"/>
    <w:rsid w:val="00BA2710"/>
    <w:rsid w:val="00BA3DC0"/>
    <w:rsid w:val="00BA7CE8"/>
    <w:rsid w:val="00BA7ED3"/>
    <w:rsid w:val="00BB0C3C"/>
    <w:rsid w:val="00BB56A2"/>
    <w:rsid w:val="00BC1ADE"/>
    <w:rsid w:val="00BC3905"/>
    <w:rsid w:val="00BC4240"/>
    <w:rsid w:val="00BC442D"/>
    <w:rsid w:val="00BC556B"/>
    <w:rsid w:val="00BC5EC4"/>
    <w:rsid w:val="00BC64B2"/>
    <w:rsid w:val="00BC7DD6"/>
    <w:rsid w:val="00BD0FDD"/>
    <w:rsid w:val="00BD1B18"/>
    <w:rsid w:val="00BD1E2C"/>
    <w:rsid w:val="00BD5C9B"/>
    <w:rsid w:val="00BE2510"/>
    <w:rsid w:val="00BE3A57"/>
    <w:rsid w:val="00BE7BBF"/>
    <w:rsid w:val="00BE7E9F"/>
    <w:rsid w:val="00BF4062"/>
    <w:rsid w:val="00BF5CDB"/>
    <w:rsid w:val="00BF6059"/>
    <w:rsid w:val="00BF729E"/>
    <w:rsid w:val="00C01427"/>
    <w:rsid w:val="00C01B92"/>
    <w:rsid w:val="00C073F7"/>
    <w:rsid w:val="00C07F93"/>
    <w:rsid w:val="00C113B4"/>
    <w:rsid w:val="00C11548"/>
    <w:rsid w:val="00C116E5"/>
    <w:rsid w:val="00C12393"/>
    <w:rsid w:val="00C14014"/>
    <w:rsid w:val="00C179AE"/>
    <w:rsid w:val="00C21BD1"/>
    <w:rsid w:val="00C2299D"/>
    <w:rsid w:val="00C233C2"/>
    <w:rsid w:val="00C23550"/>
    <w:rsid w:val="00C247E6"/>
    <w:rsid w:val="00C2679F"/>
    <w:rsid w:val="00C310A2"/>
    <w:rsid w:val="00C36D43"/>
    <w:rsid w:val="00C44A8C"/>
    <w:rsid w:val="00C44F29"/>
    <w:rsid w:val="00C46D7F"/>
    <w:rsid w:val="00C52B2F"/>
    <w:rsid w:val="00C5620D"/>
    <w:rsid w:val="00C63711"/>
    <w:rsid w:val="00C7465D"/>
    <w:rsid w:val="00C831C3"/>
    <w:rsid w:val="00C84D20"/>
    <w:rsid w:val="00C8576E"/>
    <w:rsid w:val="00C860F7"/>
    <w:rsid w:val="00C86172"/>
    <w:rsid w:val="00C91301"/>
    <w:rsid w:val="00C9386D"/>
    <w:rsid w:val="00CA2C49"/>
    <w:rsid w:val="00CA319D"/>
    <w:rsid w:val="00CA42AE"/>
    <w:rsid w:val="00CA62EA"/>
    <w:rsid w:val="00CB20C6"/>
    <w:rsid w:val="00CB288D"/>
    <w:rsid w:val="00CB3480"/>
    <w:rsid w:val="00CB67CB"/>
    <w:rsid w:val="00CB6812"/>
    <w:rsid w:val="00CB7161"/>
    <w:rsid w:val="00CC11B6"/>
    <w:rsid w:val="00CC225F"/>
    <w:rsid w:val="00CD099B"/>
    <w:rsid w:val="00CD1329"/>
    <w:rsid w:val="00CD294A"/>
    <w:rsid w:val="00CD55F0"/>
    <w:rsid w:val="00CD69F0"/>
    <w:rsid w:val="00CD6AC0"/>
    <w:rsid w:val="00CE11EF"/>
    <w:rsid w:val="00CE1944"/>
    <w:rsid w:val="00CE5BF3"/>
    <w:rsid w:val="00CE7470"/>
    <w:rsid w:val="00CF09F4"/>
    <w:rsid w:val="00CF25E4"/>
    <w:rsid w:val="00CF3E3C"/>
    <w:rsid w:val="00CF489D"/>
    <w:rsid w:val="00CF74C7"/>
    <w:rsid w:val="00D020D7"/>
    <w:rsid w:val="00D049CD"/>
    <w:rsid w:val="00D05BFA"/>
    <w:rsid w:val="00D07DAF"/>
    <w:rsid w:val="00D15C8A"/>
    <w:rsid w:val="00D15E47"/>
    <w:rsid w:val="00D16CCB"/>
    <w:rsid w:val="00D21CF1"/>
    <w:rsid w:val="00D23CCE"/>
    <w:rsid w:val="00D2430D"/>
    <w:rsid w:val="00D254FE"/>
    <w:rsid w:val="00D262E1"/>
    <w:rsid w:val="00D26CB5"/>
    <w:rsid w:val="00D27343"/>
    <w:rsid w:val="00D34FB1"/>
    <w:rsid w:val="00D35621"/>
    <w:rsid w:val="00D35ACC"/>
    <w:rsid w:val="00D36242"/>
    <w:rsid w:val="00D37211"/>
    <w:rsid w:val="00D411DF"/>
    <w:rsid w:val="00D4195F"/>
    <w:rsid w:val="00D437B8"/>
    <w:rsid w:val="00D45222"/>
    <w:rsid w:val="00D46DE0"/>
    <w:rsid w:val="00D550FE"/>
    <w:rsid w:val="00D57821"/>
    <w:rsid w:val="00D62F43"/>
    <w:rsid w:val="00D64E69"/>
    <w:rsid w:val="00D66D3D"/>
    <w:rsid w:val="00D738AB"/>
    <w:rsid w:val="00D73959"/>
    <w:rsid w:val="00D80052"/>
    <w:rsid w:val="00D84A00"/>
    <w:rsid w:val="00D84FF7"/>
    <w:rsid w:val="00D863B2"/>
    <w:rsid w:val="00D86BB0"/>
    <w:rsid w:val="00D9274A"/>
    <w:rsid w:val="00D9347C"/>
    <w:rsid w:val="00D938BA"/>
    <w:rsid w:val="00D973ED"/>
    <w:rsid w:val="00DA03EA"/>
    <w:rsid w:val="00DA1077"/>
    <w:rsid w:val="00DA236B"/>
    <w:rsid w:val="00DA2D17"/>
    <w:rsid w:val="00DA6D0E"/>
    <w:rsid w:val="00DB1E32"/>
    <w:rsid w:val="00DB478C"/>
    <w:rsid w:val="00DB4A7C"/>
    <w:rsid w:val="00DB4CC9"/>
    <w:rsid w:val="00DB5B08"/>
    <w:rsid w:val="00DB5E4B"/>
    <w:rsid w:val="00DB6DBB"/>
    <w:rsid w:val="00DC02F6"/>
    <w:rsid w:val="00DC1F68"/>
    <w:rsid w:val="00DC6004"/>
    <w:rsid w:val="00DD0680"/>
    <w:rsid w:val="00DD1CB7"/>
    <w:rsid w:val="00DD3E6A"/>
    <w:rsid w:val="00DD65FF"/>
    <w:rsid w:val="00DD6C5F"/>
    <w:rsid w:val="00DE11AD"/>
    <w:rsid w:val="00DE1DF1"/>
    <w:rsid w:val="00DE40A2"/>
    <w:rsid w:val="00DE530A"/>
    <w:rsid w:val="00DE5BBB"/>
    <w:rsid w:val="00DF0768"/>
    <w:rsid w:val="00DF303C"/>
    <w:rsid w:val="00E00715"/>
    <w:rsid w:val="00E03B60"/>
    <w:rsid w:val="00E0537B"/>
    <w:rsid w:val="00E066D3"/>
    <w:rsid w:val="00E104C1"/>
    <w:rsid w:val="00E104E1"/>
    <w:rsid w:val="00E11088"/>
    <w:rsid w:val="00E1423A"/>
    <w:rsid w:val="00E15817"/>
    <w:rsid w:val="00E15F32"/>
    <w:rsid w:val="00E23D0D"/>
    <w:rsid w:val="00E355EA"/>
    <w:rsid w:val="00E37E06"/>
    <w:rsid w:val="00E37F94"/>
    <w:rsid w:val="00E4134F"/>
    <w:rsid w:val="00E457A5"/>
    <w:rsid w:val="00E46450"/>
    <w:rsid w:val="00E4797C"/>
    <w:rsid w:val="00E5589D"/>
    <w:rsid w:val="00E574AF"/>
    <w:rsid w:val="00E5750B"/>
    <w:rsid w:val="00E57F00"/>
    <w:rsid w:val="00E62942"/>
    <w:rsid w:val="00E62DCC"/>
    <w:rsid w:val="00E62FFE"/>
    <w:rsid w:val="00E64715"/>
    <w:rsid w:val="00E657C9"/>
    <w:rsid w:val="00E7011B"/>
    <w:rsid w:val="00E719B6"/>
    <w:rsid w:val="00E73781"/>
    <w:rsid w:val="00E73BCC"/>
    <w:rsid w:val="00E74BEE"/>
    <w:rsid w:val="00E77E95"/>
    <w:rsid w:val="00E80075"/>
    <w:rsid w:val="00E806DE"/>
    <w:rsid w:val="00E82CFE"/>
    <w:rsid w:val="00E90E32"/>
    <w:rsid w:val="00E9225D"/>
    <w:rsid w:val="00E930B8"/>
    <w:rsid w:val="00E944B3"/>
    <w:rsid w:val="00E95A77"/>
    <w:rsid w:val="00EA22D3"/>
    <w:rsid w:val="00EA26BC"/>
    <w:rsid w:val="00EA4603"/>
    <w:rsid w:val="00EB17D3"/>
    <w:rsid w:val="00EB2C6B"/>
    <w:rsid w:val="00EC495E"/>
    <w:rsid w:val="00ED0487"/>
    <w:rsid w:val="00ED1DAA"/>
    <w:rsid w:val="00ED2935"/>
    <w:rsid w:val="00ED6A0A"/>
    <w:rsid w:val="00ED7E32"/>
    <w:rsid w:val="00EE0E2F"/>
    <w:rsid w:val="00EE15AA"/>
    <w:rsid w:val="00EF0AA6"/>
    <w:rsid w:val="00EF390E"/>
    <w:rsid w:val="00EF4CD5"/>
    <w:rsid w:val="00F022D2"/>
    <w:rsid w:val="00F062A9"/>
    <w:rsid w:val="00F06447"/>
    <w:rsid w:val="00F10B3A"/>
    <w:rsid w:val="00F123D1"/>
    <w:rsid w:val="00F12930"/>
    <w:rsid w:val="00F13DBE"/>
    <w:rsid w:val="00F15A88"/>
    <w:rsid w:val="00F226C8"/>
    <w:rsid w:val="00F23968"/>
    <w:rsid w:val="00F247C0"/>
    <w:rsid w:val="00F24F79"/>
    <w:rsid w:val="00F26F0B"/>
    <w:rsid w:val="00F31A05"/>
    <w:rsid w:val="00F31CFE"/>
    <w:rsid w:val="00F3359D"/>
    <w:rsid w:val="00F338DD"/>
    <w:rsid w:val="00F34EFF"/>
    <w:rsid w:val="00F35D89"/>
    <w:rsid w:val="00F35F36"/>
    <w:rsid w:val="00F36663"/>
    <w:rsid w:val="00F36DA1"/>
    <w:rsid w:val="00F37E0F"/>
    <w:rsid w:val="00F44489"/>
    <w:rsid w:val="00F46B54"/>
    <w:rsid w:val="00F47E9B"/>
    <w:rsid w:val="00F53431"/>
    <w:rsid w:val="00F5601A"/>
    <w:rsid w:val="00F60FDD"/>
    <w:rsid w:val="00F61850"/>
    <w:rsid w:val="00F61C56"/>
    <w:rsid w:val="00F61F76"/>
    <w:rsid w:val="00F64651"/>
    <w:rsid w:val="00F65522"/>
    <w:rsid w:val="00F670A6"/>
    <w:rsid w:val="00F67ED4"/>
    <w:rsid w:val="00F70B8E"/>
    <w:rsid w:val="00F73A49"/>
    <w:rsid w:val="00F75FF8"/>
    <w:rsid w:val="00F772AD"/>
    <w:rsid w:val="00F77563"/>
    <w:rsid w:val="00F8034D"/>
    <w:rsid w:val="00F80CE6"/>
    <w:rsid w:val="00F82588"/>
    <w:rsid w:val="00F8333D"/>
    <w:rsid w:val="00F84694"/>
    <w:rsid w:val="00F869F9"/>
    <w:rsid w:val="00F94453"/>
    <w:rsid w:val="00F9520F"/>
    <w:rsid w:val="00F96356"/>
    <w:rsid w:val="00F966BC"/>
    <w:rsid w:val="00FA05D5"/>
    <w:rsid w:val="00FA0F89"/>
    <w:rsid w:val="00FA1B68"/>
    <w:rsid w:val="00FA2D45"/>
    <w:rsid w:val="00FA35CF"/>
    <w:rsid w:val="00FA6E32"/>
    <w:rsid w:val="00FB6181"/>
    <w:rsid w:val="00FC3F6E"/>
    <w:rsid w:val="00FC5B5C"/>
    <w:rsid w:val="00FC6361"/>
    <w:rsid w:val="00FD4FAD"/>
    <w:rsid w:val="00FD5C87"/>
    <w:rsid w:val="00FE12EC"/>
    <w:rsid w:val="00FE3744"/>
    <w:rsid w:val="00FE3932"/>
    <w:rsid w:val="00FF517A"/>
    <w:rsid w:val="00FF57AF"/>
    <w:rsid w:val="00FF794F"/>
    <w:rsid w:val="1A071B72"/>
    <w:rsid w:val="3DA26DC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uiPriority w:val="9"/>
    <w:pPr>
      <w:keepNext/>
      <w:spacing w:before="240" w:after="60"/>
      <w:outlineLvl w:val="0"/>
    </w:pPr>
    <w:rPr>
      <w:rFonts w:ascii="Cambria" w:hAnsi="Cambria"/>
      <w:b/>
      <w:bCs/>
      <w:kern w:val="32"/>
      <w:sz w:val="32"/>
      <w:szCs w:val="32"/>
    </w:rPr>
  </w:style>
  <w:style w:type="paragraph" w:styleId="3">
    <w:name w:val="heading 2"/>
    <w:basedOn w:val="1"/>
    <w:next w:val="1"/>
    <w:link w:val="32"/>
    <w:unhideWhenUsed/>
    <w:qFormat/>
    <w:uiPriority w:val="9"/>
    <w:pPr>
      <w:keepNext/>
      <w:spacing w:before="240" w:after="60"/>
      <w:outlineLvl w:val="1"/>
    </w:pPr>
    <w:rPr>
      <w:rFonts w:ascii="Cambria" w:hAnsi="Cambria"/>
      <w:b/>
      <w:bCs/>
      <w:i/>
      <w:iCs/>
      <w:sz w:val="28"/>
      <w:szCs w:val="28"/>
    </w:rPr>
  </w:style>
  <w:style w:type="paragraph" w:styleId="4">
    <w:name w:val="heading 3"/>
    <w:basedOn w:val="1"/>
    <w:next w:val="1"/>
    <w:link w:val="33"/>
    <w:unhideWhenUsed/>
    <w:qFormat/>
    <w:uiPriority w:val="9"/>
    <w:pPr>
      <w:keepNext/>
      <w:spacing w:before="240" w:after="60"/>
      <w:outlineLvl w:val="2"/>
    </w:pPr>
    <w:rPr>
      <w:rFonts w:ascii="Cambria" w:hAnsi="Cambria"/>
      <w:b/>
      <w:bCs/>
      <w:sz w:val="26"/>
      <w:szCs w:val="26"/>
    </w:rPr>
  </w:style>
  <w:style w:type="paragraph" w:styleId="5">
    <w:name w:val="heading 4"/>
    <w:basedOn w:val="1"/>
    <w:next w:val="1"/>
    <w:link w:val="34"/>
    <w:unhideWhenUsed/>
    <w:qFormat/>
    <w:uiPriority w:val="9"/>
    <w:pPr>
      <w:keepNext/>
      <w:spacing w:before="240" w:after="60"/>
      <w:outlineLvl w:val="3"/>
    </w:pPr>
    <w:rPr>
      <w:b/>
      <w:bCs/>
      <w:sz w:val="28"/>
      <w:szCs w:val="28"/>
    </w:rPr>
  </w:style>
  <w:style w:type="paragraph" w:styleId="6">
    <w:name w:val="heading 5"/>
    <w:basedOn w:val="1"/>
    <w:next w:val="1"/>
    <w:link w:val="35"/>
    <w:semiHidden/>
    <w:unhideWhenUsed/>
    <w:qFormat/>
    <w:uiPriority w:val="9"/>
    <w:pPr>
      <w:spacing w:before="240" w:after="60"/>
      <w:outlineLvl w:val="4"/>
    </w:pPr>
    <w:rPr>
      <w:b/>
      <w:bCs/>
      <w:i/>
      <w:iCs/>
      <w:sz w:val="26"/>
      <w:szCs w:val="26"/>
    </w:rPr>
  </w:style>
  <w:style w:type="paragraph" w:styleId="7">
    <w:name w:val="heading 6"/>
    <w:basedOn w:val="1"/>
    <w:next w:val="1"/>
    <w:link w:val="36"/>
    <w:semiHidden/>
    <w:unhideWhenUsed/>
    <w:qFormat/>
    <w:uiPriority w:val="9"/>
    <w:pPr>
      <w:spacing w:before="240" w:after="60"/>
      <w:outlineLvl w:val="5"/>
    </w:pPr>
    <w:rPr>
      <w:b/>
      <w:bCs/>
      <w:sz w:val="22"/>
      <w:szCs w:val="22"/>
    </w:rPr>
  </w:style>
  <w:style w:type="paragraph" w:styleId="8">
    <w:name w:val="heading 7"/>
    <w:basedOn w:val="1"/>
    <w:next w:val="1"/>
    <w:link w:val="37"/>
    <w:semiHidden/>
    <w:unhideWhenUsed/>
    <w:qFormat/>
    <w:uiPriority w:val="9"/>
    <w:pPr>
      <w:spacing w:before="240" w:after="60"/>
      <w:outlineLvl w:val="6"/>
    </w:pPr>
  </w:style>
  <w:style w:type="paragraph" w:styleId="9">
    <w:name w:val="heading 8"/>
    <w:basedOn w:val="1"/>
    <w:next w:val="1"/>
    <w:link w:val="38"/>
    <w:semiHidden/>
    <w:unhideWhenUsed/>
    <w:qFormat/>
    <w:uiPriority w:val="9"/>
    <w:pPr>
      <w:spacing w:before="240" w:after="60"/>
      <w:outlineLvl w:val="7"/>
    </w:pPr>
    <w:rPr>
      <w:i/>
      <w:iCs/>
    </w:rPr>
  </w:style>
  <w:style w:type="paragraph" w:styleId="10">
    <w:name w:val="heading 9"/>
    <w:basedOn w:val="1"/>
    <w:next w:val="1"/>
    <w:link w:val="39"/>
    <w:semiHidden/>
    <w:unhideWhenUsed/>
    <w:qFormat/>
    <w:uiPriority w:val="9"/>
    <w:pPr>
      <w:spacing w:before="240" w:after="60"/>
      <w:outlineLvl w:val="8"/>
    </w:pPr>
    <w:rPr>
      <w:rFonts w:ascii="Cambria" w:hAnsi="Cambria"/>
      <w:sz w:val="22"/>
      <w:szCs w:val="2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link w:val="82"/>
    <w:qFormat/>
    <w:uiPriority w:val="0"/>
    <w:pPr>
      <w:spacing w:line="480" w:lineRule="exact"/>
      <w:ind w:firstLine="420"/>
    </w:pPr>
    <w:rPr>
      <w:rFonts w:ascii="宋体"/>
      <w:sz w:val="24"/>
      <w:szCs w:val="20"/>
    </w:rPr>
  </w:style>
  <w:style w:type="paragraph" w:styleId="12">
    <w:name w:val="caption"/>
    <w:basedOn w:val="1"/>
    <w:next w:val="1"/>
    <w:semiHidden/>
    <w:unhideWhenUsed/>
    <w:qFormat/>
    <w:uiPriority w:val="35"/>
    <w:rPr>
      <w:caps/>
      <w:spacing w:val="10"/>
      <w:sz w:val="18"/>
      <w:szCs w:val="18"/>
    </w:rPr>
  </w:style>
  <w:style w:type="paragraph" w:styleId="13">
    <w:name w:val="Document Map"/>
    <w:basedOn w:val="1"/>
    <w:link w:val="57"/>
    <w:semiHidden/>
    <w:unhideWhenUsed/>
    <w:qFormat/>
    <w:uiPriority w:val="99"/>
    <w:rPr>
      <w:rFonts w:ascii="宋体"/>
      <w:sz w:val="18"/>
      <w:szCs w:val="18"/>
    </w:rPr>
  </w:style>
  <w:style w:type="paragraph" w:styleId="14">
    <w:name w:val="annotation text"/>
    <w:basedOn w:val="1"/>
    <w:link w:val="72"/>
    <w:unhideWhenUsed/>
    <w:qFormat/>
    <w:uiPriority w:val="99"/>
    <w:pPr>
      <w:jc w:val="left"/>
    </w:pPr>
  </w:style>
  <w:style w:type="paragraph" w:styleId="15">
    <w:name w:val="Date"/>
    <w:basedOn w:val="1"/>
    <w:next w:val="1"/>
    <w:link w:val="77"/>
    <w:semiHidden/>
    <w:unhideWhenUsed/>
    <w:qFormat/>
    <w:uiPriority w:val="99"/>
    <w:pPr>
      <w:ind w:left="100" w:leftChars="2500"/>
    </w:pPr>
  </w:style>
  <w:style w:type="paragraph" w:styleId="16">
    <w:name w:val="Balloon Text"/>
    <w:basedOn w:val="1"/>
    <w:link w:val="74"/>
    <w:semiHidden/>
    <w:unhideWhenUsed/>
    <w:qFormat/>
    <w:uiPriority w:val="99"/>
    <w:rPr>
      <w:sz w:val="18"/>
      <w:szCs w:val="18"/>
    </w:rPr>
  </w:style>
  <w:style w:type="paragraph" w:styleId="17">
    <w:name w:val="footer"/>
    <w:basedOn w:val="1"/>
    <w:link w:val="40"/>
    <w:qFormat/>
    <w:uiPriority w:val="99"/>
    <w:pPr>
      <w:tabs>
        <w:tab w:val="center" w:pos="4153"/>
        <w:tab w:val="right" w:pos="8306"/>
      </w:tabs>
      <w:snapToGrid w:val="0"/>
      <w:jc w:val="left"/>
    </w:pPr>
    <w:rPr>
      <w:sz w:val="18"/>
    </w:rPr>
  </w:style>
  <w:style w:type="paragraph" w:styleId="18">
    <w:name w:val="header"/>
    <w:basedOn w:val="1"/>
    <w:link w:val="4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toc 1"/>
    <w:basedOn w:val="1"/>
    <w:next w:val="1"/>
    <w:autoRedefine/>
    <w:unhideWhenUsed/>
    <w:qFormat/>
    <w:uiPriority w:val="39"/>
    <w:pPr>
      <w:tabs>
        <w:tab w:val="right" w:leader="dot" w:pos="9016"/>
      </w:tabs>
      <w:spacing w:line="360" w:lineRule="exact"/>
    </w:pPr>
    <w:rPr>
      <w:b/>
      <w:sz w:val="24"/>
    </w:rPr>
  </w:style>
  <w:style w:type="paragraph" w:styleId="20">
    <w:name w:val="Subtitle"/>
    <w:basedOn w:val="1"/>
    <w:next w:val="1"/>
    <w:link w:val="43"/>
    <w:qFormat/>
    <w:uiPriority w:val="11"/>
    <w:pPr>
      <w:spacing w:after="60"/>
      <w:jc w:val="center"/>
      <w:outlineLvl w:val="1"/>
    </w:pPr>
    <w:rPr>
      <w:rFonts w:ascii="Cambria" w:hAnsi="Cambria"/>
    </w:rPr>
  </w:style>
  <w:style w:type="paragraph" w:styleId="21">
    <w:name w:val="toc 2"/>
    <w:basedOn w:val="1"/>
    <w:next w:val="1"/>
    <w:autoRedefine/>
    <w:unhideWhenUsed/>
    <w:qFormat/>
    <w:uiPriority w:val="39"/>
    <w:pPr>
      <w:ind w:left="420" w:leftChars="200"/>
    </w:pPr>
  </w:style>
  <w:style w:type="paragraph" w:styleId="22">
    <w:name w:val="Title"/>
    <w:basedOn w:val="1"/>
    <w:next w:val="1"/>
    <w:link w:val="42"/>
    <w:qFormat/>
    <w:uiPriority w:val="10"/>
    <w:pPr>
      <w:spacing w:before="240" w:after="60"/>
      <w:jc w:val="center"/>
      <w:outlineLvl w:val="0"/>
    </w:pPr>
    <w:rPr>
      <w:rFonts w:ascii="Cambria" w:hAnsi="Cambria"/>
      <w:b/>
      <w:bCs/>
      <w:kern w:val="28"/>
      <w:sz w:val="32"/>
      <w:szCs w:val="32"/>
    </w:rPr>
  </w:style>
  <w:style w:type="paragraph" w:styleId="23">
    <w:name w:val="annotation subject"/>
    <w:basedOn w:val="14"/>
    <w:next w:val="14"/>
    <w:link w:val="73"/>
    <w:semiHidden/>
    <w:unhideWhenUsed/>
    <w:qFormat/>
    <w:uiPriority w:val="99"/>
    <w:rPr>
      <w:b/>
      <w:bCs/>
    </w:rPr>
  </w:style>
  <w:style w:type="table" w:styleId="25">
    <w:name w:val="Table Grid"/>
    <w:basedOn w:val="24"/>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7">
    <w:name w:val="Strong"/>
    <w:basedOn w:val="26"/>
    <w:qFormat/>
    <w:uiPriority w:val="22"/>
    <w:rPr>
      <w:b/>
      <w:bCs/>
    </w:rPr>
  </w:style>
  <w:style w:type="character" w:styleId="28">
    <w:name w:val="Emphasis"/>
    <w:basedOn w:val="26"/>
    <w:qFormat/>
    <w:uiPriority w:val="20"/>
    <w:rPr>
      <w:rFonts w:ascii="Calibri" w:hAnsi="Calibri"/>
      <w:b/>
      <w:i/>
      <w:iCs/>
    </w:rPr>
  </w:style>
  <w:style w:type="character" w:styleId="29">
    <w:name w:val="Hyperlink"/>
    <w:basedOn w:val="26"/>
    <w:unhideWhenUsed/>
    <w:qFormat/>
    <w:uiPriority w:val="99"/>
    <w:rPr>
      <w:color w:val="0000FF"/>
      <w:u w:val="single"/>
    </w:rPr>
  </w:style>
  <w:style w:type="character" w:styleId="30">
    <w:name w:val="annotation reference"/>
    <w:basedOn w:val="26"/>
    <w:unhideWhenUsed/>
    <w:qFormat/>
    <w:uiPriority w:val="0"/>
    <w:rPr>
      <w:sz w:val="21"/>
      <w:szCs w:val="21"/>
    </w:rPr>
  </w:style>
  <w:style w:type="character" w:customStyle="1" w:styleId="31">
    <w:name w:val="标题 1 Char"/>
    <w:basedOn w:val="26"/>
    <w:link w:val="2"/>
    <w:uiPriority w:val="9"/>
    <w:rPr>
      <w:rFonts w:ascii="Cambria" w:hAnsi="Cambria" w:eastAsia="宋体"/>
      <w:b/>
      <w:bCs/>
      <w:kern w:val="32"/>
      <w:sz w:val="32"/>
      <w:szCs w:val="32"/>
    </w:rPr>
  </w:style>
  <w:style w:type="character" w:customStyle="1" w:styleId="32">
    <w:name w:val="标题 2 Char"/>
    <w:basedOn w:val="26"/>
    <w:link w:val="3"/>
    <w:qFormat/>
    <w:uiPriority w:val="9"/>
    <w:rPr>
      <w:rFonts w:ascii="Cambria" w:hAnsi="Cambria" w:eastAsia="宋体"/>
      <w:b/>
      <w:bCs/>
      <w:i/>
      <w:iCs/>
      <w:sz w:val="28"/>
      <w:szCs w:val="28"/>
    </w:rPr>
  </w:style>
  <w:style w:type="character" w:customStyle="1" w:styleId="33">
    <w:name w:val="标题 3 Char"/>
    <w:basedOn w:val="26"/>
    <w:link w:val="4"/>
    <w:uiPriority w:val="9"/>
    <w:rPr>
      <w:rFonts w:ascii="Cambria" w:hAnsi="Cambria" w:eastAsia="宋体"/>
      <w:b/>
      <w:bCs/>
      <w:sz w:val="26"/>
      <w:szCs w:val="26"/>
    </w:rPr>
  </w:style>
  <w:style w:type="character" w:customStyle="1" w:styleId="34">
    <w:name w:val="标题 4 Char"/>
    <w:basedOn w:val="26"/>
    <w:link w:val="5"/>
    <w:qFormat/>
    <w:uiPriority w:val="9"/>
    <w:rPr>
      <w:b/>
      <w:bCs/>
      <w:sz w:val="28"/>
      <w:szCs w:val="28"/>
    </w:rPr>
  </w:style>
  <w:style w:type="character" w:customStyle="1" w:styleId="35">
    <w:name w:val="标题 5 Char"/>
    <w:basedOn w:val="26"/>
    <w:link w:val="6"/>
    <w:semiHidden/>
    <w:uiPriority w:val="9"/>
    <w:rPr>
      <w:b/>
      <w:bCs/>
      <w:i/>
      <w:iCs/>
      <w:sz w:val="26"/>
      <w:szCs w:val="26"/>
    </w:rPr>
  </w:style>
  <w:style w:type="character" w:customStyle="1" w:styleId="36">
    <w:name w:val="标题 6 Char"/>
    <w:basedOn w:val="26"/>
    <w:link w:val="7"/>
    <w:semiHidden/>
    <w:qFormat/>
    <w:uiPriority w:val="9"/>
    <w:rPr>
      <w:b/>
      <w:bCs/>
    </w:rPr>
  </w:style>
  <w:style w:type="character" w:customStyle="1" w:styleId="37">
    <w:name w:val="标题 7 Char"/>
    <w:basedOn w:val="26"/>
    <w:link w:val="8"/>
    <w:semiHidden/>
    <w:qFormat/>
    <w:uiPriority w:val="9"/>
    <w:rPr>
      <w:sz w:val="24"/>
      <w:szCs w:val="24"/>
    </w:rPr>
  </w:style>
  <w:style w:type="character" w:customStyle="1" w:styleId="38">
    <w:name w:val="标题 8 Char"/>
    <w:basedOn w:val="26"/>
    <w:link w:val="9"/>
    <w:semiHidden/>
    <w:qFormat/>
    <w:uiPriority w:val="9"/>
    <w:rPr>
      <w:i/>
      <w:iCs/>
      <w:sz w:val="24"/>
      <w:szCs w:val="24"/>
    </w:rPr>
  </w:style>
  <w:style w:type="character" w:customStyle="1" w:styleId="39">
    <w:name w:val="标题 9 Char"/>
    <w:basedOn w:val="26"/>
    <w:link w:val="10"/>
    <w:semiHidden/>
    <w:qFormat/>
    <w:uiPriority w:val="9"/>
    <w:rPr>
      <w:rFonts w:ascii="Cambria" w:hAnsi="Cambria" w:eastAsia="宋体"/>
    </w:rPr>
  </w:style>
  <w:style w:type="character" w:customStyle="1" w:styleId="40">
    <w:name w:val="页脚 Char"/>
    <w:basedOn w:val="26"/>
    <w:link w:val="17"/>
    <w:qFormat/>
    <w:uiPriority w:val="99"/>
    <w:rPr>
      <w:rFonts w:ascii="Times New Roman" w:hAnsi="Times New Roman"/>
      <w:kern w:val="2"/>
      <w:sz w:val="18"/>
      <w:szCs w:val="24"/>
    </w:rPr>
  </w:style>
  <w:style w:type="character" w:customStyle="1" w:styleId="41">
    <w:name w:val="页眉 Char"/>
    <w:basedOn w:val="26"/>
    <w:link w:val="18"/>
    <w:qFormat/>
    <w:uiPriority w:val="99"/>
    <w:rPr>
      <w:rFonts w:ascii="Times New Roman" w:hAnsi="Times New Roman"/>
      <w:kern w:val="2"/>
      <w:sz w:val="18"/>
      <w:szCs w:val="24"/>
    </w:rPr>
  </w:style>
  <w:style w:type="character" w:customStyle="1" w:styleId="42">
    <w:name w:val="标题 Char"/>
    <w:basedOn w:val="26"/>
    <w:link w:val="22"/>
    <w:qFormat/>
    <w:uiPriority w:val="10"/>
    <w:rPr>
      <w:rFonts w:ascii="Cambria" w:hAnsi="Cambria" w:eastAsia="宋体"/>
      <w:b/>
      <w:bCs/>
      <w:kern w:val="28"/>
      <w:sz w:val="32"/>
      <w:szCs w:val="32"/>
    </w:rPr>
  </w:style>
  <w:style w:type="character" w:customStyle="1" w:styleId="43">
    <w:name w:val="副标题 Char"/>
    <w:basedOn w:val="26"/>
    <w:link w:val="20"/>
    <w:qFormat/>
    <w:uiPriority w:val="11"/>
    <w:rPr>
      <w:rFonts w:ascii="Cambria" w:hAnsi="Cambria" w:eastAsia="宋体"/>
      <w:sz w:val="24"/>
      <w:szCs w:val="24"/>
    </w:rPr>
  </w:style>
  <w:style w:type="paragraph" w:styleId="44">
    <w:name w:val="No Spacing"/>
    <w:basedOn w:val="1"/>
    <w:link w:val="45"/>
    <w:qFormat/>
    <w:uiPriority w:val="1"/>
    <w:rPr>
      <w:szCs w:val="32"/>
    </w:rPr>
  </w:style>
  <w:style w:type="character" w:customStyle="1" w:styleId="45">
    <w:name w:val="无间隔 Char"/>
    <w:basedOn w:val="26"/>
    <w:link w:val="44"/>
    <w:qFormat/>
    <w:uiPriority w:val="1"/>
    <w:rPr>
      <w:sz w:val="24"/>
      <w:szCs w:val="32"/>
    </w:rPr>
  </w:style>
  <w:style w:type="paragraph" w:styleId="46">
    <w:name w:val="List Paragraph"/>
    <w:basedOn w:val="1"/>
    <w:qFormat/>
    <w:uiPriority w:val="34"/>
    <w:pPr>
      <w:ind w:left="720"/>
      <w:contextualSpacing/>
    </w:pPr>
  </w:style>
  <w:style w:type="paragraph" w:styleId="47">
    <w:name w:val="Quote"/>
    <w:basedOn w:val="1"/>
    <w:next w:val="1"/>
    <w:link w:val="48"/>
    <w:qFormat/>
    <w:uiPriority w:val="29"/>
    <w:rPr>
      <w:i/>
    </w:rPr>
  </w:style>
  <w:style w:type="character" w:customStyle="1" w:styleId="48">
    <w:name w:val="引用 Char"/>
    <w:basedOn w:val="26"/>
    <w:link w:val="47"/>
    <w:qFormat/>
    <w:uiPriority w:val="29"/>
    <w:rPr>
      <w:i/>
      <w:sz w:val="24"/>
      <w:szCs w:val="24"/>
    </w:rPr>
  </w:style>
  <w:style w:type="paragraph" w:styleId="49">
    <w:name w:val="Intense Quote"/>
    <w:basedOn w:val="1"/>
    <w:next w:val="1"/>
    <w:link w:val="50"/>
    <w:qFormat/>
    <w:uiPriority w:val="30"/>
    <w:pPr>
      <w:ind w:left="720" w:right="720"/>
    </w:pPr>
    <w:rPr>
      <w:b/>
      <w:i/>
      <w:szCs w:val="22"/>
    </w:rPr>
  </w:style>
  <w:style w:type="character" w:customStyle="1" w:styleId="50">
    <w:name w:val="明显引用 Char"/>
    <w:basedOn w:val="26"/>
    <w:link w:val="49"/>
    <w:qFormat/>
    <w:uiPriority w:val="30"/>
    <w:rPr>
      <w:b/>
      <w:i/>
      <w:sz w:val="24"/>
    </w:rPr>
  </w:style>
  <w:style w:type="character" w:customStyle="1" w:styleId="51">
    <w:name w:val="Subtle Emphasis"/>
    <w:qFormat/>
    <w:uiPriority w:val="19"/>
    <w:rPr>
      <w:i/>
      <w:color w:val="5A5A5A"/>
    </w:rPr>
  </w:style>
  <w:style w:type="character" w:customStyle="1" w:styleId="52">
    <w:name w:val="Intense Emphasis"/>
    <w:basedOn w:val="26"/>
    <w:qFormat/>
    <w:uiPriority w:val="21"/>
    <w:rPr>
      <w:b/>
      <w:i/>
      <w:sz w:val="24"/>
      <w:szCs w:val="24"/>
      <w:u w:val="single"/>
    </w:rPr>
  </w:style>
  <w:style w:type="character" w:customStyle="1" w:styleId="53">
    <w:name w:val="Subtle Reference"/>
    <w:basedOn w:val="26"/>
    <w:qFormat/>
    <w:uiPriority w:val="31"/>
    <w:rPr>
      <w:sz w:val="24"/>
      <w:szCs w:val="24"/>
      <w:u w:val="single"/>
    </w:rPr>
  </w:style>
  <w:style w:type="character" w:customStyle="1" w:styleId="54">
    <w:name w:val="Intense Reference"/>
    <w:basedOn w:val="26"/>
    <w:qFormat/>
    <w:uiPriority w:val="32"/>
    <w:rPr>
      <w:b/>
      <w:sz w:val="24"/>
      <w:u w:val="single"/>
    </w:rPr>
  </w:style>
  <w:style w:type="character" w:customStyle="1" w:styleId="55">
    <w:name w:val="Book Title"/>
    <w:basedOn w:val="26"/>
    <w:qFormat/>
    <w:uiPriority w:val="33"/>
    <w:rPr>
      <w:rFonts w:ascii="Cambria" w:hAnsi="Cambria" w:eastAsia="宋体"/>
      <w:b/>
      <w:i/>
      <w:sz w:val="24"/>
      <w:szCs w:val="24"/>
    </w:rPr>
  </w:style>
  <w:style w:type="paragraph" w:customStyle="1" w:styleId="56">
    <w:name w:val="TOC Heading"/>
    <w:basedOn w:val="2"/>
    <w:next w:val="1"/>
    <w:semiHidden/>
    <w:unhideWhenUsed/>
    <w:qFormat/>
    <w:uiPriority w:val="39"/>
    <w:pPr>
      <w:outlineLvl w:val="9"/>
    </w:pPr>
  </w:style>
  <w:style w:type="character" w:customStyle="1" w:styleId="57">
    <w:name w:val="文档结构图 Char"/>
    <w:basedOn w:val="26"/>
    <w:link w:val="13"/>
    <w:semiHidden/>
    <w:qFormat/>
    <w:uiPriority w:val="99"/>
    <w:rPr>
      <w:rFonts w:ascii="宋体" w:eastAsia="宋体"/>
      <w:sz w:val="18"/>
      <w:szCs w:val="18"/>
    </w:rPr>
  </w:style>
  <w:style w:type="paragraph" w:customStyle="1" w:styleId="58">
    <w:name w:val="Default"/>
    <w:qFormat/>
    <w:uiPriority w:val="0"/>
    <w:pPr>
      <w:widowControl w:val="0"/>
      <w:autoSpaceDE w:val="0"/>
      <w:autoSpaceDN w:val="0"/>
      <w:adjustRightInd w:val="0"/>
    </w:pPr>
    <w:rPr>
      <w:rFonts w:ascii="宋体" w:hAnsi="Calibri" w:eastAsia="宋体" w:cs="宋体"/>
      <w:color w:val="000000"/>
      <w:sz w:val="24"/>
      <w:szCs w:val="24"/>
      <w:lang w:val="en-US" w:eastAsia="en-US" w:bidi="ar-SA"/>
    </w:rPr>
  </w:style>
  <w:style w:type="paragraph" w:customStyle="1" w:styleId="59">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60">
    <w:name w:val="一级标题"/>
    <w:basedOn w:val="2"/>
    <w:next w:val="3"/>
    <w:qFormat/>
    <w:uiPriority w:val="0"/>
    <w:pPr>
      <w:spacing w:beforeLines="50" w:afterLines="50" w:line="360" w:lineRule="auto"/>
      <w:jc w:val="center"/>
    </w:pPr>
    <w:rPr>
      <w:sz w:val="44"/>
      <w:szCs w:val="44"/>
    </w:rPr>
  </w:style>
  <w:style w:type="paragraph" w:customStyle="1" w:styleId="61">
    <w:name w:val="二级标题"/>
    <w:basedOn w:val="3"/>
    <w:qFormat/>
    <w:uiPriority w:val="0"/>
    <w:pPr>
      <w:autoSpaceDE w:val="0"/>
      <w:autoSpaceDN w:val="0"/>
      <w:adjustRightInd w:val="0"/>
      <w:spacing w:before="0" w:after="0" w:line="360" w:lineRule="auto"/>
      <w:jc w:val="left"/>
    </w:pPr>
    <w:rPr>
      <w:bCs w:val="0"/>
      <w:i w:val="0"/>
      <w:color w:val="000000"/>
      <w:kern w:val="0"/>
      <w:sz w:val="30"/>
      <w:szCs w:val="30"/>
    </w:rPr>
  </w:style>
  <w:style w:type="paragraph" w:customStyle="1" w:styleId="62">
    <w:name w:val="三级标题"/>
    <w:basedOn w:val="4"/>
    <w:qFormat/>
    <w:uiPriority w:val="0"/>
    <w:pPr>
      <w:autoSpaceDE w:val="0"/>
      <w:autoSpaceDN w:val="0"/>
      <w:adjustRightInd w:val="0"/>
      <w:spacing w:before="0" w:after="0" w:line="360" w:lineRule="auto"/>
      <w:jc w:val="left"/>
    </w:pPr>
    <w:rPr>
      <w:bCs w:val="0"/>
      <w:color w:val="000000"/>
      <w:kern w:val="0"/>
      <w:sz w:val="28"/>
      <w:szCs w:val="28"/>
    </w:rPr>
  </w:style>
  <w:style w:type="paragraph" w:customStyle="1" w:styleId="63">
    <w:name w:val="正文1"/>
    <w:basedOn w:val="1"/>
    <w:qFormat/>
    <w:uiPriority w:val="0"/>
    <w:pPr>
      <w:autoSpaceDE w:val="0"/>
      <w:autoSpaceDN w:val="0"/>
      <w:adjustRightInd w:val="0"/>
      <w:spacing w:line="360" w:lineRule="auto"/>
      <w:ind w:firstLine="200" w:firstLineChars="200"/>
      <w:jc w:val="left"/>
    </w:pPr>
    <w:rPr>
      <w:rFonts w:cs="宋体"/>
      <w:color w:val="000000"/>
      <w:kern w:val="0"/>
      <w:sz w:val="24"/>
      <w:szCs w:val="23"/>
    </w:rPr>
  </w:style>
  <w:style w:type="paragraph" w:customStyle="1" w:styleId="64">
    <w:name w:val="表头"/>
    <w:basedOn w:val="1"/>
    <w:next w:val="1"/>
    <w:qFormat/>
    <w:uiPriority w:val="0"/>
    <w:pPr>
      <w:jc w:val="center"/>
    </w:pPr>
    <w:rPr>
      <w:b/>
    </w:rPr>
  </w:style>
  <w:style w:type="paragraph" w:customStyle="1" w:styleId="65">
    <w:name w:val="表头1"/>
    <w:basedOn w:val="64"/>
    <w:qFormat/>
    <w:uiPriority w:val="0"/>
  </w:style>
  <w:style w:type="paragraph" w:customStyle="1" w:styleId="66">
    <w:name w:val="样式5"/>
    <w:basedOn w:val="1"/>
    <w:link w:val="67"/>
    <w:qFormat/>
    <w:uiPriority w:val="0"/>
    <w:pPr>
      <w:autoSpaceDE w:val="0"/>
      <w:autoSpaceDN w:val="0"/>
      <w:adjustRightInd w:val="0"/>
      <w:spacing w:line="360" w:lineRule="auto"/>
      <w:ind w:firstLine="200" w:firstLineChars="200"/>
      <w:jc w:val="left"/>
    </w:pPr>
    <w:rPr>
      <w:bCs/>
      <w:color w:val="000000"/>
      <w:kern w:val="0"/>
      <w:sz w:val="24"/>
      <w:szCs w:val="23"/>
    </w:rPr>
  </w:style>
  <w:style w:type="character" w:customStyle="1" w:styleId="67">
    <w:name w:val="样式5 Char"/>
    <w:basedOn w:val="26"/>
    <w:link w:val="66"/>
    <w:qFormat/>
    <w:uiPriority w:val="0"/>
    <w:rPr>
      <w:rFonts w:ascii="Times New Roman" w:hAnsi="Times New Roman"/>
      <w:bCs/>
      <w:color w:val="000000"/>
      <w:sz w:val="24"/>
      <w:szCs w:val="23"/>
    </w:rPr>
  </w:style>
  <w:style w:type="paragraph" w:customStyle="1" w:styleId="68">
    <w:name w:val="样式 样式5 + 首行缩进:  2 字符"/>
    <w:basedOn w:val="66"/>
    <w:link w:val="69"/>
    <w:qFormat/>
    <w:uiPriority w:val="0"/>
    <w:pPr>
      <w:ind w:firstLine="480"/>
    </w:pPr>
    <w:rPr>
      <w:rFonts w:cs="宋体"/>
      <w:b/>
      <w:bCs w:val="0"/>
      <w:szCs w:val="20"/>
    </w:rPr>
  </w:style>
  <w:style w:type="character" w:customStyle="1" w:styleId="69">
    <w:name w:val="样式 样式5 + 首行缩进:  2 字符 Char"/>
    <w:basedOn w:val="67"/>
    <w:link w:val="68"/>
    <w:qFormat/>
    <w:uiPriority w:val="0"/>
    <w:rPr>
      <w:rFonts w:ascii="Times New Roman" w:hAnsi="Times New Roman" w:cs="宋体"/>
      <w:b/>
      <w:color w:val="000000"/>
      <w:sz w:val="24"/>
      <w:szCs w:val="23"/>
    </w:rPr>
  </w:style>
  <w:style w:type="paragraph" w:customStyle="1" w:styleId="70">
    <w:name w:val="四级标题"/>
    <w:basedOn w:val="68"/>
    <w:link w:val="71"/>
    <w:qFormat/>
    <w:uiPriority w:val="0"/>
    <w:pPr>
      <w:ind w:firstLine="200"/>
      <w:outlineLvl w:val="3"/>
    </w:pPr>
    <w:rPr>
      <w:rFonts w:ascii="宋体"/>
    </w:rPr>
  </w:style>
  <w:style w:type="character" w:customStyle="1" w:styleId="71">
    <w:name w:val="四级标题 Char"/>
    <w:basedOn w:val="69"/>
    <w:link w:val="70"/>
    <w:qFormat/>
    <w:uiPriority w:val="0"/>
    <w:rPr>
      <w:rFonts w:ascii="宋体" w:hAnsi="Times New Roman" w:cs="宋体"/>
      <w:color w:val="000000"/>
      <w:sz w:val="24"/>
      <w:szCs w:val="23"/>
    </w:rPr>
  </w:style>
  <w:style w:type="character" w:customStyle="1" w:styleId="72">
    <w:name w:val="批注文字 Char"/>
    <w:basedOn w:val="26"/>
    <w:link w:val="14"/>
    <w:qFormat/>
    <w:uiPriority w:val="99"/>
    <w:rPr>
      <w:rFonts w:ascii="Times New Roman" w:hAnsi="Times New Roman"/>
      <w:kern w:val="2"/>
      <w:sz w:val="21"/>
      <w:szCs w:val="24"/>
    </w:rPr>
  </w:style>
  <w:style w:type="character" w:customStyle="1" w:styleId="73">
    <w:name w:val="批注主题 Char"/>
    <w:basedOn w:val="72"/>
    <w:link w:val="23"/>
    <w:semiHidden/>
    <w:qFormat/>
    <w:uiPriority w:val="99"/>
    <w:rPr>
      <w:rFonts w:ascii="Times New Roman" w:hAnsi="Times New Roman"/>
      <w:b/>
      <w:bCs/>
      <w:kern w:val="2"/>
      <w:sz w:val="21"/>
      <w:szCs w:val="24"/>
    </w:rPr>
  </w:style>
  <w:style w:type="character" w:customStyle="1" w:styleId="74">
    <w:name w:val="批注框文本 Char"/>
    <w:basedOn w:val="26"/>
    <w:link w:val="16"/>
    <w:semiHidden/>
    <w:qFormat/>
    <w:uiPriority w:val="99"/>
    <w:rPr>
      <w:rFonts w:ascii="Times New Roman" w:hAnsi="Times New Roman"/>
      <w:kern w:val="2"/>
      <w:sz w:val="18"/>
      <w:szCs w:val="18"/>
    </w:rPr>
  </w:style>
  <w:style w:type="paragraph" w:customStyle="1" w:styleId="7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character" w:customStyle="1" w:styleId="76">
    <w:name w:val="arr"/>
    <w:basedOn w:val="26"/>
    <w:qFormat/>
    <w:uiPriority w:val="0"/>
    <w:rPr>
      <w:szCs w:val="20"/>
    </w:rPr>
  </w:style>
  <w:style w:type="character" w:customStyle="1" w:styleId="77">
    <w:name w:val="日期 Char"/>
    <w:basedOn w:val="26"/>
    <w:link w:val="15"/>
    <w:semiHidden/>
    <w:qFormat/>
    <w:uiPriority w:val="99"/>
    <w:rPr>
      <w:rFonts w:ascii="Times New Roman" w:hAnsi="Times New Roman"/>
      <w:kern w:val="2"/>
      <w:sz w:val="21"/>
      <w:szCs w:val="24"/>
    </w:rPr>
  </w:style>
  <w:style w:type="character" w:styleId="78">
    <w:name w:val="Placeholder Text"/>
    <w:basedOn w:val="26"/>
    <w:semiHidden/>
    <w:qFormat/>
    <w:uiPriority w:val="99"/>
    <w:rPr>
      <w:color w:val="808080"/>
    </w:rPr>
  </w:style>
  <w:style w:type="character" w:customStyle="1" w:styleId="79">
    <w:name w:val="标题 3 Char1"/>
    <w:qFormat/>
    <w:uiPriority w:val="0"/>
    <w:rPr>
      <w:rFonts w:ascii="Times New Roman" w:hAnsi="Times New Roman" w:eastAsia="宋体" w:cs="Times New Roman"/>
      <w:b/>
      <w:bCs/>
      <w:sz w:val="32"/>
      <w:szCs w:val="32"/>
    </w:rPr>
  </w:style>
  <w:style w:type="paragraph" w:customStyle="1" w:styleId="80">
    <w:name w:val="wj样式"/>
    <w:basedOn w:val="1"/>
    <w:next w:val="1"/>
    <w:link w:val="81"/>
    <w:qFormat/>
    <w:uiPriority w:val="0"/>
    <w:pPr>
      <w:spacing w:line="360" w:lineRule="auto"/>
      <w:ind w:firstLine="200" w:firstLineChars="200"/>
    </w:pPr>
    <w:rPr>
      <w:spacing w:val="14"/>
      <w:sz w:val="24"/>
    </w:rPr>
  </w:style>
  <w:style w:type="character" w:customStyle="1" w:styleId="81">
    <w:name w:val="wj样式 Char"/>
    <w:link w:val="80"/>
    <w:qFormat/>
    <w:uiPriority w:val="0"/>
    <w:rPr>
      <w:rFonts w:ascii="Times New Roman" w:hAnsi="Times New Roman"/>
      <w:spacing w:val="14"/>
      <w:kern w:val="2"/>
      <w:sz w:val="24"/>
      <w:szCs w:val="24"/>
    </w:rPr>
  </w:style>
  <w:style w:type="character" w:customStyle="1" w:styleId="82">
    <w:name w:val="正文缩进 Char1"/>
    <w:link w:val="11"/>
    <w:qFormat/>
    <w:uiPriority w:val="0"/>
    <w:rPr>
      <w:rFonts w:ascii="宋体" w:hAnsi="Times New Roman"/>
      <w:kern w:val="2"/>
      <w:sz w:val="24"/>
    </w:rPr>
  </w:style>
  <w:style w:type="paragraph" w:customStyle="1" w:styleId="83">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6" Type="http://schemas.openxmlformats.org/officeDocument/2006/relationships/fontTable" Target="fontTable.xml"/><Relationship Id="rId65" Type="http://schemas.openxmlformats.org/officeDocument/2006/relationships/customXml" Target="../customXml/item2.xml"/><Relationship Id="rId64" Type="http://schemas.openxmlformats.org/officeDocument/2006/relationships/customXml" Target="../customXml/item1.xml"/><Relationship Id="rId63" Type="http://schemas.openxmlformats.org/officeDocument/2006/relationships/oleObject" Target="embeddings/oleObject11.bin"/><Relationship Id="rId62" Type="http://schemas.openxmlformats.org/officeDocument/2006/relationships/oleObject" Target="embeddings/oleObject10.bin"/><Relationship Id="rId61" Type="http://schemas.openxmlformats.org/officeDocument/2006/relationships/image" Target="media/image38.wmf"/><Relationship Id="rId60" Type="http://schemas.openxmlformats.org/officeDocument/2006/relationships/oleObject" Target="embeddings/oleObject9.bin"/><Relationship Id="rId6" Type="http://schemas.openxmlformats.org/officeDocument/2006/relationships/header" Target="header2.xml"/><Relationship Id="rId59" Type="http://schemas.openxmlformats.org/officeDocument/2006/relationships/image" Target="media/image37.png"/><Relationship Id="rId58" Type="http://schemas.openxmlformats.org/officeDocument/2006/relationships/image" Target="media/image36.png"/><Relationship Id="rId57" Type="http://schemas.openxmlformats.org/officeDocument/2006/relationships/image" Target="media/image35.png"/><Relationship Id="rId56" Type="http://schemas.openxmlformats.org/officeDocument/2006/relationships/image" Target="media/image34.png"/><Relationship Id="rId55" Type="http://schemas.openxmlformats.org/officeDocument/2006/relationships/image" Target="media/image33.png"/><Relationship Id="rId54" Type="http://schemas.openxmlformats.org/officeDocument/2006/relationships/image" Target="media/image32.png"/><Relationship Id="rId53" Type="http://schemas.openxmlformats.org/officeDocument/2006/relationships/image" Target="media/image31.png"/><Relationship Id="rId52" Type="http://schemas.openxmlformats.org/officeDocument/2006/relationships/image" Target="media/image30.png"/><Relationship Id="rId51" Type="http://schemas.openxmlformats.org/officeDocument/2006/relationships/image" Target="media/image29.png"/><Relationship Id="rId50" Type="http://schemas.openxmlformats.org/officeDocument/2006/relationships/image" Target="media/image28.png"/><Relationship Id="rId5" Type="http://schemas.openxmlformats.org/officeDocument/2006/relationships/footer" Target="footer2.xml"/><Relationship Id="rId49" Type="http://schemas.openxmlformats.org/officeDocument/2006/relationships/image" Target="media/image27.png"/><Relationship Id="rId48" Type="http://schemas.openxmlformats.org/officeDocument/2006/relationships/image" Target="media/image26.wmf"/><Relationship Id="rId47" Type="http://schemas.openxmlformats.org/officeDocument/2006/relationships/oleObject" Target="embeddings/oleObject8.bin"/><Relationship Id="rId46" Type="http://schemas.openxmlformats.org/officeDocument/2006/relationships/image" Target="media/image25.wmf"/><Relationship Id="rId45" Type="http://schemas.openxmlformats.org/officeDocument/2006/relationships/oleObject" Target="embeddings/oleObject7.bin"/><Relationship Id="rId44" Type="http://schemas.openxmlformats.org/officeDocument/2006/relationships/image" Target="media/image24.wmf"/><Relationship Id="rId43" Type="http://schemas.openxmlformats.org/officeDocument/2006/relationships/oleObject" Target="embeddings/oleObject6.bin"/><Relationship Id="rId42" Type="http://schemas.openxmlformats.org/officeDocument/2006/relationships/image" Target="media/image23.wmf"/><Relationship Id="rId41" Type="http://schemas.openxmlformats.org/officeDocument/2006/relationships/oleObject" Target="embeddings/oleObject5.bin"/><Relationship Id="rId40" Type="http://schemas.openxmlformats.org/officeDocument/2006/relationships/image" Target="media/image22.wmf"/><Relationship Id="rId4" Type="http://schemas.openxmlformats.org/officeDocument/2006/relationships/footer" Target="footer1.xml"/><Relationship Id="rId39" Type="http://schemas.openxmlformats.org/officeDocument/2006/relationships/oleObject" Target="embeddings/oleObject4.bin"/><Relationship Id="rId38" Type="http://schemas.openxmlformats.org/officeDocument/2006/relationships/image" Target="media/image21.png"/><Relationship Id="rId37" Type="http://schemas.openxmlformats.org/officeDocument/2006/relationships/chart" Target="charts/chart1.xml"/><Relationship Id="rId36" Type="http://schemas.openxmlformats.org/officeDocument/2006/relationships/image" Target="media/image20.jpeg"/><Relationship Id="rId35" Type="http://schemas.openxmlformats.org/officeDocument/2006/relationships/image" Target="media/image19.jpeg"/><Relationship Id="rId34" Type="http://schemas.openxmlformats.org/officeDocument/2006/relationships/image" Target="media/image18.jpeg"/><Relationship Id="rId33" Type="http://schemas.openxmlformats.org/officeDocument/2006/relationships/image" Target="media/image17.jpeg"/><Relationship Id="rId32" Type="http://schemas.openxmlformats.org/officeDocument/2006/relationships/image" Target="media/image16.jpeg"/><Relationship Id="rId31" Type="http://schemas.openxmlformats.org/officeDocument/2006/relationships/image" Target="media/image15.jpeg"/><Relationship Id="rId30" Type="http://schemas.openxmlformats.org/officeDocument/2006/relationships/image" Target="media/image14.jpeg"/><Relationship Id="rId3" Type="http://schemas.openxmlformats.org/officeDocument/2006/relationships/header" Target="header1.xml"/><Relationship Id="rId29" Type="http://schemas.openxmlformats.org/officeDocument/2006/relationships/image" Target="media/image13.png"/><Relationship Id="rId28" Type="http://schemas.openxmlformats.org/officeDocument/2006/relationships/image" Target="media/image12.jpeg"/><Relationship Id="rId27" Type="http://schemas.openxmlformats.org/officeDocument/2006/relationships/image" Target="media/image11.jpeg"/><Relationship Id="rId26" Type="http://schemas.openxmlformats.org/officeDocument/2006/relationships/image" Target="media/image10.jpeg"/><Relationship Id="rId25" Type="http://schemas.openxmlformats.org/officeDocument/2006/relationships/image" Target="media/image9.jpeg"/><Relationship Id="rId24" Type="http://schemas.openxmlformats.org/officeDocument/2006/relationships/image" Target="media/image8.jpeg"/><Relationship Id="rId23" Type="http://schemas.openxmlformats.org/officeDocument/2006/relationships/image" Target="media/image7.jpeg"/><Relationship Id="rId22" Type="http://schemas.openxmlformats.org/officeDocument/2006/relationships/image" Target="media/image6.jpeg"/><Relationship Id="rId21" Type="http://schemas.openxmlformats.org/officeDocument/2006/relationships/image" Target="media/image5.jpeg"/><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emf"/><Relationship Id="rId18" Type="http://schemas.openxmlformats.org/officeDocument/2006/relationships/oleObject" Target="embeddings/oleObject3.bin"/><Relationship Id="rId17" Type="http://schemas.openxmlformats.org/officeDocument/2006/relationships/image" Target="media/image2.emf"/><Relationship Id="rId16" Type="http://schemas.openxmlformats.org/officeDocument/2006/relationships/oleObject" Target="embeddings/oleObject2.bin"/><Relationship Id="rId15" Type="http://schemas.openxmlformats.org/officeDocument/2006/relationships/image" Target="media/image1.e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file:///E:\2014&#24180;&#27902;&#38451;&#26032;&#21306;&#25253;&#21578;\&#25277;&#27700;&#35797;&#39564;&#21450;&#21160;&#24577;(1)\&#25277;&#27700;&#35797;&#39564;&#21450;&#21160;&#24577;\&#27700;&#20301;&#26376;&#24179;&#22343;&#20540;\Microsoft%20Office%20Word%20&#20013;&#30340;&#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953140789980118"/>
          <c:y val="0.285876417614062"/>
          <c:w val="0.740469297756497"/>
          <c:h val="0.664483723613451"/>
        </c:manualLayout>
      </c:layout>
      <c:scatterChart>
        <c:scatterStyle val="smoothMarker"/>
        <c:varyColors val="0"/>
        <c:ser>
          <c:idx val="0"/>
          <c:order val="0"/>
          <c:tx>
            <c:strRef>
              <c:f>Sheet1!$B$1</c:f>
              <c:strCache>
                <c:ptCount val="1"/>
                <c:pt idx="0">
                  <c:v>泾干蒙家村</c:v>
                </c:pt>
              </c:strCache>
            </c:strRef>
          </c:tx>
          <c:spPr>
            <a:ln w="6350" cap="rnd" cmpd="sng" algn="ctr">
              <a:solidFill>
                <a:schemeClr val="accent1">
                  <a:shade val="95000"/>
                  <a:satMod val="105000"/>
                </a:schemeClr>
              </a:solidFill>
              <a:prstDash val="solid"/>
              <a:round/>
            </a:ln>
          </c:spPr>
          <c:marker>
            <c:symbol val="diamond"/>
            <c:size val="3"/>
            <c:spPr>
              <a:ln w="6350" cap="flat" cmpd="sng" algn="ctr">
                <a:solidFill>
                  <a:schemeClr val="accent1">
                    <a:shade val="95000"/>
                    <a:satMod val="105000"/>
                  </a:schemeClr>
                </a:solidFill>
                <a:prstDash val="solid"/>
                <a:round/>
              </a:ln>
            </c:spPr>
          </c:marker>
          <c:dLbls>
            <c:delete val="1"/>
          </c:dLbls>
          <c:xVal>
            <c:numRef>
              <c:f>Sheet1!$A$2:$A$32</c:f>
              <c:numCache>
                <c:formatCode>m/yy</c:formatCode>
                <c:ptCount val="31"/>
                <c:pt idx="0">
                  <c:v>40909</c:v>
                </c:pt>
                <c:pt idx="1">
                  <c:v>40940</c:v>
                </c:pt>
                <c:pt idx="2">
                  <c:v>40969</c:v>
                </c:pt>
                <c:pt idx="3">
                  <c:v>41000</c:v>
                </c:pt>
                <c:pt idx="4">
                  <c:v>41030</c:v>
                </c:pt>
                <c:pt idx="5">
                  <c:v>41061</c:v>
                </c:pt>
                <c:pt idx="6">
                  <c:v>41091</c:v>
                </c:pt>
                <c:pt idx="7">
                  <c:v>41122</c:v>
                </c:pt>
                <c:pt idx="8">
                  <c:v>41153</c:v>
                </c:pt>
                <c:pt idx="9">
                  <c:v>41183</c:v>
                </c:pt>
                <c:pt idx="10">
                  <c:v>41214</c:v>
                </c:pt>
                <c:pt idx="11">
                  <c:v>41244</c:v>
                </c:pt>
                <c:pt idx="12">
                  <c:v>41275</c:v>
                </c:pt>
                <c:pt idx="13">
                  <c:v>41306</c:v>
                </c:pt>
                <c:pt idx="14">
                  <c:v>41334</c:v>
                </c:pt>
                <c:pt idx="15">
                  <c:v>41365</c:v>
                </c:pt>
                <c:pt idx="16">
                  <c:v>41395</c:v>
                </c:pt>
                <c:pt idx="17">
                  <c:v>41426</c:v>
                </c:pt>
                <c:pt idx="18">
                  <c:v>41456</c:v>
                </c:pt>
                <c:pt idx="19">
                  <c:v>41487</c:v>
                </c:pt>
                <c:pt idx="20">
                  <c:v>41518</c:v>
                </c:pt>
                <c:pt idx="21">
                  <c:v>41548</c:v>
                </c:pt>
                <c:pt idx="22">
                  <c:v>41579</c:v>
                </c:pt>
                <c:pt idx="23">
                  <c:v>41609</c:v>
                </c:pt>
                <c:pt idx="24">
                  <c:v>41640</c:v>
                </c:pt>
                <c:pt idx="25">
                  <c:v>41671</c:v>
                </c:pt>
                <c:pt idx="26">
                  <c:v>41699</c:v>
                </c:pt>
                <c:pt idx="27">
                  <c:v>41730</c:v>
                </c:pt>
                <c:pt idx="28">
                  <c:v>41760</c:v>
                </c:pt>
                <c:pt idx="29">
                  <c:v>41791</c:v>
                </c:pt>
                <c:pt idx="30">
                  <c:v>41821</c:v>
                </c:pt>
              </c:numCache>
            </c:numRef>
          </c:xVal>
          <c:yVal>
            <c:numRef>
              <c:f>Sheet1!$B$2:$B$32</c:f>
              <c:numCache>
                <c:formatCode>General</c:formatCode>
                <c:ptCount val="31"/>
                <c:pt idx="0">
                  <c:v>10.63</c:v>
                </c:pt>
                <c:pt idx="1">
                  <c:v>10.2</c:v>
                </c:pt>
                <c:pt idx="2">
                  <c:v>9.8</c:v>
                </c:pt>
                <c:pt idx="3">
                  <c:v>10.57</c:v>
                </c:pt>
                <c:pt idx="4">
                  <c:v>11.09</c:v>
                </c:pt>
                <c:pt idx="5">
                  <c:v>11.67</c:v>
                </c:pt>
                <c:pt idx="6">
                  <c:v>12</c:v>
                </c:pt>
                <c:pt idx="7">
                  <c:v>12.2</c:v>
                </c:pt>
                <c:pt idx="8">
                  <c:v>13.28</c:v>
                </c:pt>
                <c:pt idx="9">
                  <c:v>13.8</c:v>
                </c:pt>
                <c:pt idx="10">
                  <c:v>14.2</c:v>
                </c:pt>
                <c:pt idx="11">
                  <c:v>13.33</c:v>
                </c:pt>
                <c:pt idx="12">
                  <c:v>13.19</c:v>
                </c:pt>
                <c:pt idx="13">
                  <c:v>13.86</c:v>
                </c:pt>
                <c:pt idx="14">
                  <c:v>14.37</c:v>
                </c:pt>
                <c:pt idx="15">
                  <c:v>14.93</c:v>
                </c:pt>
                <c:pt idx="16">
                  <c:v>14</c:v>
                </c:pt>
                <c:pt idx="17">
                  <c:v>15.07</c:v>
                </c:pt>
                <c:pt idx="18">
                  <c:v>15.39</c:v>
                </c:pt>
                <c:pt idx="19">
                  <c:v>15.04</c:v>
                </c:pt>
                <c:pt idx="20">
                  <c:v>15.33</c:v>
                </c:pt>
                <c:pt idx="21">
                  <c:v>15.08</c:v>
                </c:pt>
                <c:pt idx="22">
                  <c:v>16.25</c:v>
                </c:pt>
                <c:pt idx="23">
                  <c:v>16.9899999999998</c:v>
                </c:pt>
                <c:pt idx="24">
                  <c:v>16.4899999999998</c:v>
                </c:pt>
                <c:pt idx="25">
                  <c:v>17.09</c:v>
                </c:pt>
                <c:pt idx="26">
                  <c:v>17.43</c:v>
                </c:pt>
                <c:pt idx="27">
                  <c:v>17.14</c:v>
                </c:pt>
                <c:pt idx="28">
                  <c:v>16.84</c:v>
                </c:pt>
                <c:pt idx="29">
                  <c:v>16.81</c:v>
                </c:pt>
                <c:pt idx="30">
                  <c:v>18.69</c:v>
                </c:pt>
              </c:numCache>
            </c:numRef>
          </c:yVal>
          <c:smooth val="1"/>
        </c:ser>
        <c:ser>
          <c:idx val="1"/>
          <c:order val="1"/>
          <c:tx>
            <c:strRef>
              <c:f>Sheet1!$C$1</c:f>
              <c:strCache>
                <c:ptCount val="1"/>
                <c:pt idx="0">
                  <c:v>崇文摆渡村</c:v>
                </c:pt>
              </c:strCache>
            </c:strRef>
          </c:tx>
          <c:spPr>
            <a:ln w="6350" cap="rnd" cmpd="sng" algn="ctr">
              <a:solidFill>
                <a:schemeClr val="accent2">
                  <a:shade val="95000"/>
                  <a:satMod val="105000"/>
                </a:schemeClr>
              </a:solidFill>
              <a:prstDash val="solid"/>
              <a:round/>
            </a:ln>
          </c:spPr>
          <c:marker>
            <c:symbol val="square"/>
            <c:size val="3"/>
            <c:spPr>
              <a:ln w="6350" cap="flat" cmpd="sng" algn="ctr">
                <a:solidFill>
                  <a:schemeClr val="accent2">
                    <a:shade val="95000"/>
                    <a:satMod val="105000"/>
                  </a:schemeClr>
                </a:solidFill>
                <a:prstDash val="solid"/>
                <a:round/>
              </a:ln>
            </c:spPr>
          </c:marker>
          <c:dLbls>
            <c:delete val="1"/>
          </c:dLbls>
          <c:xVal>
            <c:numRef>
              <c:f>Sheet1!$A$2:$A$32</c:f>
              <c:numCache>
                <c:formatCode>m/yy</c:formatCode>
                <c:ptCount val="31"/>
                <c:pt idx="0">
                  <c:v>40909</c:v>
                </c:pt>
                <c:pt idx="1">
                  <c:v>40940</c:v>
                </c:pt>
                <c:pt idx="2">
                  <c:v>40969</c:v>
                </c:pt>
                <c:pt idx="3">
                  <c:v>41000</c:v>
                </c:pt>
                <c:pt idx="4">
                  <c:v>41030</c:v>
                </c:pt>
                <c:pt idx="5">
                  <c:v>41061</c:v>
                </c:pt>
                <c:pt idx="6">
                  <c:v>41091</c:v>
                </c:pt>
                <c:pt idx="7">
                  <c:v>41122</c:v>
                </c:pt>
                <c:pt idx="8">
                  <c:v>41153</c:v>
                </c:pt>
                <c:pt idx="9">
                  <c:v>41183</c:v>
                </c:pt>
                <c:pt idx="10">
                  <c:v>41214</c:v>
                </c:pt>
                <c:pt idx="11">
                  <c:v>41244</c:v>
                </c:pt>
                <c:pt idx="12">
                  <c:v>41275</c:v>
                </c:pt>
                <c:pt idx="13">
                  <c:v>41306</c:v>
                </c:pt>
                <c:pt idx="14">
                  <c:v>41334</c:v>
                </c:pt>
                <c:pt idx="15">
                  <c:v>41365</c:v>
                </c:pt>
                <c:pt idx="16">
                  <c:v>41395</c:v>
                </c:pt>
                <c:pt idx="17">
                  <c:v>41426</c:v>
                </c:pt>
                <c:pt idx="18">
                  <c:v>41456</c:v>
                </c:pt>
                <c:pt idx="19">
                  <c:v>41487</c:v>
                </c:pt>
                <c:pt idx="20">
                  <c:v>41518</c:v>
                </c:pt>
                <c:pt idx="21">
                  <c:v>41548</c:v>
                </c:pt>
                <c:pt idx="22">
                  <c:v>41579</c:v>
                </c:pt>
                <c:pt idx="23">
                  <c:v>41609</c:v>
                </c:pt>
                <c:pt idx="24">
                  <c:v>41640</c:v>
                </c:pt>
                <c:pt idx="25">
                  <c:v>41671</c:v>
                </c:pt>
                <c:pt idx="26">
                  <c:v>41699</c:v>
                </c:pt>
                <c:pt idx="27">
                  <c:v>41730</c:v>
                </c:pt>
                <c:pt idx="28">
                  <c:v>41760</c:v>
                </c:pt>
                <c:pt idx="29">
                  <c:v>41791</c:v>
                </c:pt>
                <c:pt idx="30">
                  <c:v>41821</c:v>
                </c:pt>
              </c:numCache>
            </c:numRef>
          </c:xVal>
          <c:yVal>
            <c:numRef>
              <c:f>Sheet1!$C$2:$C$32</c:f>
              <c:numCache>
                <c:formatCode>General</c:formatCode>
                <c:ptCount val="31"/>
                <c:pt idx="0">
                  <c:v>6.41</c:v>
                </c:pt>
                <c:pt idx="1">
                  <c:v>6.29</c:v>
                </c:pt>
                <c:pt idx="2">
                  <c:v>6.17</c:v>
                </c:pt>
                <c:pt idx="3">
                  <c:v>6.22</c:v>
                </c:pt>
                <c:pt idx="4">
                  <c:v>6.46</c:v>
                </c:pt>
                <c:pt idx="5">
                  <c:v>7.31</c:v>
                </c:pt>
                <c:pt idx="6">
                  <c:v>8.42</c:v>
                </c:pt>
                <c:pt idx="7">
                  <c:v>9.29</c:v>
                </c:pt>
                <c:pt idx="8">
                  <c:v>8.76</c:v>
                </c:pt>
                <c:pt idx="9">
                  <c:v>8.72</c:v>
                </c:pt>
                <c:pt idx="10">
                  <c:v>9.02</c:v>
                </c:pt>
                <c:pt idx="11">
                  <c:v>8.57</c:v>
                </c:pt>
                <c:pt idx="12">
                  <c:v>8.95</c:v>
                </c:pt>
                <c:pt idx="13">
                  <c:v>8.96</c:v>
                </c:pt>
                <c:pt idx="14">
                  <c:v>9.24</c:v>
                </c:pt>
                <c:pt idx="15">
                  <c:v>9.31</c:v>
                </c:pt>
                <c:pt idx="16">
                  <c:v>9.31</c:v>
                </c:pt>
                <c:pt idx="17">
                  <c:v>9.56</c:v>
                </c:pt>
                <c:pt idx="18">
                  <c:v>9.88</c:v>
                </c:pt>
                <c:pt idx="19">
                  <c:v>10.06</c:v>
                </c:pt>
                <c:pt idx="20">
                  <c:v>9.99</c:v>
                </c:pt>
                <c:pt idx="21">
                  <c:v>9.95</c:v>
                </c:pt>
                <c:pt idx="22">
                  <c:v>10.17</c:v>
                </c:pt>
                <c:pt idx="23">
                  <c:v>9.97</c:v>
                </c:pt>
                <c:pt idx="24">
                  <c:v>10.08</c:v>
                </c:pt>
                <c:pt idx="25">
                  <c:v>10.14</c:v>
                </c:pt>
                <c:pt idx="26">
                  <c:v>10.52</c:v>
                </c:pt>
                <c:pt idx="27">
                  <c:v>10.54</c:v>
                </c:pt>
                <c:pt idx="28">
                  <c:v>10.23</c:v>
                </c:pt>
                <c:pt idx="29">
                  <c:v>11.42</c:v>
                </c:pt>
                <c:pt idx="30">
                  <c:v>11.89</c:v>
                </c:pt>
              </c:numCache>
            </c:numRef>
          </c:yVal>
          <c:smooth val="1"/>
        </c:ser>
        <c:ser>
          <c:idx val="2"/>
          <c:order val="2"/>
          <c:tx>
            <c:strRef>
              <c:f>泾干东关村</c:f>
              <c:strCache>
                <c:ptCount val="1"/>
                <c:pt idx="0">
                  <c:v>泾干东关村</c:v>
                </c:pt>
              </c:strCache>
            </c:strRef>
          </c:tx>
          <c:spPr>
            <a:ln w="12700" cap="rnd" cmpd="sng" algn="ctr">
              <a:solidFill>
                <a:schemeClr val="accent3">
                  <a:shade val="95000"/>
                  <a:satMod val="105000"/>
                </a:schemeClr>
              </a:solidFill>
              <a:prstDash val="solid"/>
              <a:round/>
            </a:ln>
          </c:spPr>
          <c:marker>
            <c:symbol val="triangle"/>
            <c:size val="3"/>
            <c:spPr>
              <a:ln w="6350" cap="flat" cmpd="sng" algn="ctr">
                <a:solidFill>
                  <a:schemeClr val="accent3">
                    <a:shade val="95000"/>
                    <a:satMod val="105000"/>
                  </a:schemeClr>
                </a:solidFill>
                <a:prstDash val="solid"/>
                <a:round/>
              </a:ln>
            </c:spPr>
          </c:marker>
          <c:dLbls>
            <c:delete val="1"/>
          </c:dLbls>
          <c:xVal>
            <c:numRef>
              <c:f>Sheet1!$A$2:$A$32</c:f>
              <c:numCache>
                <c:formatCode>m/yy</c:formatCode>
                <c:ptCount val="31"/>
                <c:pt idx="0">
                  <c:v>40909</c:v>
                </c:pt>
                <c:pt idx="1">
                  <c:v>40940</c:v>
                </c:pt>
                <c:pt idx="2">
                  <c:v>40969</c:v>
                </c:pt>
                <c:pt idx="3">
                  <c:v>41000</c:v>
                </c:pt>
                <c:pt idx="4">
                  <c:v>41030</c:v>
                </c:pt>
                <c:pt idx="5">
                  <c:v>41061</c:v>
                </c:pt>
                <c:pt idx="6">
                  <c:v>41091</c:v>
                </c:pt>
                <c:pt idx="7">
                  <c:v>41122</c:v>
                </c:pt>
                <c:pt idx="8">
                  <c:v>41153</c:v>
                </c:pt>
                <c:pt idx="9">
                  <c:v>41183</c:v>
                </c:pt>
                <c:pt idx="10">
                  <c:v>41214</c:v>
                </c:pt>
                <c:pt idx="11">
                  <c:v>41244</c:v>
                </c:pt>
                <c:pt idx="12">
                  <c:v>41275</c:v>
                </c:pt>
                <c:pt idx="13">
                  <c:v>41306</c:v>
                </c:pt>
                <c:pt idx="14">
                  <c:v>41334</c:v>
                </c:pt>
                <c:pt idx="15">
                  <c:v>41365</c:v>
                </c:pt>
                <c:pt idx="16">
                  <c:v>41395</c:v>
                </c:pt>
                <c:pt idx="17">
                  <c:v>41426</c:v>
                </c:pt>
                <c:pt idx="18">
                  <c:v>41456</c:v>
                </c:pt>
                <c:pt idx="19">
                  <c:v>41487</c:v>
                </c:pt>
                <c:pt idx="20">
                  <c:v>41518</c:v>
                </c:pt>
                <c:pt idx="21">
                  <c:v>41548</c:v>
                </c:pt>
                <c:pt idx="22">
                  <c:v>41579</c:v>
                </c:pt>
                <c:pt idx="23">
                  <c:v>41609</c:v>
                </c:pt>
                <c:pt idx="24">
                  <c:v>41640</c:v>
                </c:pt>
                <c:pt idx="25">
                  <c:v>41671</c:v>
                </c:pt>
                <c:pt idx="26">
                  <c:v>41699</c:v>
                </c:pt>
                <c:pt idx="27">
                  <c:v>41730</c:v>
                </c:pt>
                <c:pt idx="28">
                  <c:v>41760</c:v>
                </c:pt>
                <c:pt idx="29">
                  <c:v>41791</c:v>
                </c:pt>
                <c:pt idx="30">
                  <c:v>41821</c:v>
                </c:pt>
              </c:numCache>
            </c:numRef>
          </c:xVal>
          <c:yVal>
            <c:numRef>
              <c:f>Sheet1!$D$2:$D$32</c:f>
              <c:numCache>
                <c:formatCode>General</c:formatCode>
                <c:ptCount val="31"/>
                <c:pt idx="0">
                  <c:v>11.2</c:v>
                </c:pt>
                <c:pt idx="1">
                  <c:v>10.7</c:v>
                </c:pt>
                <c:pt idx="2">
                  <c:v>10.5</c:v>
                </c:pt>
                <c:pt idx="3">
                  <c:v>10.3</c:v>
                </c:pt>
                <c:pt idx="4">
                  <c:v>10.4</c:v>
                </c:pt>
                <c:pt idx="5">
                  <c:v>10.3</c:v>
                </c:pt>
                <c:pt idx="6">
                  <c:v>10.5</c:v>
                </c:pt>
                <c:pt idx="7">
                  <c:v>10.9</c:v>
                </c:pt>
                <c:pt idx="8">
                  <c:v>11.2</c:v>
                </c:pt>
                <c:pt idx="9">
                  <c:v>11.2</c:v>
                </c:pt>
                <c:pt idx="10">
                  <c:v>11.5</c:v>
                </c:pt>
                <c:pt idx="11">
                  <c:v>11.7</c:v>
                </c:pt>
                <c:pt idx="12">
                  <c:v>11.5</c:v>
                </c:pt>
                <c:pt idx="13">
                  <c:v>11.5</c:v>
                </c:pt>
                <c:pt idx="14">
                  <c:v>11.6</c:v>
                </c:pt>
                <c:pt idx="15">
                  <c:v>11.6</c:v>
                </c:pt>
                <c:pt idx="16">
                  <c:v>11.5</c:v>
                </c:pt>
                <c:pt idx="17">
                  <c:v>11.6</c:v>
                </c:pt>
                <c:pt idx="18">
                  <c:v>11.9</c:v>
                </c:pt>
                <c:pt idx="19">
                  <c:v>12.3</c:v>
                </c:pt>
                <c:pt idx="20">
                  <c:v>12.6</c:v>
                </c:pt>
                <c:pt idx="21">
                  <c:v>12.8</c:v>
                </c:pt>
                <c:pt idx="22">
                  <c:v>13.1</c:v>
                </c:pt>
                <c:pt idx="23">
                  <c:v>13.5</c:v>
                </c:pt>
                <c:pt idx="24">
                  <c:v>13.5</c:v>
                </c:pt>
                <c:pt idx="25">
                  <c:v>13.5</c:v>
                </c:pt>
                <c:pt idx="26">
                  <c:v>13.7</c:v>
                </c:pt>
                <c:pt idx="27">
                  <c:v>14</c:v>
                </c:pt>
                <c:pt idx="28">
                  <c:v>13.6</c:v>
                </c:pt>
                <c:pt idx="29">
                  <c:v>13.8</c:v>
                </c:pt>
                <c:pt idx="30">
                  <c:v>15.5</c:v>
                </c:pt>
              </c:numCache>
            </c:numRef>
          </c:yVal>
          <c:smooth val="1"/>
        </c:ser>
        <c:dLbls>
          <c:showLegendKey val="0"/>
          <c:showVal val="0"/>
          <c:showCatName val="0"/>
          <c:showSerName val="0"/>
          <c:showPercent val="0"/>
          <c:showBubbleSize val="0"/>
        </c:dLbls>
        <c:axId val="168879232"/>
        <c:axId val="194724224"/>
      </c:scatterChart>
      <c:valAx>
        <c:axId val="168879232"/>
        <c:scaling>
          <c:orientation val="minMax"/>
          <c:max val="41830"/>
          <c:min val="40930"/>
        </c:scaling>
        <c:delete val="0"/>
        <c:axPos val="t"/>
        <c:title>
          <c:tx>
            <c:rich>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r>
                  <a:rPr lang="zh-CN" altLang="en-US" sz="800" b="1"/>
                  <a:t>日期</a:t>
                </a:r>
                <a:r>
                  <a:rPr lang="en-US" altLang="zh-CN" sz="800" b="1"/>
                  <a:t>(m/y)</a:t>
                </a:r>
                <a:endParaRPr lang="zh-CN" altLang="en-US" sz="800" b="1"/>
              </a:p>
            </c:rich>
          </c:tx>
          <c:layout/>
          <c:overlay val="0"/>
        </c:title>
        <c:numFmt formatCode="m/yy" sourceLinked="1"/>
        <c:majorTickMark val="out"/>
        <c:minorTickMark val="none"/>
        <c:tickLblPos val="nextTo"/>
        <c:txPr>
          <a:bodyPr rot="-60000000" spcFirstLastPara="0" vertOverflow="ellipsis" vert="horz" wrap="square" anchor="ctr" anchorCtr="1"/>
          <a:lstStyle/>
          <a:p>
            <a:pPr>
              <a:defRPr lang="zh-CN" sz="800" b="0" i="0" u="none" strike="noStrike" kern="1200" baseline="0">
                <a:solidFill>
                  <a:schemeClr val="tx1"/>
                </a:solidFill>
                <a:latin typeface="+mn-lt"/>
                <a:ea typeface="+mn-ea"/>
                <a:cs typeface="+mn-cs"/>
              </a:defRPr>
            </a:pPr>
          </a:p>
        </c:txPr>
        <c:crossAx val="194724224"/>
        <c:crosses val="autoZero"/>
        <c:crossBetween val="midCat"/>
      </c:valAx>
      <c:valAx>
        <c:axId val="194724224"/>
        <c:scaling>
          <c:orientation val="maxMin"/>
          <c:min val="5"/>
        </c:scaling>
        <c:delete val="0"/>
        <c:axPos val="l"/>
        <c:majorGridlines/>
        <c:title>
          <c:tx>
            <c:rich>
              <a:bodyPr rot="0" spcFirstLastPara="0" vertOverflow="ellipsis" vert="wordArtVertRtl" wrap="square" anchor="ctr" anchorCtr="1"/>
              <a:lstStyle/>
              <a:p>
                <a:pPr>
                  <a:defRPr lang="zh-CN" sz="1000" b="1" i="0" u="none" strike="noStrike" kern="1200" baseline="0">
                    <a:solidFill>
                      <a:schemeClr val="tx1"/>
                    </a:solidFill>
                    <a:latin typeface="+mn-lt"/>
                    <a:ea typeface="+mn-ea"/>
                    <a:cs typeface="+mn-cs"/>
                  </a:defRPr>
                </a:pPr>
                <a:r>
                  <a:rPr lang="zh-CN" altLang="en-US" sz="800"/>
                  <a:t>水位埋深</a:t>
                </a:r>
                <a:r>
                  <a:rPr lang="en-US" altLang="zh-CN" sz="800"/>
                  <a:t>(m</a:t>
                </a:r>
                <a:r>
                  <a:rPr lang="en-US" altLang="zh-CN" sz="1100"/>
                  <a:t>)</a:t>
                </a:r>
                <a:endParaRPr lang="zh-CN" altLang="en-US" sz="1100"/>
              </a:p>
            </c:rich>
          </c:tx>
          <c:layout/>
          <c:overlay val="0"/>
        </c:title>
        <c:numFmt formatCode="General" sourceLinked="1"/>
        <c:majorTickMark val="out"/>
        <c:minorTickMark val="none"/>
        <c:tickLblPos val="nextTo"/>
        <c:txPr>
          <a:bodyPr rot="-60000000" spcFirstLastPara="0" vertOverflow="ellipsis" vert="horz" wrap="square" anchor="ctr" anchorCtr="1"/>
          <a:lstStyle/>
          <a:p>
            <a:pPr>
              <a:defRPr lang="zh-CN" sz="800" b="0" i="0" u="none" strike="noStrike" kern="1200" baseline="0">
                <a:solidFill>
                  <a:schemeClr val="tx1"/>
                </a:solidFill>
                <a:latin typeface="+mn-lt"/>
                <a:ea typeface="+mn-ea"/>
                <a:cs typeface="+mn-cs"/>
              </a:defRPr>
            </a:pPr>
          </a:p>
        </c:txPr>
        <c:crossAx val="168879232"/>
        <c:crosses val="autoZero"/>
        <c:crossBetween val="midCat"/>
        <c:majorUnit val="3"/>
        <c:minorUnit val="3"/>
      </c:valAx>
    </c:plotArea>
    <c:legend>
      <c:legendPos val="r"/>
      <c:layout/>
      <c:overlay val="0"/>
      <c:txPr>
        <a:bodyPr rot="0" spcFirstLastPara="0" vertOverflow="ellipsis" vert="horz" wrap="square" anchor="ctr" anchorCtr="1"/>
        <a:lstStyle/>
        <a:p>
          <a:pPr>
            <a:defRPr lang="zh-CN" sz="8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DEB804-7346-4484-9CBD-C50D6325371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152</Pages>
  <Words>83426</Words>
  <Characters>95554</Characters>
  <Lines>764</Lines>
  <Paragraphs>215</Paragraphs>
  <TotalTime>0</TotalTime>
  <ScaleCrop>false</ScaleCrop>
  <LinksUpToDate>false</LinksUpToDate>
  <CharactersWithSpaces>96168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2015-12-10T04:43:00Z</dcterms:created>
  <dc:creator>Skyfree</dc:creator>
  <cp:lastModifiedBy>遇见～</cp:lastModifiedBy>
  <cp:lastPrinted>2015-11-25T02:17:00Z</cp:lastPrinted>
  <dcterms:modified xsi:type="dcterms:W3CDTF">2024-05-30T08:31:39Z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B108A5113391423D9B8BB0DBA090886A_13</vt:lpwstr>
  </property>
</Properties>
</file>