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sz w:val="32"/>
          <w:szCs w:val="32"/>
        </w:rPr>
      </w:pPr>
      <w:r>
        <w:rPr>
          <w:rFonts w:hint="eastAsia" w:ascii="宋体" w:hAnsi="宋体" w:cs="宋体"/>
          <w:sz w:val="32"/>
          <w:szCs w:val="32"/>
        </w:rPr>
        <w:t>一、建设项目基本情况</w:t>
      </w:r>
    </w:p>
    <w:tbl>
      <w:tblPr>
        <w:tblStyle w:val="29"/>
        <w:tblW w:w="4996"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
        <w:gridCol w:w="718"/>
        <w:gridCol w:w="2567"/>
        <w:gridCol w:w="1797"/>
        <w:gridCol w:w="33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63" w:type="pct"/>
            <w:gridSpan w:val="2"/>
            <w:vAlign w:val="center"/>
          </w:tcPr>
          <w:p>
            <w:pPr>
              <w:jc w:val="center"/>
              <w:rPr>
                <w:sz w:val="24"/>
                <w:szCs w:val="24"/>
              </w:rPr>
            </w:pPr>
            <w:r>
              <w:rPr>
                <w:sz w:val="24"/>
                <w:szCs w:val="24"/>
              </w:rPr>
              <w:t>建设项目名称</w:t>
            </w:r>
          </w:p>
        </w:tc>
        <w:tc>
          <w:tcPr>
            <w:tcW w:w="4136" w:type="pct"/>
            <w:gridSpan w:val="3"/>
            <w:vAlign w:val="center"/>
          </w:tcPr>
          <w:p>
            <w:pPr>
              <w:jc w:val="center"/>
              <w:rPr>
                <w:sz w:val="24"/>
                <w:szCs w:val="24"/>
              </w:rPr>
            </w:pPr>
            <w:r>
              <w:rPr>
                <w:rFonts w:hint="eastAsia"/>
                <w:sz w:val="24"/>
                <w:szCs w:val="24"/>
              </w:rPr>
              <w:t>铝方通喷塑、木纹转印、覆膜生产线建设项目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63" w:type="pct"/>
            <w:gridSpan w:val="2"/>
            <w:vAlign w:val="center"/>
          </w:tcPr>
          <w:p>
            <w:pPr>
              <w:jc w:val="center"/>
              <w:rPr>
                <w:sz w:val="24"/>
                <w:szCs w:val="24"/>
              </w:rPr>
            </w:pPr>
            <w:r>
              <w:rPr>
                <w:sz w:val="24"/>
                <w:szCs w:val="24"/>
              </w:rPr>
              <w:t>项目代码</w:t>
            </w:r>
          </w:p>
        </w:tc>
        <w:tc>
          <w:tcPr>
            <w:tcW w:w="4136" w:type="pct"/>
            <w:gridSpan w:val="3"/>
            <w:vAlign w:val="center"/>
          </w:tcPr>
          <w:p>
            <w:pPr>
              <w:jc w:val="center"/>
              <w:rPr>
                <w:sz w:val="24"/>
                <w:szCs w:val="24"/>
              </w:rPr>
            </w:pPr>
            <w:r>
              <w:rPr>
                <w:rFonts w:hint="eastAsia"/>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63" w:type="pct"/>
            <w:gridSpan w:val="2"/>
            <w:vAlign w:val="center"/>
          </w:tcPr>
          <w:p>
            <w:pPr>
              <w:jc w:val="center"/>
              <w:rPr>
                <w:sz w:val="24"/>
                <w:szCs w:val="24"/>
              </w:rPr>
            </w:pPr>
            <w:r>
              <w:rPr>
                <w:sz w:val="24"/>
                <w:szCs w:val="24"/>
              </w:rPr>
              <w:t>建设单位联系人</w:t>
            </w:r>
          </w:p>
        </w:tc>
        <w:tc>
          <w:tcPr>
            <w:tcW w:w="1383" w:type="pct"/>
            <w:vAlign w:val="center"/>
          </w:tcPr>
          <w:p>
            <w:pPr>
              <w:jc w:val="center"/>
              <w:rPr>
                <w:sz w:val="24"/>
                <w:szCs w:val="24"/>
              </w:rPr>
            </w:pPr>
            <w:r>
              <w:rPr>
                <w:rFonts w:hint="eastAsia"/>
                <w:sz w:val="24"/>
                <w:szCs w:val="24"/>
              </w:rPr>
              <w:t>陈磊</w:t>
            </w:r>
          </w:p>
        </w:tc>
        <w:tc>
          <w:tcPr>
            <w:tcW w:w="968" w:type="pct"/>
            <w:vAlign w:val="center"/>
          </w:tcPr>
          <w:p>
            <w:pPr>
              <w:jc w:val="center"/>
              <w:rPr>
                <w:sz w:val="24"/>
                <w:szCs w:val="24"/>
              </w:rPr>
            </w:pPr>
            <w:r>
              <w:rPr>
                <w:sz w:val="24"/>
                <w:szCs w:val="24"/>
              </w:rPr>
              <w:t>联系方式</w:t>
            </w:r>
          </w:p>
        </w:tc>
        <w:tc>
          <w:tcPr>
            <w:tcW w:w="1784" w:type="pct"/>
            <w:vAlign w:val="center"/>
          </w:tcPr>
          <w:p>
            <w:pPr>
              <w:jc w:val="center"/>
              <w:rPr>
                <w:sz w:val="24"/>
                <w:szCs w:val="24"/>
              </w:rPr>
            </w:pPr>
            <w:r>
              <w:rPr>
                <w:sz w:val="24"/>
                <w:szCs w:val="24"/>
              </w:rPr>
              <w:t>13119171150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63" w:type="pct"/>
            <w:gridSpan w:val="2"/>
            <w:vAlign w:val="center"/>
          </w:tcPr>
          <w:p>
            <w:pPr>
              <w:jc w:val="center"/>
              <w:rPr>
                <w:sz w:val="24"/>
                <w:szCs w:val="24"/>
              </w:rPr>
            </w:pPr>
            <w:r>
              <w:rPr>
                <w:sz w:val="24"/>
                <w:szCs w:val="24"/>
              </w:rPr>
              <w:t>建设地点</w:t>
            </w:r>
          </w:p>
        </w:tc>
        <w:tc>
          <w:tcPr>
            <w:tcW w:w="4136" w:type="pct"/>
            <w:gridSpan w:val="3"/>
            <w:vAlign w:val="center"/>
          </w:tcPr>
          <w:p>
            <w:pPr>
              <w:jc w:val="center"/>
              <w:rPr>
                <w:sz w:val="24"/>
                <w:szCs w:val="24"/>
              </w:rPr>
            </w:pPr>
            <w:r>
              <w:rPr>
                <w:rFonts w:hint="eastAsia"/>
                <w:sz w:val="24"/>
                <w:szCs w:val="24"/>
              </w:rPr>
              <w:t>陕西省西安市泾河新城永乐镇磨子桥村二组西北段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863" w:type="pct"/>
            <w:gridSpan w:val="2"/>
            <w:vAlign w:val="center"/>
          </w:tcPr>
          <w:p>
            <w:pPr>
              <w:jc w:val="center"/>
              <w:rPr>
                <w:sz w:val="24"/>
                <w:szCs w:val="24"/>
              </w:rPr>
            </w:pPr>
            <w:r>
              <w:rPr>
                <w:sz w:val="24"/>
                <w:szCs w:val="24"/>
              </w:rPr>
              <w:t>地理坐标</w:t>
            </w:r>
          </w:p>
        </w:tc>
        <w:tc>
          <w:tcPr>
            <w:tcW w:w="4136" w:type="pct"/>
            <w:gridSpan w:val="3"/>
            <w:vAlign w:val="center"/>
          </w:tcPr>
          <w:p>
            <w:pPr>
              <w:jc w:val="center"/>
              <w:rPr>
                <w:sz w:val="24"/>
                <w:szCs w:val="24"/>
              </w:rPr>
            </w:pPr>
            <w:r>
              <w:rPr>
                <w:sz w:val="24"/>
                <w:szCs w:val="24"/>
              </w:rPr>
              <w:t>东经108</w:t>
            </w:r>
            <w:r>
              <w:rPr>
                <w:rFonts w:hint="eastAsia"/>
                <w:sz w:val="24"/>
                <w:szCs w:val="24"/>
              </w:rPr>
              <w:t>度</w:t>
            </w:r>
            <w:r>
              <w:rPr>
                <w:sz w:val="24"/>
                <w:szCs w:val="24"/>
              </w:rPr>
              <w:t>5</w:t>
            </w:r>
            <w:r>
              <w:rPr>
                <w:rFonts w:hint="eastAsia"/>
                <w:sz w:val="24"/>
                <w:szCs w:val="24"/>
              </w:rPr>
              <w:t>7分33.714秒，</w:t>
            </w:r>
            <w:r>
              <w:rPr>
                <w:sz w:val="24"/>
                <w:szCs w:val="24"/>
              </w:rPr>
              <w:t>北纬34</w:t>
            </w:r>
            <w:r>
              <w:rPr>
                <w:rFonts w:hint="eastAsia"/>
                <w:sz w:val="24"/>
                <w:szCs w:val="24"/>
              </w:rPr>
              <w:t>度32分48.929秒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863" w:type="pct"/>
            <w:gridSpan w:val="2"/>
            <w:vAlign w:val="center"/>
          </w:tcPr>
          <w:p>
            <w:pPr>
              <w:jc w:val="center"/>
              <w:rPr>
                <w:sz w:val="24"/>
                <w:szCs w:val="24"/>
              </w:rPr>
            </w:pPr>
            <w:r>
              <w:rPr>
                <w:sz w:val="24"/>
                <w:szCs w:val="24"/>
              </w:rPr>
              <w:t>国民经济行业类别</w:t>
            </w:r>
          </w:p>
        </w:tc>
        <w:tc>
          <w:tcPr>
            <w:tcW w:w="1383" w:type="pct"/>
            <w:vAlign w:val="center"/>
          </w:tcPr>
          <w:p>
            <w:pPr>
              <w:jc w:val="center"/>
              <w:rPr>
                <w:sz w:val="24"/>
                <w:szCs w:val="24"/>
              </w:rPr>
            </w:pPr>
            <w:r>
              <w:rPr>
                <w:sz w:val="24"/>
                <w:szCs w:val="24"/>
              </w:rPr>
              <w:t>C3311金属结构制造</w:t>
            </w:r>
          </w:p>
        </w:tc>
        <w:tc>
          <w:tcPr>
            <w:tcW w:w="968" w:type="pct"/>
            <w:vAlign w:val="center"/>
          </w:tcPr>
          <w:p>
            <w:pPr>
              <w:jc w:val="center"/>
              <w:rPr>
                <w:sz w:val="24"/>
                <w:szCs w:val="24"/>
              </w:rPr>
            </w:pPr>
            <w:r>
              <w:rPr>
                <w:sz w:val="24"/>
                <w:szCs w:val="24"/>
              </w:rPr>
              <w:t>建设项目</w:t>
            </w:r>
          </w:p>
          <w:p>
            <w:pPr>
              <w:jc w:val="center"/>
              <w:rPr>
                <w:sz w:val="24"/>
                <w:szCs w:val="24"/>
              </w:rPr>
            </w:pPr>
            <w:r>
              <w:rPr>
                <w:sz w:val="24"/>
                <w:szCs w:val="24"/>
              </w:rPr>
              <w:t>行业类别</w:t>
            </w:r>
          </w:p>
        </w:tc>
        <w:tc>
          <w:tcPr>
            <w:tcW w:w="1784" w:type="pct"/>
            <w:vAlign w:val="center"/>
          </w:tcPr>
          <w:p>
            <w:pPr>
              <w:jc w:val="center"/>
              <w:rPr>
                <w:sz w:val="24"/>
                <w:szCs w:val="24"/>
              </w:rPr>
            </w:pPr>
            <w:r>
              <w:rPr>
                <w:rFonts w:hint="eastAsia"/>
                <w:sz w:val="24"/>
                <w:szCs w:val="24"/>
              </w:rPr>
              <w:t>三十、金属制品业33</w:t>
            </w:r>
          </w:p>
          <w:p>
            <w:pPr>
              <w:jc w:val="center"/>
              <w:rPr>
                <w:sz w:val="24"/>
                <w:szCs w:val="24"/>
              </w:rPr>
            </w:pPr>
            <w:r>
              <w:rPr>
                <w:sz w:val="24"/>
                <w:szCs w:val="24"/>
              </w:rPr>
              <w:t>6</w:t>
            </w:r>
            <w:r>
              <w:rPr>
                <w:rFonts w:hint="eastAsia"/>
                <w:sz w:val="24"/>
                <w:szCs w:val="24"/>
              </w:rPr>
              <w:t>7</w:t>
            </w:r>
            <w:r>
              <w:rPr>
                <w:sz w:val="24"/>
                <w:szCs w:val="24"/>
              </w:rPr>
              <w:t>、</w:t>
            </w:r>
            <w:r>
              <w:rPr>
                <w:rFonts w:hint="eastAsia"/>
                <w:sz w:val="24"/>
                <w:szCs w:val="24"/>
              </w:rPr>
              <w:t>金属表面处理及热处理加工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63" w:type="pct"/>
            <w:gridSpan w:val="2"/>
            <w:vAlign w:val="center"/>
          </w:tcPr>
          <w:p>
            <w:pPr>
              <w:jc w:val="center"/>
              <w:rPr>
                <w:sz w:val="24"/>
                <w:szCs w:val="24"/>
              </w:rPr>
            </w:pPr>
            <w:r>
              <w:rPr>
                <w:sz w:val="24"/>
                <w:szCs w:val="24"/>
              </w:rPr>
              <w:t>建设性质</w:t>
            </w:r>
          </w:p>
        </w:tc>
        <w:tc>
          <w:tcPr>
            <w:tcW w:w="1383" w:type="pct"/>
            <w:vAlign w:val="center"/>
          </w:tcPr>
          <w:p>
            <w:pPr>
              <w:rPr>
                <w:sz w:val="24"/>
                <w:szCs w:val="24"/>
              </w:rPr>
            </w:pPr>
            <w:r>
              <w:rPr>
                <w:sz w:val="24"/>
                <w:szCs w:val="24"/>
              </w:rPr>
              <w:sym w:font="Wingdings" w:char="00FE"/>
            </w:r>
            <w:r>
              <w:rPr>
                <w:sz w:val="24"/>
                <w:szCs w:val="24"/>
              </w:rPr>
              <w:t>新建（迁建）</w:t>
            </w:r>
          </w:p>
          <w:p>
            <w:pPr>
              <w:rPr>
                <w:sz w:val="24"/>
                <w:szCs w:val="24"/>
              </w:rPr>
            </w:pPr>
            <w:r>
              <w:rPr>
                <w:sz w:val="24"/>
                <w:szCs w:val="24"/>
              </w:rPr>
              <w:sym w:font="Wingdings" w:char="00A8"/>
            </w:r>
            <w:r>
              <w:rPr>
                <w:sz w:val="24"/>
                <w:szCs w:val="24"/>
              </w:rPr>
              <w:t>改建</w:t>
            </w:r>
          </w:p>
          <w:p>
            <w:pPr>
              <w:rPr>
                <w:sz w:val="24"/>
                <w:szCs w:val="24"/>
              </w:rPr>
            </w:pPr>
            <w:r>
              <w:rPr>
                <w:sz w:val="24"/>
                <w:szCs w:val="24"/>
              </w:rPr>
              <w:sym w:font="Wingdings" w:char="00A8"/>
            </w:r>
            <w:r>
              <w:rPr>
                <w:sz w:val="24"/>
                <w:szCs w:val="24"/>
              </w:rPr>
              <w:t>扩建</w:t>
            </w:r>
          </w:p>
          <w:p>
            <w:pPr>
              <w:rPr>
                <w:sz w:val="24"/>
                <w:szCs w:val="24"/>
              </w:rPr>
            </w:pPr>
            <w:r>
              <w:rPr>
                <w:sz w:val="24"/>
                <w:szCs w:val="24"/>
              </w:rPr>
              <w:sym w:font="Wingdings" w:char="00A8"/>
            </w:r>
            <w:r>
              <w:rPr>
                <w:sz w:val="24"/>
                <w:szCs w:val="24"/>
              </w:rPr>
              <w:t>技术改造</w:t>
            </w:r>
          </w:p>
        </w:tc>
        <w:tc>
          <w:tcPr>
            <w:tcW w:w="968" w:type="pct"/>
            <w:vAlign w:val="center"/>
          </w:tcPr>
          <w:p>
            <w:pPr>
              <w:jc w:val="center"/>
              <w:rPr>
                <w:sz w:val="24"/>
                <w:szCs w:val="24"/>
              </w:rPr>
            </w:pPr>
            <w:r>
              <w:rPr>
                <w:sz w:val="24"/>
                <w:szCs w:val="24"/>
              </w:rPr>
              <w:t>建设项目</w:t>
            </w:r>
          </w:p>
          <w:p>
            <w:pPr>
              <w:jc w:val="center"/>
              <w:rPr>
                <w:sz w:val="24"/>
                <w:szCs w:val="24"/>
              </w:rPr>
            </w:pPr>
            <w:r>
              <w:rPr>
                <w:sz w:val="24"/>
                <w:szCs w:val="24"/>
              </w:rPr>
              <w:t>申报情形</w:t>
            </w:r>
          </w:p>
        </w:tc>
        <w:tc>
          <w:tcPr>
            <w:tcW w:w="1784" w:type="pct"/>
            <w:vAlign w:val="center"/>
          </w:tcPr>
          <w:p>
            <w:pPr>
              <w:rPr>
                <w:rFonts w:hint="eastAsia" w:eastAsia="宋体"/>
                <w:sz w:val="24"/>
                <w:szCs w:val="24"/>
                <w:lang w:eastAsia="zh-CN"/>
              </w:rPr>
            </w:pPr>
            <w:r>
              <w:rPr>
                <w:sz w:val="24"/>
                <w:szCs w:val="24"/>
              </w:rPr>
              <w:sym w:font="Wingdings" w:char="00FE"/>
            </w:r>
            <w:r>
              <w:rPr>
                <w:sz w:val="24"/>
                <w:szCs w:val="24"/>
              </w:rPr>
              <w:t>首次申报项目</w:t>
            </w:r>
          </w:p>
          <w:p>
            <w:pPr>
              <w:rPr>
                <w:sz w:val="24"/>
                <w:szCs w:val="24"/>
              </w:rPr>
            </w:pPr>
            <w:r>
              <w:rPr>
                <w:sz w:val="24"/>
                <w:szCs w:val="24"/>
              </w:rPr>
              <w:sym w:font="Wingdings" w:char="00A8"/>
            </w:r>
            <w:r>
              <w:rPr>
                <w:sz w:val="24"/>
                <w:szCs w:val="24"/>
              </w:rPr>
              <w:t>不予批准后再次申报项目</w:t>
            </w:r>
          </w:p>
          <w:p>
            <w:pPr>
              <w:rPr>
                <w:rFonts w:hint="eastAsia" w:eastAsia="宋体"/>
                <w:sz w:val="24"/>
                <w:szCs w:val="24"/>
                <w:lang w:eastAsia="zh-CN"/>
              </w:rPr>
            </w:pPr>
            <w:r>
              <w:rPr>
                <w:sz w:val="24"/>
                <w:szCs w:val="24"/>
              </w:rPr>
              <w:sym w:font="Wingdings" w:char="00A8"/>
            </w:r>
            <w:r>
              <w:rPr>
                <w:sz w:val="24"/>
                <w:szCs w:val="24"/>
              </w:rPr>
              <w:t>超五年重新审核项目</w:t>
            </w:r>
          </w:p>
          <w:p>
            <w:pPr>
              <w:rPr>
                <w:sz w:val="24"/>
                <w:szCs w:val="24"/>
              </w:rPr>
            </w:pPr>
            <w:r>
              <w:rPr>
                <w:sz w:val="24"/>
                <w:szCs w:val="24"/>
              </w:rPr>
              <w:sym w:font="Wingdings" w:char="00A8"/>
            </w:r>
            <w:r>
              <w:rPr>
                <w:sz w:val="24"/>
                <w:szCs w:val="24"/>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863" w:type="pct"/>
            <w:gridSpan w:val="2"/>
            <w:vAlign w:val="center"/>
          </w:tcPr>
          <w:p>
            <w:pPr>
              <w:jc w:val="center"/>
              <w:rPr>
                <w:sz w:val="24"/>
                <w:szCs w:val="24"/>
              </w:rPr>
            </w:pPr>
            <w:r>
              <w:rPr>
                <w:sz w:val="24"/>
                <w:szCs w:val="24"/>
              </w:rPr>
              <w:t>项目审批（核准/备案）部门（选填）</w:t>
            </w:r>
          </w:p>
        </w:tc>
        <w:tc>
          <w:tcPr>
            <w:tcW w:w="1383" w:type="pct"/>
            <w:vAlign w:val="center"/>
          </w:tcPr>
          <w:p>
            <w:pPr>
              <w:jc w:val="center"/>
              <w:rPr>
                <w:sz w:val="24"/>
                <w:szCs w:val="24"/>
              </w:rPr>
            </w:pPr>
            <w:r>
              <w:rPr>
                <w:rFonts w:hint="eastAsia"/>
                <w:sz w:val="24"/>
                <w:szCs w:val="24"/>
              </w:rPr>
              <w:t>/</w:t>
            </w:r>
          </w:p>
        </w:tc>
        <w:tc>
          <w:tcPr>
            <w:tcW w:w="968" w:type="pct"/>
            <w:vAlign w:val="center"/>
          </w:tcPr>
          <w:p>
            <w:pPr>
              <w:jc w:val="center"/>
              <w:rPr>
                <w:sz w:val="24"/>
                <w:szCs w:val="24"/>
              </w:rPr>
            </w:pPr>
            <w:r>
              <w:rPr>
                <w:sz w:val="24"/>
                <w:szCs w:val="24"/>
              </w:rPr>
              <w:t>项目审批（核准/</w:t>
            </w:r>
          </w:p>
          <w:p>
            <w:pPr>
              <w:jc w:val="center"/>
              <w:rPr>
                <w:sz w:val="24"/>
                <w:szCs w:val="24"/>
              </w:rPr>
            </w:pPr>
            <w:r>
              <w:rPr>
                <w:sz w:val="24"/>
                <w:szCs w:val="24"/>
              </w:rPr>
              <w:t>备案）文号（选填）</w:t>
            </w:r>
          </w:p>
        </w:tc>
        <w:tc>
          <w:tcPr>
            <w:tcW w:w="1784" w:type="pct"/>
            <w:vAlign w:val="center"/>
          </w:tcPr>
          <w:p>
            <w:pPr>
              <w:jc w:val="center"/>
              <w:rPr>
                <w:sz w:val="24"/>
                <w:szCs w:val="24"/>
              </w:rPr>
            </w:pPr>
            <w:r>
              <w:rPr>
                <w:rFonts w:hint="eastAsia"/>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863" w:type="pct"/>
            <w:gridSpan w:val="2"/>
            <w:vAlign w:val="center"/>
          </w:tcPr>
          <w:p>
            <w:pPr>
              <w:jc w:val="center"/>
              <w:rPr>
                <w:sz w:val="24"/>
                <w:szCs w:val="24"/>
              </w:rPr>
            </w:pPr>
            <w:r>
              <w:rPr>
                <w:sz w:val="24"/>
                <w:szCs w:val="24"/>
              </w:rPr>
              <w:t>总投资（万元）</w:t>
            </w:r>
          </w:p>
        </w:tc>
        <w:tc>
          <w:tcPr>
            <w:tcW w:w="1383" w:type="pct"/>
            <w:shd w:val="clear" w:color="auto" w:fill="auto"/>
            <w:vAlign w:val="center"/>
          </w:tcPr>
          <w:p>
            <w:pPr>
              <w:jc w:val="center"/>
              <w:rPr>
                <w:sz w:val="24"/>
                <w:szCs w:val="24"/>
              </w:rPr>
            </w:pPr>
            <w:r>
              <w:rPr>
                <w:rFonts w:hint="eastAsia"/>
                <w:sz w:val="24"/>
                <w:szCs w:val="24"/>
              </w:rPr>
              <w:t>600</w:t>
            </w:r>
          </w:p>
        </w:tc>
        <w:tc>
          <w:tcPr>
            <w:tcW w:w="968" w:type="pct"/>
            <w:shd w:val="clear" w:color="auto" w:fill="auto"/>
            <w:vAlign w:val="center"/>
          </w:tcPr>
          <w:p>
            <w:pPr>
              <w:jc w:val="center"/>
              <w:rPr>
                <w:sz w:val="24"/>
                <w:szCs w:val="24"/>
              </w:rPr>
            </w:pPr>
            <w:r>
              <w:rPr>
                <w:sz w:val="24"/>
                <w:szCs w:val="24"/>
              </w:rPr>
              <w:t>环保投资（万元）</w:t>
            </w:r>
          </w:p>
        </w:tc>
        <w:tc>
          <w:tcPr>
            <w:tcW w:w="1784" w:type="pct"/>
            <w:shd w:val="clear" w:color="auto" w:fill="auto"/>
            <w:vAlign w:val="center"/>
          </w:tcPr>
          <w:p>
            <w:pPr>
              <w:jc w:val="center"/>
              <w:rPr>
                <w:sz w:val="24"/>
                <w:szCs w:val="24"/>
              </w:rPr>
            </w:pPr>
            <w:r>
              <w:rPr>
                <w:rFonts w:hint="eastAsia"/>
                <w:sz w:val="24"/>
                <w:szCs w:val="24"/>
              </w:rPr>
              <w:t>98.05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63" w:type="pct"/>
            <w:gridSpan w:val="2"/>
            <w:vAlign w:val="center"/>
          </w:tcPr>
          <w:p>
            <w:pPr>
              <w:jc w:val="center"/>
              <w:rPr>
                <w:sz w:val="24"/>
                <w:szCs w:val="24"/>
              </w:rPr>
            </w:pPr>
            <w:r>
              <w:rPr>
                <w:sz w:val="24"/>
                <w:szCs w:val="24"/>
              </w:rPr>
              <w:t>环保投资占比（%）</w:t>
            </w:r>
          </w:p>
        </w:tc>
        <w:tc>
          <w:tcPr>
            <w:tcW w:w="1383" w:type="pct"/>
            <w:shd w:val="clear" w:color="auto" w:fill="auto"/>
            <w:vAlign w:val="center"/>
          </w:tcPr>
          <w:p>
            <w:pPr>
              <w:jc w:val="center"/>
              <w:rPr>
                <w:sz w:val="24"/>
                <w:szCs w:val="24"/>
              </w:rPr>
            </w:pPr>
            <w:r>
              <w:rPr>
                <w:rFonts w:hint="eastAsia"/>
                <w:sz w:val="24"/>
                <w:szCs w:val="24"/>
              </w:rPr>
              <w:t>16.3</w:t>
            </w:r>
            <w:r>
              <w:rPr>
                <w:sz w:val="24"/>
                <w:szCs w:val="24"/>
              </w:rPr>
              <w:t>%</w:t>
            </w:r>
          </w:p>
        </w:tc>
        <w:tc>
          <w:tcPr>
            <w:tcW w:w="968" w:type="pct"/>
            <w:shd w:val="clear" w:color="auto" w:fill="auto"/>
            <w:vAlign w:val="center"/>
          </w:tcPr>
          <w:p>
            <w:pPr>
              <w:jc w:val="center"/>
              <w:rPr>
                <w:sz w:val="24"/>
                <w:szCs w:val="24"/>
              </w:rPr>
            </w:pPr>
            <w:r>
              <w:rPr>
                <w:sz w:val="24"/>
                <w:szCs w:val="24"/>
              </w:rPr>
              <w:t>施工工期</w:t>
            </w:r>
          </w:p>
        </w:tc>
        <w:tc>
          <w:tcPr>
            <w:tcW w:w="1784" w:type="pct"/>
            <w:shd w:val="clear" w:color="auto" w:fill="auto"/>
            <w:vAlign w:val="center"/>
          </w:tcPr>
          <w:p>
            <w:pPr>
              <w:jc w:val="center"/>
              <w:rPr>
                <w:sz w:val="24"/>
                <w:szCs w:val="24"/>
              </w:rPr>
            </w:pPr>
            <w:r>
              <w:rPr>
                <w:rFonts w:hint="eastAsia"/>
                <w:sz w:val="24"/>
                <w:szCs w:val="24"/>
              </w:rPr>
              <w:t>4个月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863" w:type="pct"/>
            <w:gridSpan w:val="2"/>
            <w:vAlign w:val="center"/>
          </w:tcPr>
          <w:p>
            <w:pPr>
              <w:jc w:val="center"/>
              <w:rPr>
                <w:sz w:val="24"/>
                <w:szCs w:val="24"/>
              </w:rPr>
            </w:pPr>
            <w:r>
              <w:rPr>
                <w:sz w:val="24"/>
                <w:szCs w:val="24"/>
              </w:rPr>
              <w:t>是否开工建设</w:t>
            </w:r>
          </w:p>
        </w:tc>
        <w:tc>
          <w:tcPr>
            <w:tcW w:w="1383" w:type="pct"/>
            <w:vAlign w:val="center"/>
          </w:tcPr>
          <w:p>
            <w:pPr>
              <w:rPr>
                <w:sz w:val="24"/>
                <w:szCs w:val="24"/>
              </w:rPr>
            </w:pPr>
            <w:r>
              <w:rPr>
                <w:sz w:val="24"/>
                <w:szCs w:val="24"/>
              </w:rPr>
              <w:sym w:font="Wingdings" w:char="00FE"/>
            </w:r>
            <w:r>
              <w:rPr>
                <w:sz w:val="24"/>
                <w:szCs w:val="24"/>
              </w:rPr>
              <w:t>否</w:t>
            </w:r>
          </w:p>
          <w:p>
            <w:pPr>
              <w:rPr>
                <w:rFonts w:hint="eastAsia" w:eastAsia="宋体"/>
                <w:sz w:val="24"/>
                <w:szCs w:val="24"/>
                <w:lang w:eastAsia="zh-CN"/>
              </w:rPr>
            </w:pPr>
            <w:r>
              <w:rPr>
                <w:sz w:val="24"/>
                <w:szCs w:val="24"/>
              </w:rPr>
              <w:sym w:font="Wingdings" w:char="00A8"/>
            </w:r>
            <w:r>
              <w:rPr>
                <w:sz w:val="24"/>
                <w:szCs w:val="24"/>
              </w:rPr>
              <w:t>是：</w:t>
            </w:r>
          </w:p>
        </w:tc>
        <w:tc>
          <w:tcPr>
            <w:tcW w:w="968" w:type="pct"/>
            <w:vAlign w:val="center"/>
          </w:tcPr>
          <w:p>
            <w:pPr>
              <w:jc w:val="center"/>
              <w:rPr>
                <w:sz w:val="24"/>
                <w:szCs w:val="24"/>
              </w:rPr>
            </w:pPr>
            <w:r>
              <w:rPr>
                <w:sz w:val="24"/>
                <w:szCs w:val="24"/>
              </w:rPr>
              <w:t>用地（用海）</w:t>
            </w:r>
          </w:p>
          <w:p>
            <w:pPr>
              <w:jc w:val="center"/>
              <w:rPr>
                <w:sz w:val="24"/>
                <w:szCs w:val="24"/>
              </w:rPr>
            </w:pPr>
            <w:r>
              <w:rPr>
                <w:sz w:val="24"/>
                <w:szCs w:val="24"/>
              </w:rPr>
              <w:t>面积（m</w:t>
            </w:r>
            <w:r>
              <w:rPr>
                <w:sz w:val="24"/>
                <w:szCs w:val="24"/>
                <w:vertAlign w:val="superscript"/>
              </w:rPr>
              <w:t>2</w:t>
            </w:r>
            <w:r>
              <w:rPr>
                <w:sz w:val="24"/>
                <w:szCs w:val="24"/>
              </w:rPr>
              <w:t>）</w:t>
            </w:r>
          </w:p>
        </w:tc>
        <w:tc>
          <w:tcPr>
            <w:tcW w:w="1784" w:type="pct"/>
            <w:vAlign w:val="center"/>
          </w:tcPr>
          <w:p>
            <w:pPr>
              <w:jc w:val="center"/>
              <w:rPr>
                <w:sz w:val="24"/>
                <w:szCs w:val="24"/>
              </w:rPr>
            </w:pPr>
            <w:r>
              <w:rPr>
                <w:sz w:val="24"/>
                <w:szCs w:val="24"/>
              </w:rPr>
              <w:t>租赁厂房面积</w:t>
            </w:r>
            <w:r>
              <w:rPr>
                <w:rFonts w:hint="eastAsia"/>
                <w:sz w:val="24"/>
                <w:szCs w:val="24"/>
              </w:rPr>
              <w:t>60</w:t>
            </w:r>
            <w:r>
              <w:rPr>
                <w:sz w:val="24"/>
                <w:szCs w:val="24"/>
              </w:rPr>
              <w:t>00㎡</w:t>
            </w:r>
          </w:p>
          <w:p>
            <w:pPr>
              <w:jc w:val="center"/>
              <w:rPr>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63" w:type="pct"/>
            <w:gridSpan w:val="2"/>
            <w:vAlign w:val="center"/>
          </w:tcPr>
          <w:p>
            <w:pPr>
              <w:jc w:val="center"/>
              <w:rPr>
                <w:sz w:val="24"/>
                <w:szCs w:val="24"/>
              </w:rPr>
            </w:pPr>
            <w:r>
              <w:rPr>
                <w:sz w:val="24"/>
                <w:szCs w:val="24"/>
              </w:rPr>
              <w:t>专项评价设置情况</w:t>
            </w:r>
          </w:p>
        </w:tc>
        <w:tc>
          <w:tcPr>
            <w:tcW w:w="4136" w:type="pct"/>
            <w:gridSpan w:val="3"/>
            <w:vAlign w:val="center"/>
          </w:tcPr>
          <w:p>
            <w:pPr>
              <w:jc w:val="center"/>
              <w:rPr>
                <w:rFonts w:hint="eastAsia" w:eastAsia="宋体"/>
                <w:sz w:val="24"/>
                <w:szCs w:val="24"/>
                <w:lang w:val="en-US" w:eastAsia="zh-CN"/>
              </w:rPr>
            </w:pPr>
            <w:r>
              <w:rPr>
                <w:sz w:val="24"/>
                <w:szCs w:val="24"/>
              </w:rPr>
              <w:t>无</w:t>
            </w:r>
            <w:r>
              <w:rPr>
                <w:rFonts w:hint="eastAsia"/>
                <w:sz w:val="24"/>
                <w:szCs w:val="24"/>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863" w:type="pct"/>
            <w:gridSpan w:val="2"/>
            <w:vAlign w:val="center"/>
          </w:tcPr>
          <w:p>
            <w:pPr>
              <w:jc w:val="center"/>
              <w:rPr>
                <w:szCs w:val="21"/>
              </w:rPr>
            </w:pPr>
            <w:r>
              <w:rPr>
                <w:szCs w:val="21"/>
              </w:rPr>
              <w:t>规划情况</w:t>
            </w:r>
          </w:p>
        </w:tc>
        <w:tc>
          <w:tcPr>
            <w:tcW w:w="4136" w:type="pct"/>
            <w:gridSpan w:val="3"/>
            <w:vAlign w:val="center"/>
          </w:tcPr>
          <w:p>
            <w:pPr>
              <w:autoSpaceDE w:val="0"/>
              <w:autoSpaceDN w:val="0"/>
              <w:adjustRightInd w:val="0"/>
              <w:snapToGrid w:val="0"/>
              <w:spacing w:line="360" w:lineRule="auto"/>
              <w:jc w:val="left"/>
              <w:rPr>
                <w:color w:val="000000"/>
                <w:sz w:val="24"/>
              </w:rPr>
            </w:pPr>
            <w:r>
              <w:rPr>
                <w:color w:val="000000"/>
                <w:sz w:val="24"/>
              </w:rPr>
              <w:t>规划名称：《西咸新区泾河新城分区规划（2016-2035）》</w:t>
            </w:r>
          </w:p>
          <w:p>
            <w:pPr>
              <w:adjustRightInd w:val="0"/>
              <w:snapToGrid w:val="0"/>
              <w:spacing w:line="360" w:lineRule="auto"/>
              <w:rPr>
                <w:szCs w:val="21"/>
              </w:rPr>
            </w:pPr>
            <w:r>
              <w:rPr>
                <w:color w:val="000000"/>
                <w:sz w:val="24"/>
              </w:rPr>
              <w:t>审批机关：陕西省西咸新区泾河新城管委会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863" w:type="pct"/>
            <w:gridSpan w:val="2"/>
            <w:vAlign w:val="center"/>
          </w:tcPr>
          <w:p>
            <w:pPr>
              <w:jc w:val="center"/>
              <w:rPr>
                <w:szCs w:val="21"/>
              </w:rPr>
            </w:pPr>
            <w:r>
              <w:rPr>
                <w:szCs w:val="21"/>
              </w:rPr>
              <w:t>规划环境影响</w:t>
            </w:r>
          </w:p>
          <w:p>
            <w:pPr>
              <w:jc w:val="center"/>
              <w:rPr>
                <w:szCs w:val="21"/>
              </w:rPr>
            </w:pPr>
            <w:r>
              <w:rPr>
                <w:szCs w:val="21"/>
              </w:rPr>
              <w:t>评价情况</w:t>
            </w:r>
          </w:p>
        </w:tc>
        <w:tc>
          <w:tcPr>
            <w:tcW w:w="4136" w:type="pct"/>
            <w:gridSpan w:val="3"/>
            <w:vAlign w:val="center"/>
          </w:tcPr>
          <w:p>
            <w:pPr>
              <w:pStyle w:val="26"/>
              <w:adjustRightInd w:val="0"/>
              <w:snapToGrid w:val="0"/>
              <w:spacing w:before="0" w:beforeAutospacing="0" w:after="0" w:afterAutospacing="0" w:line="360" w:lineRule="auto"/>
              <w:rPr>
                <w:rFonts w:ascii="Times New Roman" w:hAnsi="Times New Roman" w:cs="Times New Roman"/>
                <w:color w:val="000000"/>
              </w:rPr>
            </w:pPr>
            <w:r>
              <w:rPr>
                <w:rFonts w:ascii="Times New Roman" w:hAnsi="Times New Roman" w:cs="Times New Roman"/>
                <w:color w:val="000000"/>
              </w:rPr>
              <w:t>规划环评文件名称：《西咸新区泾河新城分区规划（2016-2035）环境影响报告书》；</w:t>
            </w:r>
          </w:p>
          <w:p>
            <w:pPr>
              <w:pStyle w:val="26"/>
              <w:adjustRightInd w:val="0"/>
              <w:snapToGrid w:val="0"/>
              <w:spacing w:before="0" w:beforeAutospacing="0" w:after="0" w:afterAutospacing="0" w:line="360" w:lineRule="auto"/>
              <w:rPr>
                <w:rFonts w:ascii="Times New Roman" w:hAnsi="Times New Roman" w:cs="Times New Roman"/>
                <w:color w:val="000000"/>
              </w:rPr>
            </w:pPr>
            <w:r>
              <w:rPr>
                <w:rFonts w:ascii="Times New Roman" w:hAnsi="Times New Roman" w:cs="Times New Roman"/>
                <w:color w:val="000000"/>
              </w:rPr>
              <w:t>规划环评审查机关：陕西省西咸新区生态环境局</w:t>
            </w:r>
          </w:p>
          <w:p>
            <w:pPr>
              <w:adjustRightInd w:val="0"/>
              <w:snapToGrid w:val="0"/>
              <w:spacing w:line="360" w:lineRule="auto"/>
              <w:jc w:val="left"/>
              <w:rPr>
                <w:szCs w:val="21"/>
              </w:rPr>
            </w:pPr>
            <w:r>
              <w:rPr>
                <w:color w:val="000000"/>
                <w:sz w:val="24"/>
              </w:rPr>
              <w:t>审批文件名称及文号：陕西省西咸新区生态环境局关于《西咸新区-泾河新城分区规划（2016-2035）环境影响报告书》的审查意见（陕西咸环函[2021]41号）。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85" w:hRule="atLeast"/>
          <w:jc w:val="center"/>
        </w:trPr>
        <w:tc>
          <w:tcPr>
            <w:tcW w:w="863" w:type="pct"/>
            <w:gridSpan w:val="2"/>
            <w:vAlign w:val="center"/>
          </w:tcPr>
          <w:p>
            <w:pPr>
              <w:autoSpaceDE w:val="0"/>
              <w:autoSpaceDN w:val="0"/>
              <w:adjustRightInd w:val="0"/>
              <w:snapToGrid w:val="0"/>
              <w:jc w:val="center"/>
              <w:rPr>
                <w:kern w:val="0"/>
                <w:sz w:val="24"/>
              </w:rPr>
            </w:pPr>
            <w:r>
              <w:rPr>
                <w:szCs w:val="21"/>
              </w:rPr>
              <w:t>规划符合性分析</w:t>
            </w:r>
          </w:p>
        </w:tc>
        <w:tc>
          <w:tcPr>
            <w:tcW w:w="4136" w:type="pct"/>
            <w:gridSpan w:val="3"/>
            <w:vAlign w:val="center"/>
          </w:tcPr>
          <w:p>
            <w:pPr>
              <w:adjustRightInd w:val="0"/>
              <w:snapToGrid w:val="0"/>
              <w:spacing w:line="360" w:lineRule="auto"/>
              <w:ind w:firstLine="480" w:firstLineChars="200"/>
              <w:rPr>
                <w:sz w:val="24"/>
              </w:rPr>
            </w:pPr>
            <w:r>
              <w:rPr>
                <w:rFonts w:hint="eastAsia"/>
                <w:sz w:val="24"/>
                <w:lang w:eastAsia="zh-CN"/>
              </w:rPr>
              <w:t>项目</w:t>
            </w:r>
            <w:r>
              <w:rPr>
                <w:sz w:val="24"/>
              </w:rPr>
              <w:t>与</w:t>
            </w:r>
            <w:r>
              <w:rPr>
                <w:rFonts w:hint="eastAsia"/>
                <w:sz w:val="24"/>
              </w:rPr>
              <w:t>所在园区规划以及规划环境影响评价及审查意见</w:t>
            </w:r>
            <w:r>
              <w:rPr>
                <w:sz w:val="24"/>
              </w:rPr>
              <w:t>符合性分析见表1</w:t>
            </w:r>
            <w:r>
              <w:rPr>
                <w:rFonts w:hint="eastAsia"/>
                <w:sz w:val="24"/>
              </w:rPr>
              <w:t>-1</w:t>
            </w:r>
            <w:r>
              <w:rPr>
                <w:sz w:val="24"/>
              </w:rPr>
              <w:t>。</w:t>
            </w:r>
          </w:p>
          <w:p>
            <w:pPr>
              <w:jc w:val="center"/>
              <w:rPr>
                <w:b/>
                <w:bCs/>
                <w:szCs w:val="21"/>
              </w:rPr>
            </w:pPr>
            <w:r>
              <w:rPr>
                <w:b/>
                <w:bCs/>
                <w:szCs w:val="21"/>
              </w:rPr>
              <w:t>表</w:t>
            </w:r>
            <w:r>
              <w:rPr>
                <w:rFonts w:hint="eastAsia"/>
                <w:b/>
                <w:bCs/>
                <w:szCs w:val="21"/>
              </w:rPr>
              <w:t>1-1</w:t>
            </w:r>
            <w:r>
              <w:rPr>
                <w:b/>
                <w:bCs/>
                <w:szCs w:val="21"/>
              </w:rPr>
              <w:t>项目</w:t>
            </w:r>
            <w:r>
              <w:rPr>
                <w:rFonts w:hint="eastAsia"/>
                <w:b/>
                <w:bCs/>
                <w:szCs w:val="21"/>
              </w:rPr>
              <w:t>与园区规划环境影响评价结论及审查意见符合性分析</w:t>
            </w:r>
            <w:r>
              <w:rPr>
                <w:b/>
                <w:bCs/>
                <w:szCs w:val="21"/>
              </w:rPr>
              <w:t>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63"/>
              <w:gridCol w:w="2700"/>
              <w:gridCol w:w="2764"/>
              <w:gridCol w:w="4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563" w:type="dxa"/>
                  <w:tcBorders>
                    <w:tl2br w:val="nil"/>
                    <w:tr2bl w:val="nil"/>
                  </w:tcBorders>
                  <w:vAlign w:val="center"/>
                </w:tcPr>
                <w:p>
                  <w:pPr>
                    <w:autoSpaceDE w:val="0"/>
                    <w:autoSpaceDN w:val="0"/>
                    <w:adjustRightInd w:val="0"/>
                    <w:snapToGrid w:val="0"/>
                    <w:jc w:val="center"/>
                    <w:rPr>
                      <w:b/>
                      <w:bCs/>
                      <w:szCs w:val="21"/>
                    </w:rPr>
                  </w:pPr>
                  <w:r>
                    <w:rPr>
                      <w:rFonts w:hint="eastAsia"/>
                      <w:b/>
                      <w:bCs/>
                      <w:szCs w:val="21"/>
                    </w:rPr>
                    <w:t>文件</w:t>
                  </w:r>
                </w:p>
              </w:tc>
              <w:tc>
                <w:tcPr>
                  <w:tcW w:w="2700" w:type="dxa"/>
                  <w:tcBorders>
                    <w:tl2br w:val="nil"/>
                    <w:tr2bl w:val="nil"/>
                  </w:tcBorders>
                  <w:vAlign w:val="center"/>
                </w:tcPr>
                <w:p>
                  <w:pPr>
                    <w:autoSpaceDE w:val="0"/>
                    <w:autoSpaceDN w:val="0"/>
                    <w:adjustRightInd w:val="0"/>
                    <w:snapToGrid w:val="0"/>
                    <w:jc w:val="center"/>
                    <w:rPr>
                      <w:b/>
                      <w:bCs/>
                      <w:szCs w:val="21"/>
                    </w:rPr>
                  </w:pPr>
                  <w:r>
                    <w:rPr>
                      <w:b/>
                      <w:bCs/>
                      <w:szCs w:val="21"/>
                    </w:rPr>
                    <w:t>要求</w:t>
                  </w:r>
                </w:p>
              </w:tc>
              <w:tc>
                <w:tcPr>
                  <w:tcW w:w="2764" w:type="dxa"/>
                  <w:tcBorders>
                    <w:tl2br w:val="nil"/>
                    <w:tr2bl w:val="nil"/>
                  </w:tcBorders>
                  <w:vAlign w:val="center"/>
                </w:tcPr>
                <w:p>
                  <w:pPr>
                    <w:autoSpaceDE w:val="0"/>
                    <w:autoSpaceDN w:val="0"/>
                    <w:adjustRightInd w:val="0"/>
                    <w:snapToGrid w:val="0"/>
                    <w:jc w:val="center"/>
                    <w:rPr>
                      <w:b/>
                      <w:bCs/>
                      <w:szCs w:val="21"/>
                    </w:rPr>
                  </w:pPr>
                  <w:r>
                    <w:rPr>
                      <w:rFonts w:hint="eastAsia"/>
                      <w:b/>
                      <w:bCs/>
                      <w:szCs w:val="21"/>
                      <w:lang w:eastAsia="zh-CN"/>
                    </w:rPr>
                    <w:t>项目</w:t>
                  </w:r>
                  <w:r>
                    <w:rPr>
                      <w:b/>
                      <w:bCs/>
                      <w:szCs w:val="21"/>
                    </w:rPr>
                    <w:t>情况</w:t>
                  </w:r>
                </w:p>
              </w:tc>
              <w:tc>
                <w:tcPr>
                  <w:tcW w:w="434" w:type="dxa"/>
                  <w:tcBorders>
                    <w:tl2br w:val="nil"/>
                    <w:tr2bl w:val="nil"/>
                  </w:tcBorders>
                  <w:vAlign w:val="center"/>
                </w:tcPr>
                <w:p>
                  <w:pPr>
                    <w:autoSpaceDE w:val="0"/>
                    <w:autoSpaceDN w:val="0"/>
                    <w:adjustRightInd w:val="0"/>
                    <w:snapToGrid w:val="0"/>
                    <w:jc w:val="center"/>
                    <w:rPr>
                      <w:b/>
                      <w:bCs/>
                      <w:szCs w:val="21"/>
                    </w:rPr>
                  </w:pPr>
                  <w:r>
                    <w:rPr>
                      <w:b/>
                      <w:bCs/>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63" w:type="dxa"/>
                  <w:tcBorders>
                    <w:tl2br w:val="nil"/>
                    <w:tr2bl w:val="nil"/>
                  </w:tcBorders>
                  <w:vAlign w:val="center"/>
                </w:tcPr>
                <w:p>
                  <w:pPr>
                    <w:adjustRightInd w:val="0"/>
                    <w:snapToGrid w:val="0"/>
                    <w:spacing w:line="239" w:lineRule="auto"/>
                    <w:jc w:val="both"/>
                    <w:rPr>
                      <w:bCs/>
                      <w:szCs w:val="21"/>
                    </w:rPr>
                  </w:pPr>
                  <w:r>
                    <w:rPr>
                      <w:szCs w:val="21"/>
                    </w:rPr>
                    <w:t>《西咸新区泾河新城分区规（2016-2035）》</w:t>
                  </w:r>
                </w:p>
              </w:tc>
              <w:tc>
                <w:tcPr>
                  <w:tcW w:w="2700" w:type="dxa"/>
                  <w:tcBorders>
                    <w:tl2br w:val="nil"/>
                    <w:tr2bl w:val="nil"/>
                  </w:tcBorders>
                  <w:vAlign w:val="center"/>
                </w:tcPr>
                <w:p>
                  <w:pPr>
                    <w:adjustRightInd w:val="0"/>
                    <w:snapToGrid w:val="0"/>
                    <w:spacing w:line="234" w:lineRule="auto"/>
                    <w:jc w:val="both"/>
                    <w:rPr>
                      <w:szCs w:val="21"/>
                    </w:rPr>
                  </w:pPr>
                  <w:r>
                    <w:rPr>
                      <w:szCs w:val="21"/>
                    </w:rPr>
                    <w:t>规划将泾河新城总体定位为：以先进制造业、现代服务业、现代农业为主导产业，以智能制造、生产性服务、文化旅游和茯茶产业为特色产业，具有浓厚古今文化韵味、智慧宜居氛围的大西安北部生态休闲示范区和渭北创新产业服务高地。</w:t>
                  </w:r>
                </w:p>
              </w:tc>
              <w:tc>
                <w:tcPr>
                  <w:tcW w:w="2764" w:type="dxa"/>
                  <w:tcBorders>
                    <w:tl2br w:val="nil"/>
                    <w:tr2bl w:val="nil"/>
                  </w:tcBorders>
                  <w:vAlign w:val="center"/>
                </w:tcPr>
                <w:p>
                  <w:pPr>
                    <w:adjustRightInd w:val="0"/>
                    <w:snapToGrid w:val="0"/>
                    <w:spacing w:line="239" w:lineRule="auto"/>
                    <w:jc w:val="both"/>
                    <w:rPr>
                      <w:szCs w:val="21"/>
                    </w:rPr>
                  </w:pPr>
                  <w:r>
                    <w:rPr>
                      <w:szCs w:val="21"/>
                    </w:rPr>
                    <w:t>项目</w:t>
                  </w:r>
                  <w:r>
                    <w:rPr>
                      <w:rFonts w:hint="eastAsia" w:ascii="Times New Roman" w:hAnsi="Times New Roman" w:eastAsia="宋体" w:cs="Calibri"/>
                      <w:b w:val="0"/>
                      <w:bCs w:val="0"/>
                      <w:color w:val="000000"/>
                      <w:sz w:val="21"/>
                      <w:szCs w:val="21"/>
                      <w:lang w:val="en-US" w:eastAsia="zh-CN"/>
                    </w:rPr>
                    <w:t>属于</w:t>
                  </w:r>
                  <w:r>
                    <w:rPr>
                      <w:rFonts w:hint="eastAsia"/>
                      <w:szCs w:val="21"/>
                      <w:lang w:eastAsia="zh-CN"/>
                    </w:rPr>
                    <w:t>金属制品制造业</w:t>
                  </w:r>
                  <w:r>
                    <w:rPr>
                      <w:szCs w:val="21"/>
                    </w:rPr>
                    <w:t>，</w:t>
                  </w:r>
                  <w:r>
                    <w:rPr>
                      <w:rFonts w:hint="eastAsia"/>
                      <w:szCs w:val="21"/>
                    </w:rPr>
                    <w:t>属于先进制造业，</w:t>
                  </w:r>
                  <w:r>
                    <w:rPr>
                      <w:szCs w:val="21"/>
                    </w:rPr>
                    <w:t>符合</w:t>
                  </w:r>
                  <w:r>
                    <w:rPr>
                      <w:rFonts w:hint="eastAsia"/>
                      <w:szCs w:val="21"/>
                    </w:rPr>
                    <w:t>规划</w:t>
                  </w:r>
                  <w:r>
                    <w:rPr>
                      <w:szCs w:val="21"/>
                    </w:rPr>
                    <w:t>总体定位</w:t>
                  </w:r>
                  <w:r>
                    <w:rPr>
                      <w:rFonts w:hint="eastAsia"/>
                      <w:szCs w:val="21"/>
                    </w:rPr>
                    <w:t>。</w:t>
                  </w:r>
                </w:p>
              </w:tc>
              <w:tc>
                <w:tcPr>
                  <w:tcW w:w="434" w:type="dxa"/>
                  <w:tcBorders>
                    <w:tl2br w:val="nil"/>
                    <w:tr2bl w:val="nil"/>
                  </w:tcBorders>
                  <w:vAlign w:val="center"/>
                </w:tcPr>
                <w:p>
                  <w:pPr>
                    <w:adjustRightInd w:val="0"/>
                    <w:snapToGrid w:val="0"/>
                    <w:spacing w:line="263" w:lineRule="auto"/>
                    <w:jc w:val="center"/>
                    <w:rPr>
                      <w:szCs w:val="21"/>
                    </w:rPr>
                  </w:pPr>
                </w:p>
                <w:p>
                  <w:pPr>
                    <w:adjustRightInd w:val="0"/>
                    <w:snapToGrid w:val="0"/>
                    <w:spacing w:line="264" w:lineRule="auto"/>
                    <w:jc w:val="center"/>
                    <w:rPr>
                      <w:szCs w:val="21"/>
                    </w:rPr>
                  </w:pPr>
                </w:p>
                <w:p>
                  <w:pPr>
                    <w:adjustRightInd w:val="0"/>
                    <w:snapToGrid w:val="0"/>
                    <w:spacing w:line="264" w:lineRule="auto"/>
                    <w:jc w:val="center"/>
                    <w:rPr>
                      <w:szCs w:val="21"/>
                    </w:rPr>
                  </w:pPr>
                </w:p>
                <w:p>
                  <w:pPr>
                    <w:adjustRightInd w:val="0"/>
                    <w:snapToGrid w:val="0"/>
                    <w:jc w:val="center"/>
                    <w:rPr>
                      <w:szCs w:val="21"/>
                    </w:rPr>
                  </w:pPr>
                  <w:r>
                    <w:rPr>
                      <w:spacing w:val="-3"/>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restart"/>
                  <w:tcBorders>
                    <w:tl2br w:val="nil"/>
                    <w:tr2bl w:val="nil"/>
                  </w:tcBorders>
                  <w:vAlign w:val="center"/>
                </w:tcPr>
                <w:p>
                  <w:pPr>
                    <w:adjustRightInd w:val="0"/>
                    <w:snapToGrid w:val="0"/>
                    <w:spacing w:line="239" w:lineRule="auto"/>
                    <w:jc w:val="both"/>
                    <w:rPr>
                      <w:szCs w:val="21"/>
                    </w:rPr>
                  </w:pPr>
                  <w:r>
                    <w:rPr>
                      <w:szCs w:val="21"/>
                    </w:rPr>
                    <w:t>《西咸新区泾河新城分区规划（2016-2035）环境影响报告书》及审查意见</w:t>
                  </w:r>
                </w:p>
              </w:tc>
              <w:tc>
                <w:tcPr>
                  <w:tcW w:w="2700" w:type="dxa"/>
                  <w:tcBorders>
                    <w:tl2br w:val="nil"/>
                    <w:tr2bl w:val="nil"/>
                  </w:tcBorders>
                  <w:vAlign w:val="center"/>
                </w:tcPr>
                <w:p>
                  <w:pPr>
                    <w:adjustRightInd w:val="0"/>
                    <w:snapToGrid w:val="0"/>
                    <w:spacing w:line="234" w:lineRule="auto"/>
                    <w:jc w:val="both"/>
                    <w:rPr>
                      <w:rFonts w:hint="eastAsia"/>
                      <w:szCs w:val="21"/>
                    </w:rPr>
                  </w:pPr>
                  <w:r>
                    <w:rPr>
                      <w:rFonts w:hint="eastAsia"/>
                      <w:color w:val="auto"/>
                      <w:highlight w:val="none"/>
                      <w:lang w:val="en-US" w:eastAsia="zh-CN"/>
                    </w:rPr>
                    <w:t>严格按照《大气污染防治行动计划》的相关要求，加强所涉及的生产、输送和存储过程挥发性有机污染物的排放控制；推进有机废气污染治理，加强有机废气回收利用；新、改、扩建项目若涉及排放挥发性有机物的车间，应安装废气回收/净化装置，确保有机污染物达标排放。</w:t>
                  </w:r>
                </w:p>
              </w:tc>
              <w:tc>
                <w:tcPr>
                  <w:tcW w:w="2764" w:type="dxa"/>
                  <w:tcBorders>
                    <w:tl2br w:val="nil"/>
                    <w:tr2bl w:val="nil"/>
                  </w:tcBorders>
                  <w:vAlign w:val="center"/>
                </w:tcPr>
                <w:p>
                  <w:pPr>
                    <w:adjustRightInd w:val="0"/>
                    <w:snapToGrid w:val="0"/>
                    <w:spacing w:line="239" w:lineRule="auto"/>
                    <w:jc w:val="both"/>
                    <w:rPr>
                      <w:rFonts w:hint="eastAsia" w:eastAsia="宋体"/>
                      <w:szCs w:val="21"/>
                      <w:lang w:eastAsia="zh-CN"/>
                    </w:rPr>
                  </w:pPr>
                  <w:r>
                    <w:rPr>
                      <w:rFonts w:hint="eastAsia" w:ascii="Calibri" w:hAnsi="Calibri" w:cs="Calibri"/>
                      <w:sz w:val="21"/>
                      <w:szCs w:val="21"/>
                      <w:lang w:val="en-US" w:eastAsia="zh-CN"/>
                    </w:rPr>
                    <w:t>项目</w:t>
                  </w:r>
                  <w:r>
                    <w:rPr>
                      <w:rFonts w:ascii="Calibri" w:hAnsi="Calibri" w:cs="Calibri"/>
                      <w:sz w:val="21"/>
                      <w:szCs w:val="21"/>
                    </w:rPr>
                    <w:t>固化工序、木纹转印工序及覆膜工序产生的有机废气经</w:t>
                  </w:r>
                  <w:r>
                    <w:rPr>
                      <w:rFonts w:hint="eastAsia" w:ascii="Calibri" w:hAnsi="Calibri" w:cs="Calibri"/>
                      <w:sz w:val="21"/>
                      <w:szCs w:val="21"/>
                    </w:rPr>
                    <w:t>5个</w:t>
                  </w:r>
                  <w:r>
                    <w:rPr>
                      <w:rFonts w:ascii="Calibri" w:hAnsi="Calibri" w:cs="Calibri"/>
                      <w:sz w:val="21"/>
                      <w:szCs w:val="21"/>
                    </w:rPr>
                    <w:t>集气罩+喷淋塔+过滤棉+二级活性炭对非甲烷总烃及天然气燃烧废气进行处理，处理后废气通过15m排气筒排放。</w:t>
                  </w:r>
                </w:p>
              </w:tc>
              <w:tc>
                <w:tcPr>
                  <w:tcW w:w="434" w:type="dxa"/>
                  <w:tcBorders>
                    <w:tl2br w:val="nil"/>
                    <w:tr2bl w:val="nil"/>
                  </w:tcBorders>
                  <w:vAlign w:val="center"/>
                </w:tcPr>
                <w:p>
                  <w:pPr>
                    <w:adjustRightInd w:val="0"/>
                    <w:snapToGrid w:val="0"/>
                    <w:jc w:val="center"/>
                    <w:rPr>
                      <w:rFonts w:hint="eastAsia" w:eastAsia="宋体"/>
                      <w:spacing w:val="-3"/>
                      <w:szCs w:val="21"/>
                      <w:lang w:val="en-US" w:eastAsia="zh-CN"/>
                    </w:rPr>
                  </w:pPr>
                  <w:r>
                    <w:rPr>
                      <w:rFonts w:hint="eastAsia"/>
                      <w:spacing w:val="-3"/>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color w:val="auto"/>
                      <w:highlight w:val="none"/>
                      <w:lang w:val="en-US" w:eastAsia="zh-CN"/>
                    </w:rPr>
                  </w:pPr>
                  <w:r>
                    <w:rPr>
                      <w:rFonts w:hint="eastAsia"/>
                      <w:color w:val="auto"/>
                      <w:highlight w:val="none"/>
                      <w:lang w:val="en-US" w:eastAsia="zh-CN"/>
                    </w:rPr>
                    <w:t>对产生废气的固定源一方面要通过采用新技术、新工艺，淘汰落后、污染严重的设备，推行清洁生产，另一方面应加强管理，确保废气治理设施稳定高效运行，降低排放。</w:t>
                  </w:r>
                </w:p>
              </w:tc>
              <w:tc>
                <w:tcPr>
                  <w:tcW w:w="276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Calibri" w:hAnsi="Calibri" w:cs="Calibri"/>
                      <w:sz w:val="21"/>
                      <w:szCs w:val="21"/>
                      <w:lang w:val="en-US" w:eastAsia="zh-CN"/>
                    </w:rPr>
                  </w:pPr>
                  <w:r>
                    <w:rPr>
                      <w:rFonts w:hint="eastAsia" w:ascii="Times New Roman" w:hAnsi="Times New Roman" w:cs="Times New Roman"/>
                      <w:color w:val="auto"/>
                      <w:sz w:val="21"/>
                      <w:szCs w:val="21"/>
                      <w:highlight w:val="none"/>
                      <w:lang w:val="en-US" w:eastAsia="zh-CN"/>
                    </w:rPr>
                    <w:t>项目使用的技术及设备不属于淘汰落后、污染严重的设备，环评要求企业建立环保制度，加强管理，确保废气治理设施稳定运行。</w:t>
                  </w:r>
                </w:p>
              </w:tc>
              <w:tc>
                <w:tcPr>
                  <w:tcW w:w="43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spacing w:val="-3"/>
                      <w:szCs w:val="21"/>
                      <w:lang w:val="en-US" w:eastAsia="zh-CN"/>
                    </w:rPr>
                  </w:pPr>
                  <w:r>
                    <w:rPr>
                      <w:rFonts w:hint="default" w:ascii="Times New Roman" w:hAnsi="Times New Roman" w:eastAsia="宋体" w:cs="Times New Roman"/>
                      <w:color w:val="auto"/>
                      <w:sz w:val="21"/>
                      <w:szCs w:val="21"/>
                      <w:highlight w:val="none"/>
                      <w:lang w:val="zh-CN" w:eastAsia="en-US"/>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color w:val="auto"/>
                      <w:highlight w:val="none"/>
                      <w:lang w:val="en-US" w:eastAsia="zh-CN"/>
                    </w:rPr>
                  </w:pPr>
                  <w:r>
                    <w:rPr>
                      <w:rFonts w:hint="eastAsia" w:ascii="Times New Roman" w:hAnsi="Times New Roman" w:cs="Times New Roman"/>
                      <w:color w:val="auto"/>
                      <w:sz w:val="21"/>
                      <w:szCs w:val="21"/>
                      <w:highlight w:val="none"/>
                      <w:lang w:val="en-US" w:eastAsia="zh-CN"/>
                    </w:rPr>
                    <w:t>企业应强化废气污染治理措施，确保废气排放满足《大气污染物综合排放标准》（GB16297-1996）二级标准或相应的行业标准要求。</w:t>
                  </w:r>
                  <w:r>
                    <w:rPr>
                      <w:rFonts w:hint="eastAsia"/>
                      <w:color w:val="auto"/>
                      <w:highlight w:val="none"/>
                      <w:lang w:val="en-US" w:eastAsia="zh-CN"/>
                    </w:rPr>
                    <w:t>新、改、扩建涉及VOCs排放项目，从原辅材料和工艺过程大力减少VOCs排放，加强VOCs的收集和治理，严格控制生产、储存、装卸等环节的排放。企业应采取措施，降低生产过程中无组织排放。</w:t>
                  </w:r>
                </w:p>
              </w:tc>
              <w:tc>
                <w:tcPr>
                  <w:tcW w:w="2764" w:type="dxa"/>
                  <w:tcBorders>
                    <w:tl2br w:val="nil"/>
                    <w:tr2bl w:val="nil"/>
                  </w:tcBorders>
                  <w:vAlign w:val="center"/>
                </w:tcPr>
                <w:p>
                  <w:pPr>
                    <w:keepNext w:val="0"/>
                    <w:keepLines w:val="0"/>
                    <w:suppressLineNumbers w:val="0"/>
                    <w:spacing w:before="0" w:beforeAutospacing="0" w:after="0" w:afterAutospacing="0"/>
                    <w:ind w:left="0" w:leftChars="0" w:right="0" w:rightChars="0"/>
                    <w:jc w:val="both"/>
                    <w:rPr>
                      <w:rFonts w:hint="eastAsia"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项目废气采取可靠的废气治理措施。</w:t>
                  </w:r>
                  <w:r>
                    <w:rPr>
                      <w:rFonts w:ascii="Calibri" w:hAnsi="Calibri" w:cs="Calibri"/>
                      <w:kern w:val="0"/>
                      <w:szCs w:val="21"/>
                    </w:rPr>
                    <w:t>喷塑颗粒物经喷粉房自带大旋风回收系统（滤筒</w:t>
                  </w:r>
                  <w:r>
                    <w:rPr>
                      <w:rFonts w:hint="eastAsia" w:ascii="Calibri" w:hAnsi="Calibri" w:cs="Calibri"/>
                      <w:kern w:val="0"/>
                      <w:szCs w:val="21"/>
                    </w:rPr>
                    <w:t>+</w:t>
                  </w:r>
                  <w:r>
                    <w:rPr>
                      <w:rFonts w:ascii="Calibri" w:hAnsi="Calibri" w:cs="Calibri"/>
                      <w:kern w:val="0"/>
                      <w:szCs w:val="21"/>
                    </w:rPr>
                    <w:t>旋风分离器）</w:t>
                  </w:r>
                  <w:r>
                    <w:rPr>
                      <w:rFonts w:ascii="Calibri" w:hAnsi="Calibri" w:cs="Calibri"/>
                      <w:szCs w:val="21"/>
                    </w:rPr>
                    <w:t>处理后排放</w:t>
                  </w:r>
                  <w:r>
                    <w:rPr>
                      <w:rFonts w:hint="eastAsia" w:ascii="Calibri" w:hAnsi="Calibri" w:cs="Calibri"/>
                      <w:szCs w:val="21"/>
                      <w:lang w:eastAsia="zh-CN"/>
                    </w:rPr>
                    <w:t>，</w:t>
                  </w:r>
                  <w:r>
                    <w:rPr>
                      <w:rFonts w:hint="eastAsia" w:ascii="Calibri" w:hAnsi="Calibri" w:cs="Calibri"/>
                      <w:szCs w:val="21"/>
                      <w:lang w:val="en-US" w:eastAsia="zh-CN"/>
                    </w:rPr>
                    <w:t>排放浓度和排放速率</w:t>
                  </w:r>
                  <w:r>
                    <w:rPr>
                      <w:rFonts w:hint="eastAsia" w:ascii="Times New Roman" w:hAnsi="Times New Roman" w:cs="Times New Roman"/>
                      <w:color w:val="auto"/>
                      <w:sz w:val="21"/>
                      <w:szCs w:val="21"/>
                      <w:highlight w:val="none"/>
                      <w:lang w:val="en-US" w:eastAsia="zh-CN"/>
                    </w:rPr>
                    <w:t>满足《大气污染物综合排放标准》（GB16297-1996）二级标准</w:t>
                  </w:r>
                  <w:r>
                    <w:rPr>
                      <w:rFonts w:hint="eastAsia" w:cs="Times New Roman"/>
                      <w:color w:val="auto"/>
                      <w:sz w:val="21"/>
                      <w:szCs w:val="21"/>
                      <w:highlight w:val="none"/>
                      <w:lang w:val="en-US" w:eastAsia="zh-CN"/>
                    </w:rPr>
                    <w:t>；有</w:t>
                  </w:r>
                  <w:r>
                    <w:rPr>
                      <w:rFonts w:hint="eastAsia" w:ascii="Calibri" w:hAnsi="Calibri" w:cs="Calibri"/>
                      <w:szCs w:val="21"/>
                      <w:lang w:val="en-US" w:eastAsia="zh-CN"/>
                    </w:rPr>
                    <w:t>机废气非甲烷总烃</w:t>
                  </w:r>
                  <w:r>
                    <w:rPr>
                      <w:rFonts w:ascii="Calibri" w:hAnsi="Calibri" w:cs="Calibri"/>
                      <w:szCs w:val="21"/>
                    </w:rPr>
                    <w:t>集气罩+喷淋塔+过滤棉+</w:t>
                  </w:r>
                  <w:r>
                    <w:rPr>
                      <w:rFonts w:hint="eastAsia" w:ascii="Times New Roman" w:hAnsi="Times New Roman" w:cs="Times New Roman"/>
                      <w:color w:val="auto"/>
                      <w:sz w:val="21"/>
                      <w:szCs w:val="21"/>
                      <w:highlight w:val="none"/>
                      <w:lang w:val="en-US" w:eastAsia="zh-CN"/>
                    </w:rPr>
                    <w:t>二级活性炭吸附后排放，排放浓度和排放速率满足《挥发性有机物排放控制标准》（DB61/T1061</w:t>
                  </w:r>
                  <w:r>
                    <w:rPr>
                      <w:rFonts w:hint="eastAsia" w:cs="Times New Roman"/>
                      <w:color w:val="auto"/>
                      <w:sz w:val="21"/>
                      <w:szCs w:val="21"/>
                      <w:highlight w:val="none"/>
                      <w:lang w:val="en-US" w:eastAsia="zh-CN"/>
                    </w:rPr>
                    <w:t>-2017</w:t>
                  </w:r>
                  <w:r>
                    <w:rPr>
                      <w:rFonts w:hint="eastAsia"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w:t>
                  </w:r>
                  <w:r>
                    <w:rPr>
                      <w:rFonts w:hint="eastAsia" w:ascii="Times New Roman" w:hAnsi="Times New Roman" w:cs="Times New Roman"/>
                      <w:color w:val="auto"/>
                      <w:sz w:val="21"/>
                      <w:szCs w:val="21"/>
                      <w:highlight w:val="none"/>
                      <w:lang w:val="en-US" w:eastAsia="zh-CN"/>
                    </w:rPr>
                    <w:t>天然气燃烧废气经低氮燃烧器处理后满足《工业炉窑大气污染综合治理方案》（环大气[2019]56号）中重点区域相关标准。</w:t>
                  </w:r>
                </w:p>
              </w:tc>
              <w:tc>
                <w:tcPr>
                  <w:tcW w:w="434" w:type="dxa"/>
                  <w:tcBorders>
                    <w:tl2br w:val="nil"/>
                    <w:tr2bl w:val="nil"/>
                  </w:tcBorders>
                  <w:vAlign w:val="center"/>
                </w:tcPr>
                <w:p>
                  <w:pPr>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zh-CN" w:eastAsia="en-US"/>
                    </w:rPr>
                  </w:pPr>
                  <w:r>
                    <w:rPr>
                      <w:rFonts w:hint="default" w:ascii="Times New Roman" w:hAnsi="Times New Roman" w:eastAsia="宋体" w:cs="Times New Roman"/>
                      <w:color w:val="auto"/>
                      <w:sz w:val="21"/>
                      <w:szCs w:val="21"/>
                      <w:highlight w:val="none"/>
                      <w:lang w:val="zh-CN" w:eastAsia="en-US"/>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color w:val="auto"/>
                      <w:highlight w:val="none"/>
                      <w:lang w:val="en-US" w:eastAsia="zh-CN"/>
                    </w:rPr>
                  </w:pPr>
                  <w:r>
                    <w:rPr>
                      <w:rFonts w:hint="eastAsia"/>
                      <w:color w:val="auto"/>
                      <w:highlight w:val="none"/>
                      <w:lang w:val="en-US" w:eastAsia="zh-CN"/>
                    </w:rPr>
                    <w:t>加强环境风险防范措施。企业优化布局，将已发生风险事故的设备、厂房在平面布置中远离敏感区；仓储区/储罐区应加强日常生产管理和设备维护，做好通风设施，定期检漏，避免环境风险泄漏或燃爆事故发生；设置先进的自动控制系统，企业建立风险应急机制，做好风险防范措施。</w:t>
                  </w:r>
                </w:p>
              </w:tc>
              <w:tc>
                <w:tcPr>
                  <w:tcW w:w="276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项目对危废贮存库、污水处理站、药品室进行重点防渗，建立风险防范制度，规范储存，对危险废物严格按照技术规范要求进行收集、暂存和处置，配备消防栓等灭火器材，要求企业编制突发环境事件应急预案并及时备案。</w:t>
                  </w:r>
                </w:p>
              </w:tc>
              <w:tc>
                <w:tcPr>
                  <w:tcW w:w="43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zh-CN" w:eastAsia="en-US"/>
                    </w:rPr>
                  </w:pPr>
                  <w:r>
                    <w:rPr>
                      <w:rFonts w:hint="eastAsia" w:ascii="Times New Roman" w:hAnsi="Times New Roman" w:cs="Times New Roman"/>
                      <w:color w:val="auto"/>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color w:val="auto"/>
                      <w:highlight w:val="none"/>
                      <w:lang w:val="en-US" w:eastAsia="zh-CN"/>
                    </w:rPr>
                  </w:pPr>
                  <w:r>
                    <w:rPr>
                      <w:rFonts w:hint="eastAsia"/>
                      <w:color w:val="auto"/>
                      <w:highlight w:val="none"/>
                      <w:lang w:val="en-US" w:eastAsia="zh-CN"/>
                    </w:rPr>
                    <w:t>加强监督管理，确保入驻企业的污水预处理设施正常运行，保证进入污水处理厂的污水水质满足污水处理厂设计水质的要求。</w:t>
                  </w:r>
                </w:p>
              </w:tc>
              <w:tc>
                <w:tcPr>
                  <w:tcW w:w="276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cs="Times New Roman"/>
                      <w:color w:val="auto"/>
                      <w:sz w:val="21"/>
                      <w:szCs w:val="21"/>
                      <w:highlight w:val="none"/>
                      <w:lang w:val="en-US" w:eastAsia="zh-CN"/>
                    </w:rPr>
                  </w:pPr>
                  <w:r>
                    <w:rPr>
                      <w:rFonts w:hint="eastAsia"/>
                      <w:szCs w:val="21"/>
                      <w:lang w:eastAsia="zh-CN"/>
                    </w:rPr>
                    <w:t>项目</w:t>
                  </w:r>
                  <w:r>
                    <w:rPr>
                      <w:rFonts w:hint="eastAsia"/>
                      <w:szCs w:val="21"/>
                    </w:rPr>
                    <w:t>实施雨污分流。生活污水经</w:t>
                  </w:r>
                  <w:r>
                    <w:rPr>
                      <w:rFonts w:hint="eastAsia"/>
                      <w:szCs w:val="21"/>
                      <w:lang w:eastAsia="zh-CN"/>
                    </w:rPr>
                    <w:t>租赁方化粪池</w:t>
                  </w:r>
                  <w:r>
                    <w:rPr>
                      <w:rFonts w:hint="eastAsia"/>
                      <w:szCs w:val="21"/>
                    </w:rPr>
                    <w:t>沉淀后外运肥田，喷淋塔水循环使用，</w:t>
                  </w:r>
                  <w:r>
                    <w:rPr>
                      <w:rFonts w:hint="eastAsia"/>
                      <w:szCs w:val="21"/>
                      <w:lang w:val="en-US" w:eastAsia="zh-CN"/>
                    </w:rPr>
                    <w:t>铝材表面处理废水和</w:t>
                  </w:r>
                  <w:r>
                    <w:rPr>
                      <w:rFonts w:hint="eastAsia"/>
                      <w:szCs w:val="21"/>
                      <w:lang w:eastAsia="zh-CN"/>
                    </w:rPr>
                    <w:t>清洗废水</w:t>
                  </w:r>
                  <w:r>
                    <w:rPr>
                      <w:rFonts w:hint="eastAsia"/>
                      <w:szCs w:val="21"/>
                    </w:rPr>
                    <w:t>经污水处理站处理后循环使用</w:t>
                  </w:r>
                  <w:r>
                    <w:rPr>
                      <w:rFonts w:hint="eastAsia"/>
                      <w:szCs w:val="21"/>
                      <w:lang w:eastAsia="zh-CN"/>
                    </w:rPr>
                    <w:t>，</w:t>
                  </w:r>
                  <w:r>
                    <w:rPr>
                      <w:rFonts w:hint="eastAsia"/>
                      <w:szCs w:val="21"/>
                      <w:lang w:val="en-US" w:eastAsia="zh-CN"/>
                    </w:rPr>
                    <w:t>不外排</w:t>
                  </w:r>
                  <w:r>
                    <w:rPr>
                      <w:rFonts w:hint="eastAsia"/>
                      <w:szCs w:val="21"/>
                    </w:rPr>
                    <w:t>。</w:t>
                  </w:r>
                </w:p>
              </w:tc>
              <w:tc>
                <w:tcPr>
                  <w:tcW w:w="43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zh-CN" w:eastAsia="en-US"/>
                    </w:rPr>
                  </w:pPr>
                  <w:r>
                    <w:rPr>
                      <w:rFonts w:hint="eastAsia" w:ascii="Times New Roman" w:hAnsi="Times New Roman" w:cs="Times New Roman"/>
                      <w:color w:val="auto"/>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color w:val="auto"/>
                      <w:highlight w:val="none"/>
                      <w:lang w:val="en-US" w:eastAsia="zh-CN"/>
                    </w:rPr>
                  </w:pPr>
                  <w:r>
                    <w:rPr>
                      <w:rFonts w:hint="eastAsia"/>
                      <w:color w:val="auto"/>
                      <w:highlight w:val="none"/>
                      <w:lang w:val="en-US" w:eastAsia="zh-CN"/>
                    </w:rPr>
                    <w:t>重视工业企业的生产、生活污水处理达标，规范各项目的排水口，以及严格按相关规范要求对固废处置，做好项目清污分流。</w:t>
                  </w:r>
                </w:p>
              </w:tc>
              <w:tc>
                <w:tcPr>
                  <w:tcW w:w="276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ascii="Times New Roman" w:hAnsi="Times New Roman" w:cs="Times New Roman"/>
                      <w:color w:val="auto"/>
                      <w:sz w:val="21"/>
                      <w:szCs w:val="21"/>
                      <w:highlight w:val="none"/>
                      <w:lang w:val="en-US" w:eastAsia="zh-CN"/>
                    </w:rPr>
                  </w:pPr>
                  <w:r>
                    <w:rPr>
                      <w:rFonts w:hint="eastAsia"/>
                      <w:szCs w:val="21"/>
                      <w:lang w:eastAsia="zh-CN"/>
                    </w:rPr>
                    <w:t>项目</w:t>
                  </w:r>
                  <w:r>
                    <w:rPr>
                      <w:rFonts w:hint="eastAsia"/>
                      <w:szCs w:val="21"/>
                    </w:rPr>
                    <w:t>实施雨污分流。生活污水经</w:t>
                  </w:r>
                  <w:r>
                    <w:rPr>
                      <w:rFonts w:hint="eastAsia"/>
                      <w:szCs w:val="21"/>
                      <w:lang w:eastAsia="zh-CN"/>
                    </w:rPr>
                    <w:t>租赁方化粪池</w:t>
                  </w:r>
                  <w:r>
                    <w:rPr>
                      <w:rFonts w:hint="eastAsia"/>
                      <w:szCs w:val="21"/>
                    </w:rPr>
                    <w:t>沉淀后外运肥田，喷淋塔水循环使用不外排，</w:t>
                  </w:r>
                  <w:r>
                    <w:rPr>
                      <w:rFonts w:hint="eastAsia"/>
                      <w:szCs w:val="21"/>
                      <w:lang w:eastAsia="zh-CN"/>
                    </w:rPr>
                    <w:t>铝材表面处理废水和清洗废水</w:t>
                  </w:r>
                  <w:r>
                    <w:rPr>
                      <w:rFonts w:hint="eastAsia"/>
                      <w:szCs w:val="21"/>
                    </w:rPr>
                    <w:t>经污水处理站处理后循环使用</w:t>
                  </w:r>
                  <w:r>
                    <w:rPr>
                      <w:rFonts w:hint="eastAsia"/>
                      <w:szCs w:val="21"/>
                      <w:lang w:eastAsia="zh-CN"/>
                    </w:rPr>
                    <w:t>，</w:t>
                  </w:r>
                  <w:r>
                    <w:rPr>
                      <w:rFonts w:hint="eastAsia"/>
                      <w:szCs w:val="21"/>
                      <w:lang w:val="en-US" w:eastAsia="zh-CN"/>
                    </w:rPr>
                    <w:t>不外排</w:t>
                  </w:r>
                  <w:r>
                    <w:rPr>
                      <w:rFonts w:hint="eastAsia"/>
                      <w:szCs w:val="21"/>
                    </w:rPr>
                    <w:t>。</w:t>
                  </w:r>
                  <w:r>
                    <w:rPr>
                      <w:rFonts w:hint="eastAsia" w:ascii="Times New Roman" w:hAnsi="Times New Roman" w:cs="Times New Roman"/>
                      <w:color w:val="auto"/>
                      <w:sz w:val="21"/>
                      <w:szCs w:val="21"/>
                      <w:highlight w:val="none"/>
                      <w:lang w:val="en-US" w:eastAsia="zh-CN"/>
                    </w:rPr>
                    <w:t>项目按照《一般工业固体废物贮存和填埋污染控制标准》（GB18599-2020）和危险废物执行《危险废物贮存污染控制标准》（GB18597-2023）中相关规定进行固体废物处置。</w:t>
                  </w:r>
                </w:p>
              </w:tc>
              <w:tc>
                <w:tcPr>
                  <w:tcW w:w="43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zh-CN" w:eastAsia="en-US"/>
                    </w:rPr>
                  </w:pPr>
                  <w:r>
                    <w:rPr>
                      <w:rFonts w:hint="eastAsia" w:ascii="Times New Roman" w:hAnsi="Times New Roman" w:cs="Times New Roman"/>
                      <w:color w:val="auto"/>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rFonts w:hint="eastAsia"/>
                      <w:szCs w:val="21"/>
                    </w:rPr>
                  </w:pPr>
                  <w:r>
                    <w:rPr>
                      <w:rFonts w:hint="eastAsia"/>
                      <w:color w:val="auto"/>
                      <w:highlight w:val="none"/>
                      <w:lang w:val="en-US" w:eastAsia="zh-CN"/>
                    </w:rPr>
                    <w:t>各企业生产设备和辅助设备在选型、采购时应考虑使用低噪声、低振动的设备，从源头上控制噪声。确保防治环境噪声污染的设施必须正常使用，各种噪声源必须达标排放，达到《工业企业厂界环境噪声排放</w:t>
                  </w:r>
                  <w:r>
                    <w:rPr>
                      <w:rFonts w:hint="default" w:ascii="Times New Roman" w:hAnsi="Times New Roman" w:cs="Times New Roman"/>
                      <w:color w:val="auto"/>
                      <w:highlight w:val="none"/>
                      <w:lang w:val="en-US" w:eastAsia="zh-CN"/>
                    </w:rPr>
                    <w:t>标准》（GB12348-2008）中</w:t>
                  </w:r>
                  <w:r>
                    <w:rPr>
                      <w:rFonts w:hint="eastAsia"/>
                      <w:color w:val="auto"/>
                      <w:highlight w:val="none"/>
                      <w:lang w:val="en-US" w:eastAsia="zh-CN"/>
                    </w:rPr>
                    <w:t>相关标准要求。</w:t>
                  </w:r>
                </w:p>
              </w:tc>
              <w:tc>
                <w:tcPr>
                  <w:tcW w:w="276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both"/>
                    <w:textAlignment w:val="auto"/>
                    <w:rPr>
                      <w:szCs w:val="21"/>
                    </w:rPr>
                  </w:pPr>
                  <w:r>
                    <w:rPr>
                      <w:rFonts w:hint="eastAsia" w:ascii="Times New Roman" w:hAnsi="Times New Roman" w:cs="Times New Roman"/>
                      <w:color w:val="auto"/>
                      <w:sz w:val="21"/>
                      <w:szCs w:val="21"/>
                      <w:highlight w:val="none"/>
                      <w:lang w:val="en-US" w:eastAsia="zh-CN"/>
                    </w:rPr>
                    <w:t>项目通过选用低噪声设备，厂房隔声、基础减振等措施，同时优化厂区布局，从源头控制噪声污染，噪声排放达到</w:t>
                  </w:r>
                  <w:r>
                    <w:rPr>
                      <w:rFonts w:hint="eastAsia"/>
                      <w:color w:val="auto"/>
                      <w:highlight w:val="none"/>
                      <w:lang w:val="en-US" w:eastAsia="zh-CN"/>
                    </w:rPr>
                    <w:t>《工业企业厂界环境噪声排放</w:t>
                  </w:r>
                  <w:r>
                    <w:rPr>
                      <w:rFonts w:hint="default" w:ascii="Times New Roman" w:hAnsi="Times New Roman" w:cs="Times New Roman"/>
                      <w:color w:val="auto"/>
                      <w:highlight w:val="none"/>
                      <w:lang w:val="en-US" w:eastAsia="zh-CN"/>
                    </w:rPr>
                    <w:t>标准》（GB12348-2008）</w:t>
                  </w:r>
                  <w:r>
                    <w:rPr>
                      <w:rFonts w:hint="eastAsia" w:ascii="Times New Roman" w:hAnsi="Times New Roman" w:cs="Times New Roman"/>
                      <w:color w:val="auto"/>
                      <w:highlight w:val="none"/>
                      <w:lang w:val="en-US" w:eastAsia="zh-CN"/>
                    </w:rPr>
                    <w:t>中2类标准要求。</w:t>
                  </w:r>
                </w:p>
              </w:tc>
              <w:tc>
                <w:tcPr>
                  <w:tcW w:w="434" w:type="dxa"/>
                  <w:tcBorders>
                    <w:tl2br w:val="nil"/>
                    <w:tr2bl w:val="nil"/>
                  </w:tcBorders>
                  <w:vAlign w:val="center"/>
                </w:tcPr>
                <w:p>
                  <w:pPr>
                    <w:pStyle w:val="53"/>
                    <w:keepNext w:val="0"/>
                    <w:keepLines w:val="0"/>
                    <w:pageBreakBefore w:val="0"/>
                    <w:widowControl/>
                    <w:suppressLineNumbers w:val="0"/>
                    <w:kinsoku w:val="0"/>
                    <w:wordWrap/>
                    <w:overflowPunct w:val="0"/>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spacing w:val="-3"/>
                      <w:szCs w:val="21"/>
                    </w:rPr>
                  </w:pPr>
                  <w:r>
                    <w:rPr>
                      <w:rFonts w:hint="eastAsia" w:ascii="Times New Roman" w:hAnsi="Times New Roman" w:cs="Times New Roman"/>
                      <w:color w:val="auto"/>
                      <w:sz w:val="21"/>
                      <w:szCs w:val="21"/>
                      <w:highlight w:val="none"/>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adjustRightInd w:val="0"/>
                    <w:snapToGrid w:val="0"/>
                    <w:spacing w:line="234" w:lineRule="auto"/>
                    <w:jc w:val="both"/>
                    <w:rPr>
                      <w:szCs w:val="21"/>
                    </w:rPr>
                  </w:pPr>
                  <w:r>
                    <w:rPr>
                      <w:rFonts w:hint="eastAsia"/>
                      <w:szCs w:val="21"/>
                    </w:rPr>
                    <w:t>（</w:t>
                  </w:r>
                  <w:r>
                    <w:rPr>
                      <w:szCs w:val="21"/>
                    </w:rPr>
                    <w:t>一）加强规划引导，牢固树立生态优先、绿色发展理念，坚持创新城市发展方式，推动城市与产业协调发展。严格落实生态保护红线、环境质量底线、资源利用上线和生态环境准入清单管控要求。强化“三线一单”在优化布局、控制规模及对项目环境准入的强制约束作用。限制大气污染物及水污染物排放量大的项目入区。引进项目的生产工艺、设备、污染治理技术，以及单位产品能耗、物耗、污染物排放和资源利用率等达到同行业先进水平，落实《报告书》提出的生态环境保护要求。</w:t>
                  </w:r>
                </w:p>
              </w:tc>
              <w:tc>
                <w:tcPr>
                  <w:tcW w:w="2764" w:type="dxa"/>
                  <w:tcBorders>
                    <w:tl2br w:val="nil"/>
                    <w:tr2bl w:val="nil"/>
                  </w:tcBorders>
                  <w:vAlign w:val="center"/>
                </w:tcPr>
                <w:p>
                  <w:pPr>
                    <w:adjustRightInd w:val="0"/>
                    <w:snapToGrid w:val="0"/>
                    <w:spacing w:line="239" w:lineRule="auto"/>
                    <w:jc w:val="both"/>
                    <w:rPr>
                      <w:szCs w:val="21"/>
                    </w:rPr>
                  </w:pPr>
                  <w:r>
                    <w:rPr>
                      <w:rFonts w:hint="eastAsia"/>
                      <w:szCs w:val="21"/>
                      <w:lang w:eastAsia="zh-CN"/>
                    </w:rPr>
                    <w:t>项目</w:t>
                  </w:r>
                  <w:r>
                    <w:rPr>
                      <w:rFonts w:hint="eastAsia"/>
                      <w:szCs w:val="21"/>
                    </w:rPr>
                    <w:t>产业政策和“三线一单”符合环境准入要求，不属于污染物排放量大的项目；项目采用的生产工艺、设备及污染物治理技术达到国内先进水平，污染物可达标排放。</w:t>
                  </w:r>
                </w:p>
              </w:tc>
              <w:tc>
                <w:tcPr>
                  <w:tcW w:w="434" w:type="dxa"/>
                  <w:tcBorders>
                    <w:tl2br w:val="nil"/>
                    <w:tr2bl w:val="nil"/>
                  </w:tcBorders>
                  <w:vAlign w:val="center"/>
                </w:tcPr>
                <w:p>
                  <w:pPr>
                    <w:adjustRightInd w:val="0"/>
                    <w:snapToGrid w:val="0"/>
                    <w:spacing w:line="186" w:lineRule="auto"/>
                    <w:jc w:val="center"/>
                    <w:rPr>
                      <w:spacing w:val="-3"/>
                      <w:szCs w:val="21"/>
                    </w:rPr>
                  </w:pPr>
                </w:p>
                <w:p>
                  <w:pPr>
                    <w:adjustRightInd w:val="0"/>
                    <w:snapToGrid w:val="0"/>
                    <w:spacing w:line="186" w:lineRule="auto"/>
                    <w:jc w:val="center"/>
                    <w:rPr>
                      <w:spacing w:val="-3"/>
                      <w:szCs w:val="21"/>
                    </w:rPr>
                  </w:pPr>
                </w:p>
                <w:p>
                  <w:pPr>
                    <w:adjustRightInd w:val="0"/>
                    <w:snapToGrid w:val="0"/>
                    <w:spacing w:line="186" w:lineRule="auto"/>
                    <w:jc w:val="center"/>
                    <w:rPr>
                      <w:spacing w:val="-3"/>
                      <w:szCs w:val="21"/>
                    </w:rPr>
                  </w:pPr>
                </w:p>
                <w:p>
                  <w:pPr>
                    <w:adjustRightInd w:val="0"/>
                    <w:snapToGrid w:val="0"/>
                    <w:jc w:val="center"/>
                    <w:rPr>
                      <w:spacing w:val="-3"/>
                      <w:szCs w:val="21"/>
                    </w:rPr>
                  </w:pPr>
                </w:p>
                <w:p>
                  <w:pPr>
                    <w:adjustRightInd w:val="0"/>
                    <w:snapToGrid w:val="0"/>
                    <w:jc w:val="center"/>
                    <w:rPr>
                      <w:spacing w:val="-3"/>
                      <w:szCs w:val="21"/>
                    </w:rPr>
                  </w:pPr>
                  <w:r>
                    <w:rPr>
                      <w:spacing w:val="-3"/>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adjustRightInd w:val="0"/>
                    <w:snapToGrid w:val="0"/>
                    <w:spacing w:line="234" w:lineRule="auto"/>
                    <w:jc w:val="both"/>
                    <w:rPr>
                      <w:szCs w:val="21"/>
                    </w:rPr>
                  </w:pPr>
                  <w:r>
                    <w:rPr>
                      <w:rFonts w:hint="eastAsia"/>
                      <w:szCs w:val="21"/>
                    </w:rPr>
                    <w:t>（</w:t>
                  </w:r>
                  <w:r>
                    <w:rPr>
                      <w:szCs w:val="21"/>
                    </w:rPr>
                    <w:t>二</w:t>
                  </w:r>
                  <w:r>
                    <w:rPr>
                      <w:rFonts w:hint="eastAsia"/>
                      <w:szCs w:val="21"/>
                    </w:rPr>
                    <w:t>）</w:t>
                  </w:r>
                  <w:r>
                    <w:rPr>
                      <w:szCs w:val="21"/>
                    </w:rPr>
                    <w:t>严守环境质量底线，落实污染物总量管控要求。根据国家、陕西省、西咸新区有关大气、水、土壤污染防治行动计划相关要求，采取有效措施减少主要污染物排放总量，实现区域环境质量改善</w:t>
                  </w:r>
                  <w:r>
                    <w:rPr>
                      <w:rFonts w:hint="eastAsia"/>
                      <w:szCs w:val="21"/>
                    </w:rPr>
                    <w:t>目</w:t>
                  </w:r>
                  <w:r>
                    <w:rPr>
                      <w:szCs w:val="21"/>
                    </w:rPr>
                    <w:t>标。</w:t>
                  </w:r>
                </w:p>
              </w:tc>
              <w:tc>
                <w:tcPr>
                  <w:tcW w:w="2764" w:type="dxa"/>
                  <w:tcBorders>
                    <w:tl2br w:val="nil"/>
                    <w:tr2bl w:val="nil"/>
                  </w:tcBorders>
                  <w:vAlign w:val="center"/>
                </w:tcPr>
                <w:p>
                  <w:pPr>
                    <w:adjustRightInd w:val="0"/>
                    <w:snapToGrid w:val="0"/>
                    <w:spacing w:line="239" w:lineRule="auto"/>
                    <w:jc w:val="both"/>
                    <w:rPr>
                      <w:szCs w:val="21"/>
                    </w:rPr>
                  </w:pPr>
                  <w:r>
                    <w:rPr>
                      <w:rFonts w:hint="eastAsia"/>
                      <w:szCs w:val="21"/>
                      <w:lang w:eastAsia="zh-CN"/>
                    </w:rPr>
                    <w:t>项目</w:t>
                  </w:r>
                  <w:r>
                    <w:rPr>
                      <w:rFonts w:hint="eastAsia"/>
                      <w:szCs w:val="21"/>
                      <w:lang w:val="en-US" w:eastAsia="zh-CN"/>
                    </w:rPr>
                    <w:t>运行期产生的颗粒物、氮氧化物、二氧化硫、非甲烷总烃采取有效治理措施后可达标排放</w:t>
                  </w:r>
                  <w:r>
                    <w:rPr>
                      <w:rFonts w:hint="eastAsia"/>
                      <w:szCs w:val="21"/>
                      <w:lang w:eastAsia="zh-CN"/>
                    </w:rPr>
                    <w:t>；</w:t>
                  </w:r>
                  <w:r>
                    <w:rPr>
                      <w:rFonts w:hint="eastAsia" w:ascii="Times New Roman" w:hAnsi="Times New Roman" w:eastAsia="宋体" w:cs="Calibri"/>
                      <w:b w:val="0"/>
                      <w:bCs w:val="0"/>
                      <w:color w:val="000000"/>
                      <w:sz w:val="21"/>
                      <w:szCs w:val="21"/>
                      <w:lang w:val="en-US" w:eastAsia="zh-CN"/>
                    </w:rPr>
                    <w:t>生活污水经</w:t>
                  </w:r>
                  <w:r>
                    <w:rPr>
                      <w:rFonts w:hint="eastAsia" w:cs="Calibri"/>
                      <w:b w:val="0"/>
                      <w:bCs w:val="0"/>
                      <w:color w:val="000000"/>
                      <w:sz w:val="21"/>
                      <w:szCs w:val="21"/>
                      <w:lang w:val="en-US" w:eastAsia="zh-CN"/>
                    </w:rPr>
                    <w:t>租赁方化粪池</w:t>
                  </w:r>
                  <w:r>
                    <w:rPr>
                      <w:rFonts w:hint="eastAsia" w:ascii="Times New Roman" w:hAnsi="Times New Roman" w:eastAsia="宋体" w:cs="Calibri"/>
                      <w:b w:val="0"/>
                      <w:bCs w:val="0"/>
                      <w:color w:val="000000"/>
                      <w:sz w:val="21"/>
                      <w:szCs w:val="21"/>
                      <w:lang w:val="en-US" w:eastAsia="zh-CN"/>
                    </w:rPr>
                    <w:t>沉淀后外运肥田，</w:t>
                  </w:r>
                  <w:r>
                    <w:rPr>
                      <w:rFonts w:hint="eastAsia" w:cs="Calibri"/>
                      <w:b w:val="0"/>
                      <w:bCs w:val="0"/>
                      <w:color w:val="000000"/>
                      <w:sz w:val="21"/>
                      <w:szCs w:val="21"/>
                      <w:lang w:val="en-US" w:eastAsia="zh-CN"/>
                    </w:rPr>
                    <w:t>铝材表面处理废水和清洗废水</w:t>
                  </w:r>
                  <w:r>
                    <w:rPr>
                      <w:rFonts w:hint="eastAsia" w:ascii="Times New Roman" w:hAnsi="Times New Roman" w:eastAsia="宋体" w:cs="Calibri"/>
                      <w:b w:val="0"/>
                      <w:bCs w:val="0"/>
                      <w:color w:val="000000"/>
                      <w:sz w:val="21"/>
                      <w:szCs w:val="21"/>
                      <w:lang w:val="en-US" w:eastAsia="zh-CN"/>
                    </w:rPr>
                    <w:t>经污水处理站处理后循环使用。</w:t>
                  </w:r>
                  <w:r>
                    <w:rPr>
                      <w:rFonts w:hint="eastAsia" w:cs="Calibri"/>
                      <w:b w:val="0"/>
                      <w:bCs w:val="0"/>
                      <w:color w:val="000000"/>
                      <w:sz w:val="21"/>
                      <w:szCs w:val="21"/>
                      <w:lang w:val="en-US" w:eastAsia="zh-CN"/>
                    </w:rPr>
                    <w:t>采取上述环保措施</w:t>
                  </w:r>
                  <w:r>
                    <w:rPr>
                      <w:rFonts w:hint="eastAsia"/>
                      <w:szCs w:val="21"/>
                    </w:rPr>
                    <w:t>可有效减少污染物排放量。</w:t>
                  </w:r>
                </w:p>
              </w:tc>
              <w:tc>
                <w:tcPr>
                  <w:tcW w:w="434" w:type="dxa"/>
                  <w:tcBorders>
                    <w:tl2br w:val="nil"/>
                    <w:tr2bl w:val="nil"/>
                  </w:tcBorders>
                  <w:vAlign w:val="center"/>
                </w:tcPr>
                <w:p>
                  <w:pPr>
                    <w:adjustRightInd w:val="0"/>
                    <w:snapToGrid w:val="0"/>
                    <w:jc w:val="center"/>
                    <w:rPr>
                      <w:spacing w:val="-3"/>
                      <w:szCs w:val="21"/>
                    </w:rPr>
                  </w:pPr>
                  <w:r>
                    <w:rPr>
                      <w:spacing w:val="-3"/>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63" w:type="dxa"/>
                  <w:vMerge w:val="continue"/>
                  <w:tcBorders>
                    <w:tl2br w:val="nil"/>
                    <w:tr2bl w:val="nil"/>
                  </w:tcBorders>
                  <w:vAlign w:val="center"/>
                </w:tcPr>
                <w:p>
                  <w:pPr>
                    <w:adjustRightInd w:val="0"/>
                    <w:snapToGrid w:val="0"/>
                    <w:spacing w:line="239" w:lineRule="auto"/>
                    <w:jc w:val="both"/>
                    <w:rPr>
                      <w:szCs w:val="21"/>
                    </w:rPr>
                  </w:pPr>
                </w:p>
              </w:tc>
              <w:tc>
                <w:tcPr>
                  <w:tcW w:w="2700" w:type="dxa"/>
                  <w:tcBorders>
                    <w:tl2br w:val="nil"/>
                    <w:tr2bl w:val="nil"/>
                  </w:tcBorders>
                  <w:vAlign w:val="center"/>
                </w:tcPr>
                <w:p>
                  <w:pPr>
                    <w:adjustRightInd w:val="0"/>
                    <w:snapToGrid w:val="0"/>
                    <w:spacing w:line="234" w:lineRule="auto"/>
                    <w:jc w:val="both"/>
                    <w:rPr>
                      <w:szCs w:val="21"/>
                    </w:rPr>
                  </w:pPr>
                  <w:r>
                    <w:rPr>
                      <w:rFonts w:hint="eastAsia"/>
                      <w:szCs w:val="21"/>
                    </w:rPr>
                    <w:t>（</w:t>
                  </w:r>
                  <w:r>
                    <w:rPr>
                      <w:szCs w:val="21"/>
                    </w:rPr>
                    <w:t>四</w:t>
                  </w:r>
                  <w:r>
                    <w:rPr>
                      <w:rFonts w:hint="eastAsia"/>
                      <w:szCs w:val="21"/>
                    </w:rPr>
                    <w:t>）</w:t>
                  </w:r>
                  <w:r>
                    <w:rPr>
                      <w:szCs w:val="21"/>
                    </w:rPr>
                    <w:t>结合区域水环境质量改善目标的要求，加快污水处理厂及市政配套管网建设，实施雨污分流，强化污水处理厂监督管理，确保达标排放。</w:t>
                  </w:r>
                </w:p>
              </w:tc>
              <w:tc>
                <w:tcPr>
                  <w:tcW w:w="2764" w:type="dxa"/>
                  <w:tcBorders>
                    <w:tl2br w:val="nil"/>
                    <w:tr2bl w:val="nil"/>
                  </w:tcBorders>
                  <w:vAlign w:val="center"/>
                </w:tcPr>
                <w:p>
                  <w:pPr>
                    <w:adjustRightInd w:val="0"/>
                    <w:snapToGrid w:val="0"/>
                    <w:spacing w:line="239" w:lineRule="auto"/>
                    <w:jc w:val="both"/>
                    <w:rPr>
                      <w:szCs w:val="21"/>
                    </w:rPr>
                  </w:pPr>
                  <w:r>
                    <w:rPr>
                      <w:rFonts w:hint="eastAsia"/>
                      <w:szCs w:val="21"/>
                      <w:lang w:eastAsia="zh-CN"/>
                    </w:rPr>
                    <w:t>项目</w:t>
                  </w:r>
                  <w:r>
                    <w:rPr>
                      <w:rFonts w:hint="eastAsia"/>
                      <w:szCs w:val="21"/>
                    </w:rPr>
                    <w:t>实施雨污分流。生活污水经</w:t>
                  </w:r>
                  <w:r>
                    <w:rPr>
                      <w:rFonts w:hint="eastAsia"/>
                      <w:szCs w:val="21"/>
                      <w:lang w:eastAsia="zh-CN"/>
                    </w:rPr>
                    <w:t>租赁方化粪池</w:t>
                  </w:r>
                  <w:r>
                    <w:rPr>
                      <w:rFonts w:hint="eastAsia"/>
                      <w:szCs w:val="21"/>
                    </w:rPr>
                    <w:t>沉淀后外运肥田，喷淋塔水循环使用不外排，</w:t>
                  </w:r>
                  <w:r>
                    <w:rPr>
                      <w:rFonts w:hint="eastAsia"/>
                      <w:szCs w:val="21"/>
                      <w:lang w:eastAsia="zh-CN"/>
                    </w:rPr>
                    <w:t>铝材表面处理废水和清洗废水</w:t>
                  </w:r>
                  <w:r>
                    <w:rPr>
                      <w:rFonts w:hint="eastAsia"/>
                      <w:szCs w:val="21"/>
                    </w:rPr>
                    <w:t>经污水处理站处理后循环使用</w:t>
                  </w:r>
                  <w:r>
                    <w:rPr>
                      <w:rFonts w:hint="eastAsia"/>
                      <w:szCs w:val="21"/>
                      <w:lang w:eastAsia="zh-CN"/>
                    </w:rPr>
                    <w:t>，</w:t>
                  </w:r>
                  <w:r>
                    <w:rPr>
                      <w:rFonts w:hint="eastAsia"/>
                      <w:szCs w:val="21"/>
                      <w:lang w:val="en-US" w:eastAsia="zh-CN"/>
                    </w:rPr>
                    <w:t>不外排</w:t>
                  </w:r>
                  <w:r>
                    <w:rPr>
                      <w:rFonts w:hint="eastAsia"/>
                      <w:szCs w:val="21"/>
                    </w:rPr>
                    <w:t>。</w:t>
                  </w:r>
                </w:p>
              </w:tc>
              <w:tc>
                <w:tcPr>
                  <w:tcW w:w="434" w:type="dxa"/>
                  <w:tcBorders>
                    <w:tl2br w:val="nil"/>
                    <w:tr2bl w:val="nil"/>
                  </w:tcBorders>
                  <w:vAlign w:val="center"/>
                </w:tcPr>
                <w:p>
                  <w:pPr>
                    <w:adjustRightInd w:val="0"/>
                    <w:snapToGrid w:val="0"/>
                    <w:jc w:val="center"/>
                    <w:rPr>
                      <w:spacing w:val="-3"/>
                      <w:szCs w:val="21"/>
                    </w:rPr>
                  </w:pPr>
                  <w:r>
                    <w:rPr>
                      <w:spacing w:val="-3"/>
                      <w:szCs w:val="21"/>
                    </w:rPr>
                    <w:t>符合</w:t>
                  </w:r>
                </w:p>
              </w:tc>
            </w:tr>
          </w:tbl>
          <w:p>
            <w:pPr>
              <w:tabs>
                <w:tab w:val="left" w:pos="3150"/>
                <w:tab w:val="left" w:pos="4305"/>
              </w:tabs>
              <w:adjustRightInd w:val="0"/>
              <w:snapToGrid w:val="0"/>
              <w:spacing w:line="360" w:lineRule="auto"/>
              <w:ind w:firstLine="482" w:firstLineChars="200"/>
              <w:jc w:val="left"/>
              <w:rPr>
                <w:b/>
                <w:bCs/>
                <w:kern w:val="0"/>
                <w:sz w:val="24"/>
              </w:rPr>
            </w:pPr>
            <w:r>
              <w:rPr>
                <w:b/>
                <w:bCs/>
                <w:kern w:val="0"/>
                <w:sz w:val="24"/>
              </w:rPr>
              <w:t>1、产业政策符合性分析</w:t>
            </w:r>
          </w:p>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outlineLvl w:val="9"/>
              <w:rPr>
                <w:rFonts w:hint="eastAsia" w:cs="Times New Roman"/>
                <w:color w:val="auto"/>
                <w:sz w:val="24"/>
                <w:szCs w:val="24"/>
                <w:highlight w:val="none"/>
                <w:lang w:val="en-US" w:eastAsia="zh-CN"/>
              </w:rPr>
            </w:pPr>
            <w:r>
              <w:rPr>
                <w:rFonts w:hint="eastAsia"/>
                <w:kern w:val="0"/>
                <w:sz w:val="24"/>
                <w:lang w:eastAsia="zh-CN"/>
              </w:rPr>
              <w:t>项目</w:t>
            </w:r>
            <w:r>
              <w:rPr>
                <w:rFonts w:hint="eastAsia"/>
                <w:kern w:val="0"/>
                <w:sz w:val="24"/>
              </w:rPr>
              <w:t>属于</w:t>
            </w:r>
            <w:r>
              <w:rPr>
                <w:rFonts w:hint="eastAsia"/>
                <w:kern w:val="0"/>
                <w:sz w:val="24"/>
                <w:lang w:eastAsia="zh-CN"/>
              </w:rPr>
              <w:t>金属制品制造业</w:t>
            </w:r>
            <w:r>
              <w:rPr>
                <w:rFonts w:hint="eastAsia"/>
                <w:kern w:val="0"/>
                <w:sz w:val="24"/>
              </w:rPr>
              <w:t>，</w:t>
            </w:r>
            <w:r>
              <w:rPr>
                <w:kern w:val="0"/>
                <w:sz w:val="24"/>
              </w:rPr>
              <w:t>根据</w:t>
            </w:r>
            <w:r>
              <w:rPr>
                <w:rFonts w:hint="eastAsia"/>
                <w:kern w:val="0"/>
                <w:sz w:val="24"/>
                <w:lang w:val="en-US" w:eastAsia="zh-CN"/>
              </w:rPr>
              <w:t>对比</w:t>
            </w:r>
            <w:r>
              <w:rPr>
                <w:kern w:val="0"/>
                <w:sz w:val="24"/>
              </w:rPr>
              <w:t>《产业结构调整指导目录（20</w:t>
            </w:r>
            <w:r>
              <w:rPr>
                <w:rFonts w:hint="eastAsia"/>
                <w:kern w:val="0"/>
                <w:sz w:val="24"/>
                <w:lang w:val="en-US" w:eastAsia="zh-CN"/>
              </w:rPr>
              <w:t>24年</w:t>
            </w:r>
            <w:r>
              <w:rPr>
                <w:kern w:val="0"/>
                <w:sz w:val="24"/>
              </w:rPr>
              <w:t>本）》</w:t>
            </w:r>
            <w:r>
              <w:rPr>
                <w:rFonts w:hint="eastAsia"/>
                <w:kern w:val="0"/>
                <w:sz w:val="24"/>
              </w:rPr>
              <w:t>，</w:t>
            </w:r>
            <w:r>
              <w:rPr>
                <w:rFonts w:hint="eastAsia"/>
                <w:kern w:val="0"/>
                <w:sz w:val="24"/>
                <w:lang w:eastAsia="zh-CN"/>
              </w:rPr>
              <w:t>项目</w:t>
            </w:r>
            <w:r>
              <w:rPr>
                <w:rFonts w:hint="eastAsia"/>
                <w:kern w:val="0"/>
                <w:sz w:val="24"/>
              </w:rPr>
              <w:t>不属于淘汰、限制类项目，</w:t>
            </w:r>
            <w:r>
              <w:rPr>
                <w:rFonts w:hint="eastAsia"/>
                <w:kern w:val="0"/>
                <w:sz w:val="24"/>
                <w:lang w:val="en-US" w:eastAsia="zh-CN"/>
              </w:rPr>
              <w:t>视为</w:t>
            </w:r>
            <w:r>
              <w:rPr>
                <w:rFonts w:hint="eastAsia"/>
                <w:kern w:val="0"/>
                <w:sz w:val="24"/>
              </w:rPr>
              <w:t>允许类项目，同时符合</w:t>
            </w:r>
            <w:r>
              <w:rPr>
                <w:kern w:val="0"/>
                <w:sz w:val="24"/>
                <w:lang w:val="zh-CN"/>
              </w:rPr>
              <w:t>《陕西省限制投资类产业指导目录》（陕发改产业</w:t>
            </w:r>
            <w:r>
              <w:rPr>
                <w:kern w:val="0"/>
                <w:sz w:val="24"/>
              </w:rPr>
              <w:t>〔2007〕</w:t>
            </w:r>
            <w:r>
              <w:rPr>
                <w:kern w:val="0"/>
                <w:sz w:val="24"/>
                <w:lang w:val="zh-CN"/>
              </w:rPr>
              <w:t>97号）</w:t>
            </w:r>
            <w:r>
              <w:rPr>
                <w:rFonts w:hint="eastAsia"/>
                <w:kern w:val="0"/>
                <w:sz w:val="24"/>
              </w:rPr>
              <w:t>。</w:t>
            </w:r>
            <w:r>
              <w:rPr>
                <w:rFonts w:hint="default" w:ascii="Times New Roman" w:hAnsi="Times New Roman" w:eastAsia="宋体" w:cs="Times New Roman"/>
                <w:color w:val="auto"/>
                <w:sz w:val="24"/>
                <w:szCs w:val="24"/>
                <w:highlight w:val="none"/>
                <w:lang w:val="en-US" w:eastAsia="zh-CN"/>
              </w:rPr>
              <w:t>根据《陕西省国家重点生态功能区产业准入负面清单（试行）》，项目位于陕西省</w:t>
            </w:r>
            <w:r>
              <w:rPr>
                <w:rFonts w:hint="eastAsia" w:cs="Times New Roman"/>
                <w:color w:val="auto"/>
                <w:sz w:val="24"/>
                <w:szCs w:val="24"/>
                <w:highlight w:val="none"/>
                <w:lang w:val="en-US" w:eastAsia="zh-CN"/>
              </w:rPr>
              <w:t>西咸新区泾河新城</w:t>
            </w:r>
            <w:r>
              <w:rPr>
                <w:rFonts w:hint="default" w:ascii="Times New Roman" w:hAnsi="Times New Roman" w:eastAsia="宋体" w:cs="Times New Roman"/>
                <w:color w:val="auto"/>
                <w:sz w:val="24"/>
                <w:szCs w:val="24"/>
                <w:highlight w:val="none"/>
                <w:lang w:val="en-US" w:eastAsia="zh-CN"/>
              </w:rPr>
              <w:t>，未列入陕西省重点生态功能区。同时不在《陕西省投资限制类产业制度目录》</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陕发改产业【20</w:t>
            </w:r>
            <w:bookmarkStart w:id="2" w:name="_GoBack"/>
            <w:bookmarkEnd w:id="2"/>
            <w:r>
              <w:rPr>
                <w:rFonts w:hint="default" w:ascii="Times New Roman" w:hAnsi="Times New Roman" w:eastAsia="宋体" w:cs="Times New Roman"/>
                <w:color w:val="auto"/>
                <w:sz w:val="24"/>
                <w:szCs w:val="24"/>
                <w:highlight w:val="none"/>
                <w:lang w:val="en-US" w:eastAsia="zh-CN"/>
              </w:rPr>
              <w:t>07】97号</w:t>
            </w:r>
            <w:r>
              <w:rPr>
                <w:rFonts w:hint="eastAsia"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文件之列</w:t>
            </w:r>
            <w:r>
              <w:rPr>
                <w:rFonts w:hint="eastAsia" w:cs="Times New Roman"/>
                <w:color w:val="auto"/>
                <w:sz w:val="24"/>
                <w:szCs w:val="24"/>
                <w:highlight w:val="none"/>
                <w:lang w:val="en-US" w:eastAsia="zh-CN"/>
              </w:rPr>
              <w:t>。</w:t>
            </w:r>
          </w:p>
          <w:p>
            <w:pPr>
              <w:adjustRightInd w:val="0"/>
              <w:snapToGrid w:val="0"/>
              <w:spacing w:line="360" w:lineRule="auto"/>
              <w:ind w:firstLine="482" w:firstLineChars="200"/>
              <w:contextualSpacing/>
              <w:rPr>
                <w:rFonts w:hint="eastAsia" w:ascii="Times New Roman" w:hAnsi="Times New Roman" w:eastAsia="宋体" w:cs="Times New Roman"/>
                <w:b/>
                <w:bCs/>
                <w:kern w:val="0"/>
                <w:sz w:val="24"/>
              </w:rPr>
            </w:pPr>
            <w:r>
              <w:rPr>
                <w:rFonts w:hint="eastAsia" w:ascii="Times New Roman" w:hAnsi="Times New Roman" w:eastAsia="宋体" w:cs="Times New Roman"/>
                <w:b/>
                <w:bCs/>
                <w:kern w:val="0"/>
                <w:sz w:val="24"/>
              </w:rPr>
              <w:t>2、“三线一单”符合性分析</w:t>
            </w:r>
          </w:p>
          <w:p>
            <w:pPr>
              <w:pStyle w:val="28"/>
              <w:keepNext w:val="0"/>
              <w:keepLines w:val="0"/>
              <w:pageBreakBefore w:val="0"/>
              <w:widowControl w:val="0"/>
              <w:kinsoku/>
              <w:wordWrap/>
              <w:overflowPunct/>
              <w:topLinePunct w:val="0"/>
              <w:autoSpaceDE/>
              <w:autoSpaceDN/>
              <w:bidi w:val="0"/>
              <w:adjustRightInd w:val="0"/>
              <w:snapToGrid w:val="0"/>
              <w:spacing w:after="0" w:line="360" w:lineRule="auto"/>
              <w:ind w:left="0" w:leftChars="0" w:firstLine="0" w:firstLineChars="0"/>
              <w:jc w:val="left"/>
              <w:textAlignment w:val="auto"/>
              <w:rPr>
                <w:rFonts w:hint="eastAsia"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bidi="ar-SA"/>
              </w:rPr>
              <w:t>根据《陕西省人民政府关于加快实施“三线一单”生态环境分区管控的意见》（陕政发〔2020〕11号）、《陕西省“三线一单”生态环境分区管控应用技术指南：环境影响评价（试行）》的通知（陕环办发〔2022〕76号）和陕西省</w:t>
            </w:r>
            <w:r>
              <w:rPr>
                <w:rFonts w:hint="eastAsia" w:ascii="Times New Roman" w:hAnsi="Times New Roman" w:eastAsia="宋体" w:cs="Times New Roman"/>
                <w:kern w:val="0"/>
                <w:sz w:val="24"/>
                <w:szCs w:val="24"/>
                <w:lang w:val="en-US" w:eastAsia="zh-CN" w:bidi="ar-SA"/>
              </w:rPr>
              <w:t>“三线一单”</w:t>
            </w:r>
            <w:r>
              <w:rPr>
                <w:rFonts w:hint="default" w:ascii="Times New Roman" w:hAnsi="Times New Roman" w:eastAsia="宋体" w:cs="Times New Roman"/>
                <w:kern w:val="0"/>
                <w:sz w:val="24"/>
                <w:szCs w:val="24"/>
                <w:lang w:val="en-US" w:eastAsia="zh-CN" w:bidi="ar-SA"/>
              </w:rPr>
              <w:t>生态环境管控单元对照分析报告，</w:t>
            </w:r>
            <w:r>
              <w:rPr>
                <w:rFonts w:hint="eastAsia" w:ascii="Times New Roman" w:hAnsi="Times New Roman" w:eastAsia="宋体" w:cs="Times New Roman"/>
                <w:kern w:val="0"/>
                <w:sz w:val="24"/>
                <w:szCs w:val="24"/>
                <w:lang w:val="en-US" w:eastAsia="zh-CN" w:bidi="ar-SA"/>
              </w:rPr>
              <w:t>项目与生态环境分区管控准入清单对照符合性分析见图1-1及下表1-2、1-3，项目与“三线一单”相符性分析表1-4、</w:t>
            </w:r>
            <w:r>
              <w:rPr>
                <w:rFonts w:hint="default" w:ascii="Times New Roman" w:hAnsi="Times New Roman" w:eastAsia="宋体" w:cs="Times New Roman"/>
                <w:kern w:val="0"/>
                <w:sz w:val="24"/>
                <w:szCs w:val="24"/>
                <w:lang w:val="en-US" w:eastAsia="zh-CN" w:bidi="ar-SA"/>
              </w:rPr>
              <w:t>项目与</w:t>
            </w:r>
            <w:r>
              <w:rPr>
                <w:rFonts w:hint="eastAsia" w:ascii="Times New Roman" w:hAnsi="Times New Roman" w:eastAsia="宋体" w:cs="Times New Roman"/>
                <w:kern w:val="0"/>
                <w:sz w:val="24"/>
                <w:szCs w:val="24"/>
                <w:lang w:val="en-US" w:eastAsia="zh-CN" w:bidi="ar-SA"/>
              </w:rPr>
              <w:t>生态环境总体准入清单及生态环境分区管控准入清单</w:t>
            </w:r>
            <w:r>
              <w:rPr>
                <w:rFonts w:hint="default" w:ascii="Times New Roman" w:hAnsi="Times New Roman" w:eastAsia="宋体" w:cs="Times New Roman"/>
                <w:kern w:val="0"/>
                <w:sz w:val="24"/>
                <w:szCs w:val="24"/>
                <w:lang w:val="en-US" w:eastAsia="zh-CN" w:bidi="ar-SA"/>
              </w:rPr>
              <w:t>符合性</w:t>
            </w:r>
            <w:r>
              <w:rPr>
                <w:rFonts w:hint="eastAsia" w:ascii="Times New Roman" w:hAnsi="Times New Roman" w:eastAsia="宋体" w:cs="Times New Roman"/>
                <w:kern w:val="0"/>
                <w:sz w:val="24"/>
                <w:szCs w:val="24"/>
                <w:lang w:val="en-US" w:eastAsia="zh-CN" w:bidi="ar-SA"/>
              </w:rPr>
              <w:t>说明见</w:t>
            </w:r>
            <w:r>
              <w:rPr>
                <w:rFonts w:hint="default" w:ascii="Times New Roman" w:hAnsi="Times New Roman" w:eastAsia="宋体" w:cs="Times New Roman"/>
                <w:kern w:val="0"/>
                <w:sz w:val="24"/>
                <w:szCs w:val="24"/>
                <w:lang w:val="en-US" w:eastAsia="zh-CN" w:bidi="ar-SA"/>
              </w:rPr>
              <w:t>表1-</w:t>
            </w:r>
            <w:r>
              <w:rPr>
                <w:rFonts w:hint="eastAsia" w:ascii="Times New Roman" w:hAnsi="Times New Roman" w:eastAsia="宋体" w:cs="Times New Roman"/>
                <w:kern w:val="0"/>
                <w:sz w:val="24"/>
                <w:szCs w:val="24"/>
                <w:lang w:val="en-US" w:eastAsia="zh-CN" w:bidi="ar-SA"/>
              </w:rPr>
              <w:t>5。</w:t>
            </w:r>
          </w:p>
          <w:p>
            <w:pPr>
              <w:adjustRightInd w:val="0"/>
              <w:snapToGrid w:val="0"/>
              <w:spacing w:line="360" w:lineRule="auto"/>
              <w:jc w:val="center"/>
            </w:pPr>
            <w:r>
              <w:rPr>
                <w:sz w:val="21"/>
              </w:rPr>
              <mc:AlternateContent>
                <mc:Choice Requires="wps">
                  <w:drawing>
                    <wp:anchor distT="0" distB="0" distL="114300" distR="114300" simplePos="0" relativeHeight="251670528" behindDoc="0" locked="0" layoutInCell="1" allowOverlap="1">
                      <wp:simplePos x="0" y="0"/>
                      <wp:positionH relativeFrom="column">
                        <wp:posOffset>2246630</wp:posOffset>
                      </wp:positionH>
                      <wp:positionV relativeFrom="paragraph">
                        <wp:posOffset>476250</wp:posOffset>
                      </wp:positionV>
                      <wp:extent cx="965200" cy="321310"/>
                      <wp:effectExtent l="6350" t="6350" r="19050" b="297180"/>
                      <wp:wrapNone/>
                      <wp:docPr id="4" name="矩形标注 4"/>
                      <wp:cNvGraphicFramePr/>
                      <a:graphic xmlns:a="http://schemas.openxmlformats.org/drawingml/2006/main">
                        <a:graphicData uri="http://schemas.microsoft.com/office/word/2010/wordprocessingShape">
                          <wps:wsp>
                            <wps:cNvSpPr/>
                            <wps:spPr>
                              <a:xfrm>
                                <a:off x="4914900" y="1918970"/>
                                <a:ext cx="965200" cy="321310"/>
                              </a:xfrm>
                              <a:prstGeom prst="wedgeRectCallout">
                                <a:avLst>
                                  <a:gd name="adj1" fmla="val -26973"/>
                                  <a:gd name="adj2" fmla="val 138113"/>
                                </a:avLst>
                              </a:prstGeom>
                              <a:noFill/>
                              <a:ln w="12700" cmpd="sng">
                                <a:solidFill>
                                  <a:schemeClr val="tx1"/>
                                </a:solidFill>
                                <a:prstDash val="solid"/>
                              </a:ln>
                            </wps:spPr>
                            <wps:style>
                              <a:lnRef idx="2">
                                <a:schemeClr val="accent1">
                                  <a:lumMod val="75000"/>
                                </a:schemeClr>
                              </a:lnRef>
                              <a:fillRef idx="1">
                                <a:schemeClr val="accent1"/>
                              </a:fillRef>
                              <a:effectRef idx="0">
                                <a:srgbClr val="FFFFFF"/>
                              </a:effectRef>
                              <a:fontRef idx="minor">
                                <a:schemeClr val="lt1"/>
                              </a:fontRef>
                            </wps:style>
                            <wps:txbx>
                              <w:txbxContent>
                                <w:p>
                                  <w:pPr>
                                    <w:jc w:val="center"/>
                                    <w:rPr>
                                      <w:rFonts w:hint="eastAsia" w:eastAsia="宋体"/>
                                      <w:lang w:val="en-US" w:eastAsia="zh-CN"/>
                                    </w:rPr>
                                  </w:pPr>
                                  <w:r>
                                    <w:rPr>
                                      <w:rFonts w:hint="eastAsia"/>
                                      <w:lang w:val="en-US" w:eastAsia="zh-CN"/>
                                    </w:rPr>
                                    <w:t>本项目</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1" type="#_x0000_t61" style="position:absolute;left:0pt;margin-left:176.9pt;margin-top:37.5pt;height:25.3pt;width:76pt;z-index:251670528;v-text-anchor:middle;mso-width-relative:page;mso-height-relative:page;" filled="f" stroked="t" coordsize="21600,21600" o:gfxdata="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AoprubYAAAACgEAAA8AAAAAAAAAAQAgAAAAIgAAAGRycy9kb3ducmV2Lnht&#10;bFBLAQIUABQAAAAIAIdO4kBB7QS8pAIAAC8FAAAOAAAAAAAAAAEAIAAAACcBAABkcnMvZTJvRG9j&#10;LnhtbFBLBQYAAAAABgAGAFkBAAA9BgAAAAA=&#10;" adj="4974,40632">
                      <v:fill on="f" focussize="0,0"/>
                      <v:stroke weight="1pt" color="#000000 [3213]" joinstyle="round"/>
                      <v:imagedata o:title=""/>
                      <o:lock v:ext="edit" aspectratio="f"/>
                      <v:textbox>
                        <w:txbxContent>
                          <w:p>
                            <w:pPr>
                              <w:jc w:val="center"/>
                              <w:rPr>
                                <w:rFonts w:hint="eastAsia" w:eastAsia="宋体"/>
                                <w:lang w:val="en-US" w:eastAsia="zh-CN"/>
                              </w:rPr>
                            </w:pPr>
                            <w:r>
                              <w:rPr>
                                <w:rFonts w:hint="eastAsia"/>
                                <w:lang w:val="en-US" w:eastAsia="zh-CN"/>
                              </w:rPr>
                              <w:t>本项目</w:t>
                            </w:r>
                          </w:p>
                        </w:txbxContent>
                      </v:textbox>
                    </v:shape>
                  </w:pict>
                </mc:Fallback>
              </mc:AlternateContent>
            </w:r>
            <w:r>
              <w:rPr>
                <w:rFonts w:hint="eastAsia"/>
              </w:rPr>
              <w:drawing>
                <wp:inline distT="0" distB="0" distL="114300" distR="114300">
                  <wp:extent cx="3751580" cy="3199765"/>
                  <wp:effectExtent l="0" t="0" r="12700" b="635"/>
                  <wp:docPr id="5" name="图片 5" descr="1696996297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96996297151"/>
                          <pic:cNvPicPr>
                            <a:picLocks noChangeAspect="1"/>
                          </pic:cNvPicPr>
                        </pic:nvPicPr>
                        <pic:blipFill>
                          <a:blip r:embed="rId7"/>
                          <a:stretch>
                            <a:fillRect/>
                          </a:stretch>
                        </pic:blipFill>
                        <pic:spPr>
                          <a:xfrm>
                            <a:off x="0" y="0"/>
                            <a:ext cx="3751580" cy="319976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contextualSpacing/>
              <w:jc w:val="center"/>
              <w:textAlignment w:val="auto"/>
              <w:rPr>
                <w:b/>
                <w:bCs/>
                <w:color w:val="0000FF"/>
                <w:szCs w:val="21"/>
              </w:rPr>
            </w:pPr>
            <w:r>
              <w:rPr>
                <w:rFonts w:hint="eastAsia"/>
                <w:b/>
                <w:bCs/>
                <w:szCs w:val="21"/>
              </w:rPr>
              <w:t>图1-1项目三线一单符合性分析图（来源说明：项目</w:t>
            </w:r>
            <w:r>
              <w:rPr>
                <w:b/>
                <w:bCs/>
                <w:szCs w:val="21"/>
              </w:rPr>
              <w:t>空间冲突分析图</w:t>
            </w:r>
            <w:r>
              <w:rPr>
                <w:rFonts w:hint="eastAsia"/>
                <w:b/>
                <w:bCs/>
                <w:szCs w:val="21"/>
              </w:rPr>
              <w:t>来源于陕西省生态环境厅官网陕西省“三线一单”数据应用系统（V1.0））</w:t>
            </w:r>
          </w:p>
          <w:p>
            <w:pPr>
              <w:adjustRightInd w:val="0"/>
              <w:snapToGrid w:val="0"/>
              <w:jc w:val="center"/>
              <w:rPr>
                <w:b/>
                <w:bCs/>
                <w:szCs w:val="21"/>
              </w:rPr>
            </w:pPr>
            <w:r>
              <w:rPr>
                <w:b/>
                <w:bCs/>
                <w:szCs w:val="21"/>
              </w:rPr>
              <w:t>表1</w:t>
            </w:r>
            <w:r>
              <w:rPr>
                <w:rFonts w:hint="eastAsia"/>
                <w:b/>
                <w:bCs/>
                <w:szCs w:val="21"/>
              </w:rPr>
              <w:t>-2</w:t>
            </w:r>
            <w:r>
              <w:rPr>
                <w:b/>
                <w:bCs/>
                <w:szCs w:val="21"/>
              </w:rPr>
              <w:t>项目与环境管控单元涉及情况</w:t>
            </w:r>
          </w:p>
          <w:tbl>
            <w:tblPr>
              <w:tblStyle w:val="29"/>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28" w:type="dxa"/>
                <w:left w:w="28" w:type="dxa"/>
                <w:bottom w:w="28" w:type="dxa"/>
                <w:right w:w="28" w:type="dxa"/>
              </w:tblCellMar>
            </w:tblPr>
            <w:tblGrid>
              <w:gridCol w:w="2962"/>
              <w:gridCol w:w="1951"/>
              <w:gridCol w:w="255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9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b/>
                      <w:kern w:val="0"/>
                    </w:rPr>
                  </w:pPr>
                  <w:r>
                    <w:rPr>
                      <w:rFonts w:hint="eastAsia"/>
                      <w:b/>
                      <w:kern w:val="0"/>
                    </w:rPr>
                    <w:t>环境管控单元分类</w:t>
                  </w:r>
                </w:p>
              </w:tc>
              <w:tc>
                <w:tcPr>
                  <w:tcW w:w="195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b/>
                      <w:kern w:val="0"/>
                    </w:rPr>
                  </w:pPr>
                  <w:r>
                    <w:rPr>
                      <w:rFonts w:hint="eastAsia"/>
                      <w:b/>
                      <w:kern w:val="0"/>
                    </w:rPr>
                    <w:t>是否涉及</w:t>
                  </w:r>
                </w:p>
              </w:tc>
              <w:tc>
                <w:tcPr>
                  <w:tcW w:w="255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val="0"/>
                    <w:snapToGrid w:val="0"/>
                    <w:jc w:val="center"/>
                    <w:textAlignment w:val="auto"/>
                    <w:rPr>
                      <w:rFonts w:hint="eastAsia"/>
                      <w:b/>
                      <w:kern w:val="0"/>
                    </w:rPr>
                  </w:pPr>
                  <w:r>
                    <w:rPr>
                      <w:rFonts w:hint="eastAsia"/>
                      <w:b/>
                      <w:kern w:val="0"/>
                    </w:rPr>
                    <w:t>面积/长度</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962"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ascii="Times New Roman" w:hAnsi="Times New Roman" w:cs="Times New Roman"/>
                      <w:szCs w:val="21"/>
                    </w:rPr>
                    <w:t>优先保护单元</w:t>
                  </w:r>
                </w:p>
              </w:tc>
              <w:tc>
                <w:tcPr>
                  <w:tcW w:w="1951"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ascii="Times New Roman" w:hAnsi="Times New Roman" w:cs="Times New Roman"/>
                      <w:szCs w:val="21"/>
                    </w:rPr>
                    <w:t>否</w:t>
                  </w:r>
                </w:p>
              </w:tc>
              <w:tc>
                <w:tcPr>
                  <w:tcW w:w="2552"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ascii="Times New Roman" w:hAnsi="Times New Roman" w:cs="Times New Roman"/>
                      <w:szCs w:val="21"/>
                    </w:rPr>
                    <w:t>0平方米</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962"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ascii="Times New Roman" w:hAnsi="Times New Roman" w:cs="Times New Roman"/>
                      <w:szCs w:val="21"/>
                    </w:rPr>
                    <w:t>重点管控单元</w:t>
                  </w:r>
                </w:p>
              </w:tc>
              <w:tc>
                <w:tcPr>
                  <w:tcW w:w="1951"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hint="eastAsia" w:ascii="Times New Roman" w:hAnsi="Times New Roman" w:cs="Times New Roman"/>
                      <w:szCs w:val="21"/>
                    </w:rPr>
                    <w:t>是</w:t>
                  </w:r>
                </w:p>
              </w:tc>
              <w:tc>
                <w:tcPr>
                  <w:tcW w:w="2552"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hint="default" w:ascii="Times New Roman" w:hAnsi="Times New Roman" w:eastAsia="宋体" w:cs="Times New Roman"/>
                      <w:szCs w:val="21"/>
                      <w:lang w:val="en-US" w:eastAsia="zh-CN"/>
                    </w:rPr>
                  </w:pPr>
                  <w:r>
                    <w:rPr>
                      <w:rFonts w:hint="eastAsia" w:ascii="Times New Roman" w:hAnsi="Times New Roman" w:cs="Times New Roman"/>
                      <w:spacing w:val="-11"/>
                      <w:szCs w:val="21"/>
                      <w:lang w:val="en-US" w:eastAsia="zh-CN"/>
                    </w:rPr>
                    <w:t>6000</w:t>
                  </w:r>
                  <w:r>
                    <w:rPr>
                      <w:rFonts w:ascii="Times New Roman" w:hAnsi="Times New Roman" w:cs="Times New Roman"/>
                      <w:szCs w:val="21"/>
                    </w:rPr>
                    <w:t>平方米</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962"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hint="eastAsia" w:ascii="Times New Roman" w:hAnsi="Times New Roman" w:cs="Times New Roman"/>
                      <w:szCs w:val="21"/>
                    </w:rPr>
                    <w:t>一般管控单元</w:t>
                  </w:r>
                </w:p>
              </w:tc>
              <w:tc>
                <w:tcPr>
                  <w:tcW w:w="1951"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zCs w:val="21"/>
                    </w:rPr>
                  </w:pPr>
                  <w:r>
                    <w:rPr>
                      <w:rFonts w:hint="eastAsia" w:ascii="Times New Roman" w:hAnsi="Times New Roman" w:cs="Times New Roman"/>
                      <w:szCs w:val="21"/>
                    </w:rPr>
                    <w:t>否</w:t>
                  </w:r>
                </w:p>
              </w:tc>
              <w:tc>
                <w:tcPr>
                  <w:tcW w:w="2552" w:type="dxa"/>
                  <w:tcBorders>
                    <w:tl2br w:val="nil"/>
                    <w:tr2bl w:val="nil"/>
                  </w:tcBorders>
                  <w:vAlign w:val="center"/>
                </w:tcPr>
                <w:p>
                  <w:pPr>
                    <w:pStyle w:val="53"/>
                    <w:keepNext w:val="0"/>
                    <w:keepLines w:val="0"/>
                    <w:pageBreakBefore w:val="0"/>
                    <w:widowControl w:val="0"/>
                    <w:kinsoku/>
                    <w:wordWrap/>
                    <w:overflowPunct/>
                    <w:topLinePunct w:val="0"/>
                    <w:autoSpaceDE w:val="0"/>
                    <w:autoSpaceDN w:val="0"/>
                    <w:bidi w:val="0"/>
                    <w:adjustRightInd w:val="0"/>
                    <w:snapToGrid w:val="0"/>
                    <w:jc w:val="center"/>
                    <w:textAlignment w:val="auto"/>
                    <w:rPr>
                      <w:rFonts w:ascii="Times New Roman" w:hAnsi="Times New Roman" w:cs="Times New Roman"/>
                      <w:spacing w:val="-11"/>
                      <w:szCs w:val="21"/>
                      <w:lang w:val="en-US"/>
                    </w:rPr>
                  </w:pPr>
                  <w:r>
                    <w:rPr>
                      <w:rFonts w:hint="eastAsia" w:ascii="Times New Roman" w:hAnsi="Times New Roman" w:cs="Times New Roman"/>
                      <w:szCs w:val="21"/>
                      <w:lang w:val="en-US"/>
                    </w:rPr>
                    <w:t>0</w:t>
                  </w:r>
                  <w:r>
                    <w:rPr>
                      <w:rFonts w:ascii="Times New Roman" w:hAnsi="Times New Roman" w:cs="Times New Roman"/>
                      <w:szCs w:val="21"/>
                    </w:rPr>
                    <w:t>平方米</w:t>
                  </w:r>
                </w:p>
              </w:tc>
            </w:tr>
          </w:tbl>
          <w:p>
            <w:pPr>
              <w:adjustRightInd w:val="0"/>
              <w:snapToGrid w:val="0"/>
              <w:jc w:val="center"/>
              <w:rPr>
                <w:b/>
                <w:bCs/>
                <w:szCs w:val="21"/>
              </w:rPr>
            </w:pPr>
            <w:r>
              <w:rPr>
                <w:rFonts w:hint="eastAsia"/>
                <w:b/>
                <w:bCs/>
                <w:szCs w:val="21"/>
              </w:rPr>
              <w:t>表1-3一说明</w:t>
            </w:r>
          </w:p>
          <w:tbl>
            <w:tblPr>
              <w:tblStyle w:val="29"/>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28" w:type="dxa"/>
                <w:left w:w="28" w:type="dxa"/>
                <w:bottom w:w="28" w:type="dxa"/>
                <w:right w:w="28" w:type="dxa"/>
              </w:tblCellMar>
            </w:tblPr>
            <w:tblGrid>
              <w:gridCol w:w="2125"/>
              <w:gridCol w:w="4624"/>
              <w:gridCol w:w="71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125" w:type="dxa"/>
                  <w:tcBorders>
                    <w:tl2br w:val="nil"/>
                    <w:tr2bl w:val="nil"/>
                  </w:tcBorders>
                  <w:vAlign w:val="center"/>
                </w:tcPr>
                <w:p>
                  <w:pPr>
                    <w:autoSpaceDE w:val="0"/>
                    <w:autoSpaceDN w:val="0"/>
                    <w:adjustRightInd w:val="0"/>
                    <w:snapToGrid w:val="0"/>
                    <w:jc w:val="both"/>
                    <w:rPr>
                      <w:b/>
                      <w:szCs w:val="21"/>
                    </w:rPr>
                  </w:pPr>
                  <w:r>
                    <w:rPr>
                      <w:rFonts w:hint="eastAsia"/>
                      <w:b/>
                      <w:kern w:val="0"/>
                    </w:rPr>
                    <w:t>对照分析</w:t>
                  </w:r>
                </w:p>
              </w:tc>
              <w:tc>
                <w:tcPr>
                  <w:tcW w:w="4624" w:type="dxa"/>
                  <w:tcBorders>
                    <w:tl2br w:val="nil"/>
                    <w:tr2bl w:val="nil"/>
                  </w:tcBorders>
                  <w:vAlign w:val="center"/>
                </w:tcPr>
                <w:p>
                  <w:pPr>
                    <w:autoSpaceDE w:val="0"/>
                    <w:autoSpaceDN w:val="0"/>
                    <w:adjustRightInd w:val="0"/>
                    <w:snapToGrid w:val="0"/>
                    <w:jc w:val="both"/>
                    <w:rPr>
                      <w:b/>
                      <w:szCs w:val="21"/>
                    </w:rPr>
                  </w:pPr>
                  <w:r>
                    <w:rPr>
                      <w:rFonts w:hint="eastAsia"/>
                      <w:b/>
                      <w:kern w:val="0"/>
                      <w:lang w:eastAsia="zh-CN"/>
                    </w:rPr>
                    <w:t>项目</w:t>
                  </w:r>
                  <w:r>
                    <w:rPr>
                      <w:rFonts w:hint="eastAsia"/>
                      <w:b/>
                      <w:kern w:val="0"/>
                    </w:rPr>
                    <w:t>情况</w:t>
                  </w:r>
                </w:p>
              </w:tc>
              <w:tc>
                <w:tcPr>
                  <w:tcW w:w="712" w:type="dxa"/>
                  <w:tcBorders>
                    <w:tl2br w:val="nil"/>
                    <w:tr2bl w:val="nil"/>
                  </w:tcBorders>
                  <w:vAlign w:val="center"/>
                </w:tcPr>
                <w:p>
                  <w:pPr>
                    <w:autoSpaceDE w:val="0"/>
                    <w:autoSpaceDN w:val="0"/>
                    <w:adjustRightInd w:val="0"/>
                    <w:snapToGrid w:val="0"/>
                    <w:jc w:val="both"/>
                    <w:rPr>
                      <w:b/>
                      <w:szCs w:val="21"/>
                    </w:rPr>
                  </w:pPr>
                  <w:r>
                    <w:rPr>
                      <w:rFonts w:hint="eastAsia"/>
                      <w:b/>
                      <w:kern w:val="0"/>
                    </w:rPr>
                    <w:t>符合性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125" w:type="dxa"/>
                  <w:tcBorders>
                    <w:tl2br w:val="nil"/>
                    <w:tr2bl w:val="nil"/>
                  </w:tcBorders>
                  <w:vAlign w:val="center"/>
                </w:tcPr>
                <w:p>
                  <w:pPr>
                    <w:autoSpaceDE w:val="0"/>
                    <w:autoSpaceDN w:val="0"/>
                    <w:adjustRightInd w:val="0"/>
                    <w:snapToGrid w:val="0"/>
                    <w:jc w:val="both"/>
                    <w:rPr>
                      <w:szCs w:val="21"/>
                    </w:rPr>
                  </w:pPr>
                  <w:r>
                    <w:rPr>
                      <w:rFonts w:hint="eastAsia"/>
                      <w:bCs/>
                      <w:kern w:val="0"/>
                    </w:rPr>
                    <w:t>各类生态环境敏感区对照分析</w:t>
                  </w:r>
                </w:p>
              </w:tc>
              <w:tc>
                <w:tcPr>
                  <w:tcW w:w="4624" w:type="dxa"/>
                  <w:tcBorders>
                    <w:tl2br w:val="nil"/>
                    <w:tr2bl w:val="nil"/>
                  </w:tcBorders>
                  <w:vAlign w:val="center"/>
                </w:tcPr>
                <w:p>
                  <w:pPr>
                    <w:autoSpaceDE w:val="0"/>
                    <w:autoSpaceDN w:val="0"/>
                    <w:adjustRightInd w:val="0"/>
                    <w:snapToGrid w:val="0"/>
                    <w:jc w:val="both"/>
                    <w:rPr>
                      <w:szCs w:val="21"/>
                    </w:rPr>
                  </w:pPr>
                  <w:r>
                    <w:rPr>
                      <w:rFonts w:hint="eastAsia"/>
                      <w:bCs/>
                      <w:kern w:val="0"/>
                    </w:rPr>
                    <w:t>根据“一图”可知，</w:t>
                  </w:r>
                  <w:r>
                    <w:rPr>
                      <w:rFonts w:hint="eastAsia"/>
                      <w:bCs/>
                      <w:kern w:val="0"/>
                      <w:lang w:eastAsia="zh-CN"/>
                    </w:rPr>
                    <w:t>项目</w:t>
                  </w:r>
                  <w:r>
                    <w:rPr>
                      <w:rFonts w:hint="eastAsia"/>
                      <w:bCs/>
                      <w:kern w:val="0"/>
                    </w:rPr>
                    <w:t>不涉及生态环境敏感区。</w:t>
                  </w:r>
                </w:p>
              </w:tc>
              <w:tc>
                <w:tcPr>
                  <w:tcW w:w="712" w:type="dxa"/>
                  <w:tcBorders>
                    <w:tl2br w:val="nil"/>
                    <w:tr2bl w:val="nil"/>
                  </w:tcBorders>
                  <w:vAlign w:val="center"/>
                </w:tcPr>
                <w:p>
                  <w:pPr>
                    <w:autoSpaceDE w:val="0"/>
                    <w:autoSpaceDN w:val="0"/>
                    <w:adjustRightInd w:val="0"/>
                    <w:snapToGrid w:val="0"/>
                    <w:jc w:val="both"/>
                    <w:rPr>
                      <w:rFonts w:hint="eastAsia" w:eastAsia="宋体"/>
                      <w:szCs w:val="21"/>
                      <w:lang w:val="en-US" w:eastAsia="zh-CN"/>
                    </w:rPr>
                  </w:pPr>
                  <w:r>
                    <w:rPr>
                      <w:rFonts w:hint="eastAsia"/>
                      <w:bCs/>
                      <w:kern w:val="0"/>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125" w:type="dxa"/>
                  <w:tcBorders>
                    <w:tl2br w:val="nil"/>
                    <w:tr2bl w:val="nil"/>
                  </w:tcBorders>
                  <w:vAlign w:val="center"/>
                </w:tcPr>
                <w:p>
                  <w:pPr>
                    <w:autoSpaceDE w:val="0"/>
                    <w:autoSpaceDN w:val="0"/>
                    <w:adjustRightInd w:val="0"/>
                    <w:snapToGrid w:val="0"/>
                    <w:jc w:val="both"/>
                    <w:rPr>
                      <w:szCs w:val="21"/>
                    </w:rPr>
                  </w:pPr>
                  <w:r>
                    <w:rPr>
                      <w:rFonts w:hint="eastAsia"/>
                      <w:bCs/>
                      <w:kern w:val="0"/>
                    </w:rPr>
                    <w:t>环境管控单元对照分析</w:t>
                  </w:r>
                </w:p>
              </w:tc>
              <w:tc>
                <w:tcPr>
                  <w:tcW w:w="4624" w:type="dxa"/>
                  <w:tcBorders>
                    <w:tl2br w:val="nil"/>
                    <w:tr2bl w:val="nil"/>
                  </w:tcBorders>
                  <w:vAlign w:val="center"/>
                </w:tcPr>
                <w:p>
                  <w:pPr>
                    <w:autoSpaceDE w:val="0"/>
                    <w:autoSpaceDN w:val="0"/>
                    <w:adjustRightInd w:val="0"/>
                    <w:snapToGrid w:val="0"/>
                    <w:jc w:val="both"/>
                    <w:rPr>
                      <w:szCs w:val="21"/>
                    </w:rPr>
                  </w:pPr>
                  <w:r>
                    <w:rPr>
                      <w:rFonts w:hint="eastAsia"/>
                      <w:bCs/>
                      <w:kern w:val="0"/>
                    </w:rPr>
                    <w:t>根据“一图”可知，</w:t>
                  </w:r>
                  <w:r>
                    <w:rPr>
                      <w:rFonts w:hint="eastAsia"/>
                      <w:bCs/>
                      <w:kern w:val="0"/>
                      <w:lang w:eastAsia="zh-CN"/>
                    </w:rPr>
                    <w:t>项目</w:t>
                  </w:r>
                  <w:r>
                    <w:rPr>
                      <w:rFonts w:hint="eastAsia"/>
                      <w:bCs/>
                      <w:kern w:val="0"/>
                    </w:rPr>
                    <w:t>位于</w:t>
                  </w:r>
                  <w:r>
                    <w:rPr>
                      <w:szCs w:val="21"/>
                    </w:rPr>
                    <w:t>重点管控单元</w:t>
                  </w:r>
                  <w:r>
                    <w:rPr>
                      <w:rFonts w:hint="eastAsia"/>
                      <w:bCs/>
                      <w:kern w:val="0"/>
                    </w:rPr>
                    <w:t>，根据已“一表”可知</w:t>
                  </w:r>
                  <w:r>
                    <w:rPr>
                      <w:rFonts w:hint="eastAsia"/>
                      <w:bCs/>
                      <w:kern w:val="0"/>
                      <w:lang w:eastAsia="zh-CN"/>
                    </w:rPr>
                    <w:t>项目</w:t>
                  </w:r>
                  <w:r>
                    <w:rPr>
                      <w:rFonts w:hint="eastAsia"/>
                      <w:bCs/>
                      <w:kern w:val="0"/>
                    </w:rPr>
                    <w:t>满足</w:t>
                  </w:r>
                  <w:r>
                    <w:rPr>
                      <w:szCs w:val="21"/>
                    </w:rPr>
                    <w:t>重点管控单元</w:t>
                  </w:r>
                  <w:r>
                    <w:rPr>
                      <w:rFonts w:hint="eastAsia"/>
                      <w:bCs/>
                      <w:kern w:val="0"/>
                    </w:rPr>
                    <w:t>要求。</w:t>
                  </w:r>
                </w:p>
              </w:tc>
              <w:tc>
                <w:tcPr>
                  <w:tcW w:w="712" w:type="dxa"/>
                  <w:tcBorders>
                    <w:tl2br w:val="nil"/>
                    <w:tr2bl w:val="nil"/>
                  </w:tcBorders>
                  <w:vAlign w:val="center"/>
                </w:tcPr>
                <w:p>
                  <w:pPr>
                    <w:autoSpaceDE w:val="0"/>
                    <w:autoSpaceDN w:val="0"/>
                    <w:adjustRightInd w:val="0"/>
                    <w:snapToGrid w:val="0"/>
                    <w:jc w:val="both"/>
                    <w:rPr>
                      <w:szCs w:val="21"/>
                    </w:rPr>
                  </w:pPr>
                  <w:r>
                    <w:rPr>
                      <w:rFonts w:hint="eastAsia"/>
                      <w:bCs/>
                      <w:kern w:val="0"/>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125" w:type="dxa"/>
                  <w:tcBorders>
                    <w:tl2br w:val="nil"/>
                    <w:tr2bl w:val="nil"/>
                  </w:tcBorders>
                  <w:vAlign w:val="center"/>
                </w:tcPr>
                <w:p>
                  <w:pPr>
                    <w:autoSpaceDE w:val="0"/>
                    <w:autoSpaceDN w:val="0"/>
                    <w:adjustRightInd w:val="0"/>
                    <w:snapToGrid w:val="0"/>
                    <w:jc w:val="both"/>
                    <w:rPr>
                      <w:szCs w:val="21"/>
                    </w:rPr>
                  </w:pPr>
                  <w:r>
                    <w:rPr>
                      <w:rFonts w:hint="eastAsia"/>
                      <w:bCs/>
                      <w:kern w:val="0"/>
                    </w:rPr>
                    <w:t>未纳入环境管控单元的要素分区对照分析</w:t>
                  </w:r>
                </w:p>
              </w:tc>
              <w:tc>
                <w:tcPr>
                  <w:tcW w:w="4624" w:type="dxa"/>
                  <w:tcBorders>
                    <w:tl2br w:val="nil"/>
                    <w:tr2bl w:val="nil"/>
                  </w:tcBorders>
                  <w:vAlign w:val="center"/>
                </w:tcPr>
                <w:p>
                  <w:pPr>
                    <w:autoSpaceDE w:val="0"/>
                    <w:autoSpaceDN w:val="0"/>
                    <w:adjustRightInd w:val="0"/>
                    <w:snapToGrid w:val="0"/>
                    <w:jc w:val="both"/>
                    <w:rPr>
                      <w:szCs w:val="21"/>
                    </w:rPr>
                  </w:pPr>
                  <w:r>
                    <w:rPr>
                      <w:rFonts w:hint="eastAsia"/>
                      <w:bCs/>
                      <w:kern w:val="0"/>
                    </w:rPr>
                    <w:t>不涉及</w:t>
                  </w:r>
                </w:p>
              </w:tc>
              <w:tc>
                <w:tcPr>
                  <w:tcW w:w="712" w:type="dxa"/>
                  <w:tcBorders>
                    <w:tl2br w:val="nil"/>
                    <w:tr2bl w:val="nil"/>
                  </w:tcBorders>
                  <w:vAlign w:val="center"/>
                </w:tcPr>
                <w:p>
                  <w:pPr>
                    <w:autoSpaceDE w:val="0"/>
                    <w:autoSpaceDN w:val="0"/>
                    <w:adjustRightInd w:val="0"/>
                    <w:snapToGrid w:val="0"/>
                    <w:jc w:val="both"/>
                    <w:rPr>
                      <w:spacing w:val="-11"/>
                      <w:szCs w:val="21"/>
                    </w:rPr>
                  </w:pPr>
                  <w:r>
                    <w:rPr>
                      <w:rFonts w:hint="eastAsia"/>
                      <w:bCs/>
                      <w:kern w:val="0"/>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28" w:type="dxa"/>
                  <w:left w:w="28" w:type="dxa"/>
                  <w:bottom w:w="28" w:type="dxa"/>
                  <w:right w:w="28" w:type="dxa"/>
                </w:tblCellMar>
              </w:tblPrEx>
              <w:trPr>
                <w:trHeight w:val="0" w:hRule="atLeast"/>
                <w:jc w:val="center"/>
              </w:trPr>
              <w:tc>
                <w:tcPr>
                  <w:tcW w:w="2125" w:type="dxa"/>
                  <w:tcBorders>
                    <w:tl2br w:val="nil"/>
                    <w:tr2bl w:val="nil"/>
                  </w:tcBorders>
                  <w:vAlign w:val="center"/>
                </w:tcPr>
                <w:p>
                  <w:pPr>
                    <w:autoSpaceDE w:val="0"/>
                    <w:autoSpaceDN w:val="0"/>
                    <w:adjustRightInd w:val="0"/>
                    <w:snapToGrid w:val="0"/>
                    <w:jc w:val="both"/>
                    <w:rPr>
                      <w:szCs w:val="21"/>
                    </w:rPr>
                  </w:pPr>
                  <w:r>
                    <w:rPr>
                      <w:rFonts w:hint="eastAsia"/>
                      <w:bCs/>
                      <w:kern w:val="0"/>
                    </w:rPr>
                    <w:t>其他对照分析</w:t>
                  </w:r>
                </w:p>
              </w:tc>
              <w:tc>
                <w:tcPr>
                  <w:tcW w:w="4624" w:type="dxa"/>
                  <w:tcBorders>
                    <w:tl2br w:val="nil"/>
                    <w:tr2bl w:val="nil"/>
                  </w:tcBorders>
                  <w:vAlign w:val="center"/>
                </w:tcPr>
                <w:p>
                  <w:pPr>
                    <w:autoSpaceDE w:val="0"/>
                    <w:autoSpaceDN w:val="0"/>
                    <w:adjustRightInd w:val="0"/>
                    <w:snapToGrid w:val="0"/>
                    <w:jc w:val="both"/>
                    <w:rPr>
                      <w:szCs w:val="21"/>
                    </w:rPr>
                  </w:pPr>
                  <w:r>
                    <w:rPr>
                      <w:rFonts w:hint="eastAsia"/>
                      <w:bCs/>
                      <w:kern w:val="0"/>
                    </w:rPr>
                    <w:t>不涉及</w:t>
                  </w:r>
                </w:p>
              </w:tc>
              <w:tc>
                <w:tcPr>
                  <w:tcW w:w="712" w:type="dxa"/>
                  <w:tcBorders>
                    <w:tl2br w:val="nil"/>
                    <w:tr2bl w:val="nil"/>
                  </w:tcBorders>
                  <w:vAlign w:val="center"/>
                </w:tcPr>
                <w:p>
                  <w:pPr>
                    <w:autoSpaceDE w:val="0"/>
                    <w:autoSpaceDN w:val="0"/>
                    <w:adjustRightInd w:val="0"/>
                    <w:snapToGrid w:val="0"/>
                    <w:jc w:val="both"/>
                    <w:rPr>
                      <w:rFonts w:eastAsia="仿宋"/>
                      <w:kern w:val="0"/>
                      <w:szCs w:val="21"/>
                    </w:rPr>
                  </w:pPr>
                  <w:r>
                    <w:rPr>
                      <w:rFonts w:hint="eastAsia"/>
                      <w:bCs/>
                      <w:kern w:val="0"/>
                      <w:lang w:val="en-US" w:eastAsia="zh-CN"/>
                    </w:rPr>
                    <w:t>符合</w:t>
                  </w:r>
                </w:p>
              </w:tc>
            </w:tr>
          </w:tbl>
          <w:p>
            <w:pPr>
              <w:keepNext w:val="0"/>
              <w:keepLines w:val="0"/>
              <w:pageBreakBefore w:val="0"/>
              <w:widowControl w:val="0"/>
              <w:suppressLineNumbers w:val="0"/>
              <w:kinsoku/>
              <w:wordWrap/>
              <w:overflowPunct/>
              <w:topLinePunct w:val="0"/>
              <w:autoSpaceDE/>
              <w:autoSpaceDN/>
              <w:bidi w:val="0"/>
              <w:adjustRightInd/>
              <w:snapToGrid w:val="0"/>
              <w:spacing w:before="0" w:beforeAutospacing="0" w:after="0" w:afterAutospacing="0" w:line="360" w:lineRule="auto"/>
              <w:ind w:left="0" w:right="0" w:firstLine="480" w:firstLineChars="200"/>
              <w:jc w:val="both"/>
              <w:textAlignment w:val="auto"/>
              <w:outlineLvl w:val="9"/>
              <w:rPr>
                <w:rFonts w:hint="eastAsia" w:cs="Times New Roman"/>
                <w:color w:val="auto"/>
                <w:sz w:val="24"/>
                <w:szCs w:val="24"/>
                <w:highlight w:val="no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046" w:hRule="atLeast"/>
          <w:jc w:val="center"/>
        </w:trPr>
        <w:tc>
          <w:tcPr>
            <w:tcW w:w="476" w:type="pct"/>
            <w:vAlign w:val="center"/>
          </w:tcPr>
          <w:p>
            <w:pPr>
              <w:jc w:val="center"/>
              <w:rPr>
                <w:szCs w:val="21"/>
              </w:rPr>
            </w:pPr>
          </w:p>
          <w:p>
            <w:pPr>
              <w:pStyle w:val="3"/>
              <w:rPr>
                <w:rFonts w:ascii="Times New Roman" w:hAnsi="Times New Roman" w:eastAsia="宋体"/>
                <w:sz w:val="21"/>
                <w:szCs w:val="21"/>
              </w:rPr>
            </w:pPr>
          </w:p>
          <w:p>
            <w:pPr>
              <w:rPr>
                <w:szCs w:val="21"/>
              </w:rPr>
            </w:pPr>
          </w:p>
          <w:p>
            <w:pPr>
              <w:pStyle w:val="3"/>
              <w:rPr>
                <w:rFonts w:ascii="Times New Roman" w:hAnsi="Times New Roman" w:eastAsia="宋体"/>
                <w:sz w:val="21"/>
                <w:szCs w:val="21"/>
              </w:rPr>
            </w:pPr>
          </w:p>
          <w:p>
            <w:pPr>
              <w:rPr>
                <w:szCs w:val="21"/>
              </w:rPr>
            </w:pPr>
          </w:p>
          <w:p>
            <w:pPr>
              <w:rPr>
                <w:szCs w:val="21"/>
              </w:rPr>
            </w:pPr>
          </w:p>
          <w:p>
            <w:pPr>
              <w:pStyle w:val="3"/>
              <w:rPr>
                <w:rFonts w:ascii="Times New Roman" w:hAnsi="Times New Roman" w:eastAsia="宋体"/>
                <w:sz w:val="21"/>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p>
          <w:p>
            <w:pPr>
              <w:jc w:val="center"/>
              <w:rPr>
                <w:szCs w:val="21"/>
              </w:rPr>
            </w:pPr>
            <w:r>
              <w:rPr>
                <w:rFonts w:hint="eastAsia"/>
                <w:szCs w:val="21"/>
              </w:rPr>
              <w:t>其他</w:t>
            </w:r>
            <w:r>
              <w:rPr>
                <w:szCs w:val="21"/>
              </w:rPr>
              <w:t>符合性分析</w:t>
            </w:r>
          </w:p>
          <w:p>
            <w:pPr>
              <w:pStyle w:val="3"/>
              <w:rPr>
                <w:rFonts w:ascii="Times New Roman" w:hAnsi="Times New Roman" w:eastAsia="宋体"/>
                <w:sz w:val="21"/>
                <w:szCs w:val="21"/>
              </w:rPr>
            </w:pPr>
          </w:p>
          <w:p>
            <w:pPr>
              <w:rPr>
                <w:szCs w:val="21"/>
              </w:rPr>
            </w:pPr>
          </w:p>
          <w:p>
            <w:pPr>
              <w:pStyle w:val="3"/>
              <w:rPr>
                <w:rFonts w:ascii="Times New Roman" w:hAnsi="Times New Roman" w:eastAsia="宋体"/>
                <w:sz w:val="21"/>
                <w:szCs w:val="21"/>
              </w:rPr>
            </w:pPr>
          </w:p>
          <w:p>
            <w:pPr>
              <w:rPr>
                <w:szCs w:val="21"/>
              </w:rPr>
            </w:pPr>
          </w:p>
          <w:p>
            <w:pPr>
              <w:pStyle w:val="3"/>
              <w:rPr>
                <w:rFonts w:ascii="Times New Roman" w:hAnsi="Times New Roman" w:eastAsia="宋体"/>
                <w:sz w:val="21"/>
                <w:szCs w:val="21"/>
              </w:rPr>
            </w:pPr>
          </w:p>
          <w:p>
            <w:pPr>
              <w:rPr>
                <w:szCs w:val="21"/>
              </w:rPr>
            </w:pPr>
          </w:p>
          <w:p>
            <w:pPr>
              <w:pStyle w:val="3"/>
              <w:rPr>
                <w:rFonts w:ascii="Times New Roman" w:hAnsi="Times New Roman" w:eastAsia="宋体"/>
                <w:sz w:val="21"/>
                <w:szCs w:val="21"/>
              </w:rPr>
            </w:pPr>
          </w:p>
          <w:p>
            <w:pPr>
              <w:rPr>
                <w:szCs w:val="21"/>
              </w:rPr>
            </w:pPr>
          </w:p>
          <w:p>
            <w:pPr>
              <w:pStyle w:val="3"/>
              <w:rPr>
                <w:rFonts w:ascii="Times New Roman" w:hAnsi="Times New Roman" w:eastAsia="宋体"/>
                <w:sz w:val="21"/>
                <w:szCs w:val="21"/>
              </w:rPr>
            </w:pPr>
          </w:p>
        </w:tc>
        <w:tc>
          <w:tcPr>
            <w:tcW w:w="4523" w:type="pct"/>
            <w:gridSpan w:val="4"/>
            <w:vAlign w:val="center"/>
          </w:tcPr>
          <w:p>
            <w:pPr>
              <w:adjustRightInd w:val="0"/>
              <w:snapToGrid w:val="0"/>
              <w:jc w:val="center"/>
              <w:rPr>
                <w:b/>
                <w:bCs/>
                <w:szCs w:val="21"/>
              </w:rPr>
            </w:pPr>
            <w:r>
              <w:rPr>
                <w:rFonts w:hint="eastAsia"/>
                <w:b/>
                <w:bCs/>
                <w:szCs w:val="21"/>
              </w:rPr>
              <w:t>表1-4</w:t>
            </w:r>
            <w:r>
              <w:rPr>
                <w:rFonts w:hint="eastAsia"/>
                <w:b/>
                <w:bCs/>
                <w:szCs w:val="21"/>
                <w:lang w:eastAsia="zh-CN"/>
              </w:rPr>
              <w:t>项目</w:t>
            </w:r>
            <w:r>
              <w:rPr>
                <w:rFonts w:hint="eastAsia"/>
                <w:b/>
                <w:bCs/>
                <w:szCs w:val="21"/>
              </w:rPr>
              <w:t>“三线一单”相符性分析表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61"/>
              <w:gridCol w:w="4681"/>
              <w:gridCol w:w="2600"/>
              <w:gridCol w:w="4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361" w:type="dxa"/>
                  <w:tcBorders>
                    <w:tl2br w:val="nil"/>
                    <w:tr2bl w:val="nil"/>
                  </w:tcBorders>
                  <w:vAlign w:val="center"/>
                </w:tcPr>
                <w:p>
                  <w:pPr>
                    <w:pStyle w:val="3"/>
                    <w:spacing w:before="0" w:after="0" w:line="240" w:lineRule="auto"/>
                    <w:jc w:val="both"/>
                    <w:outlineLvl w:val="1"/>
                    <w:rPr>
                      <w:rFonts w:ascii="Times New Roman" w:hAnsi="Times New Roman" w:eastAsia="宋体" w:cs="Calibri"/>
                      <w:sz w:val="21"/>
                      <w:szCs w:val="21"/>
                    </w:rPr>
                  </w:pPr>
                  <w:r>
                    <w:rPr>
                      <w:rFonts w:hint="eastAsia" w:ascii="Times New Roman" w:hAnsi="Times New Roman" w:eastAsia="宋体" w:cs="Calibri"/>
                      <w:sz w:val="21"/>
                      <w:szCs w:val="21"/>
                    </w:rPr>
                    <w:t>内容</w:t>
                  </w:r>
                </w:p>
              </w:tc>
              <w:tc>
                <w:tcPr>
                  <w:tcW w:w="4681" w:type="dxa"/>
                  <w:tcBorders>
                    <w:tl2br w:val="nil"/>
                    <w:tr2bl w:val="nil"/>
                  </w:tcBorders>
                  <w:vAlign w:val="center"/>
                </w:tcPr>
                <w:p>
                  <w:pPr>
                    <w:pStyle w:val="3"/>
                    <w:spacing w:before="0" w:after="0" w:line="240" w:lineRule="auto"/>
                    <w:jc w:val="both"/>
                    <w:outlineLvl w:val="1"/>
                    <w:rPr>
                      <w:rFonts w:ascii="Times New Roman" w:hAnsi="Times New Roman" w:eastAsia="宋体" w:cs="Calibri"/>
                      <w:sz w:val="21"/>
                      <w:szCs w:val="21"/>
                    </w:rPr>
                  </w:pPr>
                  <w:r>
                    <w:rPr>
                      <w:rFonts w:hint="eastAsia" w:ascii="Times New Roman" w:hAnsi="Times New Roman" w:eastAsia="宋体" w:cs="Calibri"/>
                      <w:sz w:val="21"/>
                      <w:szCs w:val="21"/>
                    </w:rPr>
                    <w:t>要求</w:t>
                  </w:r>
                </w:p>
              </w:tc>
              <w:tc>
                <w:tcPr>
                  <w:tcW w:w="2600" w:type="dxa"/>
                  <w:tcBorders>
                    <w:tl2br w:val="nil"/>
                    <w:tr2bl w:val="nil"/>
                  </w:tcBorders>
                  <w:vAlign w:val="center"/>
                </w:tcPr>
                <w:p>
                  <w:pPr>
                    <w:pStyle w:val="3"/>
                    <w:spacing w:before="0" w:after="0" w:line="240" w:lineRule="auto"/>
                    <w:jc w:val="both"/>
                    <w:outlineLvl w:val="1"/>
                    <w:rPr>
                      <w:rFonts w:ascii="Times New Roman" w:hAnsi="Times New Roman" w:eastAsia="宋体" w:cs="Calibri"/>
                      <w:sz w:val="21"/>
                      <w:szCs w:val="21"/>
                    </w:rPr>
                  </w:pPr>
                  <w:r>
                    <w:rPr>
                      <w:rFonts w:hint="eastAsia" w:ascii="Times New Roman" w:hAnsi="Times New Roman" w:eastAsia="宋体" w:cs="Calibri"/>
                      <w:sz w:val="21"/>
                      <w:szCs w:val="21"/>
                      <w:lang w:eastAsia="zh-CN"/>
                    </w:rPr>
                    <w:t>项目</w:t>
                  </w:r>
                  <w:r>
                    <w:rPr>
                      <w:rFonts w:hint="eastAsia" w:ascii="Times New Roman" w:hAnsi="Times New Roman" w:eastAsia="宋体" w:cs="Calibri"/>
                      <w:sz w:val="21"/>
                      <w:szCs w:val="21"/>
                    </w:rPr>
                    <w:t>情况</w:t>
                  </w:r>
                </w:p>
              </w:tc>
              <w:tc>
                <w:tcPr>
                  <w:tcW w:w="471" w:type="dxa"/>
                  <w:tcBorders>
                    <w:tl2br w:val="nil"/>
                    <w:tr2bl w:val="nil"/>
                  </w:tcBorders>
                  <w:vAlign w:val="center"/>
                </w:tcPr>
                <w:p>
                  <w:pPr>
                    <w:pStyle w:val="3"/>
                    <w:spacing w:before="0" w:after="0" w:line="240" w:lineRule="auto"/>
                    <w:jc w:val="both"/>
                    <w:outlineLvl w:val="1"/>
                    <w:rPr>
                      <w:rFonts w:ascii="Times New Roman" w:hAnsi="Times New Roman" w:eastAsia="宋体" w:cs="Calibri"/>
                      <w:sz w:val="21"/>
                      <w:szCs w:val="21"/>
                    </w:rPr>
                  </w:pPr>
                  <w:r>
                    <w:rPr>
                      <w:rFonts w:hint="eastAsia" w:ascii="Times New Roman" w:hAnsi="Times New Roman" w:eastAsia="宋体" w:cs="Calibri"/>
                      <w:sz w:val="21"/>
                      <w:szCs w:val="21"/>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36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生态保护红线</w:t>
                  </w:r>
                </w:p>
              </w:tc>
              <w:tc>
                <w:tcPr>
                  <w:tcW w:w="468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ascii="Times New Roman" w:hAnsi="Times New Roman" w:eastAsia="宋体" w:cs="Calibri"/>
                      <w:b w:val="0"/>
                      <w:bCs w:val="0"/>
                      <w:color w:val="000000"/>
                      <w:sz w:val="21"/>
                      <w:szCs w:val="21"/>
                    </w:rPr>
                    <w:t>根据《</w:t>
                  </w:r>
                  <w:r>
                    <w:rPr>
                      <w:rFonts w:hint="default" w:ascii="Times New Roman" w:hAnsi="Times New Roman" w:eastAsia="宋体" w:cs="Calibri"/>
                      <w:b w:val="0"/>
                      <w:bCs w:val="0"/>
                      <w:color w:val="000000"/>
                      <w:sz w:val="21"/>
                      <w:szCs w:val="21"/>
                    </w:rPr>
                    <w:t>陕西省人民政府关于加快实施“三线一单”生态环境分区管控的意见</w:t>
                  </w:r>
                  <w:r>
                    <w:rPr>
                      <w:rFonts w:ascii="Times New Roman" w:hAnsi="Times New Roman" w:eastAsia="宋体" w:cs="Calibri"/>
                      <w:b w:val="0"/>
                      <w:bCs w:val="0"/>
                      <w:color w:val="000000"/>
                      <w:sz w:val="21"/>
                      <w:szCs w:val="21"/>
                    </w:rPr>
                    <w:t>》中的“</w:t>
                  </w:r>
                  <w:r>
                    <w:rPr>
                      <w:rFonts w:hint="eastAsia" w:ascii="Times New Roman" w:hAnsi="Times New Roman" w:eastAsia="宋体" w:cs="Calibri"/>
                      <w:b w:val="0"/>
                      <w:bCs w:val="0"/>
                      <w:color w:val="000000"/>
                      <w:sz w:val="21"/>
                      <w:szCs w:val="21"/>
                      <w:lang w:val="en-US" w:eastAsia="zh-CN"/>
                    </w:rPr>
                    <w:t>陕西省</w:t>
                  </w:r>
                  <w:r>
                    <w:rPr>
                      <w:rFonts w:ascii="Times New Roman" w:hAnsi="Times New Roman" w:eastAsia="宋体" w:cs="Calibri"/>
                      <w:b w:val="0"/>
                      <w:bCs w:val="0"/>
                      <w:color w:val="000000"/>
                      <w:sz w:val="21"/>
                      <w:szCs w:val="21"/>
                    </w:rPr>
                    <w:t>生态环境管控单元分布示意图”，</w:t>
                  </w:r>
                  <w:r>
                    <w:rPr>
                      <w:rFonts w:hint="eastAsia" w:ascii="Times New Roman" w:hAnsi="Times New Roman" w:eastAsia="宋体" w:cs="Calibri"/>
                      <w:b w:val="0"/>
                      <w:bCs w:val="0"/>
                      <w:color w:val="000000"/>
                      <w:sz w:val="21"/>
                      <w:szCs w:val="21"/>
                      <w:lang w:eastAsia="zh-CN"/>
                    </w:rPr>
                    <w:t>项目</w:t>
                  </w:r>
                  <w:r>
                    <w:rPr>
                      <w:rFonts w:ascii="Times New Roman" w:hAnsi="Times New Roman" w:eastAsia="宋体" w:cs="Calibri"/>
                      <w:b w:val="0"/>
                      <w:bCs w:val="0"/>
                      <w:color w:val="000000"/>
                      <w:sz w:val="21"/>
                      <w:szCs w:val="21"/>
                    </w:rPr>
                    <w:t>位于重点管控单元，重点管控单元内排放各类污染物的生产、生活活动，须严格遵守相关法律、法规、标准和政策文件的要求。</w:t>
                  </w:r>
                </w:p>
              </w:tc>
              <w:tc>
                <w:tcPr>
                  <w:tcW w:w="2600"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color w:val="000000"/>
                      <w:sz w:val="21"/>
                      <w:szCs w:val="21"/>
                    </w:rPr>
                  </w:pPr>
                  <w:r>
                    <w:rPr>
                      <w:rFonts w:ascii="Times New Roman" w:hAnsi="Times New Roman" w:eastAsia="宋体" w:cs="Calibri"/>
                      <w:b w:val="0"/>
                      <w:bCs w:val="0"/>
                      <w:color w:val="000000"/>
                      <w:sz w:val="21"/>
                      <w:szCs w:val="21"/>
                    </w:rPr>
                    <w:t>项目位于陕西省西咸新区泾河新城</w:t>
                  </w:r>
                  <w:r>
                    <w:rPr>
                      <w:rFonts w:hint="eastAsia" w:ascii="Times New Roman" w:hAnsi="Times New Roman" w:eastAsia="宋体" w:cs="Calibri"/>
                      <w:b w:val="0"/>
                      <w:bCs w:val="0"/>
                      <w:color w:val="000000"/>
                      <w:sz w:val="21"/>
                      <w:szCs w:val="21"/>
                    </w:rPr>
                    <w:t>泾河新城永乐镇磨子桥村二组西北段</w:t>
                  </w:r>
                  <w:r>
                    <w:rPr>
                      <w:rFonts w:ascii="Times New Roman" w:hAnsi="Times New Roman" w:eastAsia="宋体" w:cs="Calibri"/>
                      <w:b w:val="0"/>
                      <w:bCs w:val="0"/>
                      <w:color w:val="000000"/>
                      <w:sz w:val="21"/>
                      <w:szCs w:val="21"/>
                    </w:rPr>
                    <w:t>，属于环境管控的重点管控单元。</w:t>
                  </w:r>
                  <w:r>
                    <w:rPr>
                      <w:rFonts w:hint="eastAsia" w:ascii="Times New Roman" w:hAnsi="Times New Roman" w:eastAsia="宋体" w:cs="Calibri"/>
                      <w:b w:val="0"/>
                      <w:bCs w:val="0"/>
                      <w:color w:val="000000"/>
                      <w:sz w:val="21"/>
                      <w:szCs w:val="21"/>
                      <w:lang w:eastAsia="zh-CN"/>
                    </w:rPr>
                    <w:t>项目</w:t>
                  </w:r>
                  <w:r>
                    <w:rPr>
                      <w:rFonts w:ascii="Times New Roman" w:hAnsi="Times New Roman" w:eastAsia="宋体" w:cs="Calibri"/>
                      <w:b w:val="0"/>
                      <w:bCs w:val="0"/>
                      <w:color w:val="000000"/>
                      <w:sz w:val="21"/>
                      <w:szCs w:val="21"/>
                    </w:rPr>
                    <w:t>各项污染物采取环境治理可行技术进行处理达标后排放，运营期环境保护满足重点管控单元管控要求。</w:t>
                  </w:r>
                </w:p>
              </w:tc>
              <w:tc>
                <w:tcPr>
                  <w:tcW w:w="47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59" w:hRule="atLeast"/>
                <w:jc w:val="center"/>
              </w:trPr>
              <w:tc>
                <w:tcPr>
                  <w:tcW w:w="36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环境质量底线</w:t>
                  </w:r>
                </w:p>
              </w:tc>
              <w:tc>
                <w:tcPr>
                  <w:tcW w:w="468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ascii="Times New Roman" w:hAnsi="Times New Roman" w:eastAsia="宋体" w:cs="Calibri"/>
                      <w:b w:val="0"/>
                      <w:bCs w:val="0"/>
                      <w:color w:val="000000"/>
                      <w:sz w:val="21"/>
                      <w:szCs w:val="21"/>
                    </w:rPr>
                    <w:t>环境质量底线是国家和地方设置的大气、水和土壤环境质量目标，也是改善环境质量的基准线。有关规划环评应落实区域环境质量目标管理要求，提出区域或者行业污染物排放总量管控建议以及优化区域或行业发展布局、结构和规模的对策措施。项目环评应对照区域环境质量目标，深入分析预测项目建设对环境质量的影响，强化污染防治措施和污染物排放控制要求。</w:t>
                  </w:r>
                </w:p>
              </w:tc>
              <w:tc>
                <w:tcPr>
                  <w:tcW w:w="2600"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color w:val="000000"/>
                      <w:sz w:val="21"/>
                      <w:szCs w:val="21"/>
                    </w:rPr>
                  </w:pPr>
                  <w:r>
                    <w:rPr>
                      <w:rFonts w:ascii="Times New Roman" w:hAnsi="Times New Roman" w:eastAsia="宋体" w:cs="Calibri"/>
                      <w:b w:val="0"/>
                      <w:bCs w:val="0"/>
                      <w:color w:val="000000"/>
                      <w:sz w:val="21"/>
                      <w:szCs w:val="21"/>
                    </w:rPr>
                    <w:t>根据第三章节区域环境质量现状可知，项目所在区域声环境、地下水环境和土壤环境均能满足相关环境功能区要求，大气环境为不达标区，项目产生的污染物采取措施后，对周边环境的影响较小，不触及环境质量底线。</w:t>
                  </w:r>
                </w:p>
              </w:tc>
              <w:tc>
                <w:tcPr>
                  <w:tcW w:w="47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980" w:hRule="atLeast"/>
                <w:jc w:val="center"/>
              </w:trPr>
              <w:tc>
                <w:tcPr>
                  <w:tcW w:w="36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资源利用上线</w:t>
                  </w:r>
                </w:p>
              </w:tc>
              <w:tc>
                <w:tcPr>
                  <w:tcW w:w="468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ascii="Times New Roman" w:hAnsi="Times New Roman" w:eastAsia="宋体" w:cs="Calibri"/>
                      <w:b w:val="0"/>
                      <w:bCs w:val="0"/>
                      <w:color w:val="000000"/>
                      <w:sz w:val="21"/>
                      <w:szCs w:val="21"/>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tc>
              <w:tc>
                <w:tcPr>
                  <w:tcW w:w="2600"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color w:val="000000"/>
                      <w:sz w:val="21"/>
                      <w:szCs w:val="21"/>
                    </w:rPr>
                  </w:pPr>
                  <w:r>
                    <w:rPr>
                      <w:rFonts w:ascii="Times New Roman" w:hAnsi="Times New Roman" w:eastAsia="宋体" w:cs="Calibri"/>
                      <w:b w:val="0"/>
                      <w:bCs w:val="0"/>
                      <w:color w:val="000000"/>
                      <w:sz w:val="21"/>
                      <w:szCs w:val="21"/>
                    </w:rPr>
                    <w:t>项目运营期能消耗一定量的电能</w:t>
                  </w:r>
                  <w:r>
                    <w:rPr>
                      <w:rFonts w:hint="eastAsia" w:ascii="Times New Roman" w:hAnsi="Times New Roman" w:eastAsia="宋体" w:cs="Calibri"/>
                      <w:b w:val="0"/>
                      <w:bCs w:val="0"/>
                      <w:color w:val="000000"/>
                      <w:sz w:val="21"/>
                      <w:szCs w:val="21"/>
                    </w:rPr>
                    <w:t>、天然气</w:t>
                  </w:r>
                  <w:r>
                    <w:rPr>
                      <w:rFonts w:ascii="Times New Roman" w:hAnsi="Times New Roman" w:eastAsia="宋体" w:cs="Calibri"/>
                      <w:b w:val="0"/>
                      <w:bCs w:val="0"/>
                      <w:color w:val="000000"/>
                      <w:sz w:val="21"/>
                      <w:szCs w:val="21"/>
                    </w:rPr>
                    <w:t>和水，项目资源消耗相对区域利用总量较少，不会突破资源利用上线</w:t>
                  </w:r>
                  <w:r>
                    <w:rPr>
                      <w:rFonts w:hint="eastAsia" w:ascii="Times New Roman" w:hAnsi="Times New Roman" w:eastAsia="宋体" w:cs="Calibri"/>
                      <w:b w:val="0"/>
                      <w:bCs w:val="0"/>
                      <w:color w:val="000000"/>
                      <w:sz w:val="21"/>
                      <w:szCs w:val="21"/>
                    </w:rPr>
                    <w:t>。</w:t>
                  </w:r>
                </w:p>
              </w:tc>
              <w:tc>
                <w:tcPr>
                  <w:tcW w:w="47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489" w:hRule="atLeast"/>
                <w:jc w:val="center"/>
              </w:trPr>
              <w:tc>
                <w:tcPr>
                  <w:tcW w:w="36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ascii="Times New Roman" w:hAnsi="Times New Roman" w:eastAsia="宋体" w:cs="Calibri"/>
                      <w:b w:val="0"/>
                      <w:bCs w:val="0"/>
                      <w:color w:val="000000"/>
                      <w:sz w:val="21"/>
                      <w:szCs w:val="21"/>
                    </w:rPr>
                    <w:t>生</w:t>
                  </w:r>
                  <w:r>
                    <w:rPr>
                      <w:rFonts w:hint="eastAsia" w:ascii="Times New Roman" w:hAnsi="Times New Roman" w:eastAsia="宋体" w:cs="Calibri"/>
                      <w:b w:val="0"/>
                      <w:bCs w:val="0"/>
                      <w:sz w:val="21"/>
                      <w:szCs w:val="21"/>
                    </w:rPr>
                    <w:t>态环境准入负面清单</w:t>
                  </w:r>
                </w:p>
              </w:tc>
              <w:tc>
                <w:tcPr>
                  <w:tcW w:w="468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ascii="Times New Roman" w:hAnsi="Times New Roman" w:eastAsia="宋体" w:cs="Calibri"/>
                      <w:b w:val="0"/>
                      <w:bCs w:val="0"/>
                      <w:color w:val="000000"/>
                      <w:sz w:val="21"/>
                      <w:szCs w:val="21"/>
                    </w:rPr>
                    <w:t>《陕西省国家重点生态功能区产业准入负面清单（试行）》中范围包括周至县、太白县、凤县、南郑区、洋县、西乡县、勉县、宁强县、略阳县、镇巴县、留坝县、佛坪县、平利县、旬阳县、石泉县、紫阳县、白河县、汉阴县、镇坪县、宁陕县、岚皋县、镇安县、柞水县、吴起县、志丹县、安塞区、子长县、绥德县、米脂县、佳县、吴堡县、清涧县、子洲县、黄龙县、宜川县、洛南县。</w:t>
                  </w:r>
                </w:p>
              </w:tc>
              <w:tc>
                <w:tcPr>
                  <w:tcW w:w="2600"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eastAsia="zh-CN"/>
                    </w:rPr>
                    <w:t>项目</w:t>
                  </w:r>
                  <w:r>
                    <w:rPr>
                      <w:rFonts w:ascii="Times New Roman" w:hAnsi="Times New Roman" w:eastAsia="宋体" w:cs="Calibri"/>
                      <w:b w:val="0"/>
                      <w:bCs w:val="0"/>
                      <w:color w:val="000000"/>
                      <w:sz w:val="21"/>
                      <w:szCs w:val="21"/>
                    </w:rPr>
                    <w:t>位于陕西省西咸新区泾河新城</w:t>
                  </w:r>
                  <w:r>
                    <w:rPr>
                      <w:rFonts w:hint="eastAsia" w:ascii="Times New Roman" w:hAnsi="Times New Roman" w:eastAsia="宋体" w:cs="Calibri"/>
                      <w:b w:val="0"/>
                      <w:bCs w:val="0"/>
                      <w:color w:val="000000"/>
                      <w:sz w:val="21"/>
                      <w:szCs w:val="21"/>
                    </w:rPr>
                    <w:t>泾河新城永乐镇磨子桥村二组西北段</w:t>
                  </w:r>
                  <w:r>
                    <w:rPr>
                      <w:rFonts w:ascii="Times New Roman" w:hAnsi="Times New Roman" w:eastAsia="宋体" w:cs="Calibri"/>
                      <w:b w:val="0"/>
                      <w:bCs w:val="0"/>
                      <w:color w:val="000000"/>
                      <w:sz w:val="21"/>
                      <w:szCs w:val="21"/>
                    </w:rPr>
                    <w:t>，泾河新城未列入《陕西省国家重点生态功能区产业准入负面清单》</w:t>
                  </w:r>
                  <w:r>
                    <w:rPr>
                      <w:rFonts w:hint="eastAsia" w:ascii="Times New Roman" w:hAnsi="Times New Roman" w:eastAsia="宋体" w:cs="Calibri"/>
                      <w:b w:val="0"/>
                      <w:bCs w:val="0"/>
                      <w:color w:val="000000"/>
                      <w:sz w:val="21"/>
                      <w:szCs w:val="21"/>
                    </w:rPr>
                    <w:t>。</w:t>
                  </w:r>
                </w:p>
              </w:tc>
              <w:tc>
                <w:tcPr>
                  <w:tcW w:w="471" w:type="dxa"/>
                  <w:tcBorders>
                    <w:tl2br w:val="nil"/>
                    <w:tr2bl w:val="nil"/>
                  </w:tcBorders>
                  <w:vAlign w:val="center"/>
                </w:tcPr>
                <w:p>
                  <w:pPr>
                    <w:pStyle w:val="3"/>
                    <w:spacing w:before="0" w:after="0" w:line="240" w:lineRule="auto"/>
                    <w:jc w:val="both"/>
                    <w:outlineLvl w:val="1"/>
                    <w:rPr>
                      <w:rFonts w:ascii="Times New Roman" w:hAnsi="Times New Roman" w:eastAsia="宋体" w:cs="Calibri"/>
                      <w:b w:val="0"/>
                      <w:bCs w:val="0"/>
                      <w:sz w:val="21"/>
                      <w:szCs w:val="21"/>
                    </w:rPr>
                  </w:pPr>
                  <w:r>
                    <w:rPr>
                      <w:rFonts w:hint="eastAsia" w:ascii="Times New Roman" w:hAnsi="Times New Roman" w:eastAsia="宋体" w:cs="Calibri"/>
                      <w:b w:val="0"/>
                      <w:bCs w:val="0"/>
                      <w:sz w:val="21"/>
                      <w:szCs w:val="21"/>
                    </w:rPr>
                    <w:t>符合</w:t>
                  </w:r>
                </w:p>
              </w:tc>
            </w:tr>
          </w:tbl>
          <w:p>
            <w:pPr>
              <w:pStyle w:val="28"/>
              <w:adjustRightInd w:val="0"/>
              <w:snapToGrid w:val="0"/>
              <w:spacing w:after="0" w:line="240" w:lineRule="auto"/>
              <w:ind w:left="0" w:leftChars="0" w:firstLine="422"/>
              <w:jc w:val="center"/>
              <w:rPr>
                <w:b/>
                <w:bCs/>
                <w:color w:val="000000"/>
                <w:sz w:val="21"/>
                <w:szCs w:val="21"/>
              </w:rPr>
            </w:pPr>
            <w:r>
              <w:rPr>
                <w:b/>
                <w:bCs/>
                <w:color w:val="000000"/>
                <w:sz w:val="21"/>
                <w:szCs w:val="21"/>
              </w:rPr>
              <w:t>表1-</w:t>
            </w:r>
            <w:r>
              <w:rPr>
                <w:rFonts w:hint="eastAsia"/>
                <w:b/>
                <w:bCs/>
                <w:color w:val="000000"/>
                <w:sz w:val="21"/>
                <w:szCs w:val="21"/>
              </w:rPr>
              <w:t>5</w:t>
            </w:r>
            <w:r>
              <w:rPr>
                <w:b/>
                <w:bCs/>
                <w:color w:val="000000"/>
                <w:sz w:val="21"/>
                <w:szCs w:val="21"/>
              </w:rPr>
              <w:t>项目与</w:t>
            </w:r>
            <w:r>
              <w:rPr>
                <w:rFonts w:hint="eastAsia"/>
                <w:b/>
                <w:bCs/>
                <w:color w:val="000000"/>
                <w:sz w:val="21"/>
                <w:szCs w:val="21"/>
              </w:rPr>
              <w:t>生态环境总体准入清单</w:t>
            </w:r>
            <w:r>
              <w:rPr>
                <w:rFonts w:hint="eastAsia"/>
                <w:b/>
                <w:bCs/>
                <w:color w:val="000000"/>
                <w:sz w:val="21"/>
                <w:szCs w:val="21"/>
                <w:lang w:val="en-US" w:eastAsia="zh-CN"/>
              </w:rPr>
              <w:t>及</w:t>
            </w:r>
            <w:r>
              <w:rPr>
                <w:rFonts w:hint="eastAsia"/>
                <w:b/>
                <w:bCs/>
                <w:color w:val="000000"/>
                <w:sz w:val="21"/>
                <w:szCs w:val="21"/>
              </w:rPr>
              <w:t>生态环境分区管控准入清单</w:t>
            </w:r>
            <w:r>
              <w:rPr>
                <w:b/>
                <w:bCs/>
                <w:color w:val="000000"/>
                <w:sz w:val="21"/>
                <w:szCs w:val="21"/>
              </w:rPr>
              <w:t>符合性</w:t>
            </w:r>
            <w:r>
              <w:rPr>
                <w:rFonts w:hint="eastAsia"/>
                <w:b/>
                <w:bCs/>
                <w:color w:val="000000"/>
                <w:sz w:val="21"/>
                <w:szCs w:val="21"/>
              </w:rPr>
              <w:t>说明</w:t>
            </w:r>
          </w:p>
          <w:tbl>
            <w:tblPr>
              <w:tblStyle w:val="29"/>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438"/>
              <w:gridCol w:w="450"/>
              <w:gridCol w:w="526"/>
              <w:gridCol w:w="574"/>
              <w:gridCol w:w="494"/>
              <w:gridCol w:w="2511"/>
              <w:gridCol w:w="650"/>
              <w:gridCol w:w="2085"/>
              <w:gridCol w:w="45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color w:val="auto"/>
                      <w:sz w:val="21"/>
                      <w:szCs w:val="21"/>
                      <w:highlight w:val="none"/>
                    </w:rPr>
                    <w:t>序号</w:t>
                  </w:r>
                </w:p>
              </w:tc>
              <w:tc>
                <w:tcPr>
                  <w:tcW w:w="450" w:type="dxa"/>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color w:val="auto"/>
                      <w:sz w:val="21"/>
                      <w:szCs w:val="21"/>
                      <w:highlight w:val="none"/>
                    </w:rPr>
                    <w:t>区县</w:t>
                  </w:r>
                </w:p>
              </w:tc>
              <w:tc>
                <w:tcPr>
                  <w:tcW w:w="52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color w:val="auto"/>
                      <w:sz w:val="21"/>
                      <w:szCs w:val="21"/>
                      <w:highlight w:val="none"/>
                    </w:rPr>
                    <w:t>环境管控单元名称</w:t>
                  </w:r>
                </w:p>
              </w:tc>
              <w:tc>
                <w:tcPr>
                  <w:tcW w:w="57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color w:val="auto"/>
                      <w:sz w:val="21"/>
                      <w:szCs w:val="21"/>
                      <w:highlight w:val="none"/>
                    </w:rPr>
                    <w:t>单元要素属性</w:t>
                  </w:r>
                </w:p>
              </w:tc>
              <w:tc>
                <w:tcPr>
                  <w:tcW w:w="3005" w:type="dxa"/>
                  <w:gridSpan w:val="2"/>
                  <w:tcBorders>
                    <w:tl2br w:val="nil"/>
                    <w:tr2bl w:val="nil"/>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color w:val="auto"/>
                      <w:kern w:val="2"/>
                      <w:sz w:val="21"/>
                      <w:szCs w:val="21"/>
                      <w:highlight w:val="none"/>
                      <w:lang w:val="en-US" w:eastAsia="zh-CN" w:bidi="ar-SA"/>
                    </w:rPr>
                  </w:pPr>
                  <w:r>
                    <w:rPr>
                      <w:rFonts w:hint="default" w:ascii="Times New Roman" w:hAnsi="Times New Roman" w:eastAsia="宋体" w:cs="Times New Roman"/>
                      <w:b/>
                      <w:color w:val="auto"/>
                      <w:sz w:val="21"/>
                      <w:szCs w:val="21"/>
                      <w:highlight w:val="none"/>
                    </w:rPr>
                    <w:t>管控要求</w:t>
                  </w:r>
                </w:p>
              </w:tc>
              <w:tc>
                <w:tcPr>
                  <w:tcW w:w="650"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imes New Roman" w:hAnsi="Times New Roman" w:eastAsia="宋体" w:cs="Times New Roman"/>
                      <w:b/>
                      <w:color w:val="auto"/>
                      <w:sz w:val="21"/>
                      <w:szCs w:val="21"/>
                      <w:highlight w:val="none"/>
                      <w:lang w:val="en-US" w:eastAsia="zh-CN"/>
                    </w:rPr>
                  </w:pPr>
                  <w:r>
                    <w:rPr>
                      <w:rFonts w:hint="eastAsia" w:cs="Times New Roman"/>
                      <w:b/>
                      <w:color w:val="auto"/>
                      <w:sz w:val="21"/>
                      <w:szCs w:val="21"/>
                      <w:highlight w:val="none"/>
                      <w:lang w:val="en-US" w:eastAsia="zh-CN"/>
                    </w:rPr>
                    <w:t>面积</w:t>
                  </w:r>
                </w:p>
              </w:tc>
              <w:tc>
                <w:tcPr>
                  <w:tcW w:w="2085"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color w:val="auto"/>
                      <w:kern w:val="2"/>
                      <w:sz w:val="21"/>
                      <w:szCs w:val="21"/>
                      <w:highlight w:val="none"/>
                      <w:lang w:val="en-US" w:eastAsia="zh-CN" w:bidi="ar-SA"/>
                    </w:rPr>
                  </w:pPr>
                  <w:r>
                    <w:rPr>
                      <w:rFonts w:hint="eastAsia" w:cs="Times New Roman"/>
                      <w:b/>
                      <w:color w:val="auto"/>
                      <w:sz w:val="21"/>
                      <w:szCs w:val="21"/>
                      <w:highlight w:val="none"/>
                      <w:lang w:val="en-US" w:eastAsia="zh-CN"/>
                    </w:rPr>
                    <w:t>项目</w:t>
                  </w:r>
                  <w:r>
                    <w:rPr>
                      <w:rFonts w:hint="default" w:ascii="Times New Roman" w:hAnsi="Times New Roman" w:eastAsia="宋体" w:cs="Times New Roman"/>
                      <w:b/>
                      <w:color w:val="auto"/>
                      <w:sz w:val="21"/>
                      <w:szCs w:val="21"/>
                      <w:highlight w:val="none"/>
                      <w:lang w:val="en-US" w:eastAsia="zh-CN"/>
                    </w:rPr>
                    <w:t>情况</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default" w:ascii="Times New Roman" w:hAnsi="Times New Roman" w:eastAsia="宋体" w:cs="Times New Roman"/>
                      <w:b/>
                      <w:color w:val="auto"/>
                      <w:sz w:val="21"/>
                      <w:szCs w:val="21"/>
                      <w:highlight w:val="none"/>
                      <w:lang w:val="en-US" w:eastAsia="zh-CN"/>
                    </w:rPr>
                    <w:t>符合性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1</w:t>
                  </w:r>
                </w:p>
              </w:tc>
              <w:tc>
                <w:tcPr>
                  <w:tcW w:w="450"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泾阳县</w:t>
                  </w:r>
                </w:p>
              </w:tc>
              <w:tc>
                <w:tcPr>
                  <w:tcW w:w="526"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泾阳县</w:t>
                  </w:r>
                  <w:r>
                    <w:rPr>
                      <w:rFonts w:hint="default" w:ascii="Times New Roman" w:hAnsi="Times New Roman" w:eastAsia="宋体" w:cs="Times New Roman"/>
                      <w:b w:val="0"/>
                      <w:bCs/>
                      <w:color w:val="auto"/>
                      <w:sz w:val="21"/>
                      <w:szCs w:val="21"/>
                      <w:highlight w:val="none"/>
                      <w:lang w:val="en-US" w:eastAsia="zh-CN"/>
                    </w:rPr>
                    <w:t>重点管控单元</w:t>
                  </w:r>
                  <w:r>
                    <w:rPr>
                      <w:rFonts w:hint="eastAsia" w:ascii="Times New Roman" w:hAnsi="Times New Roman" w:eastAsia="宋体" w:cs="Times New Roman"/>
                      <w:b w:val="0"/>
                      <w:bCs/>
                      <w:color w:val="auto"/>
                      <w:sz w:val="21"/>
                      <w:szCs w:val="21"/>
                      <w:highlight w:val="none"/>
                      <w:lang w:val="en-US" w:eastAsia="zh-CN"/>
                    </w:rPr>
                    <w:t>2</w:t>
                  </w:r>
                </w:p>
              </w:tc>
              <w:tc>
                <w:tcPr>
                  <w:tcW w:w="574"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水环境城镇生活污染重点管控区</w:t>
                  </w: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污染物排放管控</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水环境城镇生活重点管控区：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加强城镇污水收集处理设施建设与提标改造，推进渭河南岸西部污水处理厂建设，提升污水处理能力，因地制宜在污水处理厂出水口处建设人工水质净化工程。推进新建污水处理设施与配套管网的同步设计、同步建设、同步投运，加快污水管网建设与雨污分流改造，完成市区老旧城区管网升级改造。</w:t>
                  </w:r>
                </w:p>
              </w:tc>
              <w:tc>
                <w:tcPr>
                  <w:tcW w:w="650" w:type="dxa"/>
                  <w:vMerge w:val="restart"/>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6000㎡</w:t>
                  </w: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项目实施雨污分流。生活污水经租赁方化粪池沉淀后外运肥田，喷淋塔水循环使用不外排，铝材表面处理废水和清洗废水经污水处理站处理后循环使用，不外排。</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restart"/>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eastAsia="zh-CN"/>
                    </w:rPr>
                  </w:pPr>
                  <w:r>
                    <w:rPr>
                      <w:rFonts w:hint="eastAsia" w:ascii="Times New Roman" w:hAnsi="Times New Roman" w:eastAsia="宋体" w:cs="Calibri"/>
                      <w:b w:val="0"/>
                      <w:bCs w:val="0"/>
                      <w:color w:val="000000"/>
                      <w:sz w:val="21"/>
                      <w:szCs w:val="21"/>
                      <w:lang w:val="en-US" w:eastAsia="zh-CN"/>
                    </w:rPr>
                    <w:t>2</w:t>
                  </w:r>
                </w:p>
              </w:tc>
              <w:tc>
                <w:tcPr>
                  <w:tcW w:w="450" w:type="dxa"/>
                  <w:vMerge w:val="restart"/>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泾阳县</w:t>
                  </w:r>
                </w:p>
              </w:tc>
              <w:tc>
                <w:tcPr>
                  <w:tcW w:w="52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eastAsia"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泾阳县</w:t>
                  </w:r>
                  <w:r>
                    <w:rPr>
                      <w:rFonts w:hint="default" w:ascii="Times New Roman" w:hAnsi="Times New Roman" w:eastAsia="宋体" w:cs="Times New Roman"/>
                      <w:b w:val="0"/>
                      <w:bCs/>
                      <w:color w:val="auto"/>
                      <w:sz w:val="21"/>
                      <w:szCs w:val="21"/>
                      <w:highlight w:val="none"/>
                      <w:lang w:val="en-US" w:eastAsia="zh-CN"/>
                    </w:rPr>
                    <w:t>重点管控单元</w:t>
                  </w:r>
                  <w:r>
                    <w:rPr>
                      <w:rFonts w:hint="eastAsia" w:ascii="Times New Roman" w:hAnsi="Times New Roman" w:eastAsia="宋体" w:cs="Times New Roman"/>
                      <w:b w:val="0"/>
                      <w:bCs/>
                      <w:color w:val="auto"/>
                      <w:sz w:val="21"/>
                      <w:szCs w:val="21"/>
                      <w:highlight w:val="none"/>
                      <w:lang w:val="en-US" w:eastAsia="zh-CN"/>
                    </w:rPr>
                    <w:t>2</w:t>
                  </w:r>
                </w:p>
              </w:tc>
              <w:tc>
                <w:tcPr>
                  <w:tcW w:w="57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大气环境布局敏感重点管控区</w:t>
                  </w: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zh-CN" w:eastAsia="zh-CN"/>
                    </w:rPr>
                  </w:pPr>
                  <w:r>
                    <w:rPr>
                      <w:rFonts w:hint="default" w:ascii="Times New Roman" w:hAnsi="Times New Roman" w:eastAsia="宋体" w:cs="Calibri"/>
                      <w:b w:val="0"/>
                      <w:bCs w:val="0"/>
                      <w:color w:val="000000"/>
                      <w:sz w:val="21"/>
                      <w:szCs w:val="21"/>
                      <w:lang w:val="en-US" w:eastAsia="zh-CN"/>
                    </w:rPr>
                    <w:t>空间布局约束</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大气环境布局敏感重点管控区：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ascii="Times New Roman" w:hAnsi="Times New Roman" w:eastAsia="宋体" w:cs="Calibri"/>
                      <w:b w:val="0"/>
                      <w:bCs w:val="0"/>
                      <w:color w:val="000000"/>
                      <w:sz w:val="21"/>
                      <w:szCs w:val="21"/>
                      <w:lang w:val="en-US" w:eastAsia="zh-CN"/>
                    </w:rPr>
                    <w:t>1.</w:t>
                  </w:r>
                  <w:r>
                    <w:rPr>
                      <w:rFonts w:hint="eastAsia" w:ascii="Times New Roman" w:hAnsi="Times New Roman" w:eastAsia="宋体" w:cs="Calibri"/>
                      <w:b w:val="0"/>
                      <w:bCs w:val="0"/>
                      <w:color w:val="000000"/>
                      <w:sz w:val="21"/>
                      <w:szCs w:val="21"/>
                      <w:lang w:val="en-US" w:eastAsia="zh-CN"/>
                    </w:rPr>
                    <w:t>坚决遏制高耗能高排放项目盲目发展，严控</w:t>
                  </w:r>
                  <w:r>
                    <w:rPr>
                      <w:rFonts w:hint="default" w:ascii="Times New Roman" w:hAnsi="Times New Roman" w:eastAsia="宋体" w:cs="Calibri"/>
                      <w:b w:val="0"/>
                      <w:bCs w:val="0"/>
                      <w:color w:val="000000"/>
                      <w:sz w:val="21"/>
                      <w:szCs w:val="21"/>
                      <w:lang w:val="en-US" w:eastAsia="zh-CN"/>
                    </w:rPr>
                    <w:t>“</w:t>
                  </w:r>
                  <w:r>
                    <w:rPr>
                      <w:rFonts w:hint="eastAsia" w:ascii="Times New Roman" w:hAnsi="Times New Roman" w:eastAsia="宋体" w:cs="Calibri"/>
                      <w:b w:val="0"/>
                      <w:bCs w:val="0"/>
                      <w:color w:val="000000"/>
                      <w:sz w:val="21"/>
                      <w:szCs w:val="21"/>
                      <w:lang w:val="en-US" w:eastAsia="zh-CN"/>
                    </w:rPr>
                    <w:t>两高</w:t>
                  </w:r>
                  <w:r>
                    <w:rPr>
                      <w:rFonts w:hint="default" w:ascii="Times New Roman" w:hAnsi="Times New Roman" w:eastAsia="宋体" w:cs="Calibri"/>
                      <w:b w:val="0"/>
                      <w:bCs w:val="0"/>
                      <w:color w:val="000000"/>
                      <w:sz w:val="21"/>
                      <w:szCs w:val="21"/>
                      <w:lang w:val="en-US" w:eastAsia="zh-CN"/>
                    </w:rPr>
                    <w:t>”</w:t>
                  </w:r>
                  <w:r>
                    <w:rPr>
                      <w:rFonts w:hint="eastAsia" w:ascii="Times New Roman" w:hAnsi="Times New Roman" w:eastAsia="宋体" w:cs="Calibri"/>
                      <w:b w:val="0"/>
                      <w:bCs w:val="0"/>
                      <w:color w:val="000000"/>
                      <w:sz w:val="21"/>
                      <w:szCs w:val="21"/>
                      <w:lang w:val="en-US" w:eastAsia="zh-CN"/>
                    </w:rPr>
                    <w:t>行业产能。</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rPr>
                  </w:pPr>
                  <w:r>
                    <w:rPr>
                      <w:rFonts w:hint="eastAsia" w:ascii="Times New Roman" w:hAnsi="Times New Roman" w:eastAsia="宋体" w:cs="Calibri"/>
                      <w:b w:val="0"/>
                      <w:bCs w:val="0"/>
                      <w:color w:val="000000"/>
                      <w:sz w:val="21"/>
                      <w:szCs w:val="21"/>
                      <w:lang w:val="en-US" w:eastAsia="zh-CN"/>
                    </w:rPr>
                    <w:t>项目属于金属制品制造业，不属于高耗能高排放项目。</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rPr>
                  </w:pPr>
                </w:p>
              </w:tc>
              <w:tc>
                <w:tcPr>
                  <w:tcW w:w="450" w:type="dxa"/>
                  <w:vMerge w:val="continue"/>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26"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74"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zh-CN" w:eastAsia="zh-CN"/>
                    </w:rPr>
                  </w:pPr>
                  <w:r>
                    <w:rPr>
                      <w:rFonts w:hint="default" w:ascii="Times New Roman" w:hAnsi="Times New Roman" w:eastAsia="宋体" w:cs="Calibri"/>
                      <w:b w:val="0"/>
                      <w:bCs w:val="0"/>
                      <w:color w:val="000000"/>
                      <w:sz w:val="21"/>
                      <w:szCs w:val="21"/>
                      <w:lang w:val="en-US" w:eastAsia="zh-CN"/>
                    </w:rPr>
                    <w:t>污染物排放管控</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大气环境布局敏感重点管控区：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1.区域内保留企业采用先进生产工艺、严格落实污染治理措施。</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2.</w:t>
                  </w:r>
                  <w:r>
                    <w:rPr>
                      <w:rFonts w:hint="eastAsia" w:ascii="Times New Roman" w:hAnsi="Times New Roman" w:eastAsia="宋体" w:cs="Calibri"/>
                      <w:b w:val="0"/>
                      <w:bCs w:val="0"/>
                      <w:color w:val="000000"/>
                      <w:sz w:val="21"/>
                      <w:szCs w:val="21"/>
                      <w:lang w:val="en-US" w:eastAsia="zh-CN"/>
                    </w:rPr>
                    <w:t>提升环境管理水平，减少污染物排放。</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3.</w:t>
                  </w:r>
                  <w:r>
                    <w:rPr>
                      <w:rFonts w:hint="eastAsia" w:ascii="Times New Roman" w:hAnsi="Times New Roman" w:eastAsia="宋体" w:cs="Calibri"/>
                      <w:b w:val="0"/>
                      <w:bCs w:val="0"/>
                      <w:color w:val="000000"/>
                      <w:sz w:val="21"/>
                      <w:szCs w:val="21"/>
                      <w:lang w:val="en-US" w:eastAsia="zh-CN"/>
                    </w:rPr>
                    <w:t>支持企业开展能效提升、清洁生产、工业节水等绿色化升级改造，实施重点行业和企业循环化改造，推动资源循环再生利用，降低能源消耗和污染物排放量。</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zh-CN" w:eastAsia="zh-CN"/>
                    </w:rPr>
                  </w:pPr>
                  <w:r>
                    <w:rPr>
                      <w:rFonts w:hint="eastAsia" w:ascii="Times New Roman" w:hAnsi="Times New Roman" w:eastAsia="宋体" w:cs="Calibri"/>
                      <w:b w:val="0"/>
                      <w:bCs w:val="0"/>
                      <w:color w:val="000000"/>
                      <w:sz w:val="21"/>
                      <w:szCs w:val="21"/>
                      <w:lang w:val="en-US" w:eastAsia="zh-CN"/>
                    </w:rPr>
                    <w:t>4</w:t>
                  </w:r>
                  <w:r>
                    <w:rPr>
                      <w:rFonts w:hint="default" w:ascii="Times New Roman" w:hAnsi="Times New Roman" w:eastAsia="宋体" w:cs="Calibri"/>
                      <w:b w:val="0"/>
                      <w:bCs w:val="0"/>
                      <w:color w:val="000000"/>
                      <w:sz w:val="21"/>
                      <w:szCs w:val="21"/>
                      <w:lang w:val="en-US" w:eastAsia="zh-CN"/>
                    </w:rPr>
                    <w:t>.</w:t>
                  </w:r>
                  <w:r>
                    <w:rPr>
                      <w:rFonts w:hint="eastAsia" w:ascii="Times New Roman" w:hAnsi="Times New Roman" w:eastAsia="宋体" w:cs="Calibri"/>
                      <w:b w:val="0"/>
                      <w:bCs w:val="0"/>
                      <w:color w:val="000000"/>
                      <w:sz w:val="21"/>
                      <w:szCs w:val="21"/>
                      <w:lang w:val="en-US" w:eastAsia="zh-CN"/>
                    </w:rPr>
                    <w:t>支持企业开展能效提升、清洁生产、工业节水等绿色化升级改造，实施重点行业和企业循环化改造，推动资源循环再生利用，降低能源消耗和污染物排放量。</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喷塑在密闭式喷塑房进行，喷塑颗粒物经喷粉房自带大旋风回收系统（滤筒+旋风分离器）处理后经15m排气筒排放；固化工序、木纹转印工序及覆膜工序产生的有机废气经5个集气罩+喷淋塔+过滤棉+二级活性炭对非甲烷总烃及天然气燃烧废气进行处理，处理后废气通过15m排气筒排放。</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restart"/>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3</w:t>
                  </w:r>
                </w:p>
              </w:tc>
              <w:tc>
                <w:tcPr>
                  <w:tcW w:w="450" w:type="dxa"/>
                  <w:vMerge w:val="restart"/>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泾阳县</w:t>
                  </w:r>
                </w:p>
              </w:tc>
              <w:tc>
                <w:tcPr>
                  <w:tcW w:w="52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泾阳县</w:t>
                  </w:r>
                  <w:r>
                    <w:rPr>
                      <w:rFonts w:hint="default" w:ascii="Times New Roman" w:hAnsi="Times New Roman" w:eastAsia="宋体" w:cs="Times New Roman"/>
                      <w:b w:val="0"/>
                      <w:bCs/>
                      <w:color w:val="auto"/>
                      <w:sz w:val="21"/>
                      <w:szCs w:val="21"/>
                      <w:highlight w:val="none"/>
                      <w:lang w:val="en-US" w:eastAsia="zh-CN"/>
                    </w:rPr>
                    <w:t>重点管控单元</w:t>
                  </w:r>
                  <w:r>
                    <w:rPr>
                      <w:rFonts w:hint="eastAsia" w:ascii="Times New Roman" w:hAnsi="Times New Roman" w:eastAsia="宋体" w:cs="Times New Roman"/>
                      <w:b w:val="0"/>
                      <w:bCs/>
                      <w:color w:val="auto"/>
                      <w:sz w:val="21"/>
                      <w:szCs w:val="21"/>
                      <w:highlight w:val="none"/>
                      <w:lang w:val="en-US" w:eastAsia="zh-CN"/>
                    </w:rPr>
                    <w:t>2</w:t>
                  </w:r>
                </w:p>
              </w:tc>
              <w:tc>
                <w:tcPr>
                  <w:tcW w:w="57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高污染燃料禁燃区</w:t>
                  </w: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空间布局约束</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高污染燃料禁燃重点管控区：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禁燃区内禁止销售、燃用高污染燃料，禁止新建、扩建燃用高污染燃料的设施，已建成的应当在市（区）政府规定的期限内改用天然气、页岩气、液化石油气、电等清洁能源。全域全时段禁止生物质露天焚烧。</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项目属于金属制品制造业，烘干炉采用天然气清洁能源，废气达标排放。</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rPr>
                  </w:pPr>
                </w:p>
              </w:tc>
              <w:tc>
                <w:tcPr>
                  <w:tcW w:w="450" w:type="dxa"/>
                  <w:vMerge w:val="continue"/>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26"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74"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污染物排放管控</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高污染燃料禁燃重点管控区：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ascii="Times New Roman" w:hAnsi="Times New Roman" w:eastAsia="宋体" w:cs="Calibri"/>
                      <w:b w:val="0"/>
                      <w:bCs w:val="0"/>
                      <w:color w:val="000000"/>
                      <w:sz w:val="21"/>
                      <w:szCs w:val="21"/>
                      <w:lang w:val="en-US" w:eastAsia="zh-CN"/>
                    </w:rPr>
                    <w:t>1.</w:t>
                  </w:r>
                  <w:r>
                    <w:rPr>
                      <w:rFonts w:hint="eastAsia" w:ascii="Times New Roman" w:hAnsi="Times New Roman" w:eastAsia="宋体" w:cs="Calibri"/>
                      <w:b w:val="0"/>
                      <w:bCs w:val="0"/>
                      <w:color w:val="000000"/>
                      <w:sz w:val="21"/>
                      <w:szCs w:val="21"/>
                      <w:lang w:val="en-US" w:eastAsia="zh-CN"/>
                    </w:rPr>
                    <w:t>推进各类园区循环化改造、规范发展和提质增效。大力推进企业清洁生产。全面实行排污许可管理，实现固定污染源排污许可制全覆盖。燃料清洁低碳化替代方面，对以煤、石油焦、渣油、重油等为燃料的工业炉窑，加快利用清洁低碳能源、工厂余热、电厂热力等方式实施替代。</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ascii="Times New Roman" w:hAnsi="Times New Roman" w:eastAsia="宋体" w:cs="Calibri"/>
                      <w:b w:val="0"/>
                      <w:bCs w:val="0"/>
                      <w:color w:val="000000"/>
                      <w:sz w:val="21"/>
                      <w:szCs w:val="21"/>
                      <w:lang w:val="en-US" w:eastAsia="zh-CN"/>
                    </w:rPr>
                    <w:t>2.</w:t>
                  </w:r>
                  <w:r>
                    <w:rPr>
                      <w:rFonts w:hint="eastAsia" w:ascii="Times New Roman" w:hAnsi="Times New Roman" w:eastAsia="宋体" w:cs="Calibri"/>
                      <w:b w:val="0"/>
                      <w:bCs w:val="0"/>
                      <w:color w:val="000000"/>
                      <w:sz w:val="21"/>
                      <w:szCs w:val="21"/>
                      <w:lang w:val="en-US" w:eastAsia="zh-CN"/>
                    </w:rPr>
                    <w:t>不再新建每小时</w:t>
                  </w:r>
                  <w:r>
                    <w:rPr>
                      <w:rFonts w:hint="default" w:ascii="Times New Roman" w:hAnsi="Times New Roman" w:eastAsia="宋体" w:cs="Calibri"/>
                      <w:b w:val="0"/>
                      <w:bCs w:val="0"/>
                      <w:color w:val="000000"/>
                      <w:sz w:val="21"/>
                      <w:szCs w:val="21"/>
                      <w:lang w:val="en-US" w:eastAsia="zh-CN"/>
                    </w:rPr>
                    <w:t>35</w:t>
                  </w:r>
                  <w:r>
                    <w:rPr>
                      <w:rFonts w:hint="eastAsia" w:ascii="Times New Roman" w:hAnsi="Times New Roman" w:eastAsia="宋体" w:cs="Calibri"/>
                      <w:b w:val="0"/>
                      <w:bCs w:val="0"/>
                      <w:color w:val="000000"/>
                      <w:sz w:val="21"/>
                      <w:szCs w:val="21"/>
                      <w:lang w:val="en-US" w:eastAsia="zh-CN"/>
                    </w:rPr>
                    <w:t>蒸吨以下的燃煤锅炉，每小时</w:t>
                  </w:r>
                  <w:r>
                    <w:rPr>
                      <w:rFonts w:hint="default" w:ascii="Times New Roman" w:hAnsi="Times New Roman" w:eastAsia="宋体" w:cs="Calibri"/>
                      <w:b w:val="0"/>
                      <w:bCs w:val="0"/>
                      <w:color w:val="000000"/>
                      <w:sz w:val="21"/>
                      <w:szCs w:val="21"/>
                      <w:lang w:val="en-US" w:eastAsia="zh-CN"/>
                    </w:rPr>
                    <w:t>65</w:t>
                  </w:r>
                  <w:r>
                    <w:rPr>
                      <w:rFonts w:hint="eastAsia" w:ascii="Times New Roman" w:hAnsi="Times New Roman" w:eastAsia="宋体" w:cs="Calibri"/>
                      <w:b w:val="0"/>
                      <w:bCs w:val="0"/>
                      <w:color w:val="000000"/>
                      <w:sz w:val="21"/>
                      <w:szCs w:val="21"/>
                      <w:lang w:val="en-US" w:eastAsia="zh-CN"/>
                    </w:rPr>
                    <w:t>蒸吨及以上燃煤锅炉全部完成节能和超低排放改造。对城市建成区生物质锅炉实施超低排放改造；具备条件的</w:t>
                  </w:r>
                  <w:r>
                    <w:rPr>
                      <w:rFonts w:hint="default" w:ascii="Times New Roman" w:hAnsi="Times New Roman" w:eastAsia="宋体" w:cs="Calibri"/>
                      <w:b w:val="0"/>
                      <w:bCs w:val="0"/>
                      <w:color w:val="000000"/>
                      <w:sz w:val="21"/>
                      <w:szCs w:val="21"/>
                      <w:lang w:val="en-US" w:eastAsia="zh-CN"/>
                    </w:rPr>
                    <w:t>30</w:t>
                  </w:r>
                  <w:r>
                    <w:rPr>
                      <w:rFonts w:hint="eastAsia" w:ascii="Times New Roman" w:hAnsi="Times New Roman" w:eastAsia="宋体" w:cs="Calibri"/>
                      <w:b w:val="0"/>
                      <w:bCs w:val="0"/>
                      <w:color w:val="000000"/>
                      <w:sz w:val="21"/>
                      <w:szCs w:val="21"/>
                      <w:lang w:val="en-US" w:eastAsia="zh-CN"/>
                    </w:rPr>
                    <w:t>万千瓦及以上燃煤机组全部实现供热改造。科学应对重污染天气，修订完善重污染天气应急减排清单，实施分级管控，与西安统一标准，统一等级，统一措施，实施区域应急联动。</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项目烘干炉采用天然气清洁能源，运行期不设置燃煤锅炉。</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rPr>
                  </w:pPr>
                </w:p>
              </w:tc>
              <w:tc>
                <w:tcPr>
                  <w:tcW w:w="450" w:type="dxa"/>
                  <w:vMerge w:val="continue"/>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26"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74"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环境风险</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防控</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高污染燃料禁燃重点管控区：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重点工业污染源全面安装烟气在线监控设施，监测结果及时报环境保护部门。将烟气在线监测数据作为执法依据，加大超标处罚和联合惩戒力度，对未达标排放的企业进行限期整改，未整改完成的企业一律依法停产整治。</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项目属于金属制品制造业，不属于重点工业污染源；不安装延期在线监控设施。</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rPr>
                  </w:pPr>
                </w:p>
              </w:tc>
              <w:tc>
                <w:tcPr>
                  <w:tcW w:w="450" w:type="dxa"/>
                  <w:vMerge w:val="continue"/>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26"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74"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资源开发</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效率要求</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高污染燃料禁燃重点管控区：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加快发展清洁能源和新能源。推广使用天然气、煤层气、液化石油气、电、太阳能等清洁能源，有序发展水电，优化风能、太阳能开发布局，因地制宜发展生物质能、地热能等。</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项目烘干炉采用天然气清洁能源，运行期不设置燃煤锅炉。</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restart"/>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4</w:t>
                  </w:r>
                </w:p>
              </w:tc>
              <w:tc>
                <w:tcPr>
                  <w:tcW w:w="450" w:type="dxa"/>
                  <w:vMerge w:val="restart"/>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泾阳县</w:t>
                  </w:r>
                </w:p>
              </w:tc>
              <w:tc>
                <w:tcPr>
                  <w:tcW w:w="526"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泾阳县</w:t>
                  </w:r>
                  <w:r>
                    <w:rPr>
                      <w:rFonts w:hint="default" w:ascii="Times New Roman" w:hAnsi="Times New Roman" w:eastAsia="宋体" w:cs="Times New Roman"/>
                      <w:b w:val="0"/>
                      <w:bCs/>
                      <w:color w:val="auto"/>
                      <w:sz w:val="21"/>
                      <w:szCs w:val="21"/>
                      <w:highlight w:val="none"/>
                      <w:lang w:val="en-US" w:eastAsia="zh-CN"/>
                    </w:rPr>
                    <w:t>重点管控单元</w:t>
                  </w:r>
                  <w:r>
                    <w:rPr>
                      <w:rFonts w:hint="eastAsia" w:ascii="Times New Roman" w:hAnsi="Times New Roman" w:eastAsia="宋体" w:cs="Times New Roman"/>
                      <w:b w:val="0"/>
                      <w:bCs/>
                      <w:color w:val="auto"/>
                      <w:sz w:val="21"/>
                      <w:szCs w:val="21"/>
                      <w:highlight w:val="none"/>
                      <w:lang w:val="en-US" w:eastAsia="zh-CN"/>
                    </w:rPr>
                    <w:t>2</w:t>
                  </w:r>
                </w:p>
              </w:tc>
              <w:tc>
                <w:tcPr>
                  <w:tcW w:w="574" w:type="dxa"/>
                  <w:vMerge w:val="restart"/>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ascii="Times New Roman" w:hAnsi="Times New Roman" w:eastAsia="宋体" w:cs="Times New Roman"/>
                      <w:b w:val="0"/>
                      <w:bCs/>
                      <w:color w:val="auto"/>
                      <w:sz w:val="21"/>
                      <w:szCs w:val="21"/>
                      <w:highlight w:val="none"/>
                      <w:lang w:val="en-US" w:eastAsia="zh-CN"/>
                    </w:rPr>
                  </w:pPr>
                  <w:r>
                    <w:rPr>
                      <w:rFonts w:hint="eastAsia" w:ascii="Times New Roman" w:hAnsi="Times New Roman" w:eastAsia="宋体" w:cs="Times New Roman"/>
                      <w:b w:val="0"/>
                      <w:bCs/>
                      <w:color w:val="auto"/>
                      <w:sz w:val="21"/>
                      <w:szCs w:val="21"/>
                      <w:highlight w:val="none"/>
                      <w:lang w:val="en-US" w:eastAsia="zh-CN"/>
                    </w:rPr>
                    <w:t>大气环境手提敏感重管管控区</w:t>
                  </w: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空间布局约束</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大气环境受体敏感重点管控区：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ascii="Times New Roman" w:hAnsi="Times New Roman" w:eastAsia="宋体" w:cs="Calibri"/>
                      <w:b w:val="0"/>
                      <w:bCs w:val="0"/>
                      <w:color w:val="000000"/>
                      <w:sz w:val="21"/>
                      <w:szCs w:val="21"/>
                    </w:rPr>
                  </w:pPr>
                  <w:r>
                    <w:rPr>
                      <w:rFonts w:hint="eastAsia" w:ascii="Times New Roman" w:hAnsi="Times New Roman" w:eastAsia="宋体" w:cs="Calibri"/>
                      <w:b w:val="0"/>
                      <w:bCs w:val="0"/>
                      <w:color w:val="000000"/>
                      <w:sz w:val="21"/>
                      <w:szCs w:val="21"/>
                      <w:lang w:val="en-US" w:eastAsia="zh-CN"/>
                    </w:rPr>
                    <w:t>加快城市建成区重污染企业搬迁改造或关闭退出。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项目为新建项目，运行期产生的项目采用的生产工艺、设备及污染物治理技术达到国内先进水平，污染物可达标排放。</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438"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rPr>
                  </w:pPr>
                </w:p>
              </w:tc>
              <w:tc>
                <w:tcPr>
                  <w:tcW w:w="450" w:type="dxa"/>
                  <w:vMerge w:val="continue"/>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26"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574"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494"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污染物排放管控</w:t>
                  </w:r>
                </w:p>
              </w:tc>
              <w:tc>
                <w:tcPr>
                  <w:tcW w:w="2511" w:type="dxa"/>
                  <w:tcBorders>
                    <w:tl2br w:val="nil"/>
                    <w:tr2bl w:val="nil"/>
                  </w:tcBorders>
                  <w:shd w:val="clear" w:color="auto" w:fill="auto"/>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大气环境受体敏感重点管控区：</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1.全市不再新建</w:t>
                  </w:r>
                  <w:r>
                    <w:rPr>
                      <w:rFonts w:hint="default" w:ascii="Times New Roman" w:hAnsi="Times New Roman" w:eastAsia="宋体" w:cs="Calibri"/>
                      <w:b w:val="0"/>
                      <w:bCs w:val="0"/>
                      <w:color w:val="000000"/>
                      <w:sz w:val="21"/>
                      <w:szCs w:val="21"/>
                      <w:lang w:val="en-US" w:eastAsia="zh-CN"/>
                    </w:rPr>
                    <w:t>35</w:t>
                  </w:r>
                  <w:r>
                    <w:rPr>
                      <w:rFonts w:hint="eastAsia" w:ascii="Times New Roman" w:hAnsi="Times New Roman" w:eastAsia="宋体" w:cs="Calibri"/>
                      <w:b w:val="0"/>
                      <w:bCs w:val="0"/>
                      <w:color w:val="000000"/>
                      <w:sz w:val="21"/>
                      <w:szCs w:val="21"/>
                      <w:lang w:val="en-US" w:eastAsia="zh-CN"/>
                    </w:rPr>
                    <w:t>蒸吨</w:t>
                  </w:r>
                  <w:r>
                    <w:rPr>
                      <w:rFonts w:hint="default" w:ascii="Times New Roman" w:hAnsi="Times New Roman" w:eastAsia="宋体" w:cs="Calibri"/>
                      <w:b w:val="0"/>
                      <w:bCs w:val="0"/>
                      <w:color w:val="000000"/>
                      <w:sz w:val="21"/>
                      <w:szCs w:val="21"/>
                      <w:lang w:val="en-US" w:eastAsia="zh-CN"/>
                    </w:rPr>
                    <w:t>/</w:t>
                  </w:r>
                  <w:r>
                    <w:rPr>
                      <w:rFonts w:hint="eastAsia" w:ascii="Times New Roman" w:hAnsi="Times New Roman" w:eastAsia="宋体" w:cs="Calibri"/>
                      <w:b w:val="0"/>
                      <w:bCs w:val="0"/>
                      <w:color w:val="000000"/>
                      <w:sz w:val="21"/>
                      <w:szCs w:val="21"/>
                      <w:lang w:val="en-US" w:eastAsia="zh-CN"/>
                    </w:rPr>
                    <w:t>时以下燃煤锅炉，</w:t>
                  </w:r>
                  <w:r>
                    <w:rPr>
                      <w:rFonts w:hint="default" w:ascii="Times New Roman" w:hAnsi="Times New Roman" w:eastAsia="宋体" w:cs="Calibri"/>
                      <w:b w:val="0"/>
                      <w:bCs w:val="0"/>
                      <w:color w:val="000000"/>
                      <w:sz w:val="21"/>
                      <w:szCs w:val="21"/>
                      <w:lang w:val="en-US" w:eastAsia="zh-CN"/>
                    </w:rPr>
                    <w:t>35</w:t>
                  </w:r>
                  <w:r>
                    <w:rPr>
                      <w:rFonts w:hint="eastAsia" w:ascii="Times New Roman" w:hAnsi="Times New Roman" w:eastAsia="宋体" w:cs="Calibri"/>
                      <w:b w:val="0"/>
                      <w:bCs w:val="0"/>
                      <w:color w:val="000000"/>
                      <w:sz w:val="21"/>
                      <w:szCs w:val="21"/>
                      <w:lang w:val="en-US" w:eastAsia="zh-CN"/>
                    </w:rPr>
                    <w:t>蒸吨</w:t>
                  </w:r>
                  <w:r>
                    <w:rPr>
                      <w:rFonts w:hint="default" w:ascii="Times New Roman" w:hAnsi="Times New Roman" w:eastAsia="宋体" w:cs="Calibri"/>
                      <w:b w:val="0"/>
                      <w:bCs w:val="0"/>
                      <w:color w:val="000000"/>
                      <w:sz w:val="21"/>
                      <w:szCs w:val="21"/>
                      <w:lang w:val="en-US" w:eastAsia="zh-CN"/>
                    </w:rPr>
                    <w:t>/</w:t>
                  </w:r>
                  <w:r>
                    <w:rPr>
                      <w:rFonts w:hint="eastAsia" w:ascii="Times New Roman" w:hAnsi="Times New Roman" w:eastAsia="宋体" w:cs="Calibri"/>
                      <w:b w:val="0"/>
                      <w:bCs w:val="0"/>
                      <w:color w:val="000000"/>
                      <w:sz w:val="21"/>
                      <w:szCs w:val="21"/>
                      <w:lang w:val="en-US" w:eastAsia="zh-CN"/>
                    </w:rPr>
                    <w:t>时以下燃煤锅炉、燃煤设施和工业煤气发生炉、热风炉、导热油炉全部拆除或实行清洁能源改造。加快电源结构调整，减少煤电占比。加快天然气储气设施建设步伐。</w:t>
                  </w:r>
                </w:p>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eastAsia" w:ascii="Times New Roman" w:hAnsi="Times New Roman" w:eastAsia="宋体" w:cs="Calibri"/>
                      <w:b w:val="0"/>
                      <w:bCs w:val="0"/>
                      <w:color w:val="000000"/>
                      <w:sz w:val="21"/>
                      <w:szCs w:val="21"/>
                      <w:lang w:val="en-US" w:eastAsia="zh-CN"/>
                    </w:rPr>
                  </w:pPr>
                  <w:r>
                    <w:rPr>
                      <w:rFonts w:hint="default" w:ascii="Times New Roman" w:hAnsi="Times New Roman" w:eastAsia="宋体" w:cs="Calibri"/>
                      <w:b w:val="0"/>
                      <w:bCs w:val="0"/>
                      <w:color w:val="000000"/>
                      <w:sz w:val="21"/>
                      <w:szCs w:val="21"/>
                      <w:lang w:val="en-US" w:eastAsia="zh-CN"/>
                    </w:rPr>
                    <w:t>2.</w:t>
                  </w:r>
                  <w:r>
                    <w:rPr>
                      <w:rFonts w:hint="eastAsia" w:ascii="Times New Roman" w:hAnsi="Times New Roman" w:eastAsia="宋体" w:cs="Calibri"/>
                      <w:b w:val="0"/>
                      <w:bCs w:val="0"/>
                      <w:color w:val="000000"/>
                      <w:sz w:val="21"/>
                      <w:szCs w:val="21"/>
                      <w:lang w:val="en-US" w:eastAsia="zh-CN"/>
                    </w:rPr>
                    <w:t>严格管控高排放机动车污染排放。持续开展储油库、油罐车、加油站油气回收专项检查。</w:t>
                  </w:r>
                </w:p>
              </w:tc>
              <w:tc>
                <w:tcPr>
                  <w:tcW w:w="650" w:type="dxa"/>
                  <w:vMerge w:val="continue"/>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p>
              </w:tc>
              <w:tc>
                <w:tcPr>
                  <w:tcW w:w="2085" w:type="dxa"/>
                  <w:tcBorders>
                    <w:tl2br w:val="nil"/>
                    <w:tr2bl w:val="nil"/>
                  </w:tcBorders>
                  <w:vAlign w:val="center"/>
                </w:tcPr>
                <w:p>
                  <w:pPr>
                    <w:pStyle w:val="3"/>
                    <w:pageBreakBefore w:val="0"/>
                    <w:widowControl w:val="0"/>
                    <w:kinsoku/>
                    <w:wordWrap/>
                    <w:overflowPunct/>
                    <w:topLinePunct w:val="0"/>
                    <w:autoSpaceDE/>
                    <w:autoSpaceDN/>
                    <w:bidi w:val="0"/>
                    <w:adjustRightInd w:val="0"/>
                    <w:snapToGrid w:val="0"/>
                    <w:spacing w:before="0" w:after="0" w:line="240" w:lineRule="auto"/>
                    <w:ind w:left="0" w:leftChars="0" w:right="0" w:rightChars="0"/>
                    <w:jc w:val="both"/>
                    <w:textAlignment w:val="auto"/>
                    <w:outlineLvl w:val="1"/>
                    <w:rPr>
                      <w:rFonts w:hint="default" w:ascii="Times New Roman" w:hAnsi="Times New Roman" w:eastAsia="宋体" w:cs="Calibri"/>
                      <w:b w:val="0"/>
                      <w:bCs w:val="0"/>
                      <w:color w:val="000000"/>
                      <w:sz w:val="21"/>
                      <w:szCs w:val="21"/>
                      <w:lang w:val="en-US" w:eastAsia="zh-CN"/>
                    </w:rPr>
                  </w:pPr>
                  <w:r>
                    <w:rPr>
                      <w:rFonts w:hint="eastAsia" w:ascii="Times New Roman" w:hAnsi="Times New Roman" w:eastAsia="宋体" w:cs="Calibri"/>
                      <w:b w:val="0"/>
                      <w:bCs w:val="0"/>
                      <w:color w:val="000000"/>
                      <w:sz w:val="21"/>
                      <w:szCs w:val="21"/>
                      <w:lang w:val="en-US" w:eastAsia="zh-CN"/>
                    </w:rPr>
                    <w:t>项目烘干炉采用天然气清洁能源，运行期不设置燃煤锅炉；环评要求建设单位厂内运输车辆全部达到国五及以上排放标准（含燃气）或使用新能源车辆；环评要求建设单位厂内非机动道路移动机械达到国三及以上排放标准或使用新能源机械。</w:t>
                  </w:r>
                </w:p>
              </w:tc>
              <w:tc>
                <w:tcPr>
                  <w:tcW w:w="451" w:type="dxa"/>
                  <w:tcBorders>
                    <w:tl2br w:val="nil"/>
                    <w:tr2bl w:val="nil"/>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auto"/>
                    <w:rPr>
                      <w:rFonts w:hint="default" w:cs="Times New Roman"/>
                      <w:b w:val="0"/>
                      <w:bCs w:val="0"/>
                      <w:color w:val="auto"/>
                      <w:kern w:val="0"/>
                      <w:sz w:val="21"/>
                      <w:szCs w:val="21"/>
                      <w:highlight w:val="none"/>
                      <w:lang w:val="en-US" w:eastAsia="zh-CN"/>
                    </w:rPr>
                  </w:pPr>
                  <w:r>
                    <w:rPr>
                      <w:rFonts w:hint="eastAsia" w:cs="Times New Roman"/>
                      <w:b w:val="0"/>
                      <w:bCs w:val="0"/>
                      <w:color w:val="auto"/>
                      <w:kern w:val="0"/>
                      <w:sz w:val="21"/>
                      <w:szCs w:val="21"/>
                      <w:highlight w:val="none"/>
                      <w:lang w:val="en-US" w:eastAsia="zh-CN"/>
                    </w:rPr>
                    <w:t>符合</w:t>
                  </w:r>
                </w:p>
              </w:tc>
            </w:tr>
          </w:tbl>
          <w:p>
            <w:pPr>
              <w:adjustRightInd w:val="0"/>
              <w:snapToGrid w:val="0"/>
              <w:spacing w:line="360" w:lineRule="auto"/>
              <w:ind w:firstLine="480" w:firstLineChars="200"/>
              <w:jc w:val="left"/>
              <w:rPr>
                <w:sz w:val="24"/>
              </w:rPr>
            </w:pPr>
            <w:r>
              <w:rPr>
                <w:sz w:val="24"/>
              </w:rPr>
              <w:t>综上所述，</w:t>
            </w:r>
            <w:r>
              <w:rPr>
                <w:rFonts w:hint="eastAsia"/>
                <w:sz w:val="24"/>
                <w:lang w:eastAsia="zh-CN"/>
              </w:rPr>
              <w:t>项目</w:t>
            </w:r>
            <w:r>
              <w:rPr>
                <w:sz w:val="24"/>
              </w:rPr>
              <w:t>建设符合“三线一单”的要求。</w:t>
            </w:r>
          </w:p>
          <w:p>
            <w:pPr>
              <w:tabs>
                <w:tab w:val="left" w:pos="3150"/>
                <w:tab w:val="left" w:pos="4305"/>
              </w:tabs>
              <w:adjustRightInd w:val="0"/>
              <w:snapToGrid w:val="0"/>
              <w:spacing w:line="360" w:lineRule="auto"/>
              <w:ind w:firstLine="482" w:firstLineChars="200"/>
              <w:jc w:val="left"/>
              <w:rPr>
                <w:b/>
                <w:bCs/>
                <w:kern w:val="0"/>
                <w:sz w:val="24"/>
              </w:rPr>
            </w:pPr>
            <w:r>
              <w:rPr>
                <w:rFonts w:hint="eastAsia"/>
                <w:b/>
                <w:bCs/>
                <w:kern w:val="0"/>
                <w:sz w:val="24"/>
              </w:rPr>
              <w:t>3、政策相符性分析</w:t>
            </w:r>
          </w:p>
          <w:p>
            <w:pPr>
              <w:tabs>
                <w:tab w:val="left" w:pos="3150"/>
                <w:tab w:val="left" w:pos="4305"/>
              </w:tabs>
              <w:adjustRightInd w:val="0"/>
              <w:snapToGrid w:val="0"/>
              <w:ind w:firstLine="422" w:firstLineChars="200"/>
              <w:jc w:val="center"/>
              <w:rPr>
                <w:b/>
                <w:bCs/>
                <w:kern w:val="0"/>
                <w:szCs w:val="21"/>
              </w:rPr>
            </w:pPr>
            <w:r>
              <w:rPr>
                <w:b/>
                <w:bCs/>
                <w:kern w:val="0"/>
                <w:szCs w:val="21"/>
              </w:rPr>
              <w:t>表</w:t>
            </w:r>
            <w:r>
              <w:rPr>
                <w:rFonts w:hint="eastAsia"/>
                <w:b/>
                <w:bCs/>
                <w:kern w:val="0"/>
                <w:szCs w:val="21"/>
              </w:rPr>
              <w:t>1-6</w:t>
            </w:r>
            <w:r>
              <w:rPr>
                <w:rFonts w:hint="eastAsia"/>
                <w:b/>
                <w:bCs/>
                <w:kern w:val="0"/>
                <w:szCs w:val="21"/>
                <w:lang w:eastAsia="zh-CN"/>
              </w:rPr>
              <w:t>项目</w:t>
            </w:r>
            <w:r>
              <w:rPr>
                <w:rFonts w:hint="eastAsia"/>
                <w:b/>
                <w:bCs/>
                <w:kern w:val="0"/>
                <w:szCs w:val="21"/>
              </w:rPr>
              <w:t>与环境管理政策相符性分析</w:t>
            </w:r>
          </w:p>
          <w:tbl>
            <w:tblPr>
              <w:tblStyle w:val="29"/>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2216"/>
              <w:gridCol w:w="2791"/>
              <w:gridCol w:w="2722"/>
              <w:gridCol w:w="450"/>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tcBorders>
                    <w:tl2br w:val="nil"/>
                    <w:tr2bl w:val="nil"/>
                  </w:tcBorders>
                  <w:vAlign w:val="center"/>
                </w:tcPr>
                <w:p>
                  <w:pPr>
                    <w:kinsoku w:val="0"/>
                    <w:overflowPunct w:val="0"/>
                    <w:adjustRightInd w:val="0"/>
                    <w:snapToGrid w:val="0"/>
                    <w:jc w:val="both"/>
                    <w:rPr>
                      <w:b/>
                      <w:bCs/>
                      <w:szCs w:val="21"/>
                    </w:rPr>
                  </w:pPr>
                  <w:r>
                    <w:rPr>
                      <w:rFonts w:hint="eastAsia"/>
                      <w:b/>
                      <w:bCs/>
                      <w:szCs w:val="21"/>
                    </w:rPr>
                    <w:t>文件</w:t>
                  </w:r>
                </w:p>
              </w:tc>
              <w:tc>
                <w:tcPr>
                  <w:tcW w:w="2791" w:type="dxa"/>
                  <w:tcBorders>
                    <w:tl2br w:val="nil"/>
                    <w:tr2bl w:val="nil"/>
                  </w:tcBorders>
                  <w:vAlign w:val="center"/>
                </w:tcPr>
                <w:p>
                  <w:pPr>
                    <w:kinsoku w:val="0"/>
                    <w:overflowPunct w:val="0"/>
                    <w:adjustRightInd w:val="0"/>
                    <w:snapToGrid w:val="0"/>
                    <w:jc w:val="both"/>
                    <w:rPr>
                      <w:b/>
                      <w:bCs/>
                      <w:szCs w:val="21"/>
                    </w:rPr>
                  </w:pPr>
                  <w:r>
                    <w:rPr>
                      <w:rFonts w:hint="eastAsia"/>
                      <w:b/>
                      <w:bCs/>
                      <w:szCs w:val="21"/>
                    </w:rPr>
                    <w:t>政策要求</w:t>
                  </w:r>
                </w:p>
              </w:tc>
              <w:tc>
                <w:tcPr>
                  <w:tcW w:w="2722" w:type="dxa"/>
                  <w:tcBorders>
                    <w:tl2br w:val="nil"/>
                    <w:tr2bl w:val="nil"/>
                  </w:tcBorders>
                  <w:vAlign w:val="center"/>
                </w:tcPr>
                <w:p>
                  <w:pPr>
                    <w:kinsoku w:val="0"/>
                    <w:overflowPunct w:val="0"/>
                    <w:adjustRightInd w:val="0"/>
                    <w:snapToGrid w:val="0"/>
                    <w:jc w:val="both"/>
                    <w:rPr>
                      <w:b/>
                      <w:bCs/>
                      <w:szCs w:val="21"/>
                    </w:rPr>
                  </w:pPr>
                  <w:r>
                    <w:rPr>
                      <w:rFonts w:hint="eastAsia"/>
                      <w:b/>
                      <w:bCs/>
                      <w:szCs w:val="21"/>
                      <w:lang w:eastAsia="zh-CN"/>
                    </w:rPr>
                    <w:t>项目</w:t>
                  </w:r>
                  <w:r>
                    <w:rPr>
                      <w:b/>
                      <w:bCs/>
                      <w:szCs w:val="21"/>
                    </w:rPr>
                    <w:t>情况</w:t>
                  </w:r>
                </w:p>
              </w:tc>
              <w:tc>
                <w:tcPr>
                  <w:tcW w:w="450" w:type="dxa"/>
                  <w:tcBorders>
                    <w:tl2br w:val="nil"/>
                    <w:tr2bl w:val="nil"/>
                  </w:tcBorders>
                  <w:vAlign w:val="center"/>
                </w:tcPr>
                <w:p>
                  <w:pPr>
                    <w:kinsoku w:val="0"/>
                    <w:overflowPunct w:val="0"/>
                    <w:adjustRightInd w:val="0"/>
                    <w:snapToGrid w:val="0"/>
                    <w:jc w:val="both"/>
                    <w:rPr>
                      <w:b/>
                      <w:bCs/>
                      <w:szCs w:val="21"/>
                    </w:rPr>
                  </w:pPr>
                  <w:r>
                    <w:rPr>
                      <w:b/>
                      <w:bCs/>
                      <w:szCs w:val="21"/>
                    </w:rPr>
                    <w:t>符合性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陕西省“十四五”生态环境保护规划</w:t>
                  </w:r>
                </w:p>
                <w:p>
                  <w:pPr>
                    <w:adjustRightInd w:val="0"/>
                    <w:snapToGrid w:val="0"/>
                    <w:jc w:val="both"/>
                    <w:rPr>
                      <w:rFonts w:ascii="宋体" w:hAnsi="宋体" w:cs="宋体"/>
                      <w:bCs/>
                      <w:spacing w:val="-6"/>
                      <w:szCs w:val="21"/>
                    </w:rPr>
                  </w:pPr>
                </w:p>
              </w:tc>
              <w:tc>
                <w:tcPr>
                  <w:tcW w:w="2791" w:type="dxa"/>
                  <w:tcBorders>
                    <w:tl2br w:val="nil"/>
                    <w:tr2bl w:val="nil"/>
                  </w:tcBorders>
                  <w:shd w:val="clear" w:color="auto" w:fill="auto"/>
                  <w:vAlign w:val="center"/>
                </w:tcPr>
                <w:p>
                  <w:pPr>
                    <w:adjustRightInd w:val="0"/>
                    <w:snapToGrid w:val="0"/>
                    <w:ind w:firstLine="396" w:firstLineChars="200"/>
                    <w:jc w:val="both"/>
                    <w:rPr>
                      <w:rFonts w:ascii="宋体" w:hAnsi="宋体" w:cs="宋体"/>
                      <w:bCs/>
                      <w:spacing w:val="-6"/>
                      <w:szCs w:val="21"/>
                    </w:rPr>
                  </w:pPr>
                  <w:r>
                    <w:rPr>
                      <w:rFonts w:hint="eastAsia" w:ascii="宋体" w:hAnsi="宋体" w:cs="宋体"/>
                      <w:bCs/>
                      <w:spacing w:val="-6"/>
                      <w:szCs w:val="21"/>
                    </w:rPr>
                    <w:t>坚持源头防治，综合施策，稳定推进大气污染防治攻坚行动，聚焦细颗粒物和臭氧污染协同控制，推进氮氧化物和挥发性有机物协同减排，强化区域协同治理和重污染天气应对，持续改善全省大气环境质量。</w:t>
                  </w:r>
                </w:p>
              </w:tc>
              <w:tc>
                <w:tcPr>
                  <w:tcW w:w="2722" w:type="dxa"/>
                  <w:tcBorders>
                    <w:tl2br w:val="nil"/>
                    <w:tr2bl w:val="nil"/>
                  </w:tcBorders>
                  <w:shd w:val="clear" w:color="auto" w:fill="auto"/>
                  <w:vAlign w:val="center"/>
                </w:tcPr>
                <w:p>
                  <w:pPr>
                    <w:adjustRightInd w:val="0"/>
                    <w:snapToGrid w:val="0"/>
                    <w:jc w:val="both"/>
                    <w:rPr>
                      <w:rFonts w:ascii="宋体" w:hAnsi="宋体" w:cs="宋体"/>
                      <w:bCs/>
                      <w:spacing w:val="-6"/>
                      <w:szCs w:val="21"/>
                    </w:rPr>
                  </w:pPr>
                  <w:r>
                    <w:rPr>
                      <w:rFonts w:hint="eastAsia"/>
                      <w:szCs w:val="21"/>
                      <w:lang w:eastAsia="zh-CN"/>
                    </w:rPr>
                    <w:t>项目</w:t>
                  </w:r>
                  <w:r>
                    <w:rPr>
                      <w:rFonts w:hint="eastAsia"/>
                      <w:szCs w:val="21"/>
                      <w:lang w:val="en-US" w:eastAsia="zh-CN"/>
                    </w:rPr>
                    <w:t>运行期产生的颗粒物、氮氧化物、二氧化硫、非甲烷总烃采取有效治理措施后可达标排放</w:t>
                  </w:r>
                  <w:r>
                    <w:rPr>
                      <w:rFonts w:hint="eastAsia" w:ascii="宋体" w:hAnsi="宋体" w:cs="宋体"/>
                      <w:bCs/>
                      <w:spacing w:val="-6"/>
                      <w:szCs w:val="21"/>
                    </w:rPr>
                    <w:t>，对环境影响不大。</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jc w:val="both"/>
                    <w:rPr>
                      <w:rFonts w:ascii="宋体" w:hAnsi="宋体" w:cs="宋体"/>
                      <w:bCs/>
                      <w:spacing w:val="-6"/>
                      <w:szCs w:val="21"/>
                    </w:rPr>
                  </w:pPr>
                </w:p>
              </w:tc>
              <w:tc>
                <w:tcPr>
                  <w:tcW w:w="2791" w:type="dxa"/>
                  <w:tcBorders>
                    <w:tl2br w:val="nil"/>
                    <w:tr2bl w:val="nil"/>
                  </w:tcBorders>
                  <w:shd w:val="clear" w:color="auto" w:fill="auto"/>
                  <w:vAlign w:val="center"/>
                </w:tcPr>
                <w:p>
                  <w:pPr>
                    <w:adjustRightInd w:val="0"/>
                    <w:snapToGrid w:val="0"/>
                    <w:ind w:firstLine="396" w:firstLineChars="200"/>
                    <w:jc w:val="both"/>
                    <w:rPr>
                      <w:rFonts w:ascii="宋体" w:hAnsi="宋体" w:cs="宋体"/>
                      <w:bCs/>
                      <w:spacing w:val="-6"/>
                      <w:szCs w:val="21"/>
                    </w:rPr>
                  </w:pPr>
                  <w:r>
                    <w:rPr>
                      <w:rFonts w:hint="eastAsia" w:ascii="宋体" w:hAnsi="宋体" w:cs="宋体"/>
                      <w:bCs/>
                      <w:spacing w:val="-6"/>
                      <w:szCs w:val="21"/>
                    </w:rPr>
                    <w:t>加强固体废物源头减量和资源化利用，推广固体废物资源化，无害化处理处置新技术，强化生活垃圾处理处置，完善生活垃圾分类收集和分类运输系统建设。</w:t>
                  </w:r>
                </w:p>
              </w:tc>
              <w:tc>
                <w:tcPr>
                  <w:tcW w:w="2722" w:type="dxa"/>
                  <w:tcBorders>
                    <w:tl2br w:val="nil"/>
                    <w:tr2bl w:val="nil"/>
                  </w:tcBorders>
                  <w:shd w:val="clear" w:color="auto" w:fill="auto"/>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项目提倡从源头减少污染，生活垃圾由环卫部门定期清运，一般固体废物分类收集，按照特性合法处理及回收利用，危险废物暂存于危废贮存库，定期</w:t>
                  </w:r>
                  <w:r>
                    <w:rPr>
                      <w:szCs w:val="21"/>
                    </w:rPr>
                    <w:t>交</w:t>
                  </w:r>
                  <w:r>
                    <w:rPr>
                      <w:rFonts w:hint="eastAsia"/>
                      <w:szCs w:val="21"/>
                      <w:lang w:eastAsia="zh-CN"/>
                    </w:rPr>
                    <w:t>陕西新天地固体废物综合处置公司</w:t>
                  </w:r>
                  <w:r>
                    <w:rPr>
                      <w:rFonts w:hint="eastAsia"/>
                      <w:szCs w:val="21"/>
                    </w:rPr>
                    <w:t>处置</w:t>
                  </w:r>
                  <w:r>
                    <w:rPr>
                      <w:rFonts w:hint="eastAsia" w:ascii="宋体" w:hAnsi="宋体" w:cs="宋体"/>
                      <w:bCs/>
                      <w:spacing w:val="-6"/>
                      <w:szCs w:val="21"/>
                    </w:rPr>
                    <w:t>。</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adjustRightInd w:val="0"/>
                    <w:snapToGrid w:val="0"/>
                    <w:ind w:firstLine="396" w:firstLineChars="200"/>
                    <w:jc w:val="both"/>
                    <w:rPr>
                      <w:rFonts w:ascii="宋体" w:hAnsi="宋体" w:cs="宋体"/>
                      <w:bCs/>
                      <w:spacing w:val="-6"/>
                      <w:szCs w:val="21"/>
                    </w:rPr>
                  </w:pPr>
                  <w:r>
                    <w:rPr>
                      <w:rFonts w:hint="eastAsia" w:ascii="宋体" w:hAnsi="宋体" w:cs="宋体"/>
                      <w:bCs/>
                      <w:spacing w:val="-6"/>
                      <w:szCs w:val="21"/>
                    </w:rPr>
                    <w:t>西安市“十四五”生态环境保护规划</w:t>
                  </w: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持续推进大气污染治理。落实《陕西省工业炉窑大气污染综合治理实施方案》要求，清理《产业结构调整指导目录》中淘汰类工业炉窑，积极开展化工、水泥、有色、建材等行业污染治理升级改造，加大无组织排放治理力度，严格控制工业炉窑生产工艺过程及相关物料储存、输送等环节无组织排放。</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lang w:eastAsia="zh-CN"/>
                    </w:rPr>
                    <w:t>项目</w:t>
                  </w:r>
                  <w:r>
                    <w:rPr>
                      <w:rFonts w:hint="eastAsia" w:ascii="Times New Roman" w:hAnsi="Times New Roman"/>
                      <w:kern w:val="2"/>
                      <w:sz w:val="21"/>
                      <w:szCs w:val="21"/>
                    </w:rPr>
                    <w:t>工业炉窑为燃烧天然气烘干炉，均在封闭设备内进行，塑粉、木纹转印纸、高分子覆膜材料常温下不产生污染物，</w:t>
                  </w:r>
                  <w:r>
                    <w:rPr>
                      <w:rFonts w:hint="eastAsia" w:ascii="Times New Roman" w:hAnsi="Times New Roman"/>
                      <w:kern w:val="2"/>
                      <w:sz w:val="21"/>
                      <w:szCs w:val="21"/>
                      <w:lang w:eastAsia="zh-CN"/>
                    </w:rPr>
                    <w:t>项目</w:t>
                  </w:r>
                  <w:r>
                    <w:rPr>
                      <w:rFonts w:hint="eastAsia" w:ascii="Times New Roman" w:hAnsi="Times New Roman"/>
                      <w:kern w:val="2"/>
                      <w:sz w:val="21"/>
                      <w:szCs w:val="21"/>
                    </w:rPr>
                    <w:t>不涉及物料储存、输送等环节无组织排放。</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ind w:firstLine="396" w:firstLineChars="200"/>
                    <w:jc w:val="both"/>
                    <w:rPr>
                      <w:rFonts w:ascii="宋体" w:hAnsi="宋体" w:cs="宋体"/>
                      <w:bCs/>
                      <w:spacing w:val="-6"/>
                      <w:szCs w:val="21"/>
                    </w:rPr>
                  </w:pP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加强扬尘面源管控。理顺建设工地及“两类企业”扬尘污染防治工作机制，严格落实建设施工企业的主体责任、区县（开发区）的属地管理和行业监管责任。</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加强施工期扬尘控制，落实企业主体防治责任。</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ind w:firstLine="396" w:firstLineChars="200"/>
                    <w:jc w:val="both"/>
                    <w:rPr>
                      <w:rFonts w:ascii="宋体" w:hAnsi="宋体" w:cs="宋体"/>
                      <w:bCs/>
                      <w:spacing w:val="-6"/>
                      <w:szCs w:val="21"/>
                    </w:rPr>
                  </w:pP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rFonts w:ascii="Times New Roman" w:hAnsi="Times New Roman"/>
                      <w:kern w:val="2"/>
                      <w:sz w:val="21"/>
                      <w:szCs w:val="21"/>
                    </w:rPr>
                  </w:pPr>
                  <w:r>
                    <w:rPr>
                      <w:rFonts w:hint="eastAsia" w:ascii="Times New Roman" w:hAnsi="Times New Roman"/>
                      <w:kern w:val="2"/>
                      <w:sz w:val="21"/>
                      <w:szCs w:val="21"/>
                    </w:rPr>
                    <w:t>强化VOCs综合整治。将挥发性有机物纳入污染物排放总量控制体系，有效减少重点污染源、全社会挥发性有机物和NOx排放总量。以建材、有色等行业带动工业窑炉的综合整治，从源头上对氮氧化物和挥发性有机物进行控制。开展重点行业工业企业挥发性有机物无组织排放治理，以工业涂装、包装印刷、汽修和油品储运销等为重点领域，以工业园区、企业集群和重点企业为重点管控对象，全面加强对光化学反应活性强的VOCs物质控制。建立完善重点行业源头、过程和末端VOCs全过程控制体系，实施VOCs总量控制。严格落实产品强制标准中VOCs含量限值；全面落实《挥发性有机物无组织排放控制标准》要求，引导企业加强对含VOCs物料的存储、转移和输送等环节的全方位密闭管理，以及对设备与管线组件泄漏、敞开液面逸散以及工艺过程等方面全过程精细化管控，实现VOCs排放量明显下降。</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rFonts w:ascii="Times New Roman" w:hAnsi="Times New Roman"/>
                      <w:kern w:val="2"/>
                      <w:sz w:val="21"/>
                      <w:szCs w:val="21"/>
                    </w:rPr>
                  </w:pPr>
                  <w:r>
                    <w:rPr>
                      <w:rFonts w:hint="eastAsia" w:ascii="Times New Roman" w:hAnsi="Times New Roman"/>
                      <w:kern w:val="2"/>
                      <w:sz w:val="21"/>
                      <w:szCs w:val="21"/>
                    </w:rPr>
                    <w:t>项目全过程进行精细化管理，塑粉等物料存储、转移和输送实行全方位密闭管理，对设备与管线组件敞开液面逸散以及工艺过程等方面全过程负压收集；固化工序、木纹转印工序及覆膜工序产生的有机废气经5个集气罩+喷淋塔+过滤棉+二级活性炭对非甲烷总烃及天然气燃烧废气进行处理，处理后废气通过15m排气筒排放。</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ind w:firstLine="396" w:firstLineChars="200"/>
                    <w:jc w:val="both"/>
                    <w:rPr>
                      <w:rFonts w:ascii="宋体" w:hAnsi="宋体" w:cs="宋体"/>
                      <w:bCs/>
                      <w:spacing w:val="-6"/>
                      <w:szCs w:val="21"/>
                    </w:rPr>
                  </w:pP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建筑施工噪声防治。加强施工噪声管理，实施城市建筑施工环保公告制度，推进利用噪声自动监测系统对建筑施工进行实时监督的措施。在建筑施工过程中推广使用低噪声设备和工艺，科学合理安排工期，加大对夜间施工作业的管理力度，确保施工噪声达标排放。工业企业噪声防治。加强工业噪声环境监管力度，严厉查处工业企业噪声排放超标扰民行为。</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按照城市建筑施工环保公告制度进行公告，使用低噪声设备，合理安排工期，确保施工噪声达标排放；确保运营期噪声厂界达标。</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ind w:firstLine="396" w:firstLineChars="200"/>
                    <w:jc w:val="both"/>
                    <w:rPr>
                      <w:rFonts w:ascii="宋体" w:hAnsi="宋体" w:cs="宋体"/>
                      <w:bCs/>
                      <w:spacing w:val="-6"/>
                      <w:szCs w:val="21"/>
                    </w:rPr>
                  </w:pP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推进工业水污染防治。根据流域水质目标和主体功能区规划要求，严格环境准入，严格控制新建、扩建化学制浆造纸、化工、印染、果汁和淀粉加工等高耗水、高污染项目。对水污染排放企业严格执行排污许可制度，实施“持证排水”。按要求开展清洁生产审核，实施清洁生产技术改造，从源头减少水污染物排放，全面实现工业废水达标排放。</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rFonts w:hint="default" w:eastAsia="宋体"/>
                      <w:bCs/>
                      <w:spacing w:val="-6"/>
                      <w:sz w:val="21"/>
                      <w:szCs w:val="21"/>
                      <w:lang w:val="en-US" w:eastAsia="zh-CN"/>
                    </w:rPr>
                  </w:pPr>
                  <w:r>
                    <w:rPr>
                      <w:rFonts w:hint="eastAsia" w:ascii="Times New Roman" w:hAnsi="Times New Roman"/>
                      <w:kern w:val="2"/>
                      <w:sz w:val="21"/>
                      <w:szCs w:val="21"/>
                    </w:rPr>
                    <w:t>喷淋塔水循环使用不外排</w:t>
                  </w:r>
                  <w:r>
                    <w:rPr>
                      <w:rFonts w:hint="eastAsia" w:ascii="Times New Roman" w:hAnsi="Times New Roman"/>
                      <w:kern w:val="2"/>
                      <w:sz w:val="21"/>
                      <w:szCs w:val="21"/>
                      <w:lang w:eastAsia="zh-CN"/>
                    </w:rPr>
                    <w:t>；铝材表面处理废水和清洗废水</w:t>
                  </w:r>
                  <w:r>
                    <w:rPr>
                      <w:rFonts w:hint="eastAsia" w:ascii="Times New Roman" w:hAnsi="Times New Roman"/>
                      <w:kern w:val="2"/>
                      <w:sz w:val="21"/>
                      <w:szCs w:val="21"/>
                    </w:rPr>
                    <w:t>经污水处理站处理后循环使用</w:t>
                  </w:r>
                  <w:r>
                    <w:rPr>
                      <w:rFonts w:hint="eastAsia" w:ascii="Times New Roman" w:hAnsi="Times New Roman"/>
                      <w:kern w:val="2"/>
                      <w:sz w:val="21"/>
                      <w:szCs w:val="21"/>
                      <w:lang w:eastAsia="zh-CN"/>
                    </w:rPr>
                    <w:t>，</w:t>
                  </w:r>
                  <w:r>
                    <w:rPr>
                      <w:rFonts w:hint="eastAsia" w:ascii="Times New Roman" w:hAnsi="Times New Roman"/>
                      <w:kern w:val="2"/>
                      <w:sz w:val="21"/>
                      <w:szCs w:val="21"/>
                      <w:lang w:val="en-US" w:eastAsia="zh-CN"/>
                    </w:rPr>
                    <w:t>不外排。</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ind w:firstLine="396" w:firstLineChars="200"/>
                    <w:jc w:val="both"/>
                    <w:rPr>
                      <w:rFonts w:ascii="宋体" w:hAnsi="宋体" w:cs="宋体"/>
                      <w:bCs/>
                      <w:spacing w:val="-6"/>
                      <w:szCs w:val="21"/>
                    </w:rPr>
                  </w:pP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推进土壤安全利用。推进地下水污染综合防治。强化化工类工业聚集区、危险废物处置场和生活垃圾填埋场等地下水污染风险管控。</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项目用地为空置</w:t>
                  </w:r>
                  <w:r>
                    <w:rPr>
                      <w:rFonts w:hint="eastAsia" w:ascii="Times New Roman" w:hAnsi="Times New Roman"/>
                      <w:kern w:val="2"/>
                      <w:sz w:val="21"/>
                      <w:szCs w:val="21"/>
                      <w:lang w:eastAsia="zh-CN"/>
                    </w:rPr>
                    <w:t>工矿用地</w:t>
                  </w:r>
                  <w:r>
                    <w:rPr>
                      <w:rFonts w:hint="eastAsia" w:ascii="Times New Roman" w:hAnsi="Times New Roman"/>
                      <w:kern w:val="2"/>
                      <w:sz w:val="21"/>
                      <w:szCs w:val="21"/>
                    </w:rPr>
                    <w:t>，不存在污染情况，项目建设期进行分区防渗，确保项目运营过程对土壤和地下水的影响在可控范围。</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ind w:firstLine="396" w:firstLineChars="200"/>
                    <w:jc w:val="both"/>
                    <w:rPr>
                      <w:rFonts w:ascii="宋体" w:hAnsi="宋体" w:cs="宋体"/>
                      <w:bCs/>
                      <w:spacing w:val="-6"/>
                      <w:szCs w:val="21"/>
                    </w:rPr>
                  </w:pPr>
                </w:p>
              </w:tc>
              <w:tc>
                <w:tcPr>
                  <w:tcW w:w="2791" w:type="dxa"/>
                  <w:tcBorders>
                    <w:tl2br w:val="nil"/>
                    <w:tr2bl w:val="nil"/>
                  </w:tcBorders>
                  <w:vAlign w:val="center"/>
                </w:tcPr>
                <w:p>
                  <w:pPr>
                    <w:pStyle w:val="26"/>
                    <w:widowControl w:val="0"/>
                    <w:adjustRightInd w:val="0"/>
                    <w:snapToGrid w:val="0"/>
                    <w:spacing w:before="0" w:beforeAutospacing="0" w:after="0" w:afterAutospacing="0"/>
                    <w:jc w:val="both"/>
                    <w:rPr>
                      <w:bCs/>
                      <w:spacing w:val="-6"/>
                      <w:sz w:val="21"/>
                      <w:szCs w:val="21"/>
                    </w:rPr>
                  </w:pPr>
                  <w:r>
                    <w:rPr>
                      <w:rFonts w:hint="eastAsia" w:ascii="Times New Roman" w:hAnsi="Times New Roman"/>
                      <w:kern w:val="2"/>
                      <w:sz w:val="21"/>
                      <w:szCs w:val="21"/>
                    </w:rPr>
                    <w:t>完善生态环境风险防范与应急管理体系。把生态环境风险纳入常态化管理，完善“事前、事中、事后”全过程、多层级生态环境风险防范和应急体系。划分环境风险等级，强化分级管控模式，完善应急处理处置管理平台，逐步实现应急处置科学化、信息化。进一步完善环境应急管理体系，规范企业预案备案管理，强化企业源头环境风险防范能力，实施企业环境应急预案电子化备案，实现涉危涉重企业电子化备案全覆盖。</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kern w:val="2"/>
                      <w:sz w:val="21"/>
                      <w:szCs w:val="21"/>
                    </w:rPr>
                  </w:pPr>
                  <w:r>
                    <w:rPr>
                      <w:rFonts w:hint="eastAsia" w:ascii="Times New Roman" w:hAnsi="Times New Roman"/>
                      <w:kern w:val="2"/>
                      <w:sz w:val="21"/>
                      <w:szCs w:val="21"/>
                    </w:rPr>
                    <w:t>根据区域管理要求完善环境风险应急预案的备案。</w:t>
                  </w:r>
                </w:p>
              </w:tc>
              <w:tc>
                <w:tcPr>
                  <w:tcW w:w="450" w:type="dxa"/>
                  <w:tcBorders>
                    <w:tl2br w:val="nil"/>
                    <w:tr2bl w:val="nil"/>
                  </w:tcBorders>
                  <w:vAlign w:val="center"/>
                </w:tcPr>
                <w:p>
                  <w:pPr>
                    <w:adjustRightInd w:val="0"/>
                    <w:snapToGrid w:val="0"/>
                    <w:jc w:val="both"/>
                    <w:rPr>
                      <w:rFonts w:ascii="宋体" w:hAnsi="宋体" w:cs="宋体"/>
                      <w:szCs w:val="21"/>
                    </w:rPr>
                  </w:pPr>
                  <w:r>
                    <w:rPr>
                      <w:rFonts w:hint="eastAsia" w:ascii="宋体" w:hAnsi="宋体" w:cs="宋体"/>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tcBorders>
                    <w:tl2br w:val="nil"/>
                    <w:tr2bl w:val="nil"/>
                  </w:tcBorders>
                  <w:vAlign w:val="center"/>
                </w:tcPr>
                <w:p>
                  <w:pPr>
                    <w:pStyle w:val="43"/>
                    <w:adjustRightInd/>
                    <w:jc w:val="both"/>
                  </w:pPr>
                  <w:r>
                    <w:rPr>
                      <w:rFonts w:ascii="Times New Roman" w:hAnsi="Times New Roman" w:cs="Times New Roman"/>
                    </w:rPr>
                    <w:t>《西咸新区“十四五”生态环境保护规划》</w:t>
                  </w:r>
                </w:p>
              </w:tc>
              <w:tc>
                <w:tcPr>
                  <w:tcW w:w="2791" w:type="dxa"/>
                  <w:tcBorders>
                    <w:tl2br w:val="nil"/>
                    <w:tr2bl w:val="nil"/>
                  </w:tcBorders>
                  <w:shd w:val="clear" w:color="auto" w:fill="auto"/>
                  <w:vAlign w:val="center"/>
                </w:tcPr>
                <w:p>
                  <w:pPr>
                    <w:pStyle w:val="3"/>
                    <w:spacing w:line="240" w:lineRule="auto"/>
                    <w:jc w:val="both"/>
                    <w:rPr>
                      <w:sz w:val="21"/>
                      <w:szCs w:val="21"/>
                    </w:rPr>
                  </w:pPr>
                  <w:r>
                    <w:rPr>
                      <w:rFonts w:ascii="Times New Roman" w:hAnsi="Times New Roman" w:eastAsia="宋体"/>
                      <w:b w:val="0"/>
                      <w:sz w:val="21"/>
                      <w:szCs w:val="21"/>
                    </w:rPr>
                    <w:t>加强施工噪声防治。施工单位应合理安排工期，科学布局施工区域，使用低噪声的机械、设备和工艺，确保昼夜噪声达到国家排放标准要求。加大夜间施工管理，敏感建筑物集中区域内禁止夜间进行产生环境噪声的施工作业，必须连续作业的，应依法取得有关部门的证明，并公告附近居民。</w:t>
                  </w:r>
                </w:p>
              </w:tc>
              <w:tc>
                <w:tcPr>
                  <w:tcW w:w="2722" w:type="dxa"/>
                  <w:tcBorders>
                    <w:tl2br w:val="nil"/>
                    <w:tr2bl w:val="nil"/>
                  </w:tcBorders>
                  <w:shd w:val="clear" w:color="auto" w:fill="auto"/>
                  <w:vAlign w:val="center"/>
                </w:tcPr>
                <w:p>
                  <w:pPr>
                    <w:pStyle w:val="3"/>
                    <w:spacing w:line="240" w:lineRule="auto"/>
                    <w:jc w:val="both"/>
                    <w:rPr>
                      <w:rFonts w:ascii="Times New Roman" w:hAnsi="Times New Roman" w:eastAsia="宋体"/>
                      <w:sz w:val="21"/>
                      <w:szCs w:val="21"/>
                    </w:rPr>
                  </w:pPr>
                  <w:r>
                    <w:rPr>
                      <w:rFonts w:hint="eastAsia" w:ascii="Times New Roman" w:hAnsi="Times New Roman" w:eastAsia="宋体"/>
                      <w:b w:val="0"/>
                      <w:sz w:val="21"/>
                      <w:szCs w:val="21"/>
                      <w:lang w:eastAsia="zh-CN"/>
                    </w:rPr>
                    <w:t>项目</w:t>
                  </w:r>
                  <w:r>
                    <w:rPr>
                      <w:rFonts w:ascii="Times New Roman" w:hAnsi="Times New Roman" w:eastAsia="宋体"/>
                      <w:b w:val="0"/>
                      <w:sz w:val="21"/>
                      <w:szCs w:val="21"/>
                    </w:rPr>
                    <w:t>施工期选用低噪声施工设备，夜间不施工，保证噪声达标排放。</w:t>
                  </w:r>
                </w:p>
              </w:tc>
              <w:tc>
                <w:tcPr>
                  <w:tcW w:w="450" w:type="dxa"/>
                  <w:tcBorders>
                    <w:tl2br w:val="nil"/>
                    <w:tr2bl w:val="nil"/>
                  </w:tcBorders>
                  <w:vAlign w:val="center"/>
                </w:tcPr>
                <w:p>
                  <w:pPr>
                    <w:snapToGrid w:val="0"/>
                    <w:jc w:val="both"/>
                    <w:rPr>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pStyle w:val="69"/>
                    <w:adjustRightInd w:val="0"/>
                    <w:snapToGrid w:val="0"/>
                    <w:jc w:val="both"/>
                    <w:rPr>
                      <w:rFonts w:ascii="Times New Roman" w:hAnsi="Times New Roman"/>
                      <w:sz w:val="21"/>
                      <w:szCs w:val="21"/>
                    </w:rPr>
                  </w:pPr>
                  <w:r>
                    <w:rPr>
                      <w:rFonts w:hint="eastAsia" w:ascii="宋体" w:hAnsi="宋体" w:cs="宋体"/>
                      <w:bCs/>
                      <w:spacing w:val="-6"/>
                      <w:kern w:val="2"/>
                      <w:sz w:val="21"/>
                      <w:szCs w:val="21"/>
                    </w:rPr>
                    <w:t>《陕西省大气污染治理专项行动方案（2023-2027年）》</w:t>
                  </w:r>
                </w:p>
              </w:tc>
              <w:tc>
                <w:tcPr>
                  <w:tcW w:w="2791" w:type="dxa"/>
                  <w:tcBorders>
                    <w:tl2br w:val="nil"/>
                    <w:tr2bl w:val="nil"/>
                  </w:tcBorders>
                  <w:shd w:val="clear" w:color="auto" w:fill="auto"/>
                  <w:vAlign w:val="center"/>
                </w:tcPr>
                <w:p>
                  <w:pPr>
                    <w:pStyle w:val="69"/>
                    <w:adjustRightInd w:val="0"/>
                    <w:snapToGrid w:val="0"/>
                    <w:jc w:val="both"/>
                    <w:rPr>
                      <w:rFonts w:ascii="Times New Roman" w:hAnsi="Times New Roman"/>
                      <w:bCs/>
                      <w:sz w:val="21"/>
                      <w:szCs w:val="21"/>
                    </w:rPr>
                  </w:pPr>
                  <w:r>
                    <w:rPr>
                      <w:rFonts w:hint="eastAsia" w:ascii="Times New Roman" w:hAnsi="Times New Roman" w:cs="宋体"/>
                      <w:kern w:val="2"/>
                      <w:sz w:val="21"/>
                      <w:szCs w:val="21"/>
                    </w:rPr>
                    <w:t>产业发展结构调整。关中地区严禁新增钢铁、焦化、水泥熟料、平板玻璃、电解铝、氧化铝、煤化工产能，合理控制煤制油气产能规模，严控新增炼油产能。</w:t>
                  </w:r>
                </w:p>
              </w:tc>
              <w:tc>
                <w:tcPr>
                  <w:tcW w:w="2722" w:type="dxa"/>
                  <w:tcBorders>
                    <w:tl2br w:val="nil"/>
                    <w:tr2bl w:val="nil"/>
                  </w:tcBorders>
                  <w:shd w:val="clear" w:color="auto" w:fill="auto"/>
                  <w:vAlign w:val="center"/>
                </w:tcPr>
                <w:p>
                  <w:pPr>
                    <w:pStyle w:val="69"/>
                    <w:adjustRightInd w:val="0"/>
                    <w:snapToGrid w:val="0"/>
                    <w:jc w:val="both"/>
                    <w:rPr>
                      <w:rFonts w:ascii="Times New Roman" w:hAnsi="Times New Roman"/>
                      <w:bCs/>
                      <w:sz w:val="21"/>
                      <w:szCs w:val="21"/>
                    </w:rPr>
                  </w:pPr>
                  <w:r>
                    <w:rPr>
                      <w:rFonts w:hint="eastAsia" w:ascii="Times New Roman" w:hAnsi="Times New Roman" w:cs="宋体"/>
                      <w:kern w:val="2"/>
                      <w:sz w:val="21"/>
                      <w:szCs w:val="21"/>
                      <w:lang w:eastAsia="zh-CN"/>
                    </w:rPr>
                    <w:t>项目</w:t>
                  </w:r>
                  <w:r>
                    <w:rPr>
                      <w:rFonts w:hint="eastAsia" w:ascii="Times New Roman" w:hAnsi="Times New Roman" w:cs="宋体"/>
                      <w:kern w:val="2"/>
                      <w:sz w:val="21"/>
                      <w:szCs w:val="21"/>
                    </w:rPr>
                    <w:t>不属于以上严禁新增及控制行业。</w:t>
                  </w:r>
                </w:p>
              </w:tc>
              <w:tc>
                <w:tcPr>
                  <w:tcW w:w="450" w:type="dxa"/>
                  <w:tcBorders>
                    <w:tl2br w:val="nil"/>
                    <w:tr2bl w:val="nil"/>
                  </w:tcBorders>
                  <w:vAlign w:val="center"/>
                </w:tcPr>
                <w:p>
                  <w:pPr>
                    <w:pStyle w:val="69"/>
                    <w:adjustRightInd w:val="0"/>
                    <w:snapToGrid w:val="0"/>
                    <w:jc w:val="both"/>
                    <w:rPr>
                      <w:rFonts w:ascii="Times New Roman" w:hAnsi="Times New Roman"/>
                      <w:sz w:val="21"/>
                      <w:szCs w:val="21"/>
                    </w:rPr>
                  </w:pPr>
                  <w:r>
                    <w:rPr>
                      <w:rFonts w:hint="eastAsia" w:ascii="Times New Roman" w:hAnsi="Times New Roman" w:cs="宋体"/>
                      <w:kern w:val="2"/>
                      <w:sz w:val="21"/>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pStyle w:val="69"/>
                    <w:adjustRightInd w:val="0"/>
                    <w:snapToGrid w:val="0"/>
                    <w:jc w:val="both"/>
                    <w:rPr>
                      <w:rFonts w:ascii="Times New Roman" w:hAnsi="Times New Roman"/>
                      <w:sz w:val="21"/>
                      <w:szCs w:val="21"/>
                    </w:rPr>
                  </w:pPr>
                </w:p>
              </w:tc>
              <w:tc>
                <w:tcPr>
                  <w:tcW w:w="2791" w:type="dxa"/>
                  <w:tcBorders>
                    <w:tl2br w:val="nil"/>
                    <w:tr2bl w:val="nil"/>
                  </w:tcBorders>
                  <w:shd w:val="clear" w:color="auto" w:fill="auto"/>
                  <w:vAlign w:val="center"/>
                </w:tcPr>
                <w:p>
                  <w:pPr>
                    <w:pStyle w:val="69"/>
                    <w:adjustRightInd w:val="0"/>
                    <w:snapToGrid w:val="0"/>
                    <w:jc w:val="both"/>
                    <w:rPr>
                      <w:rFonts w:ascii="Times New Roman" w:hAnsi="Times New Roman"/>
                      <w:bCs/>
                      <w:sz w:val="21"/>
                      <w:szCs w:val="21"/>
                    </w:rPr>
                  </w:pPr>
                  <w:r>
                    <w:rPr>
                      <w:rFonts w:hint="eastAsia" w:ascii="Times New Roman" w:hAnsi="Times New Roman" w:cs="宋体"/>
                      <w:kern w:val="2"/>
                      <w:sz w:val="21"/>
                      <w:szCs w:val="21"/>
                    </w:rPr>
                    <w:t>新建挥发性有机物治理设施不再采用单一低温等离子、光氧化、光催化等治理技术，非水溶性挥发性有机物废气不再采用单一喷淋吸收方式处理。</w:t>
                  </w:r>
                </w:p>
              </w:tc>
              <w:tc>
                <w:tcPr>
                  <w:tcW w:w="2722" w:type="dxa"/>
                  <w:tcBorders>
                    <w:tl2br w:val="nil"/>
                    <w:tr2bl w:val="nil"/>
                  </w:tcBorders>
                  <w:shd w:val="clear" w:color="auto" w:fill="auto"/>
                  <w:vAlign w:val="center"/>
                </w:tcPr>
                <w:p>
                  <w:pPr>
                    <w:pStyle w:val="69"/>
                    <w:adjustRightInd w:val="0"/>
                    <w:snapToGrid w:val="0"/>
                    <w:jc w:val="both"/>
                    <w:rPr>
                      <w:rFonts w:ascii="Times New Roman" w:hAnsi="Times New Roman"/>
                      <w:bCs/>
                      <w:sz w:val="21"/>
                      <w:szCs w:val="21"/>
                    </w:rPr>
                  </w:pPr>
                  <w:r>
                    <w:rPr>
                      <w:rFonts w:hint="eastAsia" w:ascii="Times New Roman" w:hAnsi="Times New Roman" w:cs="宋体"/>
                      <w:kern w:val="2"/>
                      <w:sz w:val="21"/>
                      <w:szCs w:val="21"/>
                      <w:lang w:eastAsia="zh-CN"/>
                    </w:rPr>
                    <w:t>项目</w:t>
                  </w:r>
                  <w:r>
                    <w:rPr>
                      <w:rFonts w:hint="eastAsia" w:ascii="Times New Roman" w:hAnsi="Times New Roman" w:cs="宋体"/>
                      <w:kern w:val="2"/>
                      <w:sz w:val="21"/>
                      <w:szCs w:val="21"/>
                    </w:rPr>
                    <w:t>使用喷淋塔+吸附棉+两级活性炭吸附装置处理，不采用单一低温等离子、光氧化、光催化等治理技术。</w:t>
                  </w:r>
                </w:p>
              </w:tc>
              <w:tc>
                <w:tcPr>
                  <w:tcW w:w="450" w:type="dxa"/>
                  <w:tcBorders>
                    <w:tl2br w:val="nil"/>
                    <w:tr2bl w:val="nil"/>
                  </w:tcBorders>
                  <w:vAlign w:val="center"/>
                </w:tcPr>
                <w:p>
                  <w:pPr>
                    <w:pStyle w:val="69"/>
                    <w:adjustRightInd w:val="0"/>
                    <w:snapToGrid w:val="0"/>
                    <w:jc w:val="both"/>
                    <w:rPr>
                      <w:rFonts w:ascii="Times New Roman" w:hAnsi="Times New Roman"/>
                      <w:sz w:val="21"/>
                      <w:szCs w:val="21"/>
                    </w:rPr>
                  </w:pPr>
                  <w:r>
                    <w:rPr>
                      <w:rFonts w:hint="eastAsia" w:ascii="Times New Roman" w:hAnsi="Times New Roman" w:cs="宋体"/>
                      <w:kern w:val="2"/>
                      <w:sz w:val="21"/>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autoSpaceDE w:val="0"/>
                    <w:autoSpaceDN w:val="0"/>
                    <w:adjustRightInd w:val="0"/>
                    <w:jc w:val="both"/>
                    <w:rPr>
                      <w:szCs w:val="21"/>
                    </w:rPr>
                  </w:pPr>
                  <w:r>
                    <w:rPr>
                      <w:szCs w:val="21"/>
                    </w:rPr>
                    <w:t>《</w:t>
                  </w:r>
                  <w:r>
                    <w:rPr>
                      <w:rFonts w:hint="eastAsia"/>
                      <w:szCs w:val="21"/>
                    </w:rPr>
                    <w:t>西安市</w:t>
                  </w:r>
                  <w:r>
                    <w:rPr>
                      <w:szCs w:val="21"/>
                    </w:rPr>
                    <w:t>大气污染治理专项行动方案》（2023-2027）</w:t>
                  </w:r>
                </w:p>
              </w:tc>
              <w:tc>
                <w:tcPr>
                  <w:tcW w:w="2791" w:type="dxa"/>
                  <w:tcBorders>
                    <w:tl2br w:val="nil"/>
                    <w:tr2bl w:val="nil"/>
                  </w:tcBorders>
                  <w:shd w:val="clear" w:color="auto" w:fill="auto"/>
                  <w:vAlign w:val="center"/>
                </w:tcPr>
                <w:p>
                  <w:pPr>
                    <w:autoSpaceDE w:val="0"/>
                    <w:autoSpaceDN w:val="0"/>
                    <w:adjustRightInd w:val="0"/>
                    <w:jc w:val="both"/>
                    <w:rPr>
                      <w:szCs w:val="21"/>
                    </w:rPr>
                  </w:pPr>
                  <w:r>
                    <w:rPr>
                      <w:szCs w:val="21"/>
                    </w:rPr>
                    <w:t>强化源头管控。严格落实国家和我省产业规划、产业政策、“三线一单”、规划环评等要求，深入开展我市区域空间生态环境评价工作，积极推行区域、规划环境影响评价，新改扩建化工、石化、建材、有色等项目的环境影响评价应满足区域和规划环评要求。</w:t>
                  </w:r>
                </w:p>
              </w:tc>
              <w:tc>
                <w:tcPr>
                  <w:tcW w:w="2722" w:type="dxa"/>
                  <w:tcBorders>
                    <w:tl2br w:val="nil"/>
                    <w:tr2bl w:val="nil"/>
                  </w:tcBorders>
                  <w:shd w:val="clear" w:color="auto" w:fill="auto"/>
                  <w:vAlign w:val="center"/>
                </w:tcPr>
                <w:p>
                  <w:pPr>
                    <w:autoSpaceDE w:val="0"/>
                    <w:autoSpaceDN w:val="0"/>
                    <w:adjustRightInd w:val="0"/>
                    <w:jc w:val="both"/>
                    <w:rPr>
                      <w:rFonts w:cs="宋体"/>
                      <w:szCs w:val="21"/>
                    </w:rPr>
                  </w:pPr>
                  <w:r>
                    <w:rPr>
                      <w:rFonts w:hint="eastAsia"/>
                      <w:szCs w:val="21"/>
                      <w:lang w:val="en-US" w:eastAsia="zh-CN"/>
                    </w:rPr>
                    <w:t>项目属于金属制品制造业，</w:t>
                  </w:r>
                  <w:r>
                    <w:rPr>
                      <w:szCs w:val="21"/>
                    </w:rPr>
                    <w:t>符合</w:t>
                  </w:r>
                  <w:r>
                    <w:rPr>
                      <w:rFonts w:hint="eastAsia"/>
                      <w:szCs w:val="21"/>
                    </w:rPr>
                    <w:t>园区规划</w:t>
                  </w:r>
                  <w:r>
                    <w:rPr>
                      <w:szCs w:val="21"/>
                    </w:rPr>
                    <w:t>总体定位</w:t>
                  </w:r>
                  <w:r>
                    <w:rPr>
                      <w:rFonts w:hint="eastAsia"/>
                      <w:szCs w:val="21"/>
                    </w:rPr>
                    <w:t>，符合</w:t>
                  </w:r>
                  <w:r>
                    <w:rPr>
                      <w:szCs w:val="21"/>
                    </w:rPr>
                    <w:t>“三线一单”</w:t>
                  </w:r>
                  <w:r>
                    <w:rPr>
                      <w:rFonts w:hint="eastAsia"/>
                      <w:szCs w:val="21"/>
                    </w:rPr>
                    <w:t>要求。</w:t>
                  </w:r>
                </w:p>
              </w:tc>
              <w:tc>
                <w:tcPr>
                  <w:tcW w:w="450" w:type="dxa"/>
                  <w:tcBorders>
                    <w:tl2br w:val="nil"/>
                    <w:tr2bl w:val="nil"/>
                  </w:tcBorders>
                  <w:vAlign w:val="center"/>
                </w:tcPr>
                <w:p>
                  <w:pPr>
                    <w:autoSpaceDE w:val="0"/>
                    <w:autoSpaceDN w:val="0"/>
                    <w:adjustRightInd w:val="0"/>
                    <w:jc w:val="both"/>
                    <w:rPr>
                      <w:rFonts w:ascii="宋体" w:hAnsi="宋体" w:cs="宋体"/>
                      <w:bCs/>
                      <w:spacing w:val="-6"/>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utoSpaceDE w:val="0"/>
                    <w:autoSpaceDN w:val="0"/>
                    <w:adjustRightInd w:val="0"/>
                    <w:jc w:val="both"/>
                    <w:rPr>
                      <w:szCs w:val="21"/>
                    </w:rPr>
                  </w:pPr>
                </w:p>
              </w:tc>
              <w:tc>
                <w:tcPr>
                  <w:tcW w:w="2791" w:type="dxa"/>
                  <w:tcBorders>
                    <w:tl2br w:val="nil"/>
                    <w:tr2bl w:val="nil"/>
                  </w:tcBorders>
                  <w:shd w:val="clear" w:color="auto" w:fill="auto"/>
                  <w:vAlign w:val="center"/>
                </w:tcPr>
                <w:p>
                  <w:pPr>
                    <w:autoSpaceDE w:val="0"/>
                    <w:autoSpaceDN w:val="0"/>
                    <w:adjustRightInd w:val="0"/>
                    <w:jc w:val="both"/>
                    <w:rPr>
                      <w:szCs w:val="21"/>
                    </w:rPr>
                  </w:pPr>
                  <w:r>
                    <w:rPr>
                      <w:szCs w:val="21"/>
                    </w:rPr>
                    <w:t>严格新改扩建涉气重点行业绩效评级限制条件。各区、开发区范围内新改扩建涉气重点行业企业应达到环保绩效A级、绩效引领性水平，周至县、蓝田县应达到环保绩效B级及以上水平。</w:t>
                  </w:r>
                </w:p>
              </w:tc>
              <w:tc>
                <w:tcPr>
                  <w:tcW w:w="2722" w:type="dxa"/>
                  <w:tcBorders>
                    <w:tl2br w:val="nil"/>
                    <w:tr2bl w:val="nil"/>
                  </w:tcBorders>
                  <w:shd w:val="clear" w:color="auto" w:fill="auto"/>
                  <w:vAlign w:val="center"/>
                </w:tcPr>
                <w:p>
                  <w:pPr>
                    <w:autoSpaceDE w:val="0"/>
                    <w:autoSpaceDN w:val="0"/>
                    <w:adjustRightInd w:val="0"/>
                    <w:jc w:val="both"/>
                    <w:rPr>
                      <w:rFonts w:cs="宋体"/>
                      <w:szCs w:val="21"/>
                    </w:rPr>
                  </w:pPr>
                  <w:r>
                    <w:rPr>
                      <w:rFonts w:hint="eastAsia"/>
                      <w:szCs w:val="21"/>
                      <w:lang w:val="en-US" w:eastAsia="zh-CN"/>
                    </w:rPr>
                    <w:t>项目属于金属制品制造业，根据重污染天气重点行业应急减排措施制定技术指南（</w:t>
                  </w:r>
                  <w:r>
                    <w:rPr>
                      <w:rFonts w:hint="default"/>
                      <w:szCs w:val="21"/>
                      <w:lang w:val="en-US" w:eastAsia="zh-CN"/>
                    </w:rPr>
                    <w:t>2020</w:t>
                  </w:r>
                  <w:r>
                    <w:rPr>
                      <w:rFonts w:hint="eastAsia"/>
                      <w:szCs w:val="21"/>
                      <w:lang w:val="en-US" w:eastAsia="zh-CN"/>
                    </w:rPr>
                    <w:t>年修订版）〉，要求企业污染治理水平必须达到A级要求。</w:t>
                  </w:r>
                </w:p>
              </w:tc>
              <w:tc>
                <w:tcPr>
                  <w:tcW w:w="450" w:type="dxa"/>
                  <w:tcBorders>
                    <w:tl2br w:val="nil"/>
                    <w:tr2bl w:val="nil"/>
                  </w:tcBorders>
                  <w:vAlign w:val="center"/>
                </w:tcPr>
                <w:p>
                  <w:pPr>
                    <w:autoSpaceDE w:val="0"/>
                    <w:autoSpaceDN w:val="0"/>
                    <w:adjustRightInd w:val="0"/>
                    <w:jc w:val="both"/>
                    <w:rPr>
                      <w:rFonts w:ascii="宋体" w:hAnsi="宋体" w:cs="宋体"/>
                      <w:bCs/>
                      <w:spacing w:val="-6"/>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autoSpaceDE w:val="0"/>
                    <w:autoSpaceDN w:val="0"/>
                    <w:adjustRightInd w:val="0"/>
                    <w:jc w:val="both"/>
                    <w:rPr>
                      <w:szCs w:val="21"/>
                    </w:rPr>
                  </w:pPr>
                  <w:r>
                    <w:rPr>
                      <w:szCs w:val="21"/>
                    </w:rPr>
                    <w:t>《西咸新区大气污染治理专项行动方案》（2023-2027）</w:t>
                  </w:r>
                </w:p>
              </w:tc>
              <w:tc>
                <w:tcPr>
                  <w:tcW w:w="2791" w:type="dxa"/>
                  <w:tcBorders>
                    <w:tl2br w:val="nil"/>
                    <w:tr2bl w:val="nil"/>
                  </w:tcBorders>
                  <w:shd w:val="clear" w:color="auto" w:fill="auto"/>
                  <w:vAlign w:val="center"/>
                </w:tcPr>
                <w:p>
                  <w:pPr>
                    <w:autoSpaceDE w:val="0"/>
                    <w:autoSpaceDN w:val="0"/>
                    <w:adjustRightInd w:val="0"/>
                    <w:jc w:val="both"/>
                    <w:rPr>
                      <w:szCs w:val="21"/>
                    </w:rPr>
                  </w:pPr>
                  <w:r>
                    <w:rPr>
                      <w:szCs w:val="21"/>
                      <w:lang w:val="en-US" w:eastAsia="zh-CN"/>
                    </w:rPr>
                    <w:t>强化源头管控。严格落实国家、省、市及新区产业规划、产业政策、</w:t>
                  </w:r>
                  <w:r>
                    <w:rPr>
                      <w:rFonts w:hint="default"/>
                      <w:szCs w:val="21"/>
                      <w:lang w:val="en-US" w:eastAsia="zh-CN"/>
                    </w:rPr>
                    <w:t>“</w:t>
                  </w:r>
                  <w:r>
                    <w:rPr>
                      <w:szCs w:val="21"/>
                      <w:lang w:val="en-US" w:eastAsia="zh-CN"/>
                    </w:rPr>
                    <w:t>三线一单</w:t>
                  </w:r>
                  <w:r>
                    <w:rPr>
                      <w:rFonts w:hint="default"/>
                      <w:szCs w:val="21"/>
                      <w:lang w:val="en-US" w:eastAsia="zh-CN"/>
                    </w:rPr>
                    <w:t>”</w:t>
                  </w:r>
                  <w:r>
                    <w:rPr>
                      <w:szCs w:val="21"/>
                      <w:lang w:val="en-US" w:eastAsia="zh-CN"/>
                    </w:rPr>
                    <w:t>、规划环评等要求，深入开展区域空间生态环境评价工作，积极推行区域、规划环境影响评价，新、改、扩建化工、石化、建材、有色等项目的环境影响评价应满足区域、规划环评要求。</w:t>
                  </w:r>
                </w:p>
              </w:tc>
              <w:tc>
                <w:tcPr>
                  <w:tcW w:w="2722" w:type="dxa"/>
                  <w:tcBorders>
                    <w:tl2br w:val="nil"/>
                    <w:tr2bl w:val="nil"/>
                  </w:tcBorders>
                  <w:shd w:val="clear" w:color="auto" w:fill="auto"/>
                  <w:vAlign w:val="center"/>
                </w:tcPr>
                <w:p>
                  <w:pPr>
                    <w:autoSpaceDE w:val="0"/>
                    <w:autoSpaceDN w:val="0"/>
                    <w:adjustRightInd w:val="0"/>
                    <w:jc w:val="both"/>
                    <w:rPr>
                      <w:rFonts w:hint="default"/>
                      <w:szCs w:val="21"/>
                      <w:lang w:val="en-US" w:eastAsia="zh-CN"/>
                    </w:rPr>
                  </w:pPr>
                  <w:r>
                    <w:rPr>
                      <w:rFonts w:hint="eastAsia"/>
                      <w:szCs w:val="21"/>
                      <w:lang w:val="en-US" w:eastAsia="zh-CN"/>
                    </w:rPr>
                    <w:t>项目属于金属制品制造业，</w:t>
                  </w:r>
                  <w:r>
                    <w:rPr>
                      <w:szCs w:val="21"/>
                    </w:rPr>
                    <w:t>产业规划、产业政策、“三线一单”、规划环评</w:t>
                  </w:r>
                  <w:r>
                    <w:rPr>
                      <w:rFonts w:hint="eastAsia"/>
                      <w:szCs w:val="21"/>
                    </w:rPr>
                    <w:t>等均符合</w:t>
                  </w:r>
                  <w:r>
                    <w:rPr>
                      <w:szCs w:val="21"/>
                    </w:rPr>
                    <w:t>要求</w:t>
                  </w:r>
                  <w:r>
                    <w:rPr>
                      <w:rFonts w:hint="eastAsia"/>
                      <w:szCs w:val="21"/>
                    </w:rPr>
                    <w:t>。</w:t>
                  </w:r>
                </w:p>
              </w:tc>
              <w:tc>
                <w:tcPr>
                  <w:tcW w:w="450" w:type="dxa"/>
                  <w:tcBorders>
                    <w:tl2br w:val="nil"/>
                    <w:tr2bl w:val="nil"/>
                  </w:tcBorders>
                  <w:vAlign w:val="center"/>
                </w:tcPr>
                <w:p>
                  <w:pPr>
                    <w:autoSpaceDE w:val="0"/>
                    <w:autoSpaceDN w:val="0"/>
                    <w:adjustRightInd w:val="0"/>
                    <w:jc w:val="both"/>
                    <w:rPr>
                      <w:rFonts w:hint="default" w:eastAsia="宋体"/>
                      <w:szCs w:val="21"/>
                      <w:lang w:val="en-US" w:eastAsia="zh-CN"/>
                    </w:rPr>
                  </w:pPr>
                  <w:r>
                    <w:rPr>
                      <w:rFonts w:hint="eastAsia"/>
                      <w:szCs w:val="21"/>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utoSpaceDE w:val="0"/>
                    <w:autoSpaceDN w:val="0"/>
                    <w:adjustRightInd w:val="0"/>
                    <w:jc w:val="both"/>
                    <w:rPr>
                      <w:szCs w:val="21"/>
                    </w:rPr>
                  </w:pPr>
                </w:p>
              </w:tc>
              <w:tc>
                <w:tcPr>
                  <w:tcW w:w="2791" w:type="dxa"/>
                  <w:tcBorders>
                    <w:tl2br w:val="nil"/>
                    <w:tr2bl w:val="nil"/>
                  </w:tcBorders>
                  <w:shd w:val="clear" w:color="auto" w:fill="auto"/>
                  <w:vAlign w:val="center"/>
                </w:tcPr>
                <w:p>
                  <w:pPr>
                    <w:keepNext w:val="0"/>
                    <w:keepLines w:val="0"/>
                    <w:widowControl/>
                    <w:suppressLineNumbers w:val="0"/>
                    <w:jc w:val="both"/>
                    <w:rPr>
                      <w:szCs w:val="21"/>
                    </w:rPr>
                  </w:pPr>
                  <w:r>
                    <w:rPr>
                      <w:szCs w:val="21"/>
                      <w:lang w:val="en-US" w:eastAsia="zh-CN"/>
                    </w:rPr>
                    <w:t>严格新、改、扩建涉气重点行业绩效评级限制条件。新区范围内新、改、扩建涉气重点行业企业应达到环保绩效</w:t>
                  </w:r>
                  <w:r>
                    <w:rPr>
                      <w:rFonts w:hint="default"/>
                      <w:szCs w:val="21"/>
                      <w:lang w:val="en-US" w:eastAsia="zh-CN"/>
                    </w:rPr>
                    <w:t>A</w:t>
                  </w:r>
                  <w:r>
                    <w:rPr>
                      <w:szCs w:val="21"/>
                      <w:lang w:val="en-US" w:eastAsia="zh-CN"/>
                    </w:rPr>
                    <w:t>级、绩效引领性水平。</w:t>
                  </w:r>
                </w:p>
              </w:tc>
              <w:tc>
                <w:tcPr>
                  <w:tcW w:w="2722" w:type="dxa"/>
                  <w:tcBorders>
                    <w:tl2br w:val="nil"/>
                    <w:tr2bl w:val="nil"/>
                  </w:tcBorders>
                  <w:shd w:val="clear" w:color="auto" w:fill="auto"/>
                  <w:vAlign w:val="center"/>
                </w:tcPr>
                <w:p>
                  <w:pPr>
                    <w:autoSpaceDE w:val="0"/>
                    <w:autoSpaceDN w:val="0"/>
                    <w:adjustRightInd w:val="0"/>
                    <w:jc w:val="both"/>
                    <w:rPr>
                      <w:rFonts w:cs="宋体"/>
                      <w:szCs w:val="21"/>
                    </w:rPr>
                  </w:pPr>
                  <w:r>
                    <w:rPr>
                      <w:rFonts w:hint="eastAsia"/>
                      <w:szCs w:val="21"/>
                      <w:lang w:val="en-US" w:eastAsia="zh-CN"/>
                    </w:rPr>
                    <w:t>项目属于金属制品制造业，根据重污染天气重点行业应急减排措施制定技术指南（</w:t>
                  </w:r>
                  <w:r>
                    <w:rPr>
                      <w:rFonts w:hint="default"/>
                      <w:szCs w:val="21"/>
                      <w:lang w:val="en-US" w:eastAsia="zh-CN"/>
                    </w:rPr>
                    <w:t>2020</w:t>
                  </w:r>
                  <w:r>
                    <w:rPr>
                      <w:rFonts w:hint="eastAsia"/>
                      <w:szCs w:val="21"/>
                      <w:lang w:val="en-US" w:eastAsia="zh-CN"/>
                    </w:rPr>
                    <w:t>年修订版）〉，要求企业污染治理水平必须达到A级要求。</w:t>
                  </w:r>
                </w:p>
              </w:tc>
              <w:tc>
                <w:tcPr>
                  <w:tcW w:w="450" w:type="dxa"/>
                  <w:tcBorders>
                    <w:tl2br w:val="nil"/>
                    <w:tr2bl w:val="nil"/>
                  </w:tcBorders>
                  <w:vAlign w:val="center"/>
                </w:tcPr>
                <w:p>
                  <w:pPr>
                    <w:autoSpaceDE w:val="0"/>
                    <w:autoSpaceDN w:val="0"/>
                    <w:adjustRightInd w:val="0"/>
                    <w:jc w:val="both"/>
                    <w:rPr>
                      <w:rFonts w:hint="default" w:ascii="宋体" w:hAnsi="宋体" w:eastAsia="宋体" w:cs="宋体"/>
                      <w:bCs/>
                      <w:spacing w:val="-6"/>
                      <w:szCs w:val="21"/>
                      <w:lang w:val="en-US" w:eastAsia="zh-CN"/>
                    </w:rPr>
                  </w:pPr>
                  <w:r>
                    <w:rPr>
                      <w:rFonts w:hint="eastAsia" w:ascii="宋体" w:hAnsi="宋体" w:cs="宋体"/>
                      <w:bCs/>
                      <w:spacing w:val="-6"/>
                      <w:szCs w:val="21"/>
                      <w:lang w:val="en-US" w:eastAsia="zh-CN"/>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utoSpaceDE w:val="0"/>
                    <w:autoSpaceDN w:val="0"/>
                    <w:adjustRightInd w:val="0"/>
                    <w:jc w:val="both"/>
                    <w:rPr>
                      <w:szCs w:val="21"/>
                    </w:rPr>
                  </w:pPr>
                </w:p>
              </w:tc>
              <w:tc>
                <w:tcPr>
                  <w:tcW w:w="2791" w:type="dxa"/>
                  <w:tcBorders>
                    <w:tl2br w:val="nil"/>
                    <w:tr2bl w:val="nil"/>
                  </w:tcBorders>
                  <w:shd w:val="clear" w:color="auto" w:fill="auto"/>
                  <w:vAlign w:val="center"/>
                </w:tcPr>
                <w:p>
                  <w:pPr>
                    <w:autoSpaceDE w:val="0"/>
                    <w:autoSpaceDN w:val="0"/>
                    <w:adjustRightInd w:val="0"/>
                    <w:jc w:val="both"/>
                    <w:rPr>
                      <w:szCs w:val="21"/>
                    </w:rPr>
                  </w:pPr>
                  <w:r>
                    <w:rPr>
                      <w:szCs w:val="21"/>
                    </w:rPr>
                    <w:t>推进大企业高端化、高质量发展，支持传统优势产业向产业链中高端迈进。进一步分析产业发展定位，开展传统行业中小企业和产业集群排查及分类整治，积极总结推广现代产业园区建管模式，以高质量发展为导向，加快建设新区秦创原十大特色产业园区，以产业园区为载体，搬迁入园一批、就地改造一批、做优做强一批中小企业，推动中小企业集聚化、高质量发展。</w:t>
                  </w:r>
                </w:p>
              </w:tc>
              <w:tc>
                <w:tcPr>
                  <w:tcW w:w="2722" w:type="dxa"/>
                  <w:tcBorders>
                    <w:tl2br w:val="nil"/>
                    <w:tr2bl w:val="nil"/>
                  </w:tcBorders>
                  <w:shd w:val="clear" w:color="auto" w:fill="auto"/>
                  <w:vAlign w:val="center"/>
                </w:tcPr>
                <w:p>
                  <w:pPr>
                    <w:autoSpaceDE w:val="0"/>
                    <w:autoSpaceDN w:val="0"/>
                    <w:adjustRightInd w:val="0"/>
                    <w:jc w:val="both"/>
                    <w:rPr>
                      <w:rFonts w:cs="宋体"/>
                      <w:szCs w:val="21"/>
                    </w:rPr>
                  </w:pPr>
                  <w:r>
                    <w:rPr>
                      <w:rFonts w:hint="eastAsia"/>
                      <w:szCs w:val="21"/>
                      <w:lang w:val="en-US" w:eastAsia="zh-CN"/>
                    </w:rPr>
                    <w:t>项目属于金属制品制造业，</w:t>
                  </w:r>
                  <w:r>
                    <w:rPr>
                      <w:szCs w:val="21"/>
                    </w:rPr>
                    <w:t>不属于禁止类项目</w:t>
                  </w:r>
                  <w:r>
                    <w:rPr>
                      <w:rFonts w:hint="eastAsia"/>
                      <w:szCs w:val="21"/>
                    </w:rPr>
                    <w:t>。</w:t>
                  </w:r>
                </w:p>
              </w:tc>
              <w:tc>
                <w:tcPr>
                  <w:tcW w:w="450" w:type="dxa"/>
                  <w:tcBorders>
                    <w:tl2br w:val="nil"/>
                    <w:tr2bl w:val="nil"/>
                  </w:tcBorders>
                  <w:vAlign w:val="center"/>
                </w:tcPr>
                <w:p>
                  <w:pPr>
                    <w:autoSpaceDE w:val="0"/>
                    <w:autoSpaceDN w:val="0"/>
                    <w:adjustRightInd w:val="0"/>
                    <w:jc w:val="both"/>
                    <w:rPr>
                      <w:rFonts w:ascii="宋体" w:hAnsi="宋体" w:cs="宋体"/>
                      <w:bCs/>
                      <w:spacing w:val="-6"/>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utoSpaceDE w:val="0"/>
                    <w:autoSpaceDN w:val="0"/>
                    <w:adjustRightInd w:val="0"/>
                    <w:jc w:val="both"/>
                    <w:rPr>
                      <w:szCs w:val="21"/>
                    </w:rPr>
                  </w:pPr>
                </w:p>
              </w:tc>
              <w:tc>
                <w:tcPr>
                  <w:tcW w:w="2791" w:type="dxa"/>
                  <w:tcBorders>
                    <w:tl2br w:val="nil"/>
                    <w:tr2bl w:val="nil"/>
                  </w:tcBorders>
                  <w:shd w:val="clear" w:color="auto" w:fill="auto"/>
                  <w:vAlign w:val="center"/>
                </w:tcPr>
                <w:p>
                  <w:pPr>
                    <w:autoSpaceDE w:val="0"/>
                    <w:autoSpaceDN w:val="0"/>
                    <w:adjustRightInd w:val="0"/>
                    <w:ind w:firstLine="420" w:firstLineChars="200"/>
                    <w:jc w:val="both"/>
                    <w:rPr>
                      <w:szCs w:val="21"/>
                    </w:rPr>
                  </w:pPr>
                  <w:r>
                    <w:rPr>
                      <w:szCs w:val="21"/>
                    </w:rPr>
                    <w:t>推进涉VOCs污染治理设施升级改造。2023年完成使用溶剂型涂料、油墨、胶粘剂、清洗剂以及涉及有机化工生产企业的简易低效污染治理设施升级改造</w:t>
                  </w:r>
                  <w:r>
                    <w:rPr>
                      <w:rFonts w:hint="eastAsia"/>
                      <w:szCs w:val="21"/>
                    </w:rPr>
                    <w:t>。</w:t>
                  </w:r>
                </w:p>
              </w:tc>
              <w:tc>
                <w:tcPr>
                  <w:tcW w:w="2722" w:type="dxa"/>
                  <w:tcBorders>
                    <w:tl2br w:val="nil"/>
                    <w:tr2bl w:val="nil"/>
                  </w:tcBorders>
                  <w:shd w:val="clear" w:color="auto" w:fill="auto"/>
                  <w:vAlign w:val="center"/>
                </w:tcPr>
                <w:p>
                  <w:pPr>
                    <w:autoSpaceDE w:val="0"/>
                    <w:autoSpaceDN w:val="0"/>
                    <w:adjustRightInd w:val="0"/>
                    <w:jc w:val="both"/>
                    <w:rPr>
                      <w:rFonts w:hint="eastAsia"/>
                    </w:rPr>
                  </w:pPr>
                  <w:r>
                    <w:rPr>
                      <w:rFonts w:hint="eastAsia"/>
                    </w:rPr>
                    <w:t>固化工序、木纹转印工序及覆膜工序产生的有机废气经5个集气罩+喷淋塔+过滤棉+二级活性炭对非甲烷总烃及天然气燃烧废气进行处理，处理后废气通过15m排气筒排放</w:t>
                  </w:r>
                  <w:r>
                    <w:rPr>
                      <w:rFonts w:hint="eastAsia"/>
                      <w:szCs w:val="21"/>
                    </w:rPr>
                    <w:t>。</w:t>
                  </w:r>
                </w:p>
              </w:tc>
              <w:tc>
                <w:tcPr>
                  <w:tcW w:w="450" w:type="dxa"/>
                  <w:tcBorders>
                    <w:tl2br w:val="nil"/>
                    <w:tr2bl w:val="nil"/>
                  </w:tcBorders>
                  <w:vAlign w:val="center"/>
                </w:tcPr>
                <w:p>
                  <w:pPr>
                    <w:autoSpaceDE w:val="0"/>
                    <w:autoSpaceDN w:val="0"/>
                    <w:adjustRightInd w:val="0"/>
                    <w:jc w:val="both"/>
                    <w:rPr>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2216" w:type="dxa"/>
                  <w:vMerge w:val="restart"/>
                  <w:tcBorders>
                    <w:tl2br w:val="nil"/>
                    <w:tr2bl w:val="nil"/>
                  </w:tcBorders>
                  <w:vAlign w:val="center"/>
                </w:tcPr>
                <w:p>
                  <w:pPr>
                    <w:autoSpaceDE w:val="0"/>
                    <w:autoSpaceDN w:val="0"/>
                    <w:adjustRightInd w:val="0"/>
                    <w:jc w:val="both"/>
                    <w:rPr>
                      <w:szCs w:val="21"/>
                    </w:rPr>
                  </w:pPr>
                  <w:r>
                    <w:rPr>
                      <w:szCs w:val="21"/>
                    </w:rPr>
                    <w:t>《西咸新区泾河新城大气污染治理专项行动方案》（2023-2027）</w:t>
                  </w:r>
                </w:p>
              </w:tc>
              <w:tc>
                <w:tcPr>
                  <w:tcW w:w="2791" w:type="dxa"/>
                  <w:tcBorders>
                    <w:tl2br w:val="nil"/>
                    <w:tr2bl w:val="nil"/>
                  </w:tcBorders>
                  <w:shd w:val="clear" w:color="auto" w:fill="auto"/>
                  <w:vAlign w:val="center"/>
                </w:tcPr>
                <w:p>
                  <w:pPr>
                    <w:autoSpaceDE w:val="0"/>
                    <w:autoSpaceDN w:val="0"/>
                    <w:adjustRightInd w:val="0"/>
                    <w:ind w:firstLine="420" w:firstLineChars="200"/>
                    <w:jc w:val="both"/>
                    <w:rPr>
                      <w:szCs w:val="21"/>
                    </w:rPr>
                  </w:pPr>
                  <w:r>
                    <w:rPr>
                      <w:szCs w:val="21"/>
                    </w:rPr>
                    <w:t>强化源头管控。严格落实国家、省、市、新区及新城产业规划、产业政策、“三线一单”、规划环评等要求，配合新区开展区域空间生态环境评价工作，积极推行区域、规划环境影响评价，新、改、扩建化工、石化、建材、有色等项目的环境影响评价应满足区域、规划环评要求。</w:t>
                  </w:r>
                </w:p>
              </w:tc>
              <w:tc>
                <w:tcPr>
                  <w:tcW w:w="2722" w:type="dxa"/>
                  <w:tcBorders>
                    <w:tl2br w:val="nil"/>
                    <w:tr2bl w:val="nil"/>
                  </w:tcBorders>
                  <w:shd w:val="clear" w:color="auto" w:fill="auto"/>
                  <w:vAlign w:val="center"/>
                </w:tcPr>
                <w:p>
                  <w:pPr>
                    <w:autoSpaceDE w:val="0"/>
                    <w:autoSpaceDN w:val="0"/>
                    <w:adjustRightInd w:val="0"/>
                    <w:jc w:val="both"/>
                    <w:rPr>
                      <w:rFonts w:cs="宋体"/>
                      <w:szCs w:val="21"/>
                    </w:rPr>
                  </w:pPr>
                  <w:r>
                    <w:rPr>
                      <w:rFonts w:hint="eastAsia"/>
                      <w:szCs w:val="21"/>
                      <w:lang w:val="en-US" w:eastAsia="zh-CN"/>
                    </w:rPr>
                    <w:t>项目属于金属制品制造业</w:t>
                  </w:r>
                  <w:r>
                    <w:rPr>
                      <w:szCs w:val="21"/>
                    </w:rPr>
                    <w:t>，产业规划、产业政策、“三线一单”、规划环评</w:t>
                  </w:r>
                  <w:r>
                    <w:rPr>
                      <w:rFonts w:hint="eastAsia"/>
                      <w:szCs w:val="21"/>
                    </w:rPr>
                    <w:t>等均符合</w:t>
                  </w:r>
                  <w:r>
                    <w:rPr>
                      <w:szCs w:val="21"/>
                    </w:rPr>
                    <w:t>要求</w:t>
                  </w:r>
                  <w:r>
                    <w:rPr>
                      <w:rFonts w:hint="eastAsia"/>
                      <w:szCs w:val="21"/>
                    </w:rPr>
                    <w:t>。</w:t>
                  </w:r>
                </w:p>
              </w:tc>
              <w:tc>
                <w:tcPr>
                  <w:tcW w:w="450" w:type="dxa"/>
                  <w:tcBorders>
                    <w:tl2br w:val="nil"/>
                    <w:tr2bl w:val="nil"/>
                  </w:tcBorders>
                  <w:vAlign w:val="center"/>
                </w:tcPr>
                <w:p>
                  <w:pPr>
                    <w:autoSpaceDE w:val="0"/>
                    <w:autoSpaceDN w:val="0"/>
                    <w:adjustRightInd w:val="0"/>
                    <w:jc w:val="both"/>
                    <w:rPr>
                      <w:rFonts w:ascii="宋体" w:hAnsi="宋体" w:cs="宋体"/>
                      <w:bCs/>
                      <w:spacing w:val="-6"/>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utoSpaceDE w:val="0"/>
                    <w:autoSpaceDN w:val="0"/>
                    <w:adjustRightInd w:val="0"/>
                    <w:jc w:val="both"/>
                    <w:rPr>
                      <w:szCs w:val="21"/>
                    </w:rPr>
                  </w:pPr>
                </w:p>
              </w:tc>
              <w:tc>
                <w:tcPr>
                  <w:tcW w:w="2791" w:type="dxa"/>
                  <w:tcBorders>
                    <w:tl2br w:val="nil"/>
                    <w:tr2bl w:val="nil"/>
                  </w:tcBorders>
                  <w:shd w:val="clear" w:color="auto" w:fill="auto"/>
                  <w:vAlign w:val="center"/>
                </w:tcPr>
                <w:p>
                  <w:pPr>
                    <w:autoSpaceDE w:val="0"/>
                    <w:autoSpaceDN w:val="0"/>
                    <w:adjustRightInd w:val="0"/>
                    <w:ind w:firstLine="420" w:firstLineChars="200"/>
                    <w:jc w:val="both"/>
                    <w:rPr>
                      <w:szCs w:val="21"/>
                    </w:rPr>
                  </w:pPr>
                  <w:r>
                    <w:rPr>
                      <w:szCs w:val="21"/>
                    </w:rPr>
                    <w:t>推进涉VOCs污染治理设施升级改造。2023年完成使用溶剂型涂料、油墨、胶粘剂、清洗剂以及涉及有机化工生产企业的简易低效污染治理设施升级改造。</w:t>
                  </w:r>
                </w:p>
              </w:tc>
              <w:tc>
                <w:tcPr>
                  <w:tcW w:w="2722" w:type="dxa"/>
                  <w:tcBorders>
                    <w:tl2br w:val="nil"/>
                    <w:tr2bl w:val="nil"/>
                  </w:tcBorders>
                  <w:shd w:val="clear" w:color="auto" w:fill="auto"/>
                  <w:vAlign w:val="center"/>
                </w:tcPr>
                <w:p>
                  <w:pPr>
                    <w:autoSpaceDE w:val="0"/>
                    <w:autoSpaceDN w:val="0"/>
                    <w:adjustRightInd w:val="0"/>
                    <w:jc w:val="both"/>
                    <w:rPr>
                      <w:rFonts w:cs="宋体"/>
                      <w:szCs w:val="21"/>
                    </w:rPr>
                  </w:pPr>
                  <w:r>
                    <w:rPr>
                      <w:rFonts w:hint="eastAsia"/>
                    </w:rPr>
                    <w:t>固化工序、木纹转印工序及覆膜工序产生的有机废气经5个集气罩+喷淋塔+过滤棉+二级活性炭对非甲烷总烃及天然气燃烧废气进行处理，处理后废气通过15m排气筒排放</w:t>
                  </w:r>
                  <w:r>
                    <w:rPr>
                      <w:rFonts w:hint="eastAsia"/>
                      <w:szCs w:val="21"/>
                    </w:rPr>
                    <w:t>。</w:t>
                  </w:r>
                </w:p>
              </w:tc>
              <w:tc>
                <w:tcPr>
                  <w:tcW w:w="450" w:type="dxa"/>
                  <w:tcBorders>
                    <w:tl2br w:val="nil"/>
                    <w:tr2bl w:val="nil"/>
                  </w:tcBorders>
                  <w:vAlign w:val="center"/>
                </w:tcPr>
                <w:p>
                  <w:pPr>
                    <w:autoSpaceDE w:val="0"/>
                    <w:autoSpaceDN w:val="0"/>
                    <w:adjustRightInd w:val="0"/>
                    <w:jc w:val="both"/>
                    <w:rPr>
                      <w:rFonts w:ascii="宋体" w:hAnsi="宋体" w:cs="宋体"/>
                      <w:bCs/>
                      <w:spacing w:val="-6"/>
                      <w:szCs w:val="21"/>
                    </w:rPr>
                  </w:pPr>
                  <w:r>
                    <w:rPr>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tcBorders>
                    <w:tl2br w:val="nil"/>
                    <w:tr2bl w:val="nil"/>
                  </w:tcBorders>
                  <w:vAlign w:val="center"/>
                </w:tcPr>
                <w:p>
                  <w:pPr>
                    <w:pStyle w:val="26"/>
                    <w:widowControl w:val="0"/>
                    <w:adjustRightInd w:val="0"/>
                    <w:snapToGrid w:val="0"/>
                    <w:spacing w:before="0" w:beforeAutospacing="0" w:after="0" w:afterAutospacing="0"/>
                    <w:jc w:val="both"/>
                    <w:rPr>
                      <w:rFonts w:ascii="Times New Roman" w:hAnsi="Times New Roman"/>
                      <w:kern w:val="2"/>
                      <w:sz w:val="21"/>
                      <w:szCs w:val="21"/>
                    </w:rPr>
                  </w:pPr>
                  <w:r>
                    <w:rPr>
                      <w:rFonts w:hint="eastAsia" w:ascii="Times New Roman" w:hAnsi="Times New Roman"/>
                      <w:kern w:val="2"/>
                      <w:sz w:val="21"/>
                      <w:szCs w:val="21"/>
                    </w:rPr>
                    <w:t>《工业炉窑大气污染综合治理方案》（环大</w:t>
                  </w:r>
                </w:p>
                <w:p>
                  <w:pPr>
                    <w:pStyle w:val="26"/>
                    <w:widowControl w:val="0"/>
                    <w:adjustRightInd w:val="0"/>
                    <w:snapToGrid w:val="0"/>
                    <w:spacing w:before="0" w:beforeAutospacing="0" w:after="0" w:afterAutospacing="0"/>
                    <w:jc w:val="both"/>
                    <w:rPr>
                      <w:bCs/>
                      <w:spacing w:val="-6"/>
                      <w:kern w:val="2"/>
                      <w:sz w:val="21"/>
                      <w:szCs w:val="21"/>
                    </w:rPr>
                  </w:pPr>
                  <w:r>
                    <w:rPr>
                      <w:rFonts w:hint="eastAsia" w:ascii="Times New Roman" w:hAnsi="Times New Roman"/>
                      <w:kern w:val="2"/>
                      <w:sz w:val="21"/>
                      <w:szCs w:val="21"/>
                    </w:rPr>
                    <w:t>气〔2019〕56号）</w:t>
                  </w:r>
                </w:p>
              </w:tc>
              <w:tc>
                <w:tcPr>
                  <w:tcW w:w="2791"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kern w:val="2"/>
                      <w:sz w:val="21"/>
                      <w:szCs w:val="21"/>
                    </w:rPr>
                  </w:pPr>
                  <w:r>
                    <w:rPr>
                      <w:rFonts w:hint="eastAsia" w:ascii="Times New Roman" w:hAnsi="Times New Roman"/>
                      <w:kern w:val="2"/>
                      <w:sz w:val="21"/>
                      <w:szCs w:val="21"/>
                    </w:rPr>
                    <w:t>加大产业结构调整力度。严格建设项目环境准入。新建涉工业炉窑的建设项目，原则上要入园区，配套建设高效环保治理设施。重点区域严格控制涉工业炉窑建设项目，严禁新增钢铁、焦化、电解铝、铸造、水泥和平板玻璃等产能；严格执行钢铁、水泥、平板玻璃等行业产能置换实施办法。加快燃料清洁低碳化替代。对以煤、石油焦、渣油、重油等为燃料的工业炉窑，加快使用清洁低碳能源以及利用工厂余热、电厂热力等进行替代。</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bCs/>
                      <w:spacing w:val="-6"/>
                      <w:kern w:val="2"/>
                      <w:sz w:val="21"/>
                      <w:szCs w:val="21"/>
                    </w:rPr>
                  </w:pPr>
                  <w:r>
                    <w:rPr>
                      <w:rFonts w:hint="eastAsia" w:ascii="Times New Roman" w:hAnsi="Times New Roman"/>
                      <w:kern w:val="2"/>
                      <w:sz w:val="21"/>
                      <w:szCs w:val="21"/>
                      <w:lang w:eastAsia="zh-CN"/>
                    </w:rPr>
                    <w:t>项目</w:t>
                  </w:r>
                  <w:r>
                    <w:rPr>
                      <w:rFonts w:hint="eastAsia" w:ascii="Times New Roman" w:hAnsi="Times New Roman"/>
                      <w:kern w:val="2"/>
                      <w:sz w:val="21"/>
                      <w:szCs w:val="21"/>
                    </w:rPr>
                    <w:t>位于西安市泾河新城永乐镇磨子桥村二组西北段，用地为</w:t>
                  </w:r>
                  <w:r>
                    <w:rPr>
                      <w:rFonts w:hint="eastAsia" w:ascii="Times New Roman" w:hAnsi="Times New Roman"/>
                      <w:kern w:val="2"/>
                      <w:sz w:val="21"/>
                      <w:szCs w:val="21"/>
                      <w:lang w:eastAsia="zh-CN"/>
                    </w:rPr>
                    <w:t>工矿用地</w:t>
                  </w:r>
                  <w:r>
                    <w:rPr>
                      <w:rFonts w:hint="eastAsia" w:ascii="Times New Roman" w:hAnsi="Times New Roman"/>
                      <w:kern w:val="2"/>
                      <w:sz w:val="21"/>
                      <w:szCs w:val="21"/>
                    </w:rPr>
                    <w:t>，符合西咸新区-泾河新城分区规划，烘干炉采用天然气清洁能源，废气达标排放。</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2216" w:type="dxa"/>
                  <w:vMerge w:val="restart"/>
                  <w:tcBorders>
                    <w:tl2br w:val="nil"/>
                    <w:tr2bl w:val="nil"/>
                  </w:tcBorders>
                  <w:vAlign w:val="center"/>
                </w:tcPr>
                <w:p>
                  <w:pPr>
                    <w:pStyle w:val="26"/>
                    <w:widowControl w:val="0"/>
                    <w:adjustRightInd w:val="0"/>
                    <w:snapToGrid w:val="0"/>
                    <w:spacing w:before="0" w:beforeAutospacing="0" w:after="0" w:afterAutospacing="0"/>
                    <w:jc w:val="both"/>
                    <w:rPr>
                      <w:rFonts w:ascii="Times New Roman" w:hAnsi="Times New Roman"/>
                      <w:kern w:val="2"/>
                      <w:sz w:val="21"/>
                      <w:szCs w:val="21"/>
                    </w:rPr>
                  </w:pPr>
                  <w:r>
                    <w:rPr>
                      <w:rFonts w:hint="eastAsia" w:ascii="Times New Roman" w:hAnsi="Times New Roman"/>
                      <w:kern w:val="2"/>
                      <w:sz w:val="21"/>
                      <w:szCs w:val="21"/>
                    </w:rPr>
                    <w:t>《陕西事工业炉窑大气污染综合治理实施方案》的通知陕环函[2019]247号</w:t>
                  </w:r>
                </w:p>
              </w:tc>
              <w:tc>
                <w:tcPr>
                  <w:tcW w:w="2791"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rFonts w:ascii="Times New Roman" w:hAnsi="Times New Roman"/>
                      <w:kern w:val="2"/>
                      <w:sz w:val="21"/>
                      <w:szCs w:val="21"/>
                    </w:rPr>
                  </w:pPr>
                  <w:r>
                    <w:rPr>
                      <w:rFonts w:hint="eastAsia" w:ascii="Times New Roman" w:hAnsi="Times New Roman"/>
                      <w:kern w:val="2"/>
                      <w:sz w:val="21"/>
                      <w:szCs w:val="21"/>
                    </w:rPr>
                    <w:t>加大产业结构调整力度。严格建设项目环境准入。新建涉工业炉窑的建设项目，原则上要入园区，配套建设高效环保治理设施。关中地区严格控制涉工业炉窑建设项目，严禁新增钢铁、焦化、电解铝、铸造、水泥和平板玻璃等产能；严格执行钢铁、水泥、平板玻璃等行业产能置换实施办法。</w:t>
                  </w:r>
                </w:p>
              </w:tc>
              <w:tc>
                <w:tcPr>
                  <w:tcW w:w="2722" w:type="dxa"/>
                  <w:tcBorders>
                    <w:tl2br w:val="nil"/>
                    <w:tr2bl w:val="nil"/>
                  </w:tcBorders>
                  <w:shd w:val="clear" w:color="auto" w:fill="auto"/>
                  <w:vAlign w:val="center"/>
                </w:tcPr>
                <w:p>
                  <w:pPr>
                    <w:pStyle w:val="26"/>
                    <w:widowControl w:val="0"/>
                    <w:adjustRightInd w:val="0"/>
                    <w:snapToGrid w:val="0"/>
                    <w:spacing w:before="0" w:beforeAutospacing="0" w:after="0" w:afterAutospacing="0"/>
                    <w:jc w:val="both"/>
                    <w:rPr>
                      <w:rFonts w:ascii="Times New Roman" w:hAnsi="Times New Roman"/>
                      <w:kern w:val="2"/>
                      <w:sz w:val="21"/>
                      <w:szCs w:val="21"/>
                    </w:rPr>
                  </w:pPr>
                  <w:r>
                    <w:rPr>
                      <w:rFonts w:hint="eastAsia" w:ascii="Times New Roman" w:hAnsi="Times New Roman"/>
                      <w:kern w:val="2"/>
                      <w:sz w:val="21"/>
                      <w:szCs w:val="21"/>
                      <w:lang w:eastAsia="zh-CN"/>
                    </w:rPr>
                    <w:t>项目</w:t>
                  </w:r>
                  <w:r>
                    <w:rPr>
                      <w:rFonts w:hint="eastAsia" w:ascii="Times New Roman" w:hAnsi="Times New Roman"/>
                      <w:kern w:val="2"/>
                      <w:sz w:val="21"/>
                      <w:szCs w:val="21"/>
                    </w:rPr>
                    <w:t>位于西安市泾河新城永乐镇磨子桥村二组西北段，用地为</w:t>
                  </w:r>
                  <w:r>
                    <w:rPr>
                      <w:rFonts w:hint="eastAsia" w:ascii="Times New Roman" w:hAnsi="Times New Roman"/>
                      <w:kern w:val="2"/>
                      <w:sz w:val="21"/>
                      <w:szCs w:val="21"/>
                      <w:lang w:eastAsia="zh-CN"/>
                    </w:rPr>
                    <w:t>工矿用地</w:t>
                  </w:r>
                  <w:r>
                    <w:rPr>
                      <w:rFonts w:hint="eastAsia" w:ascii="Times New Roman" w:hAnsi="Times New Roman"/>
                      <w:kern w:val="2"/>
                      <w:sz w:val="21"/>
                      <w:szCs w:val="21"/>
                    </w:rPr>
                    <w:t>，符合西咸新区-泾河新城分区规划。</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38" w:hRule="atLeast"/>
                <w:jc w:val="center"/>
              </w:trPr>
              <w:tc>
                <w:tcPr>
                  <w:tcW w:w="2216" w:type="dxa"/>
                  <w:vMerge w:val="continue"/>
                  <w:tcBorders>
                    <w:tl2br w:val="nil"/>
                    <w:tr2bl w:val="nil"/>
                  </w:tcBorders>
                  <w:vAlign w:val="center"/>
                </w:tcPr>
                <w:p>
                  <w:pPr>
                    <w:adjustRightInd w:val="0"/>
                    <w:snapToGrid w:val="0"/>
                    <w:jc w:val="both"/>
                  </w:pPr>
                </w:p>
              </w:tc>
              <w:tc>
                <w:tcPr>
                  <w:tcW w:w="2791" w:type="dxa"/>
                  <w:tcBorders>
                    <w:tl2br w:val="nil"/>
                    <w:tr2bl w:val="nil"/>
                  </w:tcBorders>
                  <w:shd w:val="clear" w:color="auto" w:fill="auto"/>
                  <w:vAlign w:val="center"/>
                </w:tcPr>
                <w:p>
                  <w:pPr>
                    <w:adjustRightInd w:val="0"/>
                    <w:snapToGrid w:val="0"/>
                    <w:jc w:val="both"/>
                    <w:rPr>
                      <w:szCs w:val="21"/>
                    </w:rPr>
                  </w:pPr>
                  <w:r>
                    <w:rPr>
                      <w:rFonts w:hint="eastAsia"/>
                      <w:szCs w:val="21"/>
                    </w:rPr>
                    <w:t>加快燃料清洁低碳化替代。对以煤、石油焦、渣油、重油等为燃料的工业炉窑，加快使用清洁低碳能源以及利用工厂余热、电厂热力等进行替代。</w:t>
                  </w:r>
                </w:p>
              </w:tc>
              <w:tc>
                <w:tcPr>
                  <w:tcW w:w="2722" w:type="dxa"/>
                  <w:tcBorders>
                    <w:tl2br w:val="nil"/>
                    <w:tr2bl w:val="nil"/>
                  </w:tcBorders>
                  <w:shd w:val="clear" w:color="auto" w:fill="auto"/>
                  <w:vAlign w:val="center"/>
                </w:tcPr>
                <w:p>
                  <w:pPr>
                    <w:adjustRightInd w:val="0"/>
                    <w:snapToGrid w:val="0"/>
                    <w:jc w:val="both"/>
                    <w:rPr>
                      <w:szCs w:val="21"/>
                    </w:rPr>
                  </w:pPr>
                  <w:r>
                    <w:rPr>
                      <w:rFonts w:hint="eastAsia" w:cs="宋体"/>
                      <w:szCs w:val="21"/>
                    </w:rPr>
                    <w:t>烘干炉采用天然气清洁能源，废气达标排放。</w:t>
                  </w:r>
                </w:p>
              </w:tc>
              <w:tc>
                <w:tcPr>
                  <w:tcW w:w="450" w:type="dxa"/>
                  <w:tcBorders>
                    <w:tl2br w:val="nil"/>
                    <w:tr2bl w:val="nil"/>
                  </w:tcBorders>
                  <w:vAlign w:val="center"/>
                </w:tcPr>
                <w:p>
                  <w:pPr>
                    <w:adjustRightInd w:val="0"/>
                    <w:snapToGrid w:val="0"/>
                    <w:jc w:val="both"/>
                    <w:rPr>
                      <w:szCs w:val="21"/>
                    </w:rPr>
                  </w:pPr>
                  <w:r>
                    <w:rPr>
                      <w:rFonts w:hint="eastAsia"/>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adjustRightInd w:val="0"/>
                    <w:snapToGrid w:val="0"/>
                    <w:jc w:val="both"/>
                    <w:rPr>
                      <w:rFonts w:ascii="宋体" w:hAnsi="宋体" w:cs="宋体"/>
                      <w:bCs/>
                      <w:spacing w:val="-6"/>
                      <w:szCs w:val="21"/>
                    </w:rPr>
                  </w:pPr>
                  <w:r>
                    <w:rPr>
                      <w:rFonts w:hint="eastAsia"/>
                      <w:szCs w:val="21"/>
                    </w:rPr>
                    <w:t>《重点行业挥发性有机物综合治理方案》（环大气[2019]53号）</w:t>
                  </w:r>
                </w:p>
              </w:tc>
              <w:tc>
                <w:tcPr>
                  <w:tcW w:w="2791" w:type="dxa"/>
                  <w:tcBorders>
                    <w:tl2br w:val="nil"/>
                    <w:tr2bl w:val="nil"/>
                  </w:tcBorders>
                  <w:vAlign w:val="center"/>
                </w:tcPr>
                <w:p>
                  <w:pPr>
                    <w:adjustRightInd w:val="0"/>
                    <w:snapToGrid w:val="0"/>
                    <w:jc w:val="both"/>
                    <w:rPr>
                      <w:rFonts w:ascii="宋体" w:hAnsi="宋体" w:cs="宋体"/>
                      <w:bCs/>
                      <w:spacing w:val="-6"/>
                      <w:szCs w:val="21"/>
                    </w:rPr>
                  </w:pPr>
                  <w:r>
                    <w:rPr>
                      <w:szCs w:val="21"/>
                      <w:shd w:val="clear" w:color="auto" w:fill="FFFFFF"/>
                    </w:rPr>
                    <w:t>（二）全面加强无组织排放控制。重点对含VOCs物料（包括含VOCs原辅材料、含VOCs产品、含VOCs废料以及有机聚合物材料等）储存、转移和输送、设备与管线组件泄漏、敞开液面逸散以及工艺过程等五类排放源实施管控，通过采取设备与场所密闭、工艺改进、废气有效收集等措施，削减VOCs无组织排放。</w:t>
                  </w:r>
                </w:p>
              </w:tc>
              <w:tc>
                <w:tcPr>
                  <w:tcW w:w="2722" w:type="dxa"/>
                  <w:tcBorders>
                    <w:tl2br w:val="nil"/>
                    <w:tr2bl w:val="nil"/>
                  </w:tcBorders>
                  <w:shd w:val="clear" w:color="auto" w:fill="auto"/>
                  <w:vAlign w:val="center"/>
                </w:tcPr>
                <w:p>
                  <w:pPr>
                    <w:adjustRightInd w:val="0"/>
                    <w:snapToGrid w:val="0"/>
                    <w:jc w:val="both"/>
                    <w:rPr>
                      <w:rFonts w:ascii="宋体" w:hAnsi="宋体" w:cs="宋体"/>
                      <w:bCs/>
                      <w:spacing w:val="-6"/>
                      <w:szCs w:val="21"/>
                    </w:rPr>
                  </w:pPr>
                  <w:r>
                    <w:rPr>
                      <w:rFonts w:hint="eastAsia"/>
                      <w:szCs w:val="21"/>
                      <w:shd w:val="clear" w:color="auto" w:fill="FFFFFF"/>
                    </w:rPr>
                    <w:t>项目所用塑粉、木纹转印纸、高分子覆膜材料符合</w:t>
                  </w:r>
                  <w:r>
                    <w:rPr>
                      <w:rFonts w:hint="eastAsia" w:ascii="宋体" w:hAnsi="宋体" w:cs="宋体"/>
                      <w:bCs/>
                      <w:spacing w:val="-6"/>
                      <w:szCs w:val="21"/>
                    </w:rPr>
                    <w:t>《低挥发性有机化合物含量涂料产品技术要求》文件要求</w:t>
                  </w:r>
                  <w:r>
                    <w:rPr>
                      <w:rFonts w:hint="eastAsia"/>
                      <w:szCs w:val="21"/>
                      <w:shd w:val="clear" w:color="auto" w:fill="FFFFFF"/>
                    </w:rPr>
                    <w:t>，在存储环节均为密封状态，减少无组织排放环节，并加强每个环节的监管力度，定期维护保养。</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adjustRightInd w:val="0"/>
                    <w:snapToGrid w:val="0"/>
                    <w:jc w:val="both"/>
                    <w:rPr>
                      <w:szCs w:val="21"/>
                    </w:rPr>
                  </w:pPr>
                </w:p>
              </w:tc>
              <w:tc>
                <w:tcPr>
                  <w:tcW w:w="2791" w:type="dxa"/>
                  <w:tcBorders>
                    <w:tl2br w:val="nil"/>
                    <w:tr2bl w:val="nil"/>
                  </w:tcBorders>
                  <w:vAlign w:val="center"/>
                </w:tcPr>
                <w:p>
                  <w:pPr>
                    <w:adjustRightInd w:val="0"/>
                    <w:snapToGrid w:val="0"/>
                    <w:jc w:val="both"/>
                    <w:rPr>
                      <w:rFonts w:ascii="宋体" w:hAnsi="宋体" w:cs="宋体"/>
                      <w:bCs/>
                      <w:spacing w:val="-6"/>
                      <w:szCs w:val="21"/>
                    </w:rPr>
                  </w:pPr>
                  <w:r>
                    <w:rPr>
                      <w:rFonts w:hint="eastAsia"/>
                      <w:szCs w:val="21"/>
                      <w:shd w:val="clear" w:color="auto" w:fill="FFFFFF"/>
                    </w:rPr>
                    <w:t>（三）推进建设适宜高效的治污设施。鼓励企业采用多种技术的组合工艺，提高VOCs治理效率。低浓度、大风量废气，宜采用沸石转轮吸附、活性炭吸附、减风增浓等浓缩技术，提高VOCs浓度后净化处理；高浓度废气，优先进行溶剂回收，难以回收的，宜采用高温焚烧、催化燃烧等技术。</w:t>
                  </w:r>
                </w:p>
              </w:tc>
              <w:tc>
                <w:tcPr>
                  <w:tcW w:w="2722" w:type="dxa"/>
                  <w:tcBorders>
                    <w:tl2br w:val="nil"/>
                    <w:tr2bl w:val="nil"/>
                  </w:tcBorders>
                  <w:shd w:val="clear" w:color="auto" w:fill="auto"/>
                  <w:vAlign w:val="center"/>
                </w:tcPr>
                <w:p>
                  <w:pPr>
                    <w:pStyle w:val="69"/>
                    <w:widowControl w:val="0"/>
                    <w:adjustRightInd w:val="0"/>
                    <w:snapToGrid w:val="0"/>
                    <w:jc w:val="both"/>
                    <w:rPr>
                      <w:rFonts w:ascii="宋体" w:hAnsi="宋体" w:cs="宋体"/>
                      <w:bCs/>
                      <w:spacing w:val="-6"/>
                      <w:kern w:val="2"/>
                      <w:sz w:val="21"/>
                      <w:szCs w:val="21"/>
                    </w:rPr>
                  </w:pPr>
                  <w:r>
                    <w:rPr>
                      <w:rFonts w:hint="eastAsia" w:ascii="Times New Roman" w:hAnsi="Times New Roman"/>
                      <w:kern w:val="2"/>
                      <w:sz w:val="21"/>
                      <w:szCs w:val="24"/>
                    </w:rPr>
                    <w:t>固化工序</w:t>
                  </w:r>
                  <w:r>
                    <w:rPr>
                      <w:rFonts w:hint="eastAsia"/>
                      <w:kern w:val="2"/>
                      <w:sz w:val="21"/>
                      <w:szCs w:val="24"/>
                    </w:rPr>
                    <w:t>、木纹转印工序及覆膜工序产生的有机废气经5个</w:t>
                  </w:r>
                  <w:r>
                    <w:rPr>
                      <w:rFonts w:hint="eastAsia" w:ascii="Times New Roman" w:hAnsi="Times New Roman"/>
                      <w:kern w:val="2"/>
                      <w:sz w:val="21"/>
                      <w:szCs w:val="24"/>
                    </w:rPr>
                    <w:t>集气罩+</w:t>
                  </w:r>
                  <w:r>
                    <w:rPr>
                      <w:rFonts w:hint="eastAsia"/>
                      <w:kern w:val="2"/>
                      <w:sz w:val="21"/>
                      <w:szCs w:val="24"/>
                    </w:rPr>
                    <w:t>喷淋塔+过滤棉+二级活性炭</w:t>
                  </w:r>
                  <w:r>
                    <w:rPr>
                      <w:rFonts w:hint="eastAsia" w:ascii="Times New Roman" w:hAnsi="Times New Roman"/>
                      <w:kern w:val="2"/>
                      <w:sz w:val="21"/>
                      <w:szCs w:val="24"/>
                    </w:rPr>
                    <w:t>对非甲烷总烃及天然气燃烧废气进行处理，</w:t>
                  </w:r>
                  <w:r>
                    <w:rPr>
                      <w:rFonts w:hint="eastAsia"/>
                      <w:kern w:val="2"/>
                      <w:sz w:val="21"/>
                      <w:szCs w:val="24"/>
                    </w:rPr>
                    <w:t>处理后废气</w:t>
                  </w:r>
                  <w:r>
                    <w:rPr>
                      <w:rFonts w:hint="eastAsia" w:ascii="Times New Roman" w:hAnsi="Times New Roman"/>
                      <w:kern w:val="2"/>
                      <w:sz w:val="21"/>
                      <w:szCs w:val="24"/>
                    </w:rPr>
                    <w:t>通过15m排气筒排放</w:t>
                  </w:r>
                  <w:r>
                    <w:rPr>
                      <w:rFonts w:hint="eastAsia"/>
                      <w:sz w:val="21"/>
                      <w:szCs w:val="21"/>
                    </w:rPr>
                    <w:t>。</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《挥发性有机物（VOCs）污染防治技术政策》</w:t>
                  </w:r>
                </w:p>
              </w:tc>
              <w:tc>
                <w:tcPr>
                  <w:tcW w:w="2791"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对于含低浓度VOCs的废气，有回收价值时可采用吸附技术、吸收技术对有机溶剂回收后达标排放；不宜回收时，可采用吸附浓缩燃烧技术、生物技术、吸收技术、等离子体技术、紫外光高级氧化技术等净化后达标排放。</w:t>
                  </w:r>
                </w:p>
              </w:tc>
              <w:tc>
                <w:tcPr>
                  <w:tcW w:w="2722" w:type="dxa"/>
                  <w:tcBorders>
                    <w:tl2br w:val="nil"/>
                    <w:tr2bl w:val="nil"/>
                  </w:tcBorders>
                  <w:shd w:val="clear" w:color="auto" w:fill="auto"/>
                  <w:vAlign w:val="center"/>
                </w:tcPr>
                <w:p>
                  <w:pPr>
                    <w:adjustRightInd w:val="0"/>
                    <w:snapToGrid w:val="0"/>
                    <w:jc w:val="both"/>
                    <w:rPr>
                      <w:rFonts w:ascii="宋体" w:hAnsi="宋体" w:cs="宋体"/>
                      <w:bCs/>
                      <w:spacing w:val="-6"/>
                      <w:szCs w:val="21"/>
                    </w:rPr>
                  </w:pPr>
                  <w:r>
                    <w:rPr>
                      <w:rFonts w:hint="eastAsia"/>
                      <w:szCs w:val="21"/>
                      <w:shd w:val="clear" w:color="auto" w:fill="FFFFFF"/>
                    </w:rPr>
                    <w:t>项目所用塑粉、木纹转印纸、高分子覆膜材料符合</w:t>
                  </w:r>
                  <w:r>
                    <w:rPr>
                      <w:rFonts w:hint="eastAsia" w:ascii="宋体" w:hAnsi="宋体" w:cs="宋体"/>
                      <w:bCs/>
                      <w:spacing w:val="-6"/>
                      <w:szCs w:val="21"/>
                    </w:rPr>
                    <w:t>《低挥发性有机化合物含量涂料产品技术要求》文件要求</w:t>
                  </w:r>
                  <w:r>
                    <w:rPr>
                      <w:rFonts w:hint="eastAsia"/>
                      <w:szCs w:val="21"/>
                      <w:shd w:val="clear" w:color="auto" w:fill="FFFFFF"/>
                    </w:rPr>
                    <w:t>，其中喷塑及木纹转印工序均在封闭环境下进行；</w:t>
                  </w:r>
                  <w:r>
                    <w:rPr>
                      <w:rFonts w:hint="eastAsia"/>
                    </w:rPr>
                    <w:t>固化工序、木纹转印工序及覆膜工序产生的有机废气经5个集气罩+喷淋塔+过滤棉+二级活性炭对非甲烷总烃及天然气燃烧废气进行处理，处理后废气通过15m排气筒排放</w:t>
                  </w:r>
                  <w:r>
                    <w:rPr>
                      <w:rFonts w:hint="eastAsia"/>
                      <w:szCs w:val="21"/>
                    </w:rPr>
                    <w:t>。</w:t>
                  </w:r>
                </w:p>
              </w:tc>
              <w:tc>
                <w:tcPr>
                  <w:tcW w:w="450" w:type="dxa"/>
                  <w:tcBorders>
                    <w:tl2br w:val="nil"/>
                    <w:tr2bl w:val="nil"/>
                  </w:tcBorders>
                  <w:vAlign w:val="center"/>
                </w:tcPr>
                <w:p>
                  <w:pPr>
                    <w:adjustRightInd w:val="0"/>
                    <w:snapToGrid w:val="0"/>
                    <w:jc w:val="both"/>
                    <w:rPr>
                      <w:rFonts w:ascii="宋体" w:hAnsi="宋体" w:cs="宋体"/>
                      <w:bCs/>
                      <w:spacing w:val="-6"/>
                      <w:szCs w:val="21"/>
                    </w:rPr>
                  </w:pPr>
                  <w:r>
                    <w:rPr>
                      <w:rFonts w:hint="eastAsia" w:ascii="宋体" w:hAnsi="宋体" w:cs="宋体"/>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pStyle w:val="69"/>
                    <w:adjustRightInd w:val="0"/>
                    <w:snapToGrid w:val="0"/>
                    <w:jc w:val="both"/>
                    <w:rPr>
                      <w:rFonts w:ascii="宋体" w:hAnsi="宋体" w:cs="宋体"/>
                      <w:bCs/>
                      <w:spacing w:val="-6"/>
                      <w:kern w:val="2"/>
                      <w:sz w:val="21"/>
                      <w:szCs w:val="21"/>
                    </w:rPr>
                  </w:pPr>
                  <w:r>
                    <w:rPr>
                      <w:rFonts w:hint="eastAsia"/>
                      <w:color w:val="000000" w:themeColor="text1"/>
                      <w:sz w:val="21"/>
                      <w:szCs w:val="21"/>
                      <w14:textFill>
                        <w14:solidFill>
                          <w14:schemeClr w14:val="tx1"/>
                        </w14:solidFill>
                      </w14:textFill>
                    </w:rPr>
                    <w:t>《挥发性有机物无组织排放控制标准》（GB37822-2019）</w:t>
                  </w:r>
                </w:p>
              </w:tc>
              <w:tc>
                <w:tcPr>
                  <w:tcW w:w="2791"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有机聚合物产品用于制品生产的过程，在混合/混炼、塑炼/塑化/融化、加工成型（挤出、注塑、压制、压延、发泡、纺丝等）作业中应采用密闭设备或在密闭空间内操作，废气应排至VOCs废气收集处理系统；无法密闭的，应采取局部气体收集措施，废气应排至VOCs废气收集处理系统。</w:t>
                  </w:r>
                </w:p>
              </w:tc>
              <w:tc>
                <w:tcPr>
                  <w:tcW w:w="2722" w:type="dxa"/>
                  <w:tcBorders>
                    <w:tl2br w:val="nil"/>
                    <w:tr2bl w:val="nil"/>
                  </w:tcBorders>
                  <w:shd w:val="clear" w:color="auto" w:fill="auto"/>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ascii="Times New Roman" w:hAnsi="Times New Roman"/>
                      <w:kern w:val="2"/>
                      <w:sz w:val="21"/>
                      <w:szCs w:val="24"/>
                    </w:rPr>
                    <w:t>固化工序</w:t>
                  </w:r>
                  <w:r>
                    <w:rPr>
                      <w:rFonts w:hint="eastAsia"/>
                      <w:kern w:val="2"/>
                      <w:sz w:val="21"/>
                      <w:szCs w:val="24"/>
                    </w:rPr>
                    <w:t>、木纹转印工序及覆膜工序产生的有机废气经5个</w:t>
                  </w:r>
                  <w:r>
                    <w:rPr>
                      <w:rFonts w:hint="eastAsia" w:ascii="Times New Roman" w:hAnsi="Times New Roman"/>
                      <w:kern w:val="2"/>
                      <w:sz w:val="21"/>
                      <w:szCs w:val="24"/>
                    </w:rPr>
                    <w:t>集气罩+</w:t>
                  </w:r>
                  <w:r>
                    <w:rPr>
                      <w:rFonts w:hint="eastAsia"/>
                      <w:kern w:val="2"/>
                      <w:sz w:val="21"/>
                      <w:szCs w:val="24"/>
                    </w:rPr>
                    <w:t>喷淋塔+过滤棉+二级活性炭</w:t>
                  </w:r>
                  <w:r>
                    <w:rPr>
                      <w:rFonts w:hint="eastAsia" w:ascii="Times New Roman" w:hAnsi="Times New Roman"/>
                      <w:kern w:val="2"/>
                      <w:sz w:val="21"/>
                      <w:szCs w:val="24"/>
                    </w:rPr>
                    <w:t>对非甲烷总烃及天然气燃烧废气进行处理，</w:t>
                  </w:r>
                  <w:r>
                    <w:rPr>
                      <w:rFonts w:hint="eastAsia"/>
                      <w:kern w:val="2"/>
                      <w:sz w:val="21"/>
                      <w:szCs w:val="24"/>
                    </w:rPr>
                    <w:t>处理后废气</w:t>
                  </w:r>
                  <w:r>
                    <w:rPr>
                      <w:rFonts w:hint="eastAsia" w:ascii="Times New Roman" w:hAnsi="Times New Roman"/>
                      <w:kern w:val="2"/>
                      <w:sz w:val="21"/>
                      <w:szCs w:val="24"/>
                    </w:rPr>
                    <w:t>通过15m排气筒排放</w:t>
                  </w:r>
                  <w:r>
                    <w:rPr>
                      <w:rFonts w:hint="eastAsia"/>
                      <w:sz w:val="21"/>
                      <w:szCs w:val="21"/>
                    </w:rPr>
                    <w:t>；</w:t>
                  </w:r>
                  <w:r>
                    <w:rPr>
                      <w:rFonts w:hint="eastAsia"/>
                      <w:color w:val="000000" w:themeColor="text1"/>
                      <w:sz w:val="21"/>
                      <w:szCs w:val="21"/>
                      <w14:textFill>
                        <w14:solidFill>
                          <w14:schemeClr w14:val="tx1"/>
                        </w14:solidFill>
                      </w14:textFill>
                    </w:rPr>
                    <w:t>属于局部气体收集，末端设有二级活性炭吸附装置。</w:t>
                  </w:r>
                </w:p>
              </w:tc>
              <w:tc>
                <w:tcPr>
                  <w:tcW w:w="450"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pStyle w:val="69"/>
                    <w:adjustRightInd w:val="0"/>
                    <w:snapToGrid w:val="0"/>
                    <w:jc w:val="both"/>
                    <w:rPr>
                      <w:rFonts w:ascii="宋体" w:hAnsi="宋体" w:cs="宋体"/>
                      <w:bCs/>
                      <w:spacing w:val="-6"/>
                      <w:kern w:val="2"/>
                      <w:sz w:val="21"/>
                      <w:szCs w:val="21"/>
                    </w:rPr>
                  </w:pPr>
                </w:p>
              </w:tc>
              <w:tc>
                <w:tcPr>
                  <w:tcW w:w="2791"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VOCs排放的排气筒高度不低于15m（因安全考虑或有特殊工艺要求的除外），具体高度以及与周围建筑物的相对高度关系应根据环境影响评价文件确定。</w:t>
                  </w:r>
                </w:p>
              </w:tc>
              <w:tc>
                <w:tcPr>
                  <w:tcW w:w="2722" w:type="dxa"/>
                  <w:tcBorders>
                    <w:tl2br w:val="nil"/>
                    <w:tr2bl w:val="nil"/>
                  </w:tcBorders>
                  <w:shd w:val="clear" w:color="auto" w:fill="auto"/>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lang w:eastAsia="zh-CN"/>
                      <w14:textFill>
                        <w14:solidFill>
                          <w14:schemeClr w14:val="tx1"/>
                        </w14:solidFill>
                      </w14:textFill>
                    </w:rPr>
                    <w:t>项目</w:t>
                  </w:r>
                  <w:r>
                    <w:rPr>
                      <w:rFonts w:hint="eastAsia"/>
                      <w:color w:val="000000" w:themeColor="text1"/>
                      <w:sz w:val="21"/>
                      <w:szCs w:val="21"/>
                      <w14:textFill>
                        <w14:solidFill>
                          <w14:schemeClr w14:val="tx1"/>
                        </w14:solidFill>
                      </w14:textFill>
                    </w:rPr>
                    <w:t>周边2</w:t>
                  </w:r>
                  <w:r>
                    <w:rPr>
                      <w:color w:val="000000" w:themeColor="text1"/>
                      <w:sz w:val="21"/>
                      <w:szCs w:val="21"/>
                      <w14:textFill>
                        <w14:solidFill>
                          <w14:schemeClr w14:val="tx1"/>
                        </w14:solidFill>
                      </w14:textFill>
                    </w:rPr>
                    <w:t>00m</w:t>
                  </w:r>
                  <w:r>
                    <w:rPr>
                      <w:rFonts w:hint="eastAsia"/>
                      <w:color w:val="000000" w:themeColor="text1"/>
                      <w:sz w:val="21"/>
                      <w:szCs w:val="21"/>
                      <w14:textFill>
                        <w14:solidFill>
                          <w14:schemeClr w14:val="tx1"/>
                        </w14:solidFill>
                      </w14:textFill>
                    </w:rPr>
                    <w:t>范围内有9</w:t>
                  </w:r>
                  <w:r>
                    <w:rPr>
                      <w:color w:val="000000" w:themeColor="text1"/>
                      <w:sz w:val="21"/>
                      <w:szCs w:val="21"/>
                      <w14:textFill>
                        <w14:solidFill>
                          <w14:schemeClr w14:val="tx1"/>
                        </w14:solidFill>
                      </w14:textFill>
                    </w:rPr>
                    <w:t>m</w:t>
                  </w:r>
                  <w:r>
                    <w:rPr>
                      <w:rFonts w:hint="eastAsia"/>
                      <w:color w:val="000000" w:themeColor="text1"/>
                      <w:sz w:val="21"/>
                      <w:szCs w:val="21"/>
                      <w14:textFill>
                        <w14:solidFill>
                          <w14:schemeClr w14:val="tx1"/>
                        </w14:solidFill>
                      </w14:textFill>
                    </w:rPr>
                    <w:t>建筑，因此排放VOCs排气筒高度不低于15</w:t>
                  </w:r>
                  <w:r>
                    <w:rPr>
                      <w:color w:val="000000" w:themeColor="text1"/>
                      <w:sz w:val="21"/>
                      <w:szCs w:val="21"/>
                      <w14:textFill>
                        <w14:solidFill>
                          <w14:schemeClr w14:val="tx1"/>
                        </w14:solidFill>
                      </w14:textFill>
                    </w:rPr>
                    <w:t>m</w:t>
                  </w:r>
                  <w:r>
                    <w:rPr>
                      <w:rFonts w:hint="eastAsia"/>
                      <w:color w:val="000000" w:themeColor="text1"/>
                      <w:sz w:val="21"/>
                      <w:szCs w:val="21"/>
                      <w14:textFill>
                        <w14:solidFill>
                          <w14:schemeClr w14:val="tx1"/>
                        </w14:solidFill>
                      </w14:textFill>
                    </w:rPr>
                    <w:t>。</w:t>
                  </w:r>
                </w:p>
              </w:tc>
              <w:tc>
                <w:tcPr>
                  <w:tcW w:w="450"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pStyle w:val="69"/>
                    <w:adjustRightInd w:val="0"/>
                    <w:snapToGrid w:val="0"/>
                    <w:jc w:val="both"/>
                    <w:rPr>
                      <w:rFonts w:ascii="宋体" w:hAnsi="宋体" w:cs="宋体"/>
                      <w:bCs/>
                      <w:spacing w:val="-6"/>
                      <w:kern w:val="2"/>
                      <w:sz w:val="21"/>
                      <w:szCs w:val="21"/>
                    </w:rPr>
                  </w:pPr>
                </w:p>
              </w:tc>
              <w:tc>
                <w:tcPr>
                  <w:tcW w:w="2791"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收集的废气中NMHC的初始排放速率≥3kg/h时，应配置VOCs处理设施，处理效率不应低于80%；对于重点地区，收集的废气中NMHC初始排放速率≥2kg/h时，应配置VOCs处理设施，处理效率不应低于80%</w:t>
                  </w:r>
                </w:p>
              </w:tc>
              <w:tc>
                <w:tcPr>
                  <w:tcW w:w="2722" w:type="dxa"/>
                  <w:tcBorders>
                    <w:tl2br w:val="nil"/>
                    <w:tr2bl w:val="nil"/>
                  </w:tcBorders>
                  <w:shd w:val="clear" w:color="auto" w:fill="auto"/>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项目产生的有机废气收集后送入活性炭吸附装置，处理达标后排放。有机废气收集效率为90%，后文计算可知，</w:t>
                  </w:r>
                  <w:r>
                    <w:rPr>
                      <w:rFonts w:hint="eastAsia"/>
                      <w:color w:val="000000" w:themeColor="text1"/>
                      <w:sz w:val="21"/>
                      <w:szCs w:val="21"/>
                      <w:lang w:eastAsia="zh-CN"/>
                      <w14:textFill>
                        <w14:solidFill>
                          <w14:schemeClr w14:val="tx1"/>
                        </w14:solidFill>
                      </w14:textFill>
                    </w:rPr>
                    <w:t>项目</w:t>
                  </w:r>
                  <w:r>
                    <w:rPr>
                      <w:rFonts w:hint="eastAsia"/>
                      <w:color w:val="000000" w:themeColor="text1"/>
                      <w:sz w:val="21"/>
                      <w:szCs w:val="21"/>
                      <w14:textFill>
                        <w14:solidFill>
                          <w14:schemeClr w14:val="tx1"/>
                        </w14:solidFill>
                      </w14:textFill>
                    </w:rPr>
                    <w:t>初始排放速率&lt;</w:t>
                  </w:r>
                  <w:r>
                    <w:rPr>
                      <w:color w:val="000000" w:themeColor="text1"/>
                      <w:sz w:val="21"/>
                      <w:szCs w:val="21"/>
                      <w14:textFill>
                        <w14:solidFill>
                          <w14:schemeClr w14:val="tx1"/>
                        </w14:solidFill>
                      </w14:textFill>
                    </w:rPr>
                    <w:t>2kg</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h</w:t>
                  </w:r>
                  <w:r>
                    <w:rPr>
                      <w:rFonts w:hint="eastAsia"/>
                      <w:color w:val="000000" w:themeColor="text1"/>
                      <w:sz w:val="21"/>
                      <w:szCs w:val="21"/>
                      <w14:textFill>
                        <w14:solidFill>
                          <w14:schemeClr w14:val="tx1"/>
                        </w14:solidFill>
                      </w14:textFill>
                    </w:rPr>
                    <w:t>，故对处理效率不要求。</w:t>
                  </w:r>
                </w:p>
              </w:tc>
              <w:tc>
                <w:tcPr>
                  <w:tcW w:w="450"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restart"/>
                  <w:tcBorders>
                    <w:tl2br w:val="nil"/>
                    <w:tr2bl w:val="nil"/>
                  </w:tcBorders>
                  <w:vAlign w:val="center"/>
                </w:tcPr>
                <w:p>
                  <w:pPr>
                    <w:pStyle w:val="69"/>
                    <w:adjustRightInd w:val="0"/>
                    <w:snapToGrid w:val="0"/>
                    <w:jc w:val="both"/>
                    <w:rPr>
                      <w:rFonts w:ascii="宋体" w:hAnsi="宋体" w:cs="宋体"/>
                      <w:bCs/>
                      <w:spacing w:val="-6"/>
                      <w:kern w:val="2"/>
                      <w:sz w:val="21"/>
                      <w:szCs w:val="21"/>
                    </w:rPr>
                  </w:pPr>
                  <w:r>
                    <w:rPr>
                      <w:rFonts w:hint="eastAsia"/>
                      <w:color w:val="000000" w:themeColor="text1"/>
                      <w:sz w:val="21"/>
                      <w:szCs w:val="21"/>
                      <w14:textFill>
                        <w14:solidFill>
                          <w14:schemeClr w14:val="tx1"/>
                        </w14:solidFill>
                      </w14:textFill>
                    </w:rPr>
                    <w:t>《关于加快解决当前挥发性有机物治理突出问题的通知》（环大气〔2021〕65号）</w:t>
                  </w:r>
                </w:p>
              </w:tc>
              <w:tc>
                <w:tcPr>
                  <w:tcW w:w="2791"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废气收集设施：产生VOCs的生产环节优先采用密闭设备、在密闭空间中操作或采用全密闭集气罩收集方式，并保持负压运行。对采用局部收集方式的企业，距废气收集系统排风罩开口最远处的VOCs无组织排放位置控制风速不低于0.3m/s；推广以生产线或设备为单位设施隔间，收集风量应确保隔间保持负压。废气收集系统的输送管道应密闭，无破损。</w:t>
                  </w:r>
                </w:p>
              </w:tc>
              <w:tc>
                <w:tcPr>
                  <w:tcW w:w="2722" w:type="dxa"/>
                  <w:tcBorders>
                    <w:tl2br w:val="nil"/>
                    <w:tr2bl w:val="nil"/>
                  </w:tcBorders>
                  <w:shd w:val="clear" w:color="auto" w:fill="auto"/>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项目拟计划采用的集气罩距废气收集系统排风罩开口最远处的VOCs无组织排放位置控制风速不低于0.3m/s；废气收集系统采用的输送管道密闭，无破损。</w:t>
                  </w:r>
                </w:p>
              </w:tc>
              <w:tc>
                <w:tcPr>
                  <w:tcW w:w="450"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2216" w:type="dxa"/>
                  <w:vMerge w:val="continue"/>
                  <w:tcBorders>
                    <w:tl2br w:val="nil"/>
                    <w:tr2bl w:val="nil"/>
                  </w:tcBorders>
                  <w:vAlign w:val="center"/>
                </w:tcPr>
                <w:p>
                  <w:pPr>
                    <w:pStyle w:val="69"/>
                    <w:adjustRightInd w:val="0"/>
                    <w:snapToGrid w:val="0"/>
                    <w:jc w:val="both"/>
                    <w:rPr>
                      <w:rFonts w:ascii="宋体" w:hAnsi="宋体" w:cs="宋体"/>
                      <w:bCs/>
                      <w:spacing w:val="-6"/>
                      <w:kern w:val="2"/>
                      <w:sz w:val="21"/>
                      <w:szCs w:val="21"/>
                    </w:rPr>
                  </w:pPr>
                </w:p>
              </w:tc>
              <w:tc>
                <w:tcPr>
                  <w:tcW w:w="2791"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七、有机废气治理设施治理要求：新建治理设施或对现有治理设施改造，应依据排放废气特征、VOCs组份及浓度、生产工况等，合理选择治理技术；对治理难度大、单一治理工艺难以稳定达标的，宜采用多种技术的组合工艺；除恶臭异味治理外，一般不使用低温等离子、光催化、光氧化等技术。采用活性炭吸附工艺的企业，应根据废气排放特征，按照相关工程技术规范设计净化工艺和设备，使废气在吸附装置中有足够的停留时间，选择符合相关产品质量标准的活性炭，并足够充填、及时更换。采用颗粒活性炭作为吸附剂时，其碘值不宜低于800mg/g；采用蜂窝活性炭作为吸附剂时，其碘值不宜低于650mg/g；采用活性炭纤维作为吸附剂时，其表面积不低于1100㎡/g(BET法)。一次活性炭吸附工艺宜采用颗粒活性炭作为吸附剂。活性炭、活性炭纤维产品销售时应提供产品质量证明材料。</w:t>
                  </w:r>
                </w:p>
              </w:tc>
              <w:tc>
                <w:tcPr>
                  <w:tcW w:w="2722" w:type="dxa"/>
                  <w:tcBorders>
                    <w:tl2br w:val="nil"/>
                    <w:tr2bl w:val="nil"/>
                  </w:tcBorders>
                  <w:shd w:val="clear" w:color="auto" w:fill="auto"/>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建议</w:t>
                  </w:r>
                  <w:r>
                    <w:rPr>
                      <w:rFonts w:hint="eastAsia"/>
                      <w:color w:val="000000" w:themeColor="text1"/>
                      <w:sz w:val="21"/>
                      <w:szCs w:val="21"/>
                      <w:lang w:eastAsia="zh-CN"/>
                      <w14:textFill>
                        <w14:solidFill>
                          <w14:schemeClr w14:val="tx1"/>
                        </w14:solidFill>
                      </w14:textFill>
                    </w:rPr>
                    <w:t>项目</w:t>
                  </w:r>
                  <w:r>
                    <w:rPr>
                      <w:rFonts w:hint="eastAsia"/>
                      <w:color w:val="000000" w:themeColor="text1"/>
                      <w:sz w:val="21"/>
                      <w:szCs w:val="21"/>
                      <w14:textFill>
                        <w14:solidFill>
                          <w14:schemeClr w14:val="tx1"/>
                        </w14:solidFill>
                      </w14:textFill>
                    </w:rPr>
                    <w:t>有机废气治理采用二级活性炭吸附装置进行治理，</w:t>
                  </w:r>
                  <w:r>
                    <w:rPr>
                      <w:rFonts w:hint="eastAsia"/>
                      <w:color w:val="000000" w:themeColor="text1"/>
                      <w:sz w:val="21"/>
                      <w:szCs w:val="21"/>
                      <w:lang w:eastAsia="zh-CN"/>
                      <w14:textFill>
                        <w14:solidFill>
                          <w14:schemeClr w14:val="tx1"/>
                        </w14:solidFill>
                      </w14:textFill>
                    </w:rPr>
                    <w:t>项目</w:t>
                  </w:r>
                  <w:r>
                    <w:rPr>
                      <w:rFonts w:hint="eastAsia"/>
                      <w:color w:val="000000" w:themeColor="text1"/>
                      <w:sz w:val="21"/>
                      <w:szCs w:val="21"/>
                      <w14:textFill>
                        <w14:solidFill>
                          <w14:schemeClr w14:val="tx1"/>
                        </w14:solidFill>
                      </w14:textFill>
                    </w:rPr>
                    <w:t>采用颗粒活性炭，其碘值不宜低于</w:t>
                  </w:r>
                  <w:r>
                    <w:rPr>
                      <w:color w:val="000000" w:themeColor="text1"/>
                      <w:sz w:val="21"/>
                      <w:szCs w:val="21"/>
                      <w14:textFill>
                        <w14:solidFill>
                          <w14:schemeClr w14:val="tx1"/>
                        </w14:solidFill>
                      </w14:textFill>
                    </w:rPr>
                    <w:t>800</w:t>
                  </w:r>
                  <w:r>
                    <w:rPr>
                      <w:rFonts w:hint="eastAsia"/>
                      <w:color w:val="000000" w:themeColor="text1"/>
                      <w:sz w:val="21"/>
                      <w:szCs w:val="21"/>
                      <w14:textFill>
                        <w14:solidFill>
                          <w14:schemeClr w14:val="tx1"/>
                        </w14:solidFill>
                      </w14:textFill>
                    </w:rPr>
                    <w:t>mg/g。如采用蜂窝活性炭作为吸附剂时，其碘值不宜低于650mg/g。</w:t>
                  </w:r>
                </w:p>
              </w:tc>
              <w:tc>
                <w:tcPr>
                  <w:tcW w:w="450" w:type="dxa"/>
                  <w:tcBorders>
                    <w:tl2br w:val="nil"/>
                    <w:tr2bl w:val="nil"/>
                  </w:tcBorders>
                  <w:vAlign w:val="center"/>
                </w:tcPr>
                <w:p>
                  <w:pPr>
                    <w:pStyle w:val="69"/>
                    <w:adjustRightInd w:val="0"/>
                    <w:snapToGrid w:val="0"/>
                    <w:jc w:val="both"/>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符合</w:t>
                  </w:r>
                </w:p>
              </w:tc>
            </w:tr>
          </w:tbl>
          <w:p>
            <w:pPr>
              <w:tabs>
                <w:tab w:val="left" w:pos="3150"/>
                <w:tab w:val="left" w:pos="4305"/>
              </w:tabs>
              <w:adjustRightInd w:val="0"/>
              <w:snapToGrid w:val="0"/>
              <w:spacing w:line="480" w:lineRule="exact"/>
              <w:ind w:firstLine="480" w:firstLineChars="200"/>
              <w:jc w:val="left"/>
              <w:rPr>
                <w:rFonts w:hint="eastAsia"/>
                <w:bCs/>
                <w:sz w:val="24"/>
                <w:highlight w:val="none"/>
              </w:rPr>
            </w:pPr>
            <w:r>
              <w:rPr>
                <w:rFonts w:hint="eastAsia"/>
                <w:bCs/>
                <w:sz w:val="24"/>
                <w:highlight w:val="none"/>
                <w:lang w:val="en-US" w:eastAsia="zh-CN"/>
              </w:rPr>
              <w:t>根据生态环境部办公厅《关于印发〈重污染天气重点行业应急减排措施制定技术指南（</w:t>
            </w:r>
            <w:r>
              <w:rPr>
                <w:rFonts w:hint="default"/>
                <w:bCs/>
                <w:sz w:val="24"/>
                <w:highlight w:val="none"/>
                <w:lang w:val="en-US" w:eastAsia="zh-CN"/>
              </w:rPr>
              <w:t>2020</w:t>
            </w:r>
            <w:r>
              <w:rPr>
                <w:rFonts w:hint="eastAsia"/>
                <w:bCs/>
                <w:sz w:val="24"/>
                <w:highlight w:val="none"/>
                <w:lang w:val="en-US" w:eastAsia="zh-CN"/>
              </w:rPr>
              <w:t>年修订版）〉的函》（环办大气函〔</w:t>
            </w:r>
            <w:r>
              <w:rPr>
                <w:rFonts w:hint="default"/>
                <w:bCs/>
                <w:sz w:val="24"/>
                <w:highlight w:val="none"/>
                <w:lang w:val="en-US" w:eastAsia="zh-CN"/>
              </w:rPr>
              <w:t>2020</w:t>
            </w:r>
            <w:r>
              <w:rPr>
                <w:rFonts w:hint="eastAsia"/>
                <w:bCs/>
                <w:sz w:val="24"/>
                <w:highlight w:val="none"/>
                <w:lang w:val="en-US" w:eastAsia="zh-CN"/>
              </w:rPr>
              <w:t>〕</w:t>
            </w:r>
            <w:r>
              <w:rPr>
                <w:rFonts w:hint="default"/>
                <w:bCs/>
                <w:sz w:val="24"/>
                <w:highlight w:val="none"/>
                <w:lang w:val="en-US" w:eastAsia="zh-CN"/>
              </w:rPr>
              <w:t>340</w:t>
            </w:r>
            <w:r>
              <w:rPr>
                <w:rFonts w:hint="eastAsia"/>
                <w:bCs/>
                <w:sz w:val="24"/>
                <w:highlight w:val="none"/>
                <w:lang w:val="en-US" w:eastAsia="zh-CN"/>
              </w:rPr>
              <w:t>号）的要求和《咸阳市生态环境局关于开展重污染天气重点行业绩效分级工作的通知》（咸环函〔</w:t>
            </w:r>
            <w:r>
              <w:rPr>
                <w:rFonts w:hint="default"/>
                <w:bCs/>
                <w:sz w:val="24"/>
                <w:highlight w:val="none"/>
                <w:lang w:val="en-US" w:eastAsia="zh-CN"/>
              </w:rPr>
              <w:t>2020</w:t>
            </w:r>
            <w:r>
              <w:rPr>
                <w:rFonts w:hint="eastAsia"/>
                <w:bCs/>
                <w:sz w:val="24"/>
                <w:highlight w:val="none"/>
                <w:lang w:val="en-US" w:eastAsia="zh-CN"/>
              </w:rPr>
              <w:t>〕</w:t>
            </w:r>
            <w:r>
              <w:rPr>
                <w:rFonts w:hint="default"/>
                <w:bCs/>
                <w:sz w:val="24"/>
                <w:highlight w:val="none"/>
                <w:lang w:val="en-US" w:eastAsia="zh-CN"/>
              </w:rPr>
              <w:t>278</w:t>
            </w:r>
            <w:r>
              <w:rPr>
                <w:rFonts w:hint="eastAsia"/>
                <w:bCs/>
                <w:sz w:val="24"/>
                <w:highlight w:val="none"/>
                <w:lang w:val="en-US" w:eastAsia="zh-CN"/>
              </w:rPr>
              <w:t>号）的要求，A级标准要求（工业涂装（金属制品业）绩效分级指标）与本项目符合性分析见下表：</w:t>
            </w:r>
          </w:p>
          <w:p>
            <w:pPr>
              <w:widowControl/>
              <w:jc w:val="center"/>
              <w:rPr>
                <w:rFonts w:hint="eastAsia" w:ascii="宋体" w:hAnsi="宋体" w:cs="宋体"/>
                <w:b/>
                <w:bCs/>
                <w:color w:val="000000"/>
                <w:kern w:val="0"/>
                <w:sz w:val="20"/>
                <w:szCs w:val="20"/>
                <w:lang w:bidi="ar"/>
              </w:rPr>
            </w:pPr>
            <w:r>
              <w:rPr>
                <w:rFonts w:hint="eastAsia" w:ascii="宋体" w:hAnsi="宋体" w:cs="宋体"/>
                <w:b/>
                <w:bCs/>
                <w:color w:val="000000"/>
                <w:kern w:val="0"/>
                <w:sz w:val="20"/>
                <w:szCs w:val="20"/>
                <w:lang w:bidi="ar"/>
              </w:rPr>
              <w:t>表</w:t>
            </w:r>
            <w:r>
              <w:rPr>
                <w:b/>
                <w:bCs/>
                <w:color w:val="000000"/>
                <w:kern w:val="0"/>
                <w:sz w:val="20"/>
                <w:szCs w:val="20"/>
                <w:lang w:bidi="ar"/>
              </w:rPr>
              <w:t>1-</w:t>
            </w:r>
            <w:r>
              <w:rPr>
                <w:rFonts w:hint="eastAsia"/>
                <w:b/>
                <w:bCs/>
                <w:color w:val="000000"/>
                <w:kern w:val="0"/>
                <w:sz w:val="20"/>
                <w:szCs w:val="20"/>
                <w:lang w:bidi="ar"/>
              </w:rPr>
              <w:t>7</w:t>
            </w:r>
            <w:r>
              <w:rPr>
                <w:rFonts w:hint="eastAsia" w:ascii="宋体" w:hAnsi="宋体" w:cs="宋体"/>
                <w:b/>
                <w:bCs/>
                <w:color w:val="000000"/>
                <w:kern w:val="0"/>
                <w:sz w:val="20"/>
                <w:szCs w:val="20"/>
                <w:lang w:bidi="ar"/>
              </w:rPr>
              <w:t>项目建设与重污染天气重点行业绩效分级工作的符合性分析</w:t>
            </w:r>
          </w:p>
          <w:tbl>
            <w:tblPr>
              <w:tblStyle w:val="30"/>
              <w:tblW w:w="0" w:type="auto"/>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13"/>
              <w:gridCol w:w="3377"/>
              <w:gridCol w:w="3643"/>
              <w:gridCol w:w="446"/>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tcBorders>
                    <w:tl2br w:val="nil"/>
                    <w:tr2bl w:val="nil"/>
                  </w:tcBorders>
                  <w:vAlign w:val="center"/>
                </w:tcPr>
                <w:p>
                  <w:pPr>
                    <w:adjustRightInd w:val="0"/>
                    <w:snapToGrid w:val="0"/>
                    <w:jc w:val="center"/>
                    <w:rPr>
                      <w:rFonts w:ascii="Calibri" w:hAnsi="Calibri" w:cs="Calibri"/>
                      <w:b/>
                      <w:spacing w:val="-6"/>
                      <w:szCs w:val="21"/>
                    </w:rPr>
                  </w:pPr>
                  <w:r>
                    <w:rPr>
                      <w:rFonts w:ascii="Calibri" w:hAnsi="Calibri" w:cs="Calibri"/>
                      <w:b/>
                      <w:spacing w:val="-6"/>
                      <w:szCs w:val="21"/>
                    </w:rPr>
                    <w:t>差异化指标</w:t>
                  </w:r>
                </w:p>
              </w:tc>
              <w:tc>
                <w:tcPr>
                  <w:tcW w:w="3377" w:type="dxa"/>
                  <w:tcBorders>
                    <w:tl2br w:val="nil"/>
                    <w:tr2bl w:val="nil"/>
                  </w:tcBorders>
                  <w:vAlign w:val="center"/>
                </w:tcPr>
                <w:p>
                  <w:pPr>
                    <w:adjustRightInd w:val="0"/>
                    <w:snapToGrid w:val="0"/>
                    <w:jc w:val="center"/>
                    <w:rPr>
                      <w:rFonts w:ascii="Calibri" w:hAnsi="Calibri" w:cs="Calibri"/>
                      <w:b/>
                      <w:spacing w:val="-6"/>
                      <w:szCs w:val="21"/>
                    </w:rPr>
                  </w:pPr>
                  <w:r>
                    <w:rPr>
                      <w:rFonts w:ascii="Calibri" w:hAnsi="Calibri" w:cs="Calibri"/>
                      <w:b/>
                      <w:spacing w:val="-6"/>
                      <w:szCs w:val="21"/>
                    </w:rPr>
                    <w:t>A级企业</w:t>
                  </w:r>
                </w:p>
              </w:tc>
              <w:tc>
                <w:tcPr>
                  <w:tcW w:w="3643" w:type="dxa"/>
                  <w:tcBorders>
                    <w:tl2br w:val="nil"/>
                    <w:tr2bl w:val="nil"/>
                  </w:tcBorders>
                  <w:vAlign w:val="center"/>
                </w:tcPr>
                <w:p>
                  <w:pPr>
                    <w:adjustRightInd w:val="0"/>
                    <w:snapToGrid w:val="0"/>
                    <w:jc w:val="center"/>
                    <w:rPr>
                      <w:rFonts w:hint="eastAsia" w:ascii="Calibri" w:hAnsi="Calibri" w:eastAsia="宋体" w:cs="Calibri"/>
                      <w:b/>
                      <w:spacing w:val="-6"/>
                      <w:szCs w:val="21"/>
                      <w:lang w:eastAsia="zh-CN"/>
                    </w:rPr>
                  </w:pPr>
                  <w:r>
                    <w:rPr>
                      <w:rFonts w:hint="eastAsia" w:ascii="Calibri" w:hAnsi="Calibri" w:cs="Calibri"/>
                      <w:b/>
                      <w:spacing w:val="-6"/>
                      <w:szCs w:val="21"/>
                      <w:lang w:eastAsia="zh-CN"/>
                    </w:rPr>
                    <w:t>项目</w:t>
                  </w:r>
                </w:p>
              </w:tc>
              <w:tc>
                <w:tcPr>
                  <w:tcW w:w="446" w:type="dxa"/>
                  <w:tcBorders>
                    <w:tl2br w:val="nil"/>
                    <w:tr2bl w:val="nil"/>
                  </w:tcBorders>
                  <w:vAlign w:val="center"/>
                </w:tcPr>
                <w:p>
                  <w:pPr>
                    <w:adjustRightInd w:val="0"/>
                    <w:snapToGrid w:val="0"/>
                    <w:jc w:val="center"/>
                    <w:rPr>
                      <w:rFonts w:ascii="Calibri" w:hAnsi="Calibri" w:cs="Calibri"/>
                      <w:b/>
                      <w:spacing w:val="-6"/>
                      <w:szCs w:val="21"/>
                    </w:rPr>
                  </w:pPr>
                  <w:r>
                    <w:rPr>
                      <w:rFonts w:ascii="Calibri" w:hAnsi="Calibri" w:cs="Calibri"/>
                      <w:b/>
                      <w:spacing w:val="-6"/>
                      <w:szCs w:val="21"/>
                    </w:rPr>
                    <w:t>符合性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restart"/>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原辅材料</w:t>
                  </w:r>
                </w:p>
              </w:tc>
              <w:tc>
                <w:tcPr>
                  <w:tcW w:w="3377" w:type="dxa"/>
                  <w:tcBorders>
                    <w:tl2br w:val="nil"/>
                    <w:tr2bl w:val="nil"/>
                  </w:tcBorders>
                  <w:vAlign w:val="center"/>
                </w:tcPr>
                <w:p>
                  <w:pPr>
                    <w:numPr>
                      <w:ilvl w:val="0"/>
                      <w:numId w:val="2"/>
                    </w:numPr>
                    <w:adjustRightInd w:val="0"/>
                    <w:snapToGrid w:val="0"/>
                    <w:jc w:val="both"/>
                    <w:rPr>
                      <w:rFonts w:ascii="Calibri" w:hAnsi="Calibri" w:cs="Calibri"/>
                      <w:szCs w:val="21"/>
                    </w:rPr>
                  </w:pPr>
                  <w:r>
                    <w:rPr>
                      <w:rFonts w:ascii="Calibri" w:hAnsi="Calibri" w:cs="Calibri"/>
                      <w:szCs w:val="21"/>
                    </w:rPr>
                    <w:t>使用粉末涂料；</w:t>
                  </w:r>
                </w:p>
              </w:tc>
              <w:tc>
                <w:tcPr>
                  <w:tcW w:w="3643" w:type="dxa"/>
                  <w:vMerge w:val="restart"/>
                  <w:tcBorders>
                    <w:tl2br w:val="nil"/>
                    <w:tr2bl w:val="nil"/>
                  </w:tcBorders>
                  <w:vAlign w:val="center"/>
                </w:tcPr>
                <w:p>
                  <w:pPr>
                    <w:pStyle w:val="17"/>
                    <w:adjustRightInd w:val="0"/>
                    <w:jc w:val="both"/>
                    <w:rPr>
                      <w:rFonts w:hint="default" w:ascii="Calibri" w:hAnsi="Calibri" w:eastAsia="宋体" w:cs="Calibri"/>
                      <w:sz w:val="21"/>
                      <w:szCs w:val="21"/>
                      <w:lang w:val="en-US" w:eastAsia="zh-CN"/>
                    </w:rPr>
                  </w:pPr>
                  <w:r>
                    <w:rPr>
                      <w:rFonts w:hint="eastAsia" w:ascii="Calibri" w:hAnsi="Calibri" w:cs="Calibri"/>
                      <w:sz w:val="21"/>
                      <w:szCs w:val="21"/>
                      <w:lang w:eastAsia="zh-CN"/>
                    </w:rPr>
                    <w:t>项目</w:t>
                  </w:r>
                  <w:r>
                    <w:rPr>
                      <w:rFonts w:ascii="Calibri" w:hAnsi="Calibri" w:cs="Calibri"/>
                      <w:sz w:val="21"/>
                      <w:szCs w:val="21"/>
                    </w:rPr>
                    <w:t>使用塑粉</w:t>
                  </w:r>
                  <w:r>
                    <w:rPr>
                      <w:rFonts w:hint="eastAsia" w:ascii="Calibri" w:hAnsi="Calibri" w:cs="Calibri"/>
                      <w:sz w:val="21"/>
                      <w:szCs w:val="21"/>
                      <w:lang w:val="en-US" w:eastAsia="zh-CN"/>
                    </w:rPr>
                    <w:t>进行喷塑。</w:t>
                  </w:r>
                </w:p>
                <w:p>
                  <w:pPr>
                    <w:pStyle w:val="17"/>
                    <w:adjustRightInd w:val="0"/>
                    <w:jc w:val="both"/>
                    <w:rPr>
                      <w:rFonts w:ascii="Calibri" w:hAnsi="Calibri" w:cs="Calibri"/>
                      <w:b/>
                      <w:spacing w:val="-6"/>
                      <w:sz w:val="21"/>
                      <w:szCs w:val="21"/>
                    </w:rPr>
                  </w:pPr>
                </w:p>
              </w:tc>
              <w:tc>
                <w:tcPr>
                  <w:tcW w:w="446" w:type="dxa"/>
                  <w:vMerge w:val="restart"/>
                  <w:tcBorders>
                    <w:tl2br w:val="nil"/>
                    <w:tr2bl w:val="nil"/>
                  </w:tcBorders>
                  <w:vAlign w:val="center"/>
                </w:tcPr>
                <w:p>
                  <w:pPr>
                    <w:adjustRightInd w:val="0"/>
                    <w:snapToGrid w:val="0"/>
                    <w:jc w:val="both"/>
                    <w:rPr>
                      <w:rFonts w:ascii="Calibri" w:hAnsi="Calibri" w:cs="Calibri"/>
                      <w:b/>
                      <w:spacing w:val="-6"/>
                      <w:szCs w:val="21"/>
                    </w:rPr>
                  </w:pPr>
                  <w:r>
                    <w:rPr>
                      <w:rFonts w:ascii="Calibri" w:hAnsi="Calibri" w:cs="Calibri"/>
                      <w:bCs/>
                      <w:spacing w:val="-6"/>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numPr>
                      <w:ilvl w:val="0"/>
                      <w:numId w:val="2"/>
                    </w:numPr>
                    <w:adjustRightInd w:val="0"/>
                    <w:jc w:val="both"/>
                    <w:rPr>
                      <w:rFonts w:ascii="Calibri" w:hAnsi="Calibri" w:cs="Calibri"/>
                      <w:sz w:val="21"/>
                      <w:szCs w:val="21"/>
                    </w:rPr>
                  </w:pPr>
                  <w:r>
                    <w:rPr>
                      <w:rFonts w:ascii="Calibri" w:hAnsi="Calibri" w:cs="Calibri"/>
                      <w:sz w:val="21"/>
                      <w:szCs w:val="21"/>
                    </w:rPr>
                    <w:t>使用符合《低挥发性有机化合物涂料产品技术要求》（GB/T38597</w:t>
                  </w:r>
                </w:p>
                <w:p>
                  <w:pPr>
                    <w:pStyle w:val="17"/>
                    <w:adjustRightInd w:val="0"/>
                    <w:jc w:val="both"/>
                    <w:rPr>
                      <w:rFonts w:ascii="Calibri" w:hAnsi="Calibri" w:cs="Calibri"/>
                      <w:sz w:val="21"/>
                      <w:szCs w:val="21"/>
                    </w:rPr>
                  </w:pPr>
                  <w:r>
                    <w:rPr>
                      <w:rFonts w:hint="eastAsia" w:ascii="Calibri" w:hAnsi="Calibri" w:cs="Calibri"/>
                      <w:sz w:val="21"/>
                      <w:szCs w:val="21"/>
                    </w:rPr>
                    <w:t>-</w:t>
                  </w:r>
                  <w:r>
                    <w:rPr>
                      <w:rFonts w:ascii="Calibri" w:hAnsi="Calibri" w:cs="Calibri"/>
                      <w:sz w:val="21"/>
                      <w:szCs w:val="21"/>
                    </w:rPr>
                    <w:t>2020）规定的低VOCs含量涂料产品</w:t>
                  </w:r>
                  <w:r>
                    <w:rPr>
                      <w:rFonts w:hint="eastAsia" w:ascii="Calibri" w:hAnsi="Calibri" w:cs="Calibri"/>
                      <w:sz w:val="21"/>
                      <w:szCs w:val="21"/>
                    </w:rPr>
                    <w:t>。</w:t>
                  </w:r>
                </w:p>
              </w:tc>
              <w:tc>
                <w:tcPr>
                  <w:tcW w:w="3643" w:type="dxa"/>
                  <w:vMerge w:val="continue"/>
                  <w:tcBorders>
                    <w:tl2br w:val="nil"/>
                    <w:tr2bl w:val="nil"/>
                  </w:tcBorders>
                  <w:vAlign w:val="center"/>
                </w:tcPr>
                <w:p>
                  <w:pPr>
                    <w:pStyle w:val="17"/>
                    <w:adjustRightInd w:val="0"/>
                    <w:jc w:val="both"/>
                    <w:rPr>
                      <w:rFonts w:ascii="Calibri" w:hAnsi="Calibri" w:cs="Calibri"/>
                      <w:b/>
                      <w:spacing w:val="-6"/>
                      <w:sz w:val="21"/>
                      <w:szCs w:val="21"/>
                    </w:rPr>
                  </w:pPr>
                </w:p>
              </w:tc>
              <w:tc>
                <w:tcPr>
                  <w:tcW w:w="446" w:type="dxa"/>
                  <w:vMerge w:val="continue"/>
                  <w:tcBorders>
                    <w:tl2br w:val="nil"/>
                    <w:tr2bl w:val="nil"/>
                  </w:tcBorders>
                  <w:vAlign w:val="center"/>
                </w:tcPr>
                <w:p>
                  <w:pPr>
                    <w:pStyle w:val="17"/>
                    <w:adjustRightInd w:val="0"/>
                    <w:jc w:val="both"/>
                    <w:rPr>
                      <w:rFonts w:ascii="Calibri" w:hAnsi="Calibri" w:cs="Calibri"/>
                      <w:b/>
                      <w:spacing w:val="-6"/>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restart"/>
                  <w:tcBorders>
                    <w:tl2br w:val="nil"/>
                    <w:tr2bl w:val="nil"/>
                  </w:tcBorders>
                  <w:vAlign w:val="center"/>
                </w:tcPr>
                <w:p>
                  <w:pPr>
                    <w:adjustRightInd w:val="0"/>
                    <w:snapToGrid w:val="0"/>
                    <w:jc w:val="both"/>
                    <w:rPr>
                      <w:rFonts w:ascii="Calibri" w:hAnsi="Calibri" w:cs="Calibri"/>
                      <w:bCs/>
                      <w:spacing w:val="-6"/>
                      <w:szCs w:val="21"/>
                    </w:rPr>
                  </w:pPr>
                  <w:r>
                    <w:rPr>
                      <w:rFonts w:hint="eastAsia" w:ascii="Calibri" w:hAnsi="Calibri" w:cs="Calibri"/>
                      <w:bCs/>
                      <w:spacing w:val="-6"/>
                      <w:szCs w:val="21"/>
                    </w:rPr>
                    <w:t>无组织排放</w:t>
                  </w:r>
                </w:p>
              </w:tc>
              <w:tc>
                <w:tcPr>
                  <w:tcW w:w="3377"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bCs/>
                      <w:spacing w:val="-6"/>
                      <w:szCs w:val="21"/>
                    </w:rPr>
                    <w:t>1、满足《挥发性有机物无组织排放控制标准》（GB37822-2019）特别控制要求；</w:t>
                  </w:r>
                </w:p>
              </w:tc>
              <w:tc>
                <w:tcPr>
                  <w:tcW w:w="3643" w:type="dxa"/>
                  <w:tcBorders>
                    <w:tl2br w:val="nil"/>
                    <w:tr2bl w:val="nil"/>
                  </w:tcBorders>
                  <w:vAlign w:val="center"/>
                </w:tcPr>
                <w:p>
                  <w:pPr>
                    <w:adjustRightInd w:val="0"/>
                    <w:snapToGrid w:val="0"/>
                    <w:jc w:val="both"/>
                    <w:rPr>
                      <w:rFonts w:ascii="Calibri" w:hAnsi="Calibri" w:cs="Calibri"/>
                      <w:szCs w:val="21"/>
                    </w:rPr>
                  </w:pPr>
                  <w:r>
                    <w:rPr>
                      <w:rFonts w:hint="eastAsia" w:cs="Times New Roman"/>
                      <w:color w:val="auto"/>
                      <w:kern w:val="2"/>
                      <w:sz w:val="21"/>
                      <w:szCs w:val="21"/>
                      <w:highlight w:val="none"/>
                      <w:lang w:val="en-US" w:eastAsia="zh-CN" w:bidi="ar-SA"/>
                    </w:rPr>
                    <w:t>项目厂区内非甲烷总烃排放满足</w:t>
                  </w:r>
                  <w:r>
                    <w:rPr>
                      <w:rFonts w:hint="eastAsia" w:ascii="Times New Roman" w:hAnsi="Times New Roman" w:cs="宋体"/>
                    </w:rPr>
                    <w:t>《挥发性有机物无组织排放控制标准》（</w:t>
                  </w:r>
                  <w:r>
                    <w:rPr>
                      <w:rFonts w:ascii="Times New Roman" w:hAnsi="Times New Roman" w:cs="Times New Roman"/>
                    </w:rPr>
                    <w:t>GB 37822-2019</w:t>
                  </w:r>
                  <w:r>
                    <w:rPr>
                      <w:rFonts w:hint="eastAsia" w:ascii="Times New Roman" w:hAnsi="Times New Roman" w:cs="宋体"/>
                    </w:rPr>
                    <w:t>）特别控制要求</w:t>
                  </w:r>
                  <w:r>
                    <w:rPr>
                      <w:rFonts w:hint="eastAsia" w:cs="宋体"/>
                      <w:lang w:eastAsia="zh-CN"/>
                    </w:rPr>
                    <w:t>；</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p>
                  <w:pPr>
                    <w:adjustRightInd w:val="0"/>
                    <w:snapToGrid w:val="0"/>
                    <w:jc w:val="both"/>
                    <w:rPr>
                      <w:rFonts w:ascii="Calibri" w:hAnsi="Calibri" w:cs="Calibri"/>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szCs w:val="21"/>
                    </w:rPr>
                  </w:pPr>
                </w:p>
              </w:tc>
              <w:tc>
                <w:tcPr>
                  <w:tcW w:w="3377"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bCs/>
                      <w:spacing w:val="-6"/>
                      <w:szCs w:val="21"/>
                    </w:rPr>
                    <w:t>2、VOCs物料储存于密闭容器或包装中，盛装VOCs物料的容器或包装袋存放于密闭负压的储库、料仓内；</w:t>
                  </w:r>
                </w:p>
              </w:tc>
              <w:tc>
                <w:tcPr>
                  <w:tcW w:w="3643" w:type="dxa"/>
                  <w:tcBorders>
                    <w:tl2br w:val="nil"/>
                    <w:tr2bl w:val="nil"/>
                  </w:tcBorders>
                  <w:vAlign w:val="center"/>
                </w:tcPr>
                <w:p>
                  <w:pPr>
                    <w:adjustRightInd w:val="0"/>
                    <w:snapToGrid w:val="0"/>
                    <w:jc w:val="both"/>
                    <w:rPr>
                      <w:rFonts w:hint="default" w:ascii="Calibri" w:hAnsi="Calibri" w:cs="Calibri"/>
                      <w:bCs/>
                      <w:spacing w:val="-6"/>
                      <w:szCs w:val="21"/>
                      <w:lang w:val="en-US"/>
                    </w:rPr>
                  </w:pPr>
                  <w:r>
                    <w:rPr>
                      <w:rFonts w:ascii="Calibri" w:hAnsi="Calibri" w:cs="Calibri"/>
                      <w:szCs w:val="21"/>
                      <w:shd w:val="clear" w:color="auto" w:fill="FFFFFF"/>
                    </w:rPr>
                    <w:t>塑粉在存储环节均为密封状态，</w:t>
                  </w:r>
                  <w:r>
                    <w:rPr>
                      <w:rFonts w:ascii="Calibri" w:hAnsi="Calibri" w:cs="Calibri"/>
                      <w:bCs/>
                      <w:spacing w:val="-6"/>
                      <w:szCs w:val="21"/>
                    </w:rPr>
                    <w:t>盛装</w:t>
                  </w:r>
                  <w:r>
                    <w:rPr>
                      <w:rFonts w:hint="eastAsia" w:ascii="Calibri" w:hAnsi="Calibri" w:cs="Calibri"/>
                      <w:bCs/>
                      <w:spacing w:val="-6"/>
                      <w:szCs w:val="21"/>
                      <w:lang w:val="en-US" w:eastAsia="zh-CN"/>
                    </w:rPr>
                    <w:t>塑粉</w:t>
                  </w:r>
                  <w:r>
                    <w:rPr>
                      <w:rFonts w:ascii="Calibri" w:hAnsi="Calibri" w:cs="Calibri"/>
                      <w:bCs/>
                      <w:spacing w:val="-6"/>
                      <w:szCs w:val="21"/>
                    </w:rPr>
                    <w:t>包装袋存放于密闭</w:t>
                  </w:r>
                  <w:r>
                    <w:rPr>
                      <w:rFonts w:hint="eastAsia" w:ascii="Calibri" w:hAnsi="Calibri" w:cs="Calibri"/>
                      <w:bCs/>
                      <w:spacing w:val="-6"/>
                      <w:szCs w:val="21"/>
                      <w:lang w:val="en-US" w:eastAsia="zh-CN"/>
                    </w:rPr>
                    <w:t>原料间，生产阶段盛装塑粉的容器放置于密闭负压喷塑房内</w:t>
                  </w:r>
                  <w:r>
                    <w:rPr>
                      <w:rFonts w:hint="eastAsia" w:ascii="Calibri" w:hAnsi="Calibri" w:cs="Calibri"/>
                      <w:bCs/>
                      <w:color w:val="0000FF"/>
                      <w:spacing w:val="-6"/>
                      <w:szCs w:val="21"/>
                      <w:lang w:val="en-US" w:eastAsia="zh-CN"/>
                    </w:rPr>
                    <w:t>。</w:t>
                  </w:r>
                </w:p>
              </w:tc>
              <w:tc>
                <w:tcPr>
                  <w:tcW w:w="446"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bCs/>
                      <w:spacing w:val="-6"/>
                      <w:szCs w:val="21"/>
                    </w:rPr>
                  </w:pPr>
                </w:p>
              </w:tc>
              <w:tc>
                <w:tcPr>
                  <w:tcW w:w="3377"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bCs/>
                      <w:spacing w:val="-6"/>
                      <w:szCs w:val="21"/>
                    </w:rPr>
                    <w:t>3、除大型工件特殊作业（例如，船舶制造行业的分段总组、船台、船坞、造船码头等涂装工序）外，调漆、喷漆、流平、烘干、清洗等工序在密闭设备或密闭负压空间内进行；</w:t>
                  </w:r>
                </w:p>
              </w:tc>
              <w:tc>
                <w:tcPr>
                  <w:tcW w:w="3643" w:type="dxa"/>
                  <w:tcBorders>
                    <w:tl2br w:val="nil"/>
                    <w:tr2bl w:val="nil"/>
                  </w:tcBorders>
                  <w:vAlign w:val="center"/>
                </w:tcPr>
                <w:p>
                  <w:pPr>
                    <w:adjustRightInd w:val="0"/>
                    <w:snapToGrid w:val="0"/>
                    <w:jc w:val="both"/>
                    <w:rPr>
                      <w:rFonts w:hint="default" w:ascii="Calibri" w:hAnsi="Calibri" w:eastAsia="宋体" w:cs="Calibri"/>
                      <w:bCs/>
                      <w:spacing w:val="-6"/>
                      <w:szCs w:val="21"/>
                      <w:lang w:val="en-US" w:eastAsia="zh-CN"/>
                    </w:rPr>
                  </w:pPr>
                  <w:r>
                    <w:rPr>
                      <w:rFonts w:hint="eastAsia" w:ascii="Calibri" w:hAnsi="Calibri" w:cs="Calibri"/>
                      <w:bCs/>
                      <w:spacing w:val="-6"/>
                      <w:szCs w:val="21"/>
                      <w:lang w:eastAsia="zh-CN"/>
                    </w:rPr>
                    <w:t>项目</w:t>
                  </w:r>
                  <w:r>
                    <w:rPr>
                      <w:rFonts w:ascii="Calibri" w:hAnsi="Calibri" w:cs="Calibri"/>
                      <w:bCs/>
                      <w:spacing w:val="-6"/>
                      <w:szCs w:val="21"/>
                    </w:rPr>
                    <w:t>喷塑在密闭式喷塑房进行，</w:t>
                  </w:r>
                  <w:r>
                    <w:rPr>
                      <w:rFonts w:ascii="Calibri" w:hAnsi="Calibri" w:cs="Calibri"/>
                      <w:kern w:val="0"/>
                      <w:szCs w:val="21"/>
                    </w:rPr>
                    <w:t>喷塑颗粒物经喷粉房自带大旋风回收系统（滤筒</w:t>
                  </w:r>
                  <w:r>
                    <w:rPr>
                      <w:rFonts w:hint="eastAsia" w:ascii="Calibri" w:hAnsi="Calibri" w:cs="Calibri"/>
                      <w:kern w:val="0"/>
                      <w:szCs w:val="21"/>
                    </w:rPr>
                    <w:t>+</w:t>
                  </w:r>
                  <w:r>
                    <w:rPr>
                      <w:rFonts w:ascii="Calibri" w:hAnsi="Calibri" w:cs="Calibri"/>
                      <w:kern w:val="0"/>
                      <w:szCs w:val="21"/>
                    </w:rPr>
                    <w:t>旋风分离器）</w:t>
                  </w:r>
                  <w:r>
                    <w:rPr>
                      <w:rFonts w:ascii="Calibri" w:hAnsi="Calibri" w:cs="Calibri"/>
                      <w:szCs w:val="21"/>
                    </w:rPr>
                    <w:t>处理后经15m排气筒排放。</w:t>
                  </w:r>
                </w:p>
              </w:tc>
              <w:tc>
                <w:tcPr>
                  <w:tcW w:w="446"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bCs/>
                      <w:spacing w:val="-6"/>
                      <w:szCs w:val="21"/>
                    </w:rPr>
                  </w:pPr>
                </w:p>
              </w:tc>
              <w:tc>
                <w:tcPr>
                  <w:tcW w:w="3377" w:type="dxa"/>
                  <w:tcBorders>
                    <w:tl2br w:val="nil"/>
                    <w:tr2bl w:val="nil"/>
                  </w:tcBorders>
                  <w:vAlign w:val="center"/>
                </w:tcPr>
                <w:p>
                  <w:pPr>
                    <w:adjustRightInd w:val="0"/>
                    <w:snapToGrid w:val="0"/>
                    <w:jc w:val="both"/>
                    <w:rPr>
                      <w:rFonts w:ascii="Calibri" w:hAnsi="Calibri" w:cs="Calibri"/>
                      <w:bCs/>
                      <w:spacing w:val="-6"/>
                      <w:szCs w:val="21"/>
                    </w:rPr>
                  </w:pPr>
                  <w:r>
                    <w:rPr>
                      <w:rFonts w:hint="eastAsia" w:ascii="Calibri" w:hAnsi="Calibri" w:cs="Calibri"/>
                      <w:bCs/>
                      <w:spacing w:val="-6"/>
                      <w:szCs w:val="21"/>
                    </w:rPr>
                    <w:t>4、</w:t>
                  </w:r>
                  <w:r>
                    <w:rPr>
                      <w:rFonts w:ascii="Calibri" w:hAnsi="Calibri" w:cs="Calibri"/>
                      <w:bCs/>
                      <w:spacing w:val="-6"/>
                      <w:szCs w:val="21"/>
                    </w:rPr>
                    <w:t>密闭回收废清洗剂；</w:t>
                  </w:r>
                </w:p>
              </w:tc>
              <w:tc>
                <w:tcPr>
                  <w:tcW w:w="3643" w:type="dxa"/>
                  <w:tcBorders>
                    <w:tl2br w:val="nil"/>
                    <w:tr2bl w:val="nil"/>
                  </w:tcBorders>
                  <w:vAlign w:val="center"/>
                </w:tcPr>
                <w:p>
                  <w:pPr>
                    <w:adjustRightInd w:val="0"/>
                    <w:snapToGrid w:val="0"/>
                    <w:jc w:val="both"/>
                    <w:rPr>
                      <w:rFonts w:hint="default" w:ascii="Calibri" w:hAnsi="Calibri" w:eastAsia="宋体" w:cs="Calibri"/>
                      <w:bCs/>
                      <w:spacing w:val="-6"/>
                      <w:szCs w:val="21"/>
                      <w:lang w:val="en-US" w:eastAsia="zh-CN"/>
                    </w:rPr>
                  </w:pPr>
                  <w:r>
                    <w:rPr>
                      <w:rFonts w:hint="eastAsia" w:ascii="Calibri" w:hAnsi="Calibri" w:cs="Calibri"/>
                      <w:bCs/>
                      <w:spacing w:val="-6"/>
                      <w:szCs w:val="21"/>
                      <w:lang w:val="en-US" w:eastAsia="zh-CN"/>
                    </w:rPr>
                    <w:t>项目不使用清洗剂。</w:t>
                  </w:r>
                </w:p>
              </w:tc>
              <w:tc>
                <w:tcPr>
                  <w:tcW w:w="446" w:type="dxa"/>
                  <w:tcBorders>
                    <w:tl2br w:val="nil"/>
                    <w:tr2bl w:val="nil"/>
                  </w:tcBorders>
                  <w:vAlign w:val="center"/>
                </w:tcPr>
                <w:p>
                  <w:pPr>
                    <w:adjustRightInd w:val="0"/>
                    <w:snapToGrid w:val="0"/>
                    <w:jc w:val="both"/>
                    <w:rPr>
                      <w:rFonts w:ascii="Calibri" w:hAnsi="Calibri" w:cs="Calibri"/>
                      <w:szCs w:val="21"/>
                    </w:rPr>
                  </w:pPr>
                  <w:r>
                    <w:rPr>
                      <w:rFonts w:hint="eastAsia"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bCs/>
                      <w:spacing w:val="-6"/>
                      <w:szCs w:val="21"/>
                    </w:rPr>
                  </w:pPr>
                </w:p>
              </w:tc>
              <w:tc>
                <w:tcPr>
                  <w:tcW w:w="3377" w:type="dxa"/>
                  <w:tcBorders>
                    <w:tl2br w:val="nil"/>
                    <w:tr2bl w:val="nil"/>
                  </w:tcBorders>
                  <w:vAlign w:val="center"/>
                </w:tcPr>
                <w:p>
                  <w:pPr>
                    <w:adjustRightInd w:val="0"/>
                    <w:snapToGrid w:val="0"/>
                    <w:jc w:val="both"/>
                    <w:rPr>
                      <w:rFonts w:ascii="Calibri" w:hAnsi="Calibri" w:cs="Calibri"/>
                      <w:bCs/>
                      <w:spacing w:val="-6"/>
                      <w:szCs w:val="21"/>
                    </w:rPr>
                  </w:pPr>
                  <w:r>
                    <w:rPr>
                      <w:rFonts w:hint="eastAsia" w:ascii="Calibri" w:hAnsi="Calibri" w:cs="Calibri"/>
                      <w:bCs/>
                      <w:spacing w:val="-6"/>
                      <w:szCs w:val="21"/>
                    </w:rPr>
                    <w:t>5</w:t>
                  </w:r>
                  <w:r>
                    <w:rPr>
                      <w:rFonts w:ascii="Calibri" w:hAnsi="Calibri" w:cs="Calibri"/>
                      <w:bCs/>
                      <w:spacing w:val="-6"/>
                      <w:szCs w:val="21"/>
                    </w:rPr>
                    <w:t>、建设干式喷漆房；使用湿式喷漆房时，循环水泵间和刮渣间应密闭，安装废气收集设施；</w:t>
                  </w:r>
                </w:p>
              </w:tc>
              <w:tc>
                <w:tcPr>
                  <w:tcW w:w="3643" w:type="dxa"/>
                  <w:tcBorders>
                    <w:tl2br w:val="nil"/>
                    <w:tr2bl w:val="nil"/>
                  </w:tcBorders>
                  <w:vAlign w:val="center"/>
                </w:tcPr>
                <w:p>
                  <w:pPr>
                    <w:adjustRightInd w:val="0"/>
                    <w:snapToGrid w:val="0"/>
                    <w:jc w:val="both"/>
                    <w:rPr>
                      <w:rFonts w:ascii="Calibri" w:hAnsi="Calibri" w:cs="Calibri"/>
                      <w:bCs/>
                      <w:spacing w:val="-6"/>
                      <w:szCs w:val="21"/>
                    </w:rPr>
                  </w:pPr>
                  <w:r>
                    <w:rPr>
                      <w:rFonts w:hint="eastAsia" w:ascii="Calibri" w:hAnsi="Calibri" w:cs="Calibri"/>
                      <w:bCs/>
                      <w:spacing w:val="-6"/>
                      <w:szCs w:val="21"/>
                      <w:lang w:eastAsia="zh-CN"/>
                    </w:rPr>
                    <w:t>项目</w:t>
                  </w:r>
                  <w:r>
                    <w:rPr>
                      <w:rFonts w:ascii="Calibri" w:hAnsi="Calibri" w:cs="Calibri"/>
                      <w:bCs/>
                      <w:spacing w:val="-6"/>
                      <w:szCs w:val="21"/>
                    </w:rPr>
                    <w:t>喷塑在密闭式喷塑房进行，</w:t>
                  </w:r>
                  <w:r>
                    <w:rPr>
                      <w:rFonts w:ascii="Calibri" w:hAnsi="Calibri" w:cs="Calibri"/>
                      <w:kern w:val="0"/>
                      <w:szCs w:val="21"/>
                    </w:rPr>
                    <w:t>喷塑颗粒物经喷粉房自带大旋风回收系统（滤筒</w:t>
                  </w:r>
                  <w:r>
                    <w:rPr>
                      <w:rFonts w:hint="eastAsia" w:ascii="Calibri" w:hAnsi="Calibri" w:cs="Calibri"/>
                      <w:kern w:val="0"/>
                      <w:szCs w:val="21"/>
                    </w:rPr>
                    <w:t>+</w:t>
                  </w:r>
                  <w:r>
                    <w:rPr>
                      <w:rFonts w:ascii="Calibri" w:hAnsi="Calibri" w:cs="Calibri"/>
                      <w:kern w:val="0"/>
                      <w:szCs w:val="21"/>
                    </w:rPr>
                    <w:t>旋风分离器）</w:t>
                  </w:r>
                  <w:r>
                    <w:rPr>
                      <w:rFonts w:ascii="Calibri" w:hAnsi="Calibri" w:cs="Calibri"/>
                      <w:szCs w:val="21"/>
                    </w:rPr>
                    <w:t>处理后经15m排气筒排放。</w:t>
                  </w:r>
                </w:p>
              </w:tc>
              <w:tc>
                <w:tcPr>
                  <w:tcW w:w="446"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bCs/>
                      <w:spacing w:val="-6"/>
                      <w:szCs w:val="21"/>
                    </w:rPr>
                  </w:pPr>
                </w:p>
              </w:tc>
              <w:tc>
                <w:tcPr>
                  <w:tcW w:w="3377" w:type="dxa"/>
                  <w:tcBorders>
                    <w:tl2br w:val="nil"/>
                    <w:tr2bl w:val="nil"/>
                  </w:tcBorders>
                  <w:vAlign w:val="center"/>
                </w:tcPr>
                <w:p>
                  <w:pPr>
                    <w:adjustRightInd w:val="0"/>
                    <w:snapToGrid w:val="0"/>
                    <w:jc w:val="both"/>
                    <w:rPr>
                      <w:rFonts w:ascii="Calibri" w:hAnsi="Calibri" w:cs="Calibri"/>
                      <w:bCs/>
                      <w:spacing w:val="-6"/>
                      <w:szCs w:val="21"/>
                    </w:rPr>
                  </w:pPr>
                  <w:r>
                    <w:rPr>
                      <w:rFonts w:hint="eastAsia" w:ascii="Calibri" w:hAnsi="Calibri" w:cs="Calibri"/>
                      <w:bCs/>
                      <w:spacing w:val="-6"/>
                      <w:szCs w:val="21"/>
                    </w:rPr>
                    <w:t>6</w:t>
                  </w:r>
                  <w:r>
                    <w:rPr>
                      <w:rFonts w:ascii="Calibri" w:hAnsi="Calibri" w:cs="Calibri"/>
                      <w:bCs/>
                      <w:spacing w:val="-6"/>
                      <w:szCs w:val="21"/>
                    </w:rPr>
                    <w:t>、采用静电喷涂、自动喷涂、高压无气喷涂或高流低压喷枪等高效涂装技术，不可使用手动空气喷涂技术。</w:t>
                  </w:r>
                </w:p>
              </w:tc>
              <w:tc>
                <w:tcPr>
                  <w:tcW w:w="3643" w:type="dxa"/>
                  <w:tcBorders>
                    <w:tl2br w:val="nil"/>
                    <w:tr2bl w:val="nil"/>
                  </w:tcBorders>
                  <w:vAlign w:val="center"/>
                </w:tcPr>
                <w:p>
                  <w:pPr>
                    <w:adjustRightInd w:val="0"/>
                    <w:snapToGrid w:val="0"/>
                    <w:jc w:val="both"/>
                    <w:rPr>
                      <w:rFonts w:ascii="Calibri" w:hAnsi="Calibri" w:cs="Calibri"/>
                      <w:bCs/>
                      <w:spacing w:val="-6"/>
                      <w:szCs w:val="21"/>
                    </w:rPr>
                  </w:pPr>
                  <w:r>
                    <w:rPr>
                      <w:rFonts w:hint="eastAsia" w:ascii="Calibri" w:hAnsi="Calibri" w:cs="Calibri"/>
                      <w:bCs/>
                      <w:spacing w:val="-6"/>
                      <w:szCs w:val="21"/>
                      <w:lang w:eastAsia="zh-CN"/>
                    </w:rPr>
                    <w:t>项目</w:t>
                  </w:r>
                  <w:r>
                    <w:rPr>
                      <w:rFonts w:ascii="Calibri" w:hAnsi="Calibri" w:cs="Calibri"/>
                      <w:bCs/>
                      <w:spacing w:val="-6"/>
                      <w:szCs w:val="21"/>
                    </w:rPr>
                    <w:t>采用静电喷塑等高效涂装技术，不</w:t>
                  </w:r>
                  <w:r>
                    <w:rPr>
                      <w:rFonts w:hint="eastAsia" w:ascii="Calibri" w:hAnsi="Calibri" w:cs="Calibri"/>
                      <w:bCs/>
                      <w:spacing w:val="-6"/>
                      <w:szCs w:val="21"/>
                      <w:lang w:val="en-US" w:eastAsia="zh-CN"/>
                    </w:rPr>
                    <w:t>使用</w:t>
                  </w:r>
                  <w:r>
                    <w:rPr>
                      <w:rFonts w:ascii="Calibri" w:hAnsi="Calibri" w:cs="Calibri"/>
                      <w:bCs/>
                      <w:spacing w:val="-6"/>
                      <w:szCs w:val="21"/>
                    </w:rPr>
                    <w:t>手动空气喷涂技术。</w:t>
                  </w:r>
                </w:p>
              </w:tc>
              <w:tc>
                <w:tcPr>
                  <w:tcW w:w="446" w:type="dxa"/>
                  <w:tcBorders>
                    <w:tl2br w:val="nil"/>
                    <w:tr2bl w:val="nil"/>
                  </w:tcBorders>
                  <w:vAlign w:val="center"/>
                </w:tcPr>
                <w:p>
                  <w:pPr>
                    <w:adjustRightInd w:val="0"/>
                    <w:snapToGrid w:val="0"/>
                    <w:jc w:val="both"/>
                    <w:rPr>
                      <w:rFonts w:ascii="Calibri" w:hAnsi="Calibri" w:cs="Calibri"/>
                      <w:bCs/>
                      <w:spacing w:val="-6"/>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restart"/>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VOCs治理设施</w:t>
                  </w:r>
                </w:p>
              </w:tc>
              <w:tc>
                <w:tcPr>
                  <w:tcW w:w="3377" w:type="dxa"/>
                  <w:tcBorders>
                    <w:tl2br w:val="nil"/>
                    <w:tr2bl w:val="nil"/>
                  </w:tcBorders>
                  <w:vAlign w:val="center"/>
                </w:tcPr>
                <w:p>
                  <w:pPr>
                    <w:pStyle w:val="17"/>
                    <w:numPr>
                      <w:ilvl w:val="0"/>
                      <w:numId w:val="3"/>
                    </w:numPr>
                    <w:adjustRightInd w:val="0"/>
                    <w:jc w:val="both"/>
                    <w:rPr>
                      <w:rFonts w:ascii="Calibri" w:hAnsi="Calibri" w:cs="Calibri"/>
                      <w:sz w:val="21"/>
                      <w:szCs w:val="21"/>
                    </w:rPr>
                  </w:pPr>
                  <w:r>
                    <w:rPr>
                      <w:rFonts w:ascii="Calibri" w:hAnsi="Calibri" w:cs="Calibri"/>
                      <w:sz w:val="21"/>
                      <w:szCs w:val="21"/>
                    </w:rPr>
                    <w:t>喷涂废气设置干式的石灰石、纸盒等高效起雾处理装置；</w:t>
                  </w:r>
                </w:p>
              </w:tc>
              <w:tc>
                <w:tcPr>
                  <w:tcW w:w="3643" w:type="dxa"/>
                  <w:tcBorders>
                    <w:tl2br w:val="nil"/>
                    <w:tr2bl w:val="nil"/>
                  </w:tcBorders>
                  <w:vAlign w:val="center"/>
                </w:tcPr>
                <w:p>
                  <w:pPr>
                    <w:pStyle w:val="17"/>
                    <w:adjustRightInd w:val="0"/>
                    <w:jc w:val="both"/>
                    <w:rPr>
                      <w:rFonts w:ascii="Calibri" w:hAnsi="Calibri" w:cs="Calibri"/>
                      <w:sz w:val="21"/>
                      <w:szCs w:val="21"/>
                    </w:rPr>
                  </w:pPr>
                  <w:r>
                    <w:rPr>
                      <w:rFonts w:hint="eastAsia" w:ascii="Calibri" w:hAnsi="Calibri" w:cs="Calibri"/>
                      <w:sz w:val="21"/>
                      <w:szCs w:val="21"/>
                      <w:lang w:eastAsia="zh-CN"/>
                    </w:rPr>
                    <w:t>项目使用塑粉进行喷塑，</w:t>
                  </w:r>
                  <w:r>
                    <w:rPr>
                      <w:rFonts w:hint="eastAsia" w:ascii="Calibri" w:hAnsi="Calibri" w:cs="Calibri"/>
                      <w:sz w:val="21"/>
                      <w:szCs w:val="21"/>
                      <w:lang w:val="en-US" w:eastAsia="zh-CN"/>
                    </w:rPr>
                    <w:t>不产生漆雾，</w:t>
                  </w:r>
                  <w:r>
                    <w:rPr>
                      <w:rFonts w:hint="eastAsia" w:ascii="Calibri" w:hAnsi="Calibri" w:cs="Calibri"/>
                      <w:sz w:val="21"/>
                      <w:szCs w:val="21"/>
                      <w:lang w:eastAsia="zh-CN"/>
                    </w:rPr>
                    <w:t>产生的</w:t>
                  </w:r>
                  <w:r>
                    <w:rPr>
                      <w:rFonts w:hint="eastAsia" w:ascii="Calibri" w:hAnsi="Calibri" w:cs="Calibri"/>
                      <w:sz w:val="21"/>
                      <w:szCs w:val="21"/>
                      <w:lang w:val="en-US" w:eastAsia="zh-CN"/>
                    </w:rPr>
                    <w:t>颗粒物</w:t>
                  </w:r>
                  <w:r>
                    <w:rPr>
                      <w:rFonts w:hint="eastAsia" w:ascii="Calibri" w:hAnsi="Calibri" w:cs="Calibri"/>
                      <w:sz w:val="21"/>
                      <w:szCs w:val="21"/>
                      <w:lang w:eastAsia="zh-CN"/>
                    </w:rPr>
                    <w:t>经自喷粉房带大旋风回收系统（滤筒+旋风分离器）处理后经15m排气筒排放。</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numPr>
                      <w:ilvl w:val="0"/>
                      <w:numId w:val="3"/>
                    </w:numPr>
                    <w:adjustRightInd w:val="0"/>
                    <w:jc w:val="both"/>
                    <w:rPr>
                      <w:rFonts w:ascii="Calibri" w:hAnsi="Calibri" w:cs="Calibri"/>
                      <w:sz w:val="21"/>
                      <w:szCs w:val="21"/>
                    </w:rPr>
                  </w:pPr>
                  <w:r>
                    <w:rPr>
                      <w:rFonts w:ascii="Calibri" w:hAnsi="Calibri" w:cs="Calibri"/>
                      <w:sz w:val="21"/>
                      <w:szCs w:val="21"/>
                    </w:rPr>
                    <w:t>使用溶剂型涂料时，调漆、喷漆、流平、烘干、清洗等工序含VOCs废气采用吸附浓缩+燃烧、燃烧等治理技术，处理效率≥95%；</w:t>
                  </w:r>
                </w:p>
              </w:tc>
              <w:tc>
                <w:tcPr>
                  <w:tcW w:w="3643" w:type="dxa"/>
                  <w:vMerge w:val="restart"/>
                  <w:tcBorders>
                    <w:tl2br w:val="nil"/>
                    <w:tr2bl w:val="nil"/>
                  </w:tcBorders>
                  <w:vAlign w:val="center"/>
                </w:tcPr>
                <w:p>
                  <w:pPr>
                    <w:pStyle w:val="17"/>
                    <w:adjustRightInd w:val="0"/>
                    <w:jc w:val="both"/>
                    <w:rPr>
                      <w:rFonts w:ascii="Calibri" w:hAnsi="Calibri" w:cs="Calibri"/>
                      <w:sz w:val="21"/>
                      <w:szCs w:val="21"/>
                    </w:rPr>
                  </w:pPr>
                  <w:r>
                    <w:rPr>
                      <w:rFonts w:hint="eastAsia" w:ascii="Calibri" w:hAnsi="Calibri" w:cs="Calibri"/>
                      <w:sz w:val="21"/>
                      <w:szCs w:val="21"/>
                      <w:lang w:eastAsia="zh-CN"/>
                    </w:rPr>
                    <w:t>项目</w:t>
                  </w:r>
                  <w:r>
                    <w:rPr>
                      <w:rFonts w:ascii="Calibri" w:hAnsi="Calibri" w:cs="Calibri"/>
                      <w:sz w:val="21"/>
                      <w:szCs w:val="21"/>
                    </w:rPr>
                    <w:t>不使用水性涂料和溶剂型涂料进行喷涂。</w:t>
                  </w:r>
                </w:p>
              </w:tc>
              <w:tc>
                <w:tcPr>
                  <w:tcW w:w="446" w:type="dxa"/>
                  <w:vMerge w:val="restart"/>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numPr>
                      <w:ilvl w:val="0"/>
                      <w:numId w:val="3"/>
                    </w:numPr>
                    <w:adjustRightInd w:val="0"/>
                    <w:jc w:val="both"/>
                    <w:rPr>
                      <w:rFonts w:ascii="Calibri" w:hAnsi="Calibri" w:cs="Calibri"/>
                      <w:sz w:val="21"/>
                      <w:szCs w:val="21"/>
                    </w:rPr>
                  </w:pPr>
                  <w:r>
                    <w:rPr>
                      <w:rFonts w:ascii="Calibri" w:hAnsi="Calibri" w:cs="Calibri"/>
                      <w:sz w:val="21"/>
                      <w:szCs w:val="21"/>
                    </w:rPr>
                    <w:t>使用水性涂料（含水性UV）时，当车间或生产设施排气筒中非甲烷总烃（NHMC）初始排放速率≥2kg/h时，建设末端治污设施。</w:t>
                  </w:r>
                </w:p>
              </w:tc>
              <w:tc>
                <w:tcPr>
                  <w:tcW w:w="3643" w:type="dxa"/>
                  <w:vMerge w:val="continue"/>
                  <w:tcBorders>
                    <w:tl2br w:val="nil"/>
                    <w:tr2bl w:val="nil"/>
                  </w:tcBorders>
                  <w:vAlign w:val="center"/>
                </w:tcPr>
                <w:p>
                  <w:pPr>
                    <w:pStyle w:val="17"/>
                    <w:adjustRightInd w:val="0"/>
                    <w:jc w:val="both"/>
                    <w:rPr>
                      <w:rFonts w:ascii="Calibri" w:hAnsi="Calibri" w:cs="Calibri"/>
                      <w:sz w:val="21"/>
                      <w:szCs w:val="21"/>
                    </w:rPr>
                  </w:pPr>
                </w:p>
              </w:tc>
              <w:tc>
                <w:tcPr>
                  <w:tcW w:w="446" w:type="dxa"/>
                  <w:vMerge w:val="continue"/>
                  <w:tcBorders>
                    <w:tl2br w:val="nil"/>
                    <w:tr2bl w:val="nil"/>
                  </w:tcBorders>
                  <w:vAlign w:val="center"/>
                </w:tcPr>
                <w:p>
                  <w:pPr>
                    <w:pStyle w:val="17"/>
                    <w:adjustRightInd w:val="0"/>
                    <w:jc w:val="both"/>
                    <w:rPr>
                      <w:rFonts w:ascii="Calibri" w:hAnsi="Calibri" w:cs="Calibri"/>
                      <w:sz w:val="21"/>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149"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adjustRightInd w:val="0"/>
                    <w:jc w:val="both"/>
                    <w:rPr>
                      <w:rFonts w:ascii="Calibri" w:hAnsi="Calibri" w:cs="Calibri"/>
                      <w:sz w:val="21"/>
                      <w:szCs w:val="21"/>
                    </w:rPr>
                  </w:pPr>
                  <w:r>
                    <w:rPr>
                      <w:rFonts w:ascii="Calibri" w:hAnsi="Calibri" w:cs="Calibri"/>
                      <w:sz w:val="21"/>
                      <w:szCs w:val="21"/>
                    </w:rPr>
                    <w:t>备注：采用粉末涂料或VOCs含量，</w:t>
                  </w:r>
                </w:p>
                <w:p>
                  <w:pPr>
                    <w:pStyle w:val="17"/>
                    <w:adjustRightInd w:val="0"/>
                    <w:jc w:val="both"/>
                    <w:rPr>
                      <w:rFonts w:ascii="Calibri" w:hAnsi="Calibri" w:cs="Calibri"/>
                      <w:sz w:val="21"/>
                      <w:szCs w:val="21"/>
                    </w:rPr>
                  </w:pPr>
                  <w:r>
                    <w:rPr>
                      <w:rFonts w:ascii="Calibri" w:hAnsi="Calibri" w:cs="Calibri"/>
                      <w:color w:val="000000" w:themeColor="text1"/>
                      <w:sz w:val="21"/>
                      <w:szCs w:val="21"/>
                      <w14:textFill>
                        <w14:solidFill>
                          <w14:schemeClr w14:val="tx1"/>
                        </w14:solidFill>
                      </w14:textFill>
                    </w:rPr>
                    <w:t>&lt;</w:t>
                  </w:r>
                  <w:r>
                    <w:rPr>
                      <w:rFonts w:ascii="Calibri" w:hAnsi="Calibri" w:cs="Calibri"/>
                      <w:sz w:val="21"/>
                      <w:szCs w:val="21"/>
                    </w:rPr>
                    <w:t>60g/L是的无溶剂涂料时，排放浓度稳定达标且排放速率、排放绩效等满足相关规定的，相应生产工序可不要求建设末端治理设施。</w:t>
                  </w:r>
                </w:p>
              </w:tc>
              <w:tc>
                <w:tcPr>
                  <w:tcW w:w="3643" w:type="dxa"/>
                  <w:tcBorders>
                    <w:tl2br w:val="nil"/>
                    <w:tr2bl w:val="nil"/>
                  </w:tcBorders>
                  <w:vAlign w:val="center"/>
                </w:tcPr>
                <w:p>
                  <w:pPr>
                    <w:pStyle w:val="17"/>
                    <w:adjustRightInd w:val="0"/>
                    <w:jc w:val="both"/>
                    <w:rPr>
                      <w:rFonts w:ascii="Calibri" w:hAnsi="Calibri" w:cs="Calibri"/>
                      <w:sz w:val="21"/>
                      <w:szCs w:val="21"/>
                    </w:rPr>
                  </w:pPr>
                  <w:r>
                    <w:rPr>
                      <w:rFonts w:hint="eastAsia" w:ascii="Calibri" w:hAnsi="Calibri" w:cs="Calibri"/>
                      <w:sz w:val="21"/>
                      <w:szCs w:val="21"/>
                      <w:lang w:val="en-US" w:eastAsia="zh-CN"/>
                    </w:rPr>
                    <w:t>喷塑热固化</w:t>
                  </w:r>
                  <w:r>
                    <w:rPr>
                      <w:rFonts w:ascii="Calibri" w:hAnsi="Calibri" w:cs="Calibri"/>
                      <w:sz w:val="21"/>
                      <w:szCs w:val="21"/>
                    </w:rPr>
                    <w:t>产生的有机废气经集气罩+喷淋塔+过滤棉+二级活性炭，处理后废气通过15m排气筒排放。</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restart"/>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排放限值</w:t>
                  </w:r>
                </w:p>
              </w:tc>
              <w:tc>
                <w:tcPr>
                  <w:tcW w:w="3377" w:type="dxa"/>
                  <w:tcBorders>
                    <w:tl2br w:val="nil"/>
                    <w:tr2bl w:val="nil"/>
                  </w:tcBorders>
                  <w:vAlign w:val="center"/>
                </w:tcPr>
                <w:p>
                  <w:pPr>
                    <w:numPr>
                      <w:ilvl w:val="0"/>
                      <w:numId w:val="4"/>
                    </w:numPr>
                    <w:adjustRightInd w:val="0"/>
                    <w:snapToGrid w:val="0"/>
                    <w:jc w:val="both"/>
                    <w:rPr>
                      <w:rFonts w:ascii="Calibri" w:hAnsi="Calibri" w:cs="Calibri"/>
                      <w:szCs w:val="21"/>
                    </w:rPr>
                  </w:pPr>
                  <w:r>
                    <w:rPr>
                      <w:rFonts w:ascii="Calibri" w:hAnsi="Calibri" w:cs="Calibri"/>
                      <w:szCs w:val="21"/>
                    </w:rPr>
                    <w:t>在连续一年的监测数据中，车间或生产设施排气筒排放的NMHC为20-30mg/m³、TVOC为40-50mg/m³；厂区无组织排放监控点NMHC的小时平均浓度不超过6mg/m³、任意一次浓度值不超过20mg/m³；</w:t>
                  </w:r>
                </w:p>
              </w:tc>
              <w:tc>
                <w:tcPr>
                  <w:tcW w:w="3643" w:type="dxa"/>
                  <w:tcBorders>
                    <w:tl2br w:val="nil"/>
                    <w:tr2bl w:val="nil"/>
                  </w:tcBorders>
                  <w:vAlign w:val="center"/>
                </w:tcPr>
                <w:p>
                  <w:pPr>
                    <w:adjustRightInd w:val="0"/>
                    <w:snapToGrid w:val="0"/>
                    <w:jc w:val="both"/>
                    <w:rPr>
                      <w:rFonts w:ascii="Calibri" w:hAnsi="Calibri" w:cs="Calibri"/>
                      <w:szCs w:val="21"/>
                    </w:rPr>
                  </w:pPr>
                  <w:r>
                    <w:rPr>
                      <w:rFonts w:hint="eastAsia" w:ascii="Calibri" w:hAnsi="Calibri" w:cs="Calibri"/>
                      <w:sz w:val="21"/>
                      <w:szCs w:val="21"/>
                      <w:lang w:val="en-US" w:eastAsia="zh-CN"/>
                    </w:rPr>
                    <w:t>喷塑热固化</w:t>
                  </w:r>
                  <w:r>
                    <w:rPr>
                      <w:rFonts w:ascii="Calibri" w:hAnsi="Calibri" w:cs="Calibri"/>
                      <w:sz w:val="21"/>
                      <w:szCs w:val="21"/>
                    </w:rPr>
                    <w:t>产生的有机废气经集气罩+喷淋塔+过滤棉+二级活性炭，处理后废气通过15m排气筒排放</w:t>
                  </w:r>
                  <w:r>
                    <w:rPr>
                      <w:rFonts w:hint="eastAsia" w:ascii="Calibri" w:hAnsi="Calibri" w:cs="Calibri"/>
                      <w:sz w:val="21"/>
                      <w:szCs w:val="21"/>
                      <w:lang w:eastAsia="zh-CN"/>
                    </w:rPr>
                    <w:t>；</w:t>
                  </w:r>
                  <w:r>
                    <w:rPr>
                      <w:rFonts w:ascii="Calibri" w:hAnsi="Calibri" w:cs="Calibri"/>
                      <w:color w:val="auto"/>
                      <w:szCs w:val="21"/>
                    </w:rPr>
                    <w:t>运营期生产设施排气筒排放的NMHC浓度</w:t>
                  </w:r>
                  <w:r>
                    <w:rPr>
                      <w:rFonts w:hint="eastAsia" w:ascii="Calibri" w:hAnsi="Calibri" w:cs="Calibri"/>
                      <w:color w:val="auto"/>
                      <w:szCs w:val="21"/>
                      <w:lang w:val="en-US" w:eastAsia="zh-CN"/>
                    </w:rPr>
                    <w:t>小于</w:t>
                  </w:r>
                  <w:r>
                    <w:rPr>
                      <w:rFonts w:ascii="Calibri" w:hAnsi="Calibri" w:cs="Calibri"/>
                      <w:color w:val="auto"/>
                      <w:szCs w:val="21"/>
                    </w:rPr>
                    <w:t>0mg/m³；厂区无组织排放监控点NMHC的小时平均浓度不超过6mg/m³、任意一次浓度值不超过</w:t>
                  </w:r>
                  <w:r>
                    <w:rPr>
                      <w:rFonts w:hint="eastAsia" w:ascii="Calibri" w:hAnsi="Calibri" w:cs="Calibri"/>
                      <w:color w:val="auto"/>
                      <w:szCs w:val="21"/>
                      <w:lang w:val="en-US" w:eastAsia="zh-CN"/>
                    </w:rPr>
                    <w:t>1</w:t>
                  </w:r>
                  <w:r>
                    <w:rPr>
                      <w:rFonts w:ascii="Calibri" w:hAnsi="Calibri" w:cs="Calibri"/>
                      <w:color w:val="auto"/>
                      <w:szCs w:val="21"/>
                    </w:rPr>
                    <w:t>0mg/m³。</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numPr>
                      <w:ilvl w:val="0"/>
                      <w:numId w:val="4"/>
                    </w:numPr>
                    <w:adjustRightInd w:val="0"/>
                    <w:snapToGrid w:val="0"/>
                    <w:jc w:val="both"/>
                    <w:rPr>
                      <w:rFonts w:ascii="Calibri" w:hAnsi="Calibri" w:cs="Calibri"/>
                      <w:szCs w:val="21"/>
                    </w:rPr>
                  </w:pPr>
                  <w:r>
                    <w:rPr>
                      <w:rFonts w:ascii="Calibri" w:hAnsi="Calibri" w:cs="Calibri"/>
                      <w:szCs w:val="21"/>
                    </w:rPr>
                    <w:t>其他各污染物稳定达到现行排放控制要求，并从严地方要求。</w:t>
                  </w:r>
                </w:p>
              </w:tc>
              <w:tc>
                <w:tcPr>
                  <w:tcW w:w="3643" w:type="dxa"/>
                  <w:tcBorders>
                    <w:tl2br w:val="nil"/>
                    <w:tr2bl w:val="nil"/>
                  </w:tcBorders>
                  <w:vAlign w:val="center"/>
                </w:tcPr>
                <w:p>
                  <w:pPr>
                    <w:adjustRightInd w:val="0"/>
                    <w:snapToGrid w:val="0"/>
                    <w:jc w:val="both"/>
                    <w:rPr>
                      <w:rFonts w:hint="eastAsia" w:ascii="Calibri" w:hAnsi="Calibri" w:eastAsia="宋体" w:cs="Calibri"/>
                      <w:szCs w:val="21"/>
                      <w:lang w:eastAsia="zh-CN"/>
                    </w:rPr>
                  </w:pPr>
                  <w:r>
                    <w:rPr>
                      <w:rFonts w:ascii="Calibri" w:hAnsi="Calibri" w:cs="Calibri"/>
                      <w:szCs w:val="21"/>
                    </w:rPr>
                    <w:t>运营期天然气燃烧提供热风，产生的废气执行《工业炉窑大气污染综合治理方案》（环大气[2019]56号）中重点区域相关标准及</w:t>
                  </w:r>
                  <w:r>
                    <w:rPr>
                      <w:rFonts w:hint="eastAsia" w:ascii="Calibri" w:hAnsi="Calibri" w:cs="Calibri"/>
                      <w:szCs w:val="21"/>
                    </w:rPr>
                    <w:t>《工业炉窑大气污染物排放标准》（GB9078-1996）</w:t>
                  </w:r>
                  <w:r>
                    <w:rPr>
                      <w:rFonts w:hint="eastAsia" w:ascii="Calibri" w:hAnsi="Calibri" w:cs="Calibri"/>
                      <w:szCs w:val="21"/>
                      <w:lang w:eastAsia="zh-CN"/>
                    </w:rPr>
                    <w:t>；</w:t>
                  </w:r>
                  <w:r>
                    <w:rPr>
                      <w:rFonts w:hint="eastAsia" w:cs="Times New Roman"/>
                      <w:color w:val="auto"/>
                      <w:lang w:val="en-US" w:eastAsia="zh-CN"/>
                    </w:rPr>
                    <w:t>颗粒物排放满足《大气污染物综合排放标准》（GB16297-1996）中二级标准限值。</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adjustRightInd w:val="0"/>
                    <w:jc w:val="both"/>
                    <w:rPr>
                      <w:rFonts w:ascii="Calibri" w:hAnsi="Calibri" w:cs="Calibri"/>
                      <w:sz w:val="21"/>
                      <w:szCs w:val="21"/>
                    </w:rPr>
                  </w:pPr>
                  <w:r>
                    <w:rPr>
                      <w:rFonts w:ascii="Calibri" w:hAnsi="Calibri" w:cs="Calibri"/>
                      <w:sz w:val="21"/>
                      <w:szCs w:val="21"/>
                    </w:rPr>
                    <w:t>备注：车间或生产设施排气筒排放的TVOC浓度限值要求待相应的监测标准发布后执行。</w:t>
                  </w:r>
                </w:p>
              </w:tc>
              <w:tc>
                <w:tcPr>
                  <w:tcW w:w="3643" w:type="dxa"/>
                  <w:tcBorders>
                    <w:tl2br w:val="nil"/>
                    <w:tr2bl w:val="nil"/>
                  </w:tcBorders>
                  <w:vAlign w:val="center"/>
                </w:tcPr>
                <w:p>
                  <w:pPr>
                    <w:pStyle w:val="17"/>
                    <w:adjustRightInd w:val="0"/>
                    <w:jc w:val="both"/>
                    <w:rPr>
                      <w:rFonts w:ascii="Calibri" w:hAnsi="Calibri" w:cs="Calibri"/>
                      <w:sz w:val="21"/>
                      <w:szCs w:val="21"/>
                    </w:rPr>
                  </w:pPr>
                  <w:r>
                    <w:rPr>
                      <w:rFonts w:ascii="Calibri" w:hAnsi="Calibri" w:cs="Calibri"/>
                      <w:sz w:val="21"/>
                      <w:szCs w:val="21"/>
                    </w:rPr>
                    <w:t>生产设施排气筒排放的TVOC浓度限值要求待相应的监测标准发布后执行。</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restart"/>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监测监控水平</w:t>
                  </w:r>
                </w:p>
              </w:tc>
              <w:tc>
                <w:tcPr>
                  <w:tcW w:w="3377" w:type="dxa"/>
                  <w:tcBorders>
                    <w:tl2br w:val="nil"/>
                    <w:tr2bl w:val="nil"/>
                  </w:tcBorders>
                  <w:vAlign w:val="center"/>
                </w:tcPr>
                <w:p>
                  <w:pPr>
                    <w:pStyle w:val="17"/>
                    <w:numPr>
                      <w:ilvl w:val="0"/>
                      <w:numId w:val="5"/>
                    </w:numPr>
                    <w:adjustRightInd w:val="0"/>
                    <w:jc w:val="both"/>
                    <w:rPr>
                      <w:rFonts w:ascii="Calibri" w:hAnsi="Calibri" w:cs="Calibri"/>
                      <w:sz w:val="21"/>
                      <w:szCs w:val="21"/>
                    </w:rPr>
                  </w:pPr>
                  <w:r>
                    <w:rPr>
                      <w:rFonts w:ascii="Calibri" w:hAnsi="Calibri" w:cs="Calibri"/>
                      <w:sz w:val="21"/>
                      <w:szCs w:val="21"/>
                    </w:rPr>
                    <w:t>严格执行《排污许可证申请与核发技术规范总则》（HJ942-2018）以及相关行业排污许可证申请与核发技术规范规定的自行监测管理要求；</w:t>
                  </w:r>
                </w:p>
              </w:tc>
              <w:tc>
                <w:tcPr>
                  <w:tcW w:w="3643" w:type="dxa"/>
                  <w:tcBorders>
                    <w:tl2br w:val="nil"/>
                    <w:tr2bl w:val="nil"/>
                  </w:tcBorders>
                  <w:vAlign w:val="center"/>
                </w:tcPr>
                <w:p>
                  <w:pPr>
                    <w:pStyle w:val="17"/>
                    <w:adjustRightInd w:val="0"/>
                    <w:jc w:val="both"/>
                    <w:rPr>
                      <w:rFonts w:hint="eastAsia" w:ascii="Calibri" w:hAnsi="Calibri" w:eastAsia="宋体" w:cs="Calibri"/>
                      <w:sz w:val="21"/>
                      <w:szCs w:val="21"/>
                      <w:lang w:eastAsia="zh-CN"/>
                    </w:rPr>
                  </w:pPr>
                  <w:r>
                    <w:rPr>
                      <w:rFonts w:hint="eastAsia" w:ascii="Calibri" w:hAnsi="Calibri" w:eastAsia="宋体" w:cs="Calibri"/>
                      <w:sz w:val="21"/>
                      <w:szCs w:val="21"/>
                    </w:rPr>
                    <w:t>严格执行《排污许可证申请与核发技术规范</w:t>
                  </w:r>
                  <w:r>
                    <w:rPr>
                      <w:rFonts w:ascii="Calibri" w:hAnsi="Calibri" w:eastAsia="宋体" w:cs="Calibri"/>
                      <w:sz w:val="21"/>
                      <w:szCs w:val="21"/>
                    </w:rPr>
                    <w:t xml:space="preserve"> </w:t>
                  </w:r>
                  <w:r>
                    <w:rPr>
                      <w:rFonts w:hint="eastAsia" w:ascii="Calibri" w:hAnsi="Calibri" w:eastAsia="宋体" w:cs="Calibri"/>
                      <w:sz w:val="21"/>
                      <w:szCs w:val="21"/>
                    </w:rPr>
                    <w:t>总则》（</w:t>
                  </w:r>
                  <w:r>
                    <w:rPr>
                      <w:rFonts w:ascii="Calibri" w:hAnsi="Calibri" w:eastAsia="宋体" w:cs="Calibri"/>
                      <w:sz w:val="21"/>
                      <w:szCs w:val="21"/>
                    </w:rPr>
                    <w:t>HJ 942</w:t>
                  </w:r>
                  <w:r>
                    <w:rPr>
                      <w:rFonts w:hint="eastAsia" w:ascii="Calibri" w:hAnsi="Calibri" w:eastAsia="宋体" w:cs="Calibri"/>
                      <w:sz w:val="21"/>
                      <w:szCs w:val="21"/>
                    </w:rPr>
                    <w:t>－</w:t>
                  </w:r>
                  <w:r>
                    <w:rPr>
                      <w:rFonts w:ascii="Calibri" w:hAnsi="Calibri" w:eastAsia="宋体" w:cs="Calibri"/>
                      <w:sz w:val="21"/>
                      <w:szCs w:val="21"/>
                    </w:rPr>
                    <w:t>2018</w:t>
                  </w:r>
                  <w:r>
                    <w:rPr>
                      <w:rFonts w:hint="eastAsia" w:ascii="Calibri" w:hAnsi="Calibri" w:eastAsia="宋体" w:cs="Calibri"/>
                      <w:sz w:val="21"/>
                      <w:szCs w:val="21"/>
                    </w:rPr>
                    <w:t>）以及相关行业排污许可证申请与核发技术规范规定的自行监测管理要求</w:t>
                  </w:r>
                  <w:r>
                    <w:rPr>
                      <w:rFonts w:hint="eastAsia" w:ascii="Calibri" w:hAnsi="Calibri" w:eastAsia="宋体" w:cs="Calibri"/>
                      <w:sz w:val="21"/>
                      <w:szCs w:val="21"/>
                      <w:lang w:eastAsia="zh-CN"/>
                    </w:rPr>
                    <w:t>。</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adjustRightInd w:val="0"/>
                    <w:jc w:val="both"/>
                    <w:rPr>
                      <w:rFonts w:ascii="Calibri" w:hAnsi="Calibri" w:cs="Calibri"/>
                      <w:sz w:val="21"/>
                      <w:szCs w:val="21"/>
                    </w:rPr>
                  </w:pPr>
                  <w:r>
                    <w:rPr>
                      <w:rFonts w:ascii="Calibri" w:hAnsi="Calibri" w:cs="Calibri"/>
                      <w:sz w:val="21"/>
                      <w:szCs w:val="21"/>
                    </w:rPr>
                    <w:t>2、重点排污企业风量大于10000m</w:t>
                  </w:r>
                  <w:r>
                    <w:rPr>
                      <w:rFonts w:ascii="Calibri" w:hAnsi="Calibri" w:cs="Calibri"/>
                      <w:sz w:val="21"/>
                      <w:szCs w:val="21"/>
                      <w:vertAlign w:val="superscript"/>
                    </w:rPr>
                    <w:t>3</w:t>
                  </w:r>
                  <w:r>
                    <w:rPr>
                      <w:rFonts w:ascii="Calibri" w:hAnsi="Calibri" w:cs="Calibri"/>
                      <w:sz w:val="21"/>
                      <w:szCs w:val="21"/>
                    </w:rPr>
                    <w:t>/h的主要排放口安装NMHC自动监测设施，自动监控数据保存一年以上。</w:t>
                  </w:r>
                </w:p>
              </w:tc>
              <w:tc>
                <w:tcPr>
                  <w:tcW w:w="3643" w:type="dxa"/>
                  <w:tcBorders>
                    <w:tl2br w:val="nil"/>
                    <w:tr2bl w:val="nil"/>
                  </w:tcBorders>
                  <w:vAlign w:val="center"/>
                </w:tcPr>
                <w:p>
                  <w:pPr>
                    <w:pStyle w:val="17"/>
                    <w:adjustRightInd w:val="0"/>
                    <w:jc w:val="both"/>
                    <w:rPr>
                      <w:rFonts w:ascii="Calibri" w:hAnsi="Calibri" w:cs="Calibri"/>
                      <w:sz w:val="21"/>
                      <w:szCs w:val="21"/>
                    </w:rPr>
                  </w:pPr>
                  <w:r>
                    <w:rPr>
                      <w:rFonts w:hint="eastAsia" w:ascii="Calibri" w:hAnsi="Calibri" w:cs="Calibri"/>
                      <w:sz w:val="21"/>
                      <w:szCs w:val="21"/>
                      <w:lang w:eastAsia="zh-CN"/>
                    </w:rPr>
                    <w:t>项目</w:t>
                  </w:r>
                  <w:r>
                    <w:rPr>
                      <w:rFonts w:hint="eastAsia" w:ascii="Calibri" w:hAnsi="Calibri" w:cs="Calibri"/>
                      <w:sz w:val="21"/>
                      <w:szCs w:val="21"/>
                      <w:lang w:val="en-US" w:eastAsia="zh-CN"/>
                    </w:rPr>
                    <w:t>不属于重点排污单位，</w:t>
                  </w:r>
                  <w:r>
                    <w:rPr>
                      <w:rFonts w:ascii="Calibri" w:hAnsi="Calibri" w:cs="Calibri"/>
                      <w:sz w:val="21"/>
                      <w:szCs w:val="21"/>
                    </w:rPr>
                    <w:t>排放口均为一般排放口，不用安装自动监测设施。</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pStyle w:val="17"/>
                    <w:adjustRightInd w:val="0"/>
                    <w:jc w:val="both"/>
                    <w:rPr>
                      <w:rFonts w:ascii="Calibri" w:hAnsi="Calibri" w:cs="Calibri"/>
                      <w:sz w:val="21"/>
                      <w:szCs w:val="21"/>
                    </w:rPr>
                  </w:pPr>
                </w:p>
              </w:tc>
              <w:tc>
                <w:tcPr>
                  <w:tcW w:w="3377" w:type="dxa"/>
                  <w:tcBorders>
                    <w:tl2br w:val="nil"/>
                    <w:tr2bl w:val="nil"/>
                  </w:tcBorders>
                  <w:vAlign w:val="center"/>
                </w:tcPr>
                <w:p>
                  <w:pPr>
                    <w:pStyle w:val="17"/>
                    <w:adjustRightInd w:val="0"/>
                    <w:jc w:val="both"/>
                    <w:rPr>
                      <w:rFonts w:ascii="Calibri" w:hAnsi="Calibri" w:cs="Calibri"/>
                      <w:sz w:val="21"/>
                      <w:szCs w:val="21"/>
                    </w:rPr>
                  </w:pPr>
                  <w:r>
                    <w:rPr>
                      <w:rFonts w:ascii="Calibri" w:hAnsi="Calibri" w:cs="Calibri"/>
                      <w:sz w:val="21"/>
                      <w:szCs w:val="21"/>
                    </w:rPr>
                    <w:t>3、安装DCS系统、仪器仪表等装置，连续测量并记录治理设施控制指标温度、压力（压差）、时间和频率值。再生式活性炭连续自动测量并记录温度、再生时间、更换周期；更换式活性炭记录温度、再生时间、更换周期及更量；数据保存一年以上。</w:t>
                  </w:r>
                </w:p>
              </w:tc>
              <w:tc>
                <w:tcPr>
                  <w:tcW w:w="3643" w:type="dxa"/>
                  <w:tcBorders>
                    <w:tl2br w:val="nil"/>
                    <w:tr2bl w:val="nil"/>
                  </w:tcBorders>
                  <w:vAlign w:val="center"/>
                </w:tcPr>
                <w:p>
                  <w:pPr>
                    <w:pStyle w:val="17"/>
                    <w:adjustRightInd w:val="0"/>
                    <w:jc w:val="both"/>
                    <w:rPr>
                      <w:rFonts w:ascii="Calibri" w:hAnsi="Calibri" w:cs="Calibri"/>
                      <w:sz w:val="21"/>
                      <w:szCs w:val="21"/>
                    </w:rPr>
                  </w:pPr>
                  <w:r>
                    <w:rPr>
                      <w:rFonts w:hint="eastAsia" w:ascii="Calibri" w:hAnsi="Calibri" w:cs="Calibri"/>
                      <w:sz w:val="21"/>
                      <w:szCs w:val="21"/>
                      <w:lang w:eastAsia="zh-CN"/>
                    </w:rPr>
                    <w:t>项目</w:t>
                  </w:r>
                  <w:r>
                    <w:rPr>
                      <w:rFonts w:hint="eastAsia" w:ascii="Calibri" w:hAnsi="Calibri" w:cs="Calibri"/>
                      <w:sz w:val="21"/>
                      <w:szCs w:val="21"/>
                      <w:lang w:val="en-US" w:eastAsia="zh-CN"/>
                    </w:rPr>
                    <w:t>运营期</w:t>
                  </w:r>
                  <w:r>
                    <w:rPr>
                      <w:rFonts w:ascii="Calibri" w:hAnsi="Calibri" w:cs="Calibri"/>
                      <w:sz w:val="21"/>
                      <w:szCs w:val="21"/>
                    </w:rPr>
                    <w:t>安装DSC系统、仪器仪表等装置。连续测量并记录治理设施控制指标温度、压力（压差）、时间和频率值。再生式活性炭连续自动测量并记录温度、再生时间、更换周期；更换式活性炭记录温度、再生时间、更换周期及更量；数据保存一年以上。</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restart"/>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环境管理水平</w:t>
                  </w:r>
                </w:p>
              </w:tc>
              <w:tc>
                <w:tcPr>
                  <w:tcW w:w="3377"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环保档案齐全：1、环评批复文件；2、排污许可证及季度、年度执行报告；3、竣工验收文件；4、废气治理设施运行管理规程；5、一年内废气监测报告；</w:t>
                  </w:r>
                </w:p>
              </w:tc>
              <w:tc>
                <w:tcPr>
                  <w:tcW w:w="3643" w:type="dxa"/>
                  <w:tcBorders>
                    <w:tl2br w:val="nil"/>
                    <w:tr2bl w:val="nil"/>
                  </w:tcBorders>
                  <w:vAlign w:val="center"/>
                </w:tcPr>
                <w:p>
                  <w:pPr>
                    <w:adjustRightInd w:val="0"/>
                    <w:snapToGrid w:val="0"/>
                    <w:jc w:val="both"/>
                    <w:rPr>
                      <w:rFonts w:ascii="Calibri" w:hAnsi="Calibri" w:cs="Calibri"/>
                      <w:szCs w:val="21"/>
                    </w:rPr>
                  </w:pPr>
                  <w:r>
                    <w:rPr>
                      <w:rFonts w:hint="eastAsia" w:ascii="Calibri" w:hAnsi="Calibri" w:cs="Calibri"/>
                      <w:color w:val="000000"/>
                      <w:kern w:val="0"/>
                      <w:szCs w:val="21"/>
                      <w:lang w:eastAsia="zh-CN" w:bidi="ar"/>
                    </w:rPr>
                    <w:t>项目</w:t>
                  </w:r>
                  <w:r>
                    <w:rPr>
                      <w:rFonts w:ascii="Calibri" w:hAnsi="Calibri" w:cs="Calibri"/>
                      <w:color w:val="000000"/>
                      <w:kern w:val="0"/>
                      <w:szCs w:val="21"/>
                      <w:lang w:bidi="ar"/>
                    </w:rPr>
                    <w:t>营运</w:t>
                  </w:r>
                  <w:r>
                    <w:rPr>
                      <w:rFonts w:hint="eastAsia" w:ascii="Calibri" w:hAnsi="Calibri" w:cs="Calibri"/>
                      <w:color w:val="000000"/>
                      <w:kern w:val="0"/>
                      <w:szCs w:val="21"/>
                      <w:lang w:val="en-US" w:eastAsia="zh-CN" w:bidi="ar"/>
                    </w:rPr>
                    <w:t>阶段</w:t>
                  </w:r>
                  <w:r>
                    <w:rPr>
                      <w:rFonts w:ascii="Calibri" w:hAnsi="Calibri" w:cs="Calibri"/>
                      <w:color w:val="000000"/>
                      <w:kern w:val="0"/>
                      <w:szCs w:val="21"/>
                      <w:lang w:bidi="ar"/>
                    </w:rPr>
                    <w:t>按照环保档案要求，做好环保档案管理，具体如下：1、环评批复文件；2、排污许可证及季度、年度执行报告；3、竣工验收文件；4、废气治理设施运行管理规程；5、一年内废气监测报告。</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szCs w:val="21"/>
                    </w:rPr>
                  </w:pPr>
                </w:p>
              </w:tc>
              <w:tc>
                <w:tcPr>
                  <w:tcW w:w="3377"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台账记录：1、生产设施运行管理信息（生产时间、运行负荷、产品产量等必须具备近一年以上所用涂料的密度、扣水后VOCs含量、含水率（水性涂料）等信息的监测报告）；2、废气污染治理设施运行管理信息（燃烧室温度、冷凝温度、过滤材料更换频次、吸附剂更换频次、催化剂更换频次）；3、监测记录信息（主要污染排放口废气排放记录（手工监测和在线监测）等）；4、主要原辅材料消耗记录；5、燃料（天然气）消耗记录。</w:t>
                  </w:r>
                </w:p>
              </w:tc>
              <w:tc>
                <w:tcPr>
                  <w:tcW w:w="3643" w:type="dxa"/>
                  <w:tcBorders>
                    <w:tl2br w:val="nil"/>
                    <w:tr2bl w:val="nil"/>
                  </w:tcBorders>
                  <w:vAlign w:val="center"/>
                </w:tcPr>
                <w:p>
                  <w:pPr>
                    <w:adjustRightInd w:val="0"/>
                    <w:snapToGrid w:val="0"/>
                    <w:jc w:val="both"/>
                    <w:rPr>
                      <w:rFonts w:ascii="Calibri" w:hAnsi="Calibri" w:cs="Calibri"/>
                      <w:szCs w:val="21"/>
                    </w:rPr>
                  </w:pPr>
                  <w:r>
                    <w:rPr>
                      <w:rFonts w:ascii="Calibri" w:hAnsi="Calibri" w:cs="Calibri"/>
                      <w:color w:val="000000"/>
                      <w:kern w:val="0"/>
                      <w:szCs w:val="21"/>
                      <w:lang w:bidi="ar"/>
                    </w:rPr>
                    <w:t>按照环境管理要求，做好台账记录：1、生产设施运行管理信息（生产时间、运行负荷、产品产量等及</w:t>
                  </w:r>
                  <w:r>
                    <w:rPr>
                      <w:rFonts w:ascii="Calibri" w:hAnsi="Calibri" w:cs="Calibri"/>
                      <w:szCs w:val="21"/>
                    </w:rPr>
                    <w:t>必须具备近一年以上所用塑粉的密度、扣水后VOCs含量</w:t>
                  </w:r>
                  <w:r>
                    <w:rPr>
                      <w:rFonts w:hint="eastAsia" w:ascii="Calibri" w:hAnsi="Calibri" w:cs="Calibri"/>
                      <w:szCs w:val="21"/>
                      <w:lang w:eastAsia="zh-CN"/>
                    </w:rPr>
                    <w:t>、</w:t>
                  </w:r>
                  <w:r>
                    <w:rPr>
                      <w:rFonts w:hint="eastAsia" w:ascii="Calibri" w:hAnsi="Calibri" w:cs="Calibri"/>
                      <w:szCs w:val="21"/>
                      <w:lang w:val="en-US" w:eastAsia="zh-CN"/>
                    </w:rPr>
                    <w:t>含水率等信息的</w:t>
                  </w:r>
                  <w:r>
                    <w:rPr>
                      <w:rFonts w:ascii="Calibri" w:hAnsi="Calibri" w:cs="Calibri"/>
                      <w:szCs w:val="21"/>
                    </w:rPr>
                    <w:t>监测报告</w:t>
                  </w:r>
                  <w:r>
                    <w:rPr>
                      <w:rFonts w:ascii="Calibri" w:hAnsi="Calibri" w:cs="Calibri"/>
                      <w:color w:val="000000"/>
                      <w:kern w:val="0"/>
                      <w:szCs w:val="21"/>
                      <w:lang w:bidi="ar"/>
                    </w:rPr>
                    <w:t>）；2、废气污染治理设施运行管理信息（各</w:t>
                  </w:r>
                  <w:r>
                    <w:rPr>
                      <w:rFonts w:ascii="Calibri" w:hAnsi="Calibri" w:cs="Calibri"/>
                      <w:szCs w:val="21"/>
                    </w:rPr>
                    <w:t>燃烧室温度、冷凝温度、过滤材料更换频次、吸附剂更换频次</w:t>
                  </w:r>
                  <w:r>
                    <w:rPr>
                      <w:rFonts w:ascii="Calibri" w:hAnsi="Calibri" w:cs="Calibri"/>
                      <w:color w:val="000000"/>
                      <w:kern w:val="0"/>
                      <w:szCs w:val="21"/>
                      <w:lang w:bidi="ar"/>
                    </w:rPr>
                    <w:t>）；3、监测记录信息（污染排放口废气排放记录（手工监测）等）；4、主要原辅材料消耗记录（塑粉使用量）；5、天然气消耗量。</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vMerge w:val="continue"/>
                  <w:tcBorders>
                    <w:tl2br w:val="nil"/>
                    <w:tr2bl w:val="nil"/>
                  </w:tcBorders>
                  <w:vAlign w:val="center"/>
                </w:tcPr>
                <w:p>
                  <w:pPr>
                    <w:adjustRightInd w:val="0"/>
                    <w:snapToGrid w:val="0"/>
                    <w:jc w:val="both"/>
                    <w:rPr>
                      <w:rFonts w:ascii="Calibri" w:hAnsi="Calibri" w:cs="Calibri"/>
                      <w:szCs w:val="21"/>
                    </w:rPr>
                  </w:pPr>
                </w:p>
              </w:tc>
              <w:tc>
                <w:tcPr>
                  <w:tcW w:w="3377"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人员配置：设置环保部门，配备专职环保人员，并具备相应的环境管理能力。</w:t>
                  </w:r>
                </w:p>
              </w:tc>
              <w:tc>
                <w:tcPr>
                  <w:tcW w:w="3643"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要求企业设置环保部门，配备专职环保人员，具备一定的环境管理能力。</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0" w:hRule="atLeast"/>
                <w:jc w:val="center"/>
              </w:trPr>
              <w:tc>
                <w:tcPr>
                  <w:tcW w:w="713"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运输</w:t>
                  </w:r>
                </w:p>
                <w:p>
                  <w:pPr>
                    <w:adjustRightInd w:val="0"/>
                    <w:snapToGrid w:val="0"/>
                    <w:jc w:val="both"/>
                    <w:rPr>
                      <w:rFonts w:ascii="Calibri" w:hAnsi="Calibri" w:cs="Calibri"/>
                      <w:szCs w:val="21"/>
                    </w:rPr>
                  </w:pPr>
                  <w:r>
                    <w:rPr>
                      <w:rFonts w:ascii="Calibri" w:hAnsi="Calibri" w:cs="Calibri"/>
                      <w:szCs w:val="21"/>
                    </w:rPr>
                    <w:t>方式</w:t>
                  </w:r>
                </w:p>
              </w:tc>
              <w:tc>
                <w:tcPr>
                  <w:tcW w:w="3377"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1、物料公路运输全部使用达到国五及以上排放标准重型载货车辆（含燃气）或新能源汽车；</w:t>
                  </w:r>
                </w:p>
                <w:p>
                  <w:pPr>
                    <w:adjustRightInd w:val="0"/>
                    <w:snapToGrid w:val="0"/>
                    <w:jc w:val="both"/>
                    <w:rPr>
                      <w:rFonts w:ascii="Calibri" w:hAnsi="Calibri" w:cs="Calibri"/>
                      <w:szCs w:val="21"/>
                    </w:rPr>
                  </w:pPr>
                  <w:r>
                    <w:rPr>
                      <w:rFonts w:ascii="Calibri" w:hAnsi="Calibri" w:cs="Calibri"/>
                      <w:szCs w:val="21"/>
                    </w:rPr>
                    <w:t>2、厂内运输车辆全部达到国五及以上排放标准（含燃气）或使用新能源车辆；</w:t>
                  </w:r>
                </w:p>
                <w:p>
                  <w:pPr>
                    <w:adjustRightInd w:val="0"/>
                    <w:snapToGrid w:val="0"/>
                    <w:jc w:val="both"/>
                    <w:rPr>
                      <w:rFonts w:ascii="Calibri" w:hAnsi="Calibri" w:cs="Calibri"/>
                      <w:szCs w:val="21"/>
                    </w:rPr>
                  </w:pPr>
                  <w:r>
                    <w:rPr>
                      <w:rFonts w:ascii="Calibri" w:hAnsi="Calibri" w:cs="Calibri"/>
                      <w:szCs w:val="21"/>
                    </w:rPr>
                    <w:t>3、厂内非机动道路移动机械达到国三及以上排放标准或使用新能源机械。</w:t>
                  </w:r>
                </w:p>
              </w:tc>
              <w:tc>
                <w:tcPr>
                  <w:tcW w:w="3643" w:type="dxa"/>
                  <w:tcBorders>
                    <w:tl2br w:val="nil"/>
                    <w:tr2bl w:val="nil"/>
                  </w:tcBorders>
                  <w:vAlign w:val="center"/>
                </w:tcPr>
                <w:p>
                  <w:pPr>
                    <w:adjustRightInd w:val="0"/>
                    <w:snapToGrid w:val="0"/>
                    <w:rPr>
                      <w:rFonts w:hint="default" w:ascii="Times New Roman" w:hAnsi="Times New Roman" w:cs="Times New Roman"/>
                      <w:color w:val="auto"/>
                    </w:rPr>
                  </w:pPr>
                  <w:r>
                    <w:rPr>
                      <w:rFonts w:hint="eastAsia" w:ascii="Times New Roman" w:hAnsi="Times New Roman" w:cs="Times New Roman"/>
                      <w:color w:val="auto"/>
                      <w:lang w:val="en-US" w:eastAsia="zh-CN"/>
                    </w:rPr>
                    <w:t>1、</w:t>
                  </w:r>
                  <w:r>
                    <w:rPr>
                      <w:rFonts w:hint="eastAsia" w:cs="Times New Roman"/>
                      <w:color w:val="auto"/>
                      <w:lang w:val="en-US" w:eastAsia="zh-CN"/>
                    </w:rPr>
                    <w:t>项目</w:t>
                  </w:r>
                  <w:r>
                    <w:rPr>
                      <w:rFonts w:hint="default" w:ascii="Times New Roman" w:hAnsi="Times New Roman" w:cs="Times New Roman"/>
                      <w:color w:val="auto"/>
                    </w:rPr>
                    <w:t>物料公路运输全部使用达到国五及以上排放标准重型载货车辆（含燃气）或新能源车辆；</w:t>
                  </w:r>
                </w:p>
                <w:p>
                  <w:pPr>
                    <w:adjustRightInd w:val="0"/>
                    <w:snapToGrid w:val="0"/>
                    <w:rPr>
                      <w:rFonts w:hint="default" w:ascii="Times New Roman" w:hAnsi="Times New Roman" w:cs="Times New Roman"/>
                      <w:color w:val="auto"/>
                    </w:rPr>
                  </w:pPr>
                  <w:r>
                    <w:rPr>
                      <w:rFonts w:hint="default" w:ascii="Times New Roman" w:hAnsi="Times New Roman" w:cs="Times New Roman"/>
                      <w:color w:val="auto"/>
                    </w:rPr>
                    <w:t>2、厂内运输车辆全部达到国五及以上排放标准（含燃气）或使用新能源车辆；</w:t>
                  </w:r>
                </w:p>
                <w:p>
                  <w:pPr>
                    <w:adjustRightInd w:val="0"/>
                    <w:snapToGrid w:val="0"/>
                    <w:jc w:val="both"/>
                    <w:rPr>
                      <w:rFonts w:ascii="Calibri" w:hAnsi="Calibri" w:cs="Calibri"/>
                      <w:szCs w:val="21"/>
                    </w:rPr>
                  </w:pPr>
                  <w:r>
                    <w:rPr>
                      <w:rFonts w:hint="default" w:ascii="Times New Roman" w:hAnsi="Times New Roman" w:cs="Times New Roman"/>
                      <w:color w:val="auto"/>
                    </w:rPr>
                    <w:t>3、厂内非道路移动机械全部达到国三及以上排放标准或使用新能源机械</w:t>
                  </w:r>
                  <w:r>
                    <w:rPr>
                      <w:rFonts w:hint="eastAsia" w:ascii="Times New Roman" w:hAnsi="Times New Roman" w:cs="Times New Roman"/>
                      <w:color w:val="auto"/>
                      <w:lang w:eastAsia="zh-CN"/>
                    </w:rPr>
                    <w:t>。</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p>
                  <w:pPr>
                    <w:adjustRightInd w:val="0"/>
                    <w:snapToGrid w:val="0"/>
                    <w:jc w:val="both"/>
                    <w:rPr>
                      <w:rFonts w:ascii="Calibri" w:hAnsi="Calibri" w:cs="Calibri"/>
                      <w:szCs w:val="21"/>
                    </w:rPr>
                  </w:pP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PrEx>
              <w:trPr>
                <w:trHeight w:val="0" w:hRule="atLeast"/>
                <w:jc w:val="center"/>
              </w:trPr>
              <w:tc>
                <w:tcPr>
                  <w:tcW w:w="713"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运输</w:t>
                  </w:r>
                </w:p>
                <w:p>
                  <w:pPr>
                    <w:adjustRightInd w:val="0"/>
                    <w:snapToGrid w:val="0"/>
                    <w:jc w:val="both"/>
                    <w:rPr>
                      <w:rFonts w:ascii="Calibri" w:hAnsi="Calibri" w:cs="Calibri"/>
                      <w:szCs w:val="21"/>
                    </w:rPr>
                  </w:pPr>
                  <w:r>
                    <w:rPr>
                      <w:rFonts w:ascii="Calibri" w:hAnsi="Calibri" w:cs="Calibri"/>
                      <w:szCs w:val="21"/>
                    </w:rPr>
                    <w:t>监管</w:t>
                  </w:r>
                </w:p>
              </w:tc>
              <w:tc>
                <w:tcPr>
                  <w:tcW w:w="3377"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参照《重污染天气重点行业移动源应急管理技术指南》建立门禁系统和电子台账。</w:t>
                  </w:r>
                </w:p>
              </w:tc>
              <w:tc>
                <w:tcPr>
                  <w:tcW w:w="3643" w:type="dxa"/>
                  <w:tcBorders>
                    <w:tl2br w:val="nil"/>
                    <w:tr2bl w:val="nil"/>
                  </w:tcBorders>
                  <w:vAlign w:val="center"/>
                </w:tcPr>
                <w:p>
                  <w:pPr>
                    <w:adjustRightInd w:val="0"/>
                    <w:snapToGrid w:val="0"/>
                    <w:jc w:val="both"/>
                    <w:rPr>
                      <w:rFonts w:ascii="Calibri" w:hAnsi="Calibri" w:cs="Calibri"/>
                      <w:szCs w:val="21"/>
                    </w:rPr>
                  </w:pPr>
                  <w:r>
                    <w:rPr>
                      <w:rFonts w:hint="eastAsia" w:ascii="Calibri" w:hAnsi="Calibri" w:cs="Calibri"/>
                      <w:szCs w:val="21"/>
                      <w:lang w:eastAsia="zh-CN"/>
                    </w:rPr>
                    <w:t>项目</w:t>
                  </w:r>
                  <w:r>
                    <w:rPr>
                      <w:rFonts w:ascii="Calibri" w:hAnsi="Calibri" w:cs="Calibri"/>
                      <w:szCs w:val="21"/>
                    </w:rPr>
                    <w:t>建设完成正常营运后，严格按照《重污染天气重点行业移动源应急管理技术指南》建立门禁系统和电子台账。配备门禁和视频监控系统1套，</w:t>
                  </w:r>
                  <w:r>
                    <w:rPr>
                      <w:rFonts w:hint="eastAsia" w:ascii="Calibri" w:hAnsi="Calibri" w:cs="Calibri"/>
                      <w:szCs w:val="21"/>
                      <w:lang w:val="en-US" w:eastAsia="zh-CN"/>
                    </w:rPr>
                    <w:t>并于西咸新区企业只能门禁系统联网，建立</w:t>
                  </w:r>
                  <w:r>
                    <w:rPr>
                      <w:rFonts w:ascii="Calibri" w:hAnsi="Calibri" w:cs="Calibri"/>
                      <w:szCs w:val="21"/>
                    </w:rPr>
                    <w:t>运输车辆电子台账。</w:t>
                  </w:r>
                </w:p>
              </w:tc>
              <w:tc>
                <w:tcPr>
                  <w:tcW w:w="446"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符合</w:t>
                  </w:r>
                </w:p>
              </w:tc>
            </w:tr>
          </w:tbl>
          <w:p>
            <w:pPr>
              <w:tabs>
                <w:tab w:val="left" w:pos="3150"/>
                <w:tab w:val="left" w:pos="4305"/>
              </w:tabs>
              <w:adjustRightInd w:val="0"/>
              <w:snapToGrid w:val="0"/>
              <w:spacing w:line="480" w:lineRule="exact"/>
              <w:ind w:firstLine="482" w:firstLineChars="200"/>
              <w:jc w:val="left"/>
              <w:rPr>
                <w:b/>
                <w:bCs/>
                <w:kern w:val="0"/>
                <w:sz w:val="24"/>
              </w:rPr>
            </w:pPr>
            <w:r>
              <w:rPr>
                <w:rFonts w:hint="eastAsia"/>
                <w:b/>
                <w:bCs/>
                <w:kern w:val="0"/>
                <w:sz w:val="24"/>
              </w:rPr>
              <w:t>4</w:t>
            </w:r>
            <w:r>
              <w:rPr>
                <w:b/>
                <w:bCs/>
                <w:kern w:val="0"/>
                <w:sz w:val="24"/>
              </w:rPr>
              <w:t>、项目选址符合性分析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kern w:val="0"/>
                <w:sz w:val="28"/>
                <w:szCs w:val="28"/>
                <w:highlight w:val="none"/>
                <w:lang w:val="en-US" w:eastAsia="zh-CN" w:bidi="ar"/>
              </w:rPr>
            </w:pPr>
            <w:r>
              <w:rPr>
                <w:bCs/>
                <w:sz w:val="24"/>
                <w:highlight w:val="none"/>
              </w:rPr>
              <w:t>项目位于</w:t>
            </w:r>
            <w:r>
              <w:rPr>
                <w:rFonts w:hint="eastAsia"/>
                <w:bCs/>
                <w:sz w:val="24"/>
                <w:highlight w:val="none"/>
              </w:rPr>
              <w:t>陕西省西安市泾河新城永乐镇磨子桥村二组西北段</w:t>
            </w:r>
            <w:r>
              <w:rPr>
                <w:bCs/>
                <w:sz w:val="24"/>
                <w:highlight w:val="none"/>
              </w:rPr>
              <w:t>，</w:t>
            </w:r>
            <w:r>
              <w:rPr>
                <w:rFonts w:hint="eastAsia"/>
                <w:bCs/>
                <w:sz w:val="24"/>
                <w:highlight w:val="none"/>
                <w:lang w:val="en-US" w:eastAsia="zh-CN"/>
              </w:rPr>
              <w:t>原磨子桥砖厂，</w:t>
            </w:r>
            <w:r>
              <w:rPr>
                <w:bCs/>
                <w:sz w:val="24"/>
                <w:highlight w:val="none"/>
              </w:rPr>
              <w:t>属于</w:t>
            </w:r>
            <w:r>
              <w:rPr>
                <w:rFonts w:hint="eastAsia"/>
                <w:bCs/>
                <w:sz w:val="24"/>
                <w:highlight w:val="none"/>
              </w:rPr>
              <w:t>独立工矿</w:t>
            </w:r>
            <w:r>
              <w:rPr>
                <w:rFonts w:hint="eastAsia"/>
                <w:bCs/>
                <w:sz w:val="24"/>
                <w:highlight w:val="none"/>
                <w:lang w:val="en-US" w:eastAsia="zh-CN"/>
              </w:rPr>
              <w:t>区</w:t>
            </w:r>
            <w:r>
              <w:rPr>
                <w:rFonts w:hint="eastAsia"/>
                <w:bCs/>
                <w:sz w:val="24"/>
                <w:highlight w:val="none"/>
                <w:lang w:eastAsia="zh-CN"/>
              </w:rPr>
              <w:t>（</w:t>
            </w:r>
            <w:r>
              <w:rPr>
                <w:rFonts w:hint="eastAsia"/>
                <w:bCs/>
                <w:sz w:val="24"/>
                <w:highlight w:val="none"/>
                <w:lang w:val="en-US" w:eastAsia="zh-CN"/>
              </w:rPr>
              <w:t>见附件3，附图7</w:t>
            </w:r>
            <w:r>
              <w:rPr>
                <w:rFonts w:hint="eastAsia"/>
                <w:bCs/>
                <w:sz w:val="24"/>
                <w:highlight w:val="none"/>
                <w:lang w:eastAsia="zh-CN"/>
              </w:rPr>
              <w:t>）</w:t>
            </w:r>
            <w:r>
              <w:rPr>
                <w:bCs/>
                <w:sz w:val="24"/>
                <w:highlight w:val="none"/>
              </w:rPr>
              <w:t>。</w:t>
            </w:r>
            <w:r>
              <w:rPr>
                <w:rFonts w:hint="eastAsia"/>
                <w:bCs/>
                <w:sz w:val="24"/>
                <w:highlight w:val="none"/>
                <w:lang w:val="en-US" w:eastAsia="zh-CN"/>
              </w:rPr>
              <w:t>该地块</w:t>
            </w:r>
            <w:r>
              <w:rPr>
                <w:rFonts w:hint="eastAsia"/>
                <w:bCs/>
                <w:sz w:val="24"/>
                <w:highlight w:val="none"/>
              </w:rPr>
              <w:t>属于</w:t>
            </w:r>
            <w:r>
              <w:rPr>
                <w:rFonts w:hint="eastAsia"/>
                <w:bCs/>
                <w:sz w:val="24"/>
                <w:highlight w:val="none"/>
                <w:lang w:val="en-US" w:eastAsia="zh-CN"/>
              </w:rPr>
              <w:t>泾阳县永乐镇磨子桥</w:t>
            </w:r>
            <w:r>
              <w:rPr>
                <w:rFonts w:hint="eastAsia"/>
                <w:bCs/>
                <w:sz w:val="24"/>
                <w:highlight w:val="none"/>
              </w:rPr>
              <w:t>所有，20</w:t>
            </w:r>
            <w:r>
              <w:rPr>
                <w:rFonts w:hint="eastAsia"/>
                <w:bCs/>
                <w:sz w:val="24"/>
                <w:highlight w:val="none"/>
                <w:lang w:val="en-US" w:eastAsia="zh-CN"/>
              </w:rPr>
              <w:t>12</w:t>
            </w:r>
            <w:r>
              <w:rPr>
                <w:rFonts w:hint="eastAsia"/>
                <w:bCs/>
                <w:sz w:val="24"/>
                <w:highlight w:val="none"/>
              </w:rPr>
              <w:t>年</w:t>
            </w:r>
            <w:r>
              <w:rPr>
                <w:rFonts w:hint="eastAsia"/>
                <w:bCs/>
                <w:sz w:val="24"/>
                <w:highlight w:val="none"/>
                <w:lang w:val="en-US" w:eastAsia="zh-CN"/>
              </w:rPr>
              <w:t>7</w:t>
            </w:r>
            <w:r>
              <w:rPr>
                <w:rFonts w:hint="eastAsia"/>
                <w:bCs/>
                <w:sz w:val="24"/>
                <w:highlight w:val="none"/>
              </w:rPr>
              <w:t>月</w:t>
            </w:r>
            <w:r>
              <w:rPr>
                <w:rFonts w:hint="eastAsia"/>
                <w:bCs/>
                <w:sz w:val="24"/>
                <w:highlight w:val="none"/>
                <w:lang w:val="en-US" w:eastAsia="zh-CN"/>
              </w:rPr>
              <w:t>10</w:t>
            </w:r>
            <w:r>
              <w:rPr>
                <w:rFonts w:hint="eastAsia"/>
                <w:bCs/>
                <w:sz w:val="24"/>
                <w:highlight w:val="none"/>
              </w:rPr>
              <w:t>日</w:t>
            </w:r>
            <w:r>
              <w:rPr>
                <w:rFonts w:hint="eastAsia"/>
                <w:bCs/>
                <w:sz w:val="24"/>
                <w:highlight w:val="none"/>
                <w:lang w:val="en-US" w:eastAsia="zh-CN"/>
              </w:rPr>
              <w:t>泾阳县用永乐镇磨子桥村委会</w:t>
            </w:r>
            <w:r>
              <w:rPr>
                <w:rFonts w:hint="eastAsia"/>
                <w:bCs/>
                <w:sz w:val="24"/>
                <w:highlight w:val="none"/>
              </w:rPr>
              <w:t>与高维先生签署场地租用合同，将东北角部分场地、路面的使用权出租给个人，使用年限为</w:t>
            </w:r>
            <w:r>
              <w:rPr>
                <w:rFonts w:hint="eastAsia"/>
                <w:bCs/>
                <w:sz w:val="24"/>
                <w:highlight w:val="none"/>
                <w:lang w:val="en-US" w:eastAsia="zh-CN"/>
              </w:rPr>
              <w:t>30</w:t>
            </w:r>
            <w:r>
              <w:rPr>
                <w:rFonts w:hint="eastAsia"/>
                <w:bCs/>
                <w:sz w:val="24"/>
                <w:highlight w:val="none"/>
              </w:rPr>
              <w:t>年</w:t>
            </w:r>
            <w:r>
              <w:rPr>
                <w:rFonts w:hint="eastAsia"/>
                <w:bCs/>
                <w:sz w:val="24"/>
                <w:highlight w:val="none"/>
                <w:lang w:eastAsia="zh-CN"/>
              </w:rPr>
              <w:t>。</w:t>
            </w:r>
            <w:r>
              <w:rPr>
                <w:rFonts w:hint="eastAsia"/>
                <w:bCs/>
                <w:sz w:val="24"/>
                <w:highlight w:val="none"/>
              </w:rPr>
              <w:t>高维先生在场地建设厂房（面积为6000㎡），2023年7月15号陕西恩泽装饰材料有限公司永乐第一分公司与高维先生签署租赁合同，同意将C幢厂房（6000㎡）作为</w:t>
            </w:r>
            <w:r>
              <w:rPr>
                <w:rFonts w:hint="eastAsia"/>
                <w:bCs/>
                <w:sz w:val="24"/>
                <w:highlight w:val="none"/>
                <w:lang w:eastAsia="zh-CN"/>
              </w:rPr>
              <w:t>项目</w:t>
            </w:r>
            <w:r>
              <w:rPr>
                <w:rFonts w:hint="eastAsia"/>
                <w:bCs/>
                <w:sz w:val="24"/>
                <w:highlight w:val="none"/>
              </w:rPr>
              <w:t>生产基地（租赁合同</w:t>
            </w:r>
            <w:r>
              <w:rPr>
                <w:bCs/>
                <w:sz w:val="24"/>
                <w:highlight w:val="none"/>
              </w:rPr>
              <w:t>见附件</w:t>
            </w:r>
            <w:r>
              <w:rPr>
                <w:rFonts w:hint="eastAsia"/>
                <w:bCs/>
                <w:sz w:val="24"/>
                <w:highlight w:val="none"/>
              </w:rPr>
              <w:t>2）</w:t>
            </w:r>
            <w:r>
              <w:rPr>
                <w:rFonts w:hint="eastAsia"/>
                <w:bCs/>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sz w:val="24"/>
                <w:lang w:val="en-US"/>
              </w:rPr>
            </w:pPr>
            <w:r>
              <w:rPr>
                <w:rFonts w:hint="eastAsia" w:cs="Times New Roman"/>
                <w:snapToGrid/>
                <w:color w:val="000000"/>
                <w:kern w:val="2"/>
                <w:sz w:val="24"/>
                <w:lang w:val="en-US" w:eastAsia="zh-CN"/>
              </w:rPr>
              <w:t>根据现场调查，项目租用现有工业厂房。</w:t>
            </w:r>
            <w:r>
              <w:rPr>
                <w:rFonts w:hint="default" w:ascii="Times New Roman" w:hAnsi="Times New Roman" w:eastAsia="宋体" w:cs="Times New Roman"/>
                <w:snapToGrid/>
                <w:color w:val="000000"/>
                <w:kern w:val="2"/>
                <w:sz w:val="24"/>
                <w:lang w:val="en-US" w:eastAsia="zh-CN"/>
              </w:rPr>
              <w:t>根据《</w:t>
            </w:r>
            <w:r>
              <w:rPr>
                <w:rFonts w:hint="default" w:ascii="Times New Roman" w:hAnsi="Times New Roman" w:eastAsia="宋体" w:cs="Times New Roman"/>
                <w:color w:val="000000"/>
                <w:sz w:val="24"/>
                <w:szCs w:val="24"/>
                <w:lang w:val="en-US" w:eastAsia="zh-CN"/>
              </w:rPr>
              <w:t>陕西省西咸新区泾河新城控制性详细规划（2016-2035）</w:t>
            </w:r>
            <w:r>
              <w:rPr>
                <w:rFonts w:hint="default" w:ascii="Times New Roman" w:hAnsi="Times New Roman" w:eastAsia="宋体" w:cs="Times New Roman"/>
                <w:snapToGrid/>
                <w:color w:val="000000"/>
                <w:kern w:val="2"/>
                <w:sz w:val="24"/>
                <w:lang w:val="en-US" w:eastAsia="zh-CN"/>
              </w:rPr>
              <w:t>》，本项目所在地规划为</w:t>
            </w:r>
            <w:r>
              <w:rPr>
                <w:rFonts w:hint="eastAsia" w:ascii="Times New Roman" w:hAnsi="Times New Roman" w:eastAsia="宋体" w:cs="Times New Roman"/>
                <w:snapToGrid/>
                <w:color w:val="000000"/>
                <w:kern w:val="2"/>
                <w:sz w:val="24"/>
                <w:lang w:val="en-US" w:eastAsia="zh-CN"/>
              </w:rPr>
              <w:t>绿化</w:t>
            </w:r>
            <w:r>
              <w:rPr>
                <w:rFonts w:hint="default" w:ascii="Times New Roman" w:hAnsi="Times New Roman" w:eastAsia="宋体" w:cs="Times New Roman"/>
                <w:snapToGrid/>
                <w:color w:val="000000"/>
                <w:kern w:val="2"/>
                <w:sz w:val="24"/>
                <w:lang w:val="en-US" w:eastAsia="zh-CN"/>
              </w:rPr>
              <w:t>用地</w:t>
            </w:r>
            <w:r>
              <w:rPr>
                <w:rFonts w:hint="eastAsia" w:ascii="Times New Roman" w:hAnsi="Times New Roman" w:eastAsia="宋体" w:cs="Times New Roman"/>
                <w:snapToGrid/>
                <w:color w:val="000000"/>
                <w:kern w:val="2"/>
                <w:sz w:val="24"/>
                <w:lang w:val="en-US" w:eastAsia="zh-CN"/>
              </w:rPr>
              <w:t>（附图6）</w:t>
            </w:r>
            <w:r>
              <w:rPr>
                <w:rFonts w:hint="default" w:ascii="Times New Roman" w:hAnsi="Times New Roman" w:eastAsia="宋体" w:cs="Times New Roman"/>
                <w:snapToGrid/>
                <w:color w:val="000000"/>
                <w:kern w:val="2"/>
                <w:sz w:val="24"/>
                <w:lang w:val="en-US" w:eastAsia="zh-CN"/>
              </w:rPr>
              <w:t>，现状用地性质与规划不符</w:t>
            </w:r>
            <w:r>
              <w:rPr>
                <w:rFonts w:hint="eastAsia" w:cs="Times New Roman"/>
                <w:snapToGrid/>
                <w:color w:val="000000"/>
                <w:kern w:val="2"/>
                <w:sz w:val="24"/>
                <w:lang w:val="en-US" w:eastAsia="zh-CN"/>
              </w:rPr>
              <w:t>。项目不属于泾河新城禁止建设项目，符合产业政策要求，项目在承诺因</w:t>
            </w:r>
            <w:r>
              <w:rPr>
                <w:rFonts w:hint="default" w:ascii="Times New Roman" w:hAnsi="Times New Roman" w:eastAsia="宋体" w:cs="Times New Roman"/>
                <w:snapToGrid/>
                <w:color w:val="000000"/>
                <w:kern w:val="2"/>
                <w:sz w:val="24"/>
                <w:lang w:val="en-US" w:eastAsia="zh-CN"/>
              </w:rPr>
              <w:t>规划</w:t>
            </w:r>
            <w:r>
              <w:rPr>
                <w:rFonts w:hint="eastAsia" w:cs="Times New Roman"/>
                <w:snapToGrid/>
                <w:color w:val="000000"/>
                <w:kern w:val="2"/>
                <w:sz w:val="24"/>
                <w:lang w:val="en-US" w:eastAsia="zh-CN"/>
              </w:rPr>
              <w:t>需要</w:t>
            </w:r>
            <w:r>
              <w:rPr>
                <w:rFonts w:hint="default" w:ascii="Times New Roman" w:hAnsi="Times New Roman" w:eastAsia="宋体" w:cs="Times New Roman"/>
                <w:snapToGrid/>
                <w:color w:val="000000"/>
                <w:kern w:val="2"/>
                <w:sz w:val="24"/>
                <w:lang w:val="en-US" w:eastAsia="zh-CN"/>
              </w:rPr>
              <w:t>无条件</w:t>
            </w:r>
            <w:r>
              <w:rPr>
                <w:rFonts w:hint="eastAsia" w:cs="Times New Roman"/>
                <w:snapToGrid/>
                <w:color w:val="000000"/>
                <w:kern w:val="2"/>
                <w:sz w:val="24"/>
                <w:lang w:val="en-US" w:eastAsia="zh-CN"/>
              </w:rPr>
              <w:t>搬迁的情况下（</w:t>
            </w:r>
            <w:r>
              <w:rPr>
                <w:rFonts w:hint="default" w:ascii="Times New Roman" w:hAnsi="Times New Roman" w:eastAsia="宋体" w:cs="Times New Roman"/>
                <w:snapToGrid/>
                <w:color w:val="000000"/>
                <w:kern w:val="2"/>
                <w:sz w:val="24"/>
                <w:lang w:val="en-US" w:eastAsia="zh-CN"/>
              </w:rPr>
              <w:t>承诺书见附件</w:t>
            </w:r>
            <w:r>
              <w:rPr>
                <w:rFonts w:hint="eastAsia" w:cs="Times New Roman"/>
                <w:snapToGrid/>
                <w:color w:val="000000"/>
                <w:kern w:val="2"/>
                <w:sz w:val="24"/>
                <w:lang w:val="en-US" w:eastAsia="zh-CN"/>
              </w:rPr>
              <w:t>14），基本符合规划要求。</w:t>
            </w:r>
          </w:p>
          <w:p>
            <w:pPr>
              <w:tabs>
                <w:tab w:val="left" w:pos="3150"/>
                <w:tab w:val="left" w:pos="4305"/>
              </w:tabs>
              <w:adjustRightInd w:val="0"/>
              <w:snapToGrid w:val="0"/>
              <w:spacing w:line="480" w:lineRule="exact"/>
              <w:ind w:firstLine="480" w:firstLineChars="200"/>
              <w:jc w:val="left"/>
              <w:rPr>
                <w:kern w:val="0"/>
                <w:sz w:val="24"/>
              </w:rPr>
            </w:pPr>
            <w:r>
              <w:rPr>
                <w:bCs/>
                <w:sz w:val="24"/>
                <w:highlight w:val="none"/>
              </w:rPr>
              <w:t>据现场踏勘，</w:t>
            </w:r>
            <w:r>
              <w:rPr>
                <w:rFonts w:hint="eastAsia"/>
                <w:kern w:val="0"/>
                <w:sz w:val="24"/>
              </w:rPr>
              <w:t>厂界外500m范围内不涉及地下水集中式饮用水水源和热水、矿泉水、温泉等特殊地下水资源；项目评价区范围内无自然保护区、风景名胜区森林公园、地质遗址保护区、生态功能保护区、文物古迹及水源地等需要特殊保护的环境敏感对象，且项目运营期产生的废气、废水、噪声和固体废物在采用相应的污染防治措施后，项目“三废”均能做到达标排放或合格处置，</w:t>
            </w:r>
            <w:r>
              <w:rPr>
                <w:kern w:val="0"/>
                <w:sz w:val="24"/>
              </w:rPr>
              <w:t>因此，</w:t>
            </w:r>
            <w:r>
              <w:rPr>
                <w:rFonts w:hint="eastAsia"/>
                <w:kern w:val="0"/>
                <w:sz w:val="24"/>
              </w:rPr>
              <w:t>从环境保护角度分析，</w:t>
            </w:r>
            <w:r>
              <w:rPr>
                <w:rFonts w:hint="eastAsia"/>
                <w:kern w:val="0"/>
                <w:sz w:val="24"/>
                <w:lang w:eastAsia="zh-CN"/>
              </w:rPr>
              <w:t>项目</w:t>
            </w:r>
            <w:r>
              <w:rPr>
                <w:kern w:val="0"/>
                <w:sz w:val="24"/>
              </w:rPr>
              <w:t>选址</w:t>
            </w:r>
            <w:r>
              <w:rPr>
                <w:rFonts w:hint="eastAsia"/>
                <w:kern w:val="0"/>
                <w:sz w:val="24"/>
              </w:rPr>
              <w:t>可行</w:t>
            </w:r>
            <w:r>
              <w:rPr>
                <w:kern w:val="0"/>
                <w:sz w:val="24"/>
              </w:rPr>
              <w:t>。</w:t>
            </w:r>
          </w:p>
          <w:p>
            <w:pPr>
              <w:pStyle w:val="41"/>
              <w:ind w:firstLine="0" w:firstLineChars="0"/>
              <w:rPr>
                <w:rFonts w:eastAsia="宋体"/>
                <w:sz w:val="21"/>
                <w:szCs w:val="21"/>
                <w:highlight w:val="yellow"/>
              </w:rPr>
            </w:pPr>
          </w:p>
        </w:tc>
      </w:tr>
    </w:tbl>
    <w:p>
      <w:pPr>
        <w:pStyle w:val="2"/>
        <w:spacing w:before="0" w:after="0" w:line="240" w:lineRule="auto"/>
        <w:jc w:val="center"/>
        <w:rPr>
          <w:rFonts w:ascii="宋体" w:hAnsi="宋体" w:cs="宋体"/>
          <w:bCs w:val="0"/>
          <w:sz w:val="32"/>
          <w:szCs w:val="32"/>
        </w:rPr>
      </w:pPr>
      <w:r>
        <w:rPr>
          <w:rFonts w:hint="eastAsia" w:ascii="宋体" w:hAnsi="宋体" w:cs="宋体"/>
          <w:bCs w:val="0"/>
          <w:sz w:val="32"/>
          <w:szCs w:val="32"/>
        </w:rPr>
        <w:t>二、建设项目工程分析</w:t>
      </w:r>
    </w:p>
    <w:tbl>
      <w:tblPr>
        <w:tblStyle w:val="29"/>
        <w:tblW w:w="5025"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108" w:type="dxa"/>
          <w:bottom w:w="0" w:type="dxa"/>
          <w:right w:w="108" w:type="dxa"/>
        </w:tblCellMar>
      </w:tblPr>
      <w:tblGrid>
        <w:gridCol w:w="1099"/>
        <w:gridCol w:w="823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2114" w:hRule="atLeast"/>
        </w:trPr>
        <w:tc>
          <w:tcPr>
            <w:tcW w:w="589" w:type="pct"/>
            <w:vAlign w:val="center"/>
          </w:tcPr>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r>
              <w:t>建设内容</w:t>
            </w: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r>
              <w:t>建设内容</w:t>
            </w: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pStyle w:val="3"/>
              <w:rPr>
                <w:rFonts w:ascii="Times New Roman" w:hAnsi="Times New Roman" w:eastAsia="宋体"/>
              </w:rPr>
            </w:pPr>
          </w:p>
          <w:p/>
          <w:p/>
          <w:p>
            <w:pPr>
              <w:pStyle w:val="3"/>
              <w:rPr>
                <w:rFonts w:ascii="Times New Roman" w:hAnsi="Times New Roman" w:eastAsia="宋体"/>
              </w:rPr>
            </w:pPr>
          </w:p>
          <w:p>
            <w:pPr>
              <w:adjustRightInd w:val="0"/>
              <w:snapToGrid w:val="0"/>
              <w:spacing w:line="360" w:lineRule="auto"/>
              <w:jc w:val="center"/>
            </w:pPr>
            <w:r>
              <w:t>建设内容</w:t>
            </w: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pPr>
          </w:p>
          <w:p>
            <w:pPr>
              <w:pStyle w:val="28"/>
              <w:ind w:firstLine="480"/>
            </w:pPr>
          </w:p>
          <w:p/>
          <w:p>
            <w:pPr>
              <w:pStyle w:val="28"/>
              <w:ind w:firstLine="480"/>
            </w:pPr>
          </w:p>
          <w:p/>
          <w:p>
            <w:pPr>
              <w:adjustRightInd w:val="0"/>
              <w:snapToGrid w:val="0"/>
              <w:spacing w:line="360" w:lineRule="auto"/>
              <w:jc w:val="center"/>
            </w:pPr>
          </w:p>
          <w:p>
            <w:pPr>
              <w:adjustRightInd w:val="0"/>
              <w:snapToGrid w:val="0"/>
              <w:spacing w:line="360" w:lineRule="auto"/>
              <w:jc w:val="center"/>
            </w:pPr>
          </w:p>
          <w:p>
            <w:pPr>
              <w:adjustRightInd w:val="0"/>
              <w:snapToGrid w:val="0"/>
              <w:spacing w:line="360" w:lineRule="auto"/>
              <w:jc w:val="center"/>
            </w:pPr>
            <w:r>
              <w:t>建设内容</w:t>
            </w: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pStyle w:val="28"/>
              <w:ind w:firstLine="480"/>
            </w:pPr>
          </w:p>
          <w:p/>
          <w:p>
            <w:pPr>
              <w:pStyle w:val="28"/>
              <w:ind w:firstLine="480"/>
            </w:pPr>
          </w:p>
          <w:p/>
          <w:p>
            <w:pPr>
              <w:pStyle w:val="28"/>
              <w:ind w:firstLine="480"/>
            </w:pPr>
          </w:p>
          <w:p/>
          <w:p>
            <w:pPr>
              <w:adjustRightInd w:val="0"/>
              <w:snapToGrid w:val="0"/>
              <w:spacing w:line="360" w:lineRule="auto"/>
              <w:jc w:val="center"/>
            </w:pPr>
            <w:r>
              <w:t>建设内容</w:t>
            </w:r>
          </w:p>
        </w:tc>
        <w:tc>
          <w:tcPr>
            <w:tcW w:w="4410" w:type="pct"/>
            <w:shd w:val="clear" w:color="auto" w:fill="auto"/>
            <w:vAlign w:val="center"/>
          </w:tcPr>
          <w:p>
            <w:pPr>
              <w:adjustRightInd w:val="0"/>
              <w:snapToGrid w:val="0"/>
              <w:spacing w:line="360" w:lineRule="auto"/>
              <w:rPr>
                <w:b/>
                <w:bCs/>
                <w:sz w:val="24"/>
              </w:rPr>
            </w:pPr>
            <w:r>
              <w:rPr>
                <w:b/>
                <w:bCs/>
                <w:sz w:val="24"/>
              </w:rPr>
              <w:t>1、</w:t>
            </w:r>
            <w:r>
              <w:rPr>
                <w:rFonts w:hint="eastAsia"/>
                <w:b/>
                <w:bCs/>
                <w:sz w:val="24"/>
              </w:rPr>
              <w:t>工程</w:t>
            </w:r>
            <w:r>
              <w:rPr>
                <w:b/>
                <w:bCs/>
                <w:sz w:val="24"/>
              </w:rPr>
              <w:t>概况</w:t>
            </w:r>
          </w:p>
          <w:p>
            <w:pPr>
              <w:adjustRightInd w:val="0"/>
              <w:snapToGrid w:val="0"/>
              <w:spacing w:line="360" w:lineRule="auto"/>
              <w:ind w:firstLine="480" w:firstLineChars="200"/>
              <w:rPr>
                <w:sz w:val="24"/>
              </w:rPr>
            </w:pPr>
            <w:r>
              <w:rPr>
                <w:sz w:val="24"/>
              </w:rPr>
              <w:t>项目名称：</w:t>
            </w:r>
            <w:r>
              <w:rPr>
                <w:rFonts w:hint="eastAsia"/>
                <w:sz w:val="24"/>
              </w:rPr>
              <w:t>铝方通喷塑、木纹转印、覆膜生产线建设项目</w:t>
            </w:r>
          </w:p>
          <w:p>
            <w:pPr>
              <w:adjustRightInd w:val="0"/>
              <w:snapToGrid w:val="0"/>
              <w:spacing w:line="360" w:lineRule="auto"/>
              <w:ind w:firstLine="480" w:firstLineChars="200"/>
              <w:rPr>
                <w:rFonts w:eastAsia="仿宋_GB2312"/>
                <w:sz w:val="36"/>
                <w:szCs w:val="36"/>
                <w:u w:val="single"/>
              </w:rPr>
            </w:pPr>
            <w:r>
              <w:rPr>
                <w:sz w:val="24"/>
              </w:rPr>
              <w:t>建设单位：</w:t>
            </w:r>
            <w:r>
              <w:rPr>
                <w:rFonts w:hint="eastAsia"/>
                <w:sz w:val="24"/>
              </w:rPr>
              <w:t>陕西恩泽装饰材料有限公司永乐第一分公司</w:t>
            </w:r>
          </w:p>
          <w:p>
            <w:pPr>
              <w:adjustRightInd w:val="0"/>
              <w:snapToGrid w:val="0"/>
              <w:spacing w:line="360" w:lineRule="auto"/>
              <w:ind w:firstLine="480" w:firstLineChars="200"/>
              <w:rPr>
                <w:sz w:val="24"/>
              </w:rPr>
            </w:pPr>
            <w:r>
              <w:rPr>
                <w:sz w:val="24"/>
              </w:rPr>
              <w:t>建设性质：新建</w:t>
            </w:r>
          </w:p>
          <w:p>
            <w:pPr>
              <w:adjustRightInd w:val="0"/>
              <w:snapToGrid w:val="0"/>
              <w:spacing w:line="360" w:lineRule="auto"/>
              <w:ind w:firstLine="480" w:firstLineChars="200"/>
              <w:rPr>
                <w:rFonts w:hint="eastAsia"/>
                <w:bCs/>
                <w:sz w:val="24"/>
                <w:highlight w:val="none"/>
                <w:lang w:eastAsia="zh-CN"/>
              </w:rPr>
            </w:pPr>
            <w:r>
              <w:rPr>
                <w:sz w:val="24"/>
              </w:rPr>
              <w:t>建设地点：</w:t>
            </w:r>
            <w:r>
              <w:rPr>
                <w:rFonts w:hint="eastAsia"/>
                <w:sz w:val="24"/>
              </w:rPr>
              <w:t>陕西省西安市泾河新城永乐镇磨子桥村二组西北段</w:t>
            </w:r>
            <w:r>
              <w:rPr>
                <w:rFonts w:hint="eastAsia"/>
                <w:sz w:val="24"/>
                <w:lang w:eastAsia="zh-CN"/>
              </w:rPr>
              <w:t>，</w:t>
            </w:r>
            <w:r>
              <w:rPr>
                <w:rFonts w:hint="eastAsia"/>
                <w:bCs/>
                <w:sz w:val="24"/>
                <w:highlight w:val="none"/>
              </w:rPr>
              <w:t>项目</w:t>
            </w:r>
            <w:r>
              <w:rPr>
                <w:bCs/>
                <w:sz w:val="24"/>
                <w:highlight w:val="none"/>
              </w:rPr>
              <w:t>中心地理坐标东经108</w:t>
            </w:r>
            <w:r>
              <w:rPr>
                <w:rFonts w:hint="eastAsia"/>
                <w:bCs/>
                <w:sz w:val="24"/>
                <w:highlight w:val="none"/>
              </w:rPr>
              <w:t>度</w:t>
            </w:r>
            <w:r>
              <w:rPr>
                <w:bCs/>
                <w:sz w:val="24"/>
                <w:highlight w:val="none"/>
              </w:rPr>
              <w:t>5</w:t>
            </w:r>
            <w:r>
              <w:rPr>
                <w:rFonts w:hint="eastAsia"/>
                <w:bCs/>
                <w:sz w:val="24"/>
                <w:highlight w:val="none"/>
              </w:rPr>
              <w:t>7分33.714秒，</w:t>
            </w:r>
            <w:r>
              <w:rPr>
                <w:bCs/>
                <w:sz w:val="24"/>
                <w:highlight w:val="none"/>
              </w:rPr>
              <w:t>北纬34</w:t>
            </w:r>
            <w:r>
              <w:rPr>
                <w:rFonts w:hint="eastAsia"/>
                <w:bCs/>
                <w:sz w:val="24"/>
                <w:highlight w:val="none"/>
              </w:rPr>
              <w:t>度32分48.929秒（项目地理位置见附图1）</w:t>
            </w:r>
            <w:r>
              <w:rPr>
                <w:rFonts w:hint="eastAsia"/>
                <w:bCs/>
                <w:sz w:val="24"/>
                <w:highlight w:val="none"/>
                <w:lang w:eastAsia="zh-CN"/>
              </w:rPr>
              <w:t>。</w:t>
            </w:r>
          </w:p>
          <w:p>
            <w:pPr>
              <w:adjustRightInd w:val="0"/>
              <w:snapToGrid w:val="0"/>
              <w:spacing w:line="360" w:lineRule="auto"/>
              <w:ind w:firstLine="480" w:firstLineChars="200"/>
              <w:rPr>
                <w:rFonts w:hint="eastAsia" w:eastAsia="宋体"/>
                <w:bCs/>
                <w:sz w:val="24"/>
                <w:highlight w:val="none"/>
                <w:lang w:val="en-US" w:eastAsia="zh-CN"/>
              </w:rPr>
            </w:pPr>
            <w:r>
              <w:rPr>
                <w:rFonts w:hint="eastAsia"/>
                <w:bCs/>
                <w:sz w:val="24"/>
                <w:highlight w:val="none"/>
                <w:lang w:val="en-US" w:eastAsia="zh-CN"/>
              </w:rPr>
              <w:t>四邻关系：</w:t>
            </w:r>
            <w:r>
              <w:rPr>
                <w:rFonts w:hint="eastAsia"/>
                <w:sz w:val="24"/>
              </w:rPr>
              <w:t>陕西省西安市泾河新城永乐镇磨子桥村二组西北段</w:t>
            </w:r>
            <w:r>
              <w:rPr>
                <w:rFonts w:hint="eastAsia"/>
                <w:sz w:val="24"/>
                <w:lang w:eastAsia="zh-CN"/>
              </w:rPr>
              <w:t>，</w:t>
            </w:r>
            <w:r>
              <w:rPr>
                <w:rFonts w:hint="eastAsia"/>
                <w:bCs/>
                <w:sz w:val="24"/>
                <w:highlight w:val="none"/>
                <w:lang w:eastAsia="zh-CN"/>
              </w:rPr>
              <w:t>项目</w:t>
            </w:r>
            <w:r>
              <w:rPr>
                <w:rFonts w:hint="eastAsia"/>
                <w:bCs/>
                <w:sz w:val="24"/>
                <w:highlight w:val="none"/>
              </w:rPr>
              <w:t>东侧为农田，隔高干渠（灌溉渠）为北程村，</w:t>
            </w:r>
            <w:r>
              <w:rPr>
                <w:rFonts w:hint="eastAsia"/>
                <w:kern w:val="0"/>
                <w:sz w:val="24"/>
                <w:highlight w:val="none"/>
              </w:rPr>
              <w:t>距离102m，南侧</w:t>
            </w:r>
            <w:r>
              <w:rPr>
                <w:rFonts w:hint="eastAsia"/>
                <w:bCs/>
                <w:sz w:val="24"/>
                <w:highlight w:val="none"/>
              </w:rPr>
              <w:t>为陕西新雅有限公司，西侧为陕西润枫物流有限公司</w:t>
            </w:r>
            <w:r>
              <w:rPr>
                <w:rFonts w:hint="eastAsia"/>
                <w:kern w:val="0"/>
                <w:sz w:val="24"/>
                <w:highlight w:val="none"/>
              </w:rPr>
              <w:t>，</w:t>
            </w:r>
            <w:r>
              <w:rPr>
                <w:rFonts w:hint="eastAsia"/>
                <w:kern w:val="0"/>
                <w:sz w:val="24"/>
              </w:rPr>
              <w:t>项目四邻关系见附图2</w:t>
            </w:r>
            <w:r>
              <w:rPr>
                <w:rFonts w:hint="eastAsia"/>
                <w:kern w:val="0"/>
                <w:sz w:val="24"/>
                <w:lang w:eastAsia="zh-CN"/>
              </w:rPr>
              <w:t>。</w:t>
            </w:r>
          </w:p>
          <w:p>
            <w:pPr>
              <w:adjustRightInd w:val="0"/>
              <w:snapToGrid w:val="0"/>
              <w:spacing w:line="360" w:lineRule="auto"/>
              <w:rPr>
                <w:b/>
                <w:bCs/>
                <w:sz w:val="24"/>
              </w:rPr>
            </w:pPr>
            <w:r>
              <w:rPr>
                <w:rFonts w:hint="eastAsia"/>
                <w:b/>
                <w:bCs/>
                <w:sz w:val="24"/>
              </w:rPr>
              <w:t>2、建设规模</w:t>
            </w:r>
          </w:p>
          <w:p>
            <w:pPr>
              <w:adjustRightInd w:val="0"/>
              <w:snapToGrid w:val="0"/>
              <w:spacing w:line="360" w:lineRule="auto"/>
              <w:ind w:firstLine="480" w:firstLineChars="200"/>
              <w:rPr>
                <w:sz w:val="24"/>
              </w:rPr>
            </w:pPr>
            <w:r>
              <w:rPr>
                <w:sz w:val="24"/>
              </w:rPr>
              <w:t>建设规模：</w:t>
            </w:r>
            <w:r>
              <w:rPr>
                <w:rFonts w:hint="eastAsia"/>
                <w:sz w:val="24"/>
              </w:rPr>
              <w:t>年产1200吨铝方通喷塑铝材、200吨铝方通木纹转印铝材、200吨高分子覆膜铝材</w:t>
            </w:r>
          </w:p>
          <w:p>
            <w:pPr>
              <w:adjustRightInd w:val="0"/>
              <w:snapToGrid w:val="0"/>
              <w:spacing w:line="360" w:lineRule="auto"/>
              <w:ind w:firstLine="480" w:firstLineChars="200"/>
              <w:rPr>
                <w:sz w:val="24"/>
              </w:rPr>
            </w:pPr>
            <w:r>
              <w:rPr>
                <w:rFonts w:hint="eastAsia"/>
                <w:sz w:val="24"/>
                <w:lang w:eastAsia="zh-CN"/>
              </w:rPr>
              <w:t>项目</w:t>
            </w:r>
            <w:r>
              <w:rPr>
                <w:rFonts w:hint="eastAsia"/>
                <w:sz w:val="24"/>
              </w:rPr>
              <w:t>占地面积6000</w:t>
            </w:r>
            <w:r>
              <w:rPr>
                <w:sz w:val="24"/>
              </w:rPr>
              <w:t>m</w:t>
            </w:r>
            <w:r>
              <w:rPr>
                <w:sz w:val="24"/>
                <w:vertAlign w:val="superscript"/>
              </w:rPr>
              <w:t>2</w:t>
            </w:r>
            <w:r>
              <w:rPr>
                <w:rFonts w:hint="eastAsia"/>
                <w:sz w:val="24"/>
              </w:rPr>
              <w:t>，生产车间</w:t>
            </w:r>
            <w:r>
              <w:rPr>
                <w:sz w:val="24"/>
              </w:rPr>
              <w:t>建筑面积</w:t>
            </w:r>
            <w:r>
              <w:rPr>
                <w:rFonts w:hint="eastAsia"/>
                <w:sz w:val="24"/>
              </w:rPr>
              <w:t>6000</w:t>
            </w:r>
            <w:r>
              <w:rPr>
                <w:sz w:val="24"/>
              </w:rPr>
              <w:t>m</w:t>
            </w:r>
            <w:r>
              <w:rPr>
                <w:sz w:val="24"/>
                <w:vertAlign w:val="superscript"/>
              </w:rPr>
              <w:t>2</w:t>
            </w:r>
            <w:r>
              <w:rPr>
                <w:rFonts w:hint="eastAsia"/>
                <w:sz w:val="24"/>
              </w:rPr>
              <w:t>，租赁已建厂房，</w:t>
            </w:r>
            <w:r>
              <w:rPr>
                <w:sz w:val="24"/>
              </w:rPr>
              <w:t>项目主要建设内容包括主体工程、辅助工程、公用工程、储运工程及环保工程，</w:t>
            </w:r>
            <w:r>
              <w:rPr>
                <w:rFonts w:hint="eastAsia"/>
                <w:sz w:val="24"/>
              </w:rPr>
              <w:t>项目主要建设内容见表2-1</w:t>
            </w:r>
            <w:r>
              <w:rPr>
                <w:sz w:val="24"/>
              </w:rPr>
              <w:t>。</w:t>
            </w:r>
          </w:p>
          <w:p>
            <w:pPr>
              <w:tabs>
                <w:tab w:val="left" w:pos="3150"/>
                <w:tab w:val="left" w:pos="4305"/>
              </w:tabs>
              <w:adjustRightInd w:val="0"/>
              <w:snapToGrid w:val="0"/>
              <w:spacing w:line="480" w:lineRule="exact"/>
              <w:ind w:firstLine="422" w:firstLineChars="200"/>
              <w:jc w:val="center"/>
              <w:rPr>
                <w:b/>
                <w:bCs/>
                <w:kern w:val="0"/>
                <w:szCs w:val="21"/>
              </w:rPr>
            </w:pPr>
            <w:r>
              <w:rPr>
                <w:b/>
                <w:bCs/>
                <w:kern w:val="0"/>
                <w:szCs w:val="21"/>
              </w:rPr>
              <w:t>表</w:t>
            </w:r>
            <w:r>
              <w:rPr>
                <w:rFonts w:hint="eastAsia"/>
                <w:b/>
                <w:bCs/>
                <w:kern w:val="0"/>
                <w:szCs w:val="21"/>
              </w:rPr>
              <w:t>2-1</w:t>
            </w:r>
            <w:r>
              <w:rPr>
                <w:b/>
                <w:bCs/>
                <w:szCs w:val="21"/>
                <w:shd w:val="clear" w:color="auto" w:fill="FFFFFF"/>
              </w:rPr>
              <w:t>项目组成一览表</w:t>
            </w:r>
          </w:p>
          <w:tbl>
            <w:tblPr>
              <w:tblStyle w:val="29"/>
              <w:tblW w:w="80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1"/>
              <w:gridCol w:w="386"/>
              <w:gridCol w:w="1246"/>
              <w:gridCol w:w="5103"/>
              <w:gridCol w:w="6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tcBorders>
                    <w:tl2br w:val="nil"/>
                    <w:tr2bl w:val="nil"/>
                  </w:tcBorders>
                  <w:vAlign w:val="center"/>
                </w:tcPr>
                <w:p>
                  <w:pPr>
                    <w:pStyle w:val="45"/>
                    <w:spacing w:line="240" w:lineRule="auto"/>
                    <w:ind w:firstLine="0"/>
                    <w:jc w:val="center"/>
                    <w:rPr>
                      <w:b/>
                      <w:sz w:val="21"/>
                      <w:szCs w:val="21"/>
                    </w:rPr>
                  </w:pPr>
                  <w:r>
                    <w:rPr>
                      <w:b/>
                      <w:sz w:val="21"/>
                      <w:szCs w:val="21"/>
                    </w:rPr>
                    <w:t>类别</w:t>
                  </w:r>
                </w:p>
              </w:tc>
              <w:tc>
                <w:tcPr>
                  <w:tcW w:w="1632" w:type="dxa"/>
                  <w:gridSpan w:val="2"/>
                  <w:tcBorders>
                    <w:tl2br w:val="nil"/>
                    <w:tr2bl w:val="nil"/>
                  </w:tcBorders>
                  <w:vAlign w:val="center"/>
                </w:tcPr>
                <w:p>
                  <w:pPr>
                    <w:pStyle w:val="45"/>
                    <w:spacing w:line="240" w:lineRule="auto"/>
                    <w:ind w:firstLine="0"/>
                    <w:jc w:val="center"/>
                    <w:rPr>
                      <w:b/>
                      <w:sz w:val="21"/>
                      <w:szCs w:val="21"/>
                    </w:rPr>
                  </w:pPr>
                  <w:r>
                    <w:rPr>
                      <w:b/>
                      <w:sz w:val="21"/>
                      <w:szCs w:val="21"/>
                    </w:rPr>
                    <w:t>项目</w:t>
                  </w:r>
                </w:p>
              </w:tc>
              <w:tc>
                <w:tcPr>
                  <w:tcW w:w="5103" w:type="dxa"/>
                  <w:tcBorders>
                    <w:tl2br w:val="nil"/>
                    <w:tr2bl w:val="nil"/>
                  </w:tcBorders>
                  <w:vAlign w:val="center"/>
                </w:tcPr>
                <w:p>
                  <w:pPr>
                    <w:pStyle w:val="45"/>
                    <w:spacing w:line="240" w:lineRule="auto"/>
                    <w:ind w:firstLine="0"/>
                    <w:jc w:val="center"/>
                    <w:rPr>
                      <w:b/>
                      <w:sz w:val="21"/>
                      <w:szCs w:val="21"/>
                    </w:rPr>
                  </w:pPr>
                  <w:r>
                    <w:rPr>
                      <w:b/>
                      <w:sz w:val="21"/>
                      <w:szCs w:val="21"/>
                    </w:rPr>
                    <w:t>建设内容</w:t>
                  </w:r>
                </w:p>
              </w:tc>
              <w:tc>
                <w:tcPr>
                  <w:tcW w:w="602" w:type="dxa"/>
                  <w:tcBorders>
                    <w:tl2br w:val="nil"/>
                    <w:tr2bl w:val="nil"/>
                  </w:tcBorders>
                  <w:vAlign w:val="center"/>
                </w:tcPr>
                <w:p>
                  <w:pPr>
                    <w:pStyle w:val="45"/>
                    <w:spacing w:line="240" w:lineRule="auto"/>
                    <w:ind w:firstLine="0"/>
                    <w:jc w:val="center"/>
                    <w:rPr>
                      <w:b/>
                      <w:sz w:val="21"/>
                      <w:szCs w:val="21"/>
                    </w:rPr>
                  </w:pPr>
                  <w:r>
                    <w:rPr>
                      <w:b/>
                      <w:sz w:val="21"/>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81" w:type="dxa"/>
                  <w:vMerge w:val="restart"/>
                  <w:tcBorders>
                    <w:tl2br w:val="nil"/>
                    <w:tr2bl w:val="nil"/>
                  </w:tcBorders>
                  <w:vAlign w:val="center"/>
                </w:tcPr>
                <w:p>
                  <w:pPr>
                    <w:pStyle w:val="45"/>
                    <w:spacing w:line="240" w:lineRule="auto"/>
                    <w:ind w:firstLine="0"/>
                    <w:jc w:val="center"/>
                    <w:rPr>
                      <w:sz w:val="21"/>
                      <w:szCs w:val="21"/>
                    </w:rPr>
                  </w:pPr>
                  <w:r>
                    <w:rPr>
                      <w:sz w:val="21"/>
                      <w:szCs w:val="21"/>
                    </w:rPr>
                    <w:t>主体工程</w:t>
                  </w:r>
                </w:p>
              </w:tc>
              <w:tc>
                <w:tcPr>
                  <w:tcW w:w="1632" w:type="dxa"/>
                  <w:gridSpan w:val="2"/>
                  <w:vMerge w:val="restart"/>
                  <w:tcBorders>
                    <w:tl2br w:val="nil"/>
                    <w:tr2bl w:val="nil"/>
                  </w:tcBorders>
                  <w:shd w:val="clear" w:color="auto" w:fill="auto"/>
                  <w:vAlign w:val="center"/>
                </w:tcPr>
                <w:p>
                  <w:pPr>
                    <w:pStyle w:val="45"/>
                    <w:spacing w:line="240" w:lineRule="auto"/>
                    <w:ind w:firstLine="0"/>
                    <w:jc w:val="center"/>
                    <w:rPr>
                      <w:sz w:val="21"/>
                      <w:szCs w:val="21"/>
                    </w:rPr>
                  </w:pPr>
                  <w:r>
                    <w:rPr>
                      <w:sz w:val="21"/>
                      <w:szCs w:val="21"/>
                    </w:rPr>
                    <w:t>生产车间</w:t>
                  </w:r>
                </w:p>
              </w:tc>
              <w:tc>
                <w:tcPr>
                  <w:tcW w:w="5103" w:type="dxa"/>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南侧为喷塑生产线和木纹转印生产线，主要设置喷塑区（1个密闭喷塑间）、固化炉，木纹转印炉。</w:t>
                  </w:r>
                </w:p>
              </w:tc>
              <w:tc>
                <w:tcPr>
                  <w:tcW w:w="602" w:type="dxa"/>
                  <w:vMerge w:val="restart"/>
                  <w:tcBorders>
                    <w:tl2br w:val="nil"/>
                    <w:tr2bl w:val="nil"/>
                  </w:tcBorders>
                  <w:vAlign w:val="center"/>
                </w:tcPr>
                <w:p>
                  <w:pPr>
                    <w:pStyle w:val="45"/>
                    <w:spacing w:line="240" w:lineRule="auto"/>
                    <w:ind w:firstLine="0"/>
                    <w:jc w:val="center"/>
                    <w:rPr>
                      <w:sz w:val="21"/>
                      <w:szCs w:val="21"/>
                      <w:highlight w:val="yellow"/>
                    </w:rPr>
                  </w:pPr>
                  <w:r>
                    <w:rPr>
                      <w:rFonts w:hint="eastAsia"/>
                      <w:sz w:val="21"/>
                      <w:szCs w:val="21"/>
                    </w:rPr>
                    <w:t>租赁已建成生产厂房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681" w:type="dxa"/>
                  <w:vMerge w:val="continue"/>
                  <w:tcBorders>
                    <w:tl2br w:val="nil"/>
                    <w:tr2bl w:val="nil"/>
                  </w:tcBorders>
                  <w:vAlign w:val="center"/>
                </w:tcPr>
                <w:p>
                  <w:pPr>
                    <w:pStyle w:val="45"/>
                    <w:spacing w:line="240" w:lineRule="auto"/>
                    <w:ind w:firstLine="0"/>
                    <w:jc w:val="center"/>
                  </w:pPr>
                </w:p>
              </w:tc>
              <w:tc>
                <w:tcPr>
                  <w:tcW w:w="1632" w:type="dxa"/>
                  <w:gridSpan w:val="2"/>
                  <w:vMerge w:val="continue"/>
                  <w:tcBorders>
                    <w:tl2br w:val="nil"/>
                    <w:tr2bl w:val="nil"/>
                  </w:tcBorders>
                  <w:shd w:val="clear" w:color="auto" w:fill="auto"/>
                  <w:vAlign w:val="center"/>
                </w:tcPr>
                <w:p>
                  <w:pPr>
                    <w:pStyle w:val="45"/>
                    <w:spacing w:line="240" w:lineRule="auto"/>
                    <w:ind w:firstLine="0"/>
                    <w:jc w:val="center"/>
                  </w:pPr>
                </w:p>
              </w:tc>
              <w:tc>
                <w:tcPr>
                  <w:tcW w:w="5103" w:type="dxa"/>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中部为覆膜生产线，西</w:t>
                  </w:r>
                  <w:r>
                    <w:rPr>
                      <w:rFonts w:hint="eastAsia"/>
                      <w:sz w:val="21"/>
                      <w:szCs w:val="21"/>
                      <w:lang w:val="en-US" w:eastAsia="zh-CN"/>
                    </w:rPr>
                    <w:t>部为铝材表面</w:t>
                  </w:r>
                  <w:r>
                    <w:rPr>
                      <w:rFonts w:hint="eastAsia"/>
                      <w:sz w:val="21"/>
                      <w:szCs w:val="21"/>
                    </w:rPr>
                    <w:t>处理工序（预脱脂、脱脂、清洗、钝化等）和污水处理站，配套药品室等，主要设置热收缩包装机，燃烧机等。</w:t>
                  </w:r>
                </w:p>
              </w:tc>
              <w:tc>
                <w:tcPr>
                  <w:tcW w:w="602" w:type="dxa"/>
                  <w:vMerge w:val="continue"/>
                  <w:tcBorders>
                    <w:tl2br w:val="nil"/>
                    <w:tr2bl w:val="nil"/>
                  </w:tcBorders>
                  <w:vAlign w:val="center"/>
                </w:tcPr>
                <w:p>
                  <w:pPr>
                    <w:pStyle w:val="45"/>
                    <w:spacing w:line="240" w:lineRule="auto"/>
                    <w:ind w:firstLine="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tcBorders>
                    <w:tl2br w:val="nil"/>
                    <w:tr2bl w:val="nil"/>
                  </w:tcBorders>
                  <w:vAlign w:val="center"/>
                </w:tcPr>
                <w:p>
                  <w:pPr>
                    <w:pStyle w:val="45"/>
                    <w:spacing w:line="240" w:lineRule="auto"/>
                    <w:ind w:firstLine="0"/>
                    <w:jc w:val="center"/>
                    <w:rPr>
                      <w:sz w:val="21"/>
                      <w:szCs w:val="21"/>
                    </w:rPr>
                  </w:pPr>
                  <w:r>
                    <w:rPr>
                      <w:sz w:val="21"/>
                      <w:szCs w:val="21"/>
                    </w:rPr>
                    <w:t>辅助工程</w:t>
                  </w:r>
                </w:p>
              </w:tc>
              <w:tc>
                <w:tcPr>
                  <w:tcW w:w="1632" w:type="dxa"/>
                  <w:gridSpan w:val="2"/>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办公休息区</w:t>
                  </w:r>
                </w:p>
              </w:tc>
              <w:tc>
                <w:tcPr>
                  <w:tcW w:w="5103" w:type="dxa"/>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位于厂区东北侧，面积260</w:t>
                  </w:r>
                  <w:r>
                    <w:t>m</w:t>
                  </w:r>
                  <w:r>
                    <w:rPr>
                      <w:vertAlign w:val="superscript"/>
                    </w:rPr>
                    <w:t>2</w:t>
                  </w:r>
                  <w:r>
                    <w:rPr>
                      <w:rFonts w:hint="eastAsia"/>
                    </w:rPr>
                    <w:t>，</w:t>
                  </w:r>
                  <w:r>
                    <w:rPr>
                      <w:rFonts w:hint="eastAsia"/>
                      <w:sz w:val="21"/>
                      <w:szCs w:val="21"/>
                    </w:rPr>
                    <w:t>用于员工的日常办公。</w:t>
                  </w:r>
                </w:p>
              </w:tc>
              <w:tc>
                <w:tcPr>
                  <w:tcW w:w="602" w:type="dxa"/>
                  <w:vMerge w:val="continue"/>
                  <w:tcBorders>
                    <w:tl2br w:val="nil"/>
                    <w:tr2bl w:val="nil"/>
                  </w:tcBorders>
                  <w:vAlign w:val="center"/>
                </w:tcPr>
                <w:p>
                  <w:pPr>
                    <w:pStyle w:val="45"/>
                    <w:spacing w:line="240" w:lineRule="auto"/>
                    <w:ind w:firstLine="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restart"/>
                  <w:tcBorders>
                    <w:tl2br w:val="nil"/>
                    <w:tr2bl w:val="nil"/>
                  </w:tcBorders>
                  <w:vAlign w:val="center"/>
                </w:tcPr>
                <w:p>
                  <w:pPr>
                    <w:pStyle w:val="45"/>
                    <w:spacing w:line="240" w:lineRule="auto"/>
                    <w:ind w:firstLine="0"/>
                    <w:jc w:val="center"/>
                    <w:rPr>
                      <w:sz w:val="21"/>
                      <w:szCs w:val="21"/>
                    </w:rPr>
                  </w:pPr>
                  <w:r>
                    <w:rPr>
                      <w:sz w:val="21"/>
                      <w:szCs w:val="21"/>
                    </w:rPr>
                    <w:t>储运工程</w:t>
                  </w:r>
                </w:p>
              </w:tc>
              <w:tc>
                <w:tcPr>
                  <w:tcW w:w="1632" w:type="dxa"/>
                  <w:gridSpan w:val="2"/>
                  <w:tcBorders>
                    <w:tl2br w:val="nil"/>
                    <w:tr2bl w:val="nil"/>
                  </w:tcBorders>
                  <w:shd w:val="clear" w:color="auto" w:fill="auto"/>
                  <w:vAlign w:val="center"/>
                </w:tcPr>
                <w:p>
                  <w:pPr>
                    <w:pStyle w:val="45"/>
                    <w:spacing w:line="240" w:lineRule="auto"/>
                    <w:ind w:firstLine="0"/>
                    <w:jc w:val="center"/>
                    <w:rPr>
                      <w:sz w:val="21"/>
                      <w:szCs w:val="21"/>
                    </w:rPr>
                  </w:pPr>
                  <w:r>
                    <w:rPr>
                      <w:sz w:val="21"/>
                      <w:szCs w:val="21"/>
                    </w:rPr>
                    <w:t>原料</w:t>
                  </w:r>
                  <w:r>
                    <w:rPr>
                      <w:rFonts w:hint="eastAsia"/>
                      <w:sz w:val="21"/>
                      <w:szCs w:val="21"/>
                    </w:rPr>
                    <w:t>区</w:t>
                  </w:r>
                </w:p>
              </w:tc>
              <w:tc>
                <w:tcPr>
                  <w:tcW w:w="5103" w:type="dxa"/>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位于办公区西侧，面积117</w:t>
                  </w:r>
                  <w:r>
                    <w:rPr>
                      <w:spacing w:val="2"/>
                      <w:sz w:val="21"/>
                      <w:szCs w:val="21"/>
                    </w:rPr>
                    <w:t>m</w:t>
                  </w:r>
                  <w:r>
                    <w:rPr>
                      <w:spacing w:val="2"/>
                      <w:sz w:val="21"/>
                      <w:szCs w:val="21"/>
                      <w:vertAlign w:val="superscript"/>
                    </w:rPr>
                    <w:t>2</w:t>
                  </w:r>
                  <w:r>
                    <w:rPr>
                      <w:rFonts w:hint="eastAsia"/>
                      <w:spacing w:val="2"/>
                      <w:sz w:val="21"/>
                      <w:szCs w:val="21"/>
                    </w:rPr>
                    <w:t>，</w:t>
                  </w:r>
                  <w:r>
                    <w:rPr>
                      <w:sz w:val="21"/>
                      <w:szCs w:val="21"/>
                    </w:rPr>
                    <w:t>用于</w:t>
                  </w:r>
                  <w:r>
                    <w:rPr>
                      <w:rFonts w:hint="eastAsia"/>
                      <w:sz w:val="21"/>
                      <w:szCs w:val="21"/>
                    </w:rPr>
                    <w:t>储存铝材、铝卷以及高分子覆膜材料。</w:t>
                  </w:r>
                </w:p>
              </w:tc>
              <w:tc>
                <w:tcPr>
                  <w:tcW w:w="602" w:type="dxa"/>
                  <w:vMerge w:val="continue"/>
                  <w:tcBorders>
                    <w:tl2br w:val="nil"/>
                    <w:tr2bl w:val="nil"/>
                  </w:tcBorders>
                  <w:vAlign w:val="center"/>
                </w:tcPr>
                <w:p>
                  <w:pPr>
                    <w:pStyle w:val="45"/>
                    <w:spacing w:line="240" w:lineRule="auto"/>
                    <w:ind w:firstLine="0"/>
                    <w:jc w:val="center"/>
                    <w:rPr>
                      <w:sz w:val="21"/>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原料间</w:t>
                  </w:r>
                </w:p>
              </w:tc>
              <w:tc>
                <w:tcPr>
                  <w:tcW w:w="5103" w:type="dxa"/>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位于危废贮存库南侧，面积100</w:t>
                  </w:r>
                  <w:r>
                    <w:rPr>
                      <w:spacing w:val="2"/>
                      <w:sz w:val="21"/>
                      <w:szCs w:val="21"/>
                    </w:rPr>
                    <w:t>m</w:t>
                  </w:r>
                  <w:r>
                    <w:rPr>
                      <w:spacing w:val="2"/>
                      <w:sz w:val="21"/>
                      <w:szCs w:val="21"/>
                      <w:vertAlign w:val="superscript"/>
                    </w:rPr>
                    <w:t>2</w:t>
                  </w:r>
                  <w:r>
                    <w:rPr>
                      <w:rFonts w:hint="eastAsia"/>
                      <w:spacing w:val="2"/>
                      <w:sz w:val="21"/>
                      <w:szCs w:val="21"/>
                    </w:rPr>
                    <w:t>，</w:t>
                  </w:r>
                  <w:r>
                    <w:rPr>
                      <w:sz w:val="21"/>
                      <w:szCs w:val="21"/>
                    </w:rPr>
                    <w:t>用于</w:t>
                  </w:r>
                  <w:r>
                    <w:rPr>
                      <w:rFonts w:hint="eastAsia"/>
                      <w:sz w:val="21"/>
                      <w:szCs w:val="21"/>
                    </w:rPr>
                    <w:t>储存塑粉、木纹转印纸。</w:t>
                  </w:r>
                </w:p>
              </w:tc>
              <w:tc>
                <w:tcPr>
                  <w:tcW w:w="602" w:type="dxa"/>
                  <w:vMerge w:val="continue"/>
                  <w:tcBorders>
                    <w:tl2br w:val="nil"/>
                    <w:tr2bl w:val="nil"/>
                  </w:tcBorders>
                  <w:vAlign w:val="center"/>
                </w:tcPr>
                <w:p>
                  <w:pPr>
                    <w:pStyle w:val="45"/>
                    <w:spacing w:line="240" w:lineRule="auto"/>
                    <w:ind w:firstLine="0"/>
                    <w:jc w:val="center"/>
                    <w:rPr>
                      <w:sz w:val="21"/>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pStyle w:val="45"/>
                    <w:spacing w:line="240" w:lineRule="auto"/>
                    <w:ind w:firstLine="0"/>
                    <w:jc w:val="center"/>
                    <w:rPr>
                      <w:sz w:val="21"/>
                      <w:szCs w:val="21"/>
                    </w:rPr>
                  </w:pPr>
                  <w:r>
                    <w:rPr>
                      <w:sz w:val="21"/>
                      <w:szCs w:val="21"/>
                    </w:rPr>
                    <w:t>成品</w:t>
                  </w:r>
                  <w:r>
                    <w:rPr>
                      <w:rFonts w:hint="eastAsia"/>
                      <w:sz w:val="21"/>
                      <w:szCs w:val="21"/>
                    </w:rPr>
                    <w:t>区</w:t>
                  </w:r>
                </w:p>
              </w:tc>
              <w:tc>
                <w:tcPr>
                  <w:tcW w:w="5103" w:type="dxa"/>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位于原料区南侧</w:t>
                  </w:r>
                  <w:r>
                    <w:rPr>
                      <w:sz w:val="21"/>
                      <w:szCs w:val="21"/>
                    </w:rPr>
                    <w:t>，</w:t>
                  </w:r>
                  <w:r>
                    <w:rPr>
                      <w:rFonts w:hint="eastAsia"/>
                      <w:sz w:val="21"/>
                      <w:szCs w:val="21"/>
                    </w:rPr>
                    <w:t>面积200</w:t>
                  </w:r>
                  <w:r>
                    <w:rPr>
                      <w:spacing w:val="2"/>
                      <w:sz w:val="21"/>
                      <w:szCs w:val="21"/>
                    </w:rPr>
                    <w:t>m</w:t>
                  </w:r>
                  <w:r>
                    <w:rPr>
                      <w:spacing w:val="2"/>
                      <w:sz w:val="21"/>
                      <w:szCs w:val="21"/>
                      <w:vertAlign w:val="superscript"/>
                    </w:rPr>
                    <w:t>2</w:t>
                  </w:r>
                  <w:r>
                    <w:rPr>
                      <w:rFonts w:hint="eastAsia"/>
                      <w:spacing w:val="2"/>
                      <w:sz w:val="21"/>
                      <w:szCs w:val="21"/>
                    </w:rPr>
                    <w:t>，</w:t>
                  </w:r>
                  <w:r>
                    <w:rPr>
                      <w:sz w:val="21"/>
                      <w:szCs w:val="21"/>
                    </w:rPr>
                    <w:t>用于存放成品</w:t>
                  </w:r>
                  <w:r>
                    <w:rPr>
                      <w:rFonts w:hint="eastAsia"/>
                      <w:sz w:val="21"/>
                      <w:szCs w:val="21"/>
                    </w:rPr>
                    <w:t>。</w:t>
                  </w:r>
                </w:p>
              </w:tc>
              <w:tc>
                <w:tcPr>
                  <w:tcW w:w="602" w:type="dxa"/>
                  <w:vMerge w:val="continue"/>
                  <w:tcBorders>
                    <w:tl2br w:val="nil"/>
                    <w:tr2bl w:val="nil"/>
                  </w:tcBorders>
                  <w:vAlign w:val="center"/>
                </w:tcPr>
                <w:p>
                  <w:pPr>
                    <w:pStyle w:val="45"/>
                    <w:spacing w:line="240" w:lineRule="auto"/>
                    <w:ind w:firstLine="0"/>
                    <w:jc w:val="center"/>
                    <w:rPr>
                      <w:sz w:val="21"/>
                      <w:szCs w:val="21"/>
                      <w:highlight w:val="yellow"/>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pStyle w:val="45"/>
                    <w:spacing w:line="240" w:lineRule="auto"/>
                    <w:ind w:firstLine="0"/>
                    <w:jc w:val="center"/>
                    <w:rPr>
                      <w:sz w:val="21"/>
                      <w:szCs w:val="21"/>
                    </w:rPr>
                  </w:pPr>
                  <w:r>
                    <w:rPr>
                      <w:sz w:val="21"/>
                      <w:szCs w:val="21"/>
                    </w:rPr>
                    <w:t>原料/产品运输</w:t>
                  </w:r>
                </w:p>
              </w:tc>
              <w:tc>
                <w:tcPr>
                  <w:tcW w:w="5103" w:type="dxa"/>
                  <w:tcBorders>
                    <w:tl2br w:val="nil"/>
                    <w:tr2bl w:val="nil"/>
                  </w:tcBorders>
                  <w:shd w:val="clear" w:color="auto" w:fill="auto"/>
                  <w:vAlign w:val="center"/>
                </w:tcPr>
                <w:p>
                  <w:pPr>
                    <w:pStyle w:val="46"/>
                    <w:adjustRightInd w:val="0"/>
                    <w:snapToGrid w:val="0"/>
                    <w:rPr>
                      <w:szCs w:val="21"/>
                    </w:rPr>
                  </w:pPr>
                  <w:r>
                    <w:rPr>
                      <w:rFonts w:hint="eastAsia"/>
                      <w:szCs w:val="21"/>
                    </w:rPr>
                    <w:t>厂区外</w:t>
                  </w:r>
                  <w:r>
                    <w:rPr>
                      <w:szCs w:val="21"/>
                    </w:rPr>
                    <w:t>原辅料和产品均</w:t>
                  </w:r>
                  <w:r>
                    <w:rPr>
                      <w:rFonts w:hint="eastAsia"/>
                      <w:szCs w:val="21"/>
                    </w:rPr>
                    <w:t>为</w:t>
                  </w:r>
                  <w:r>
                    <w:rPr>
                      <w:szCs w:val="21"/>
                    </w:rPr>
                    <w:t>汽车运输</w:t>
                  </w:r>
                  <w:r>
                    <w:rPr>
                      <w:rFonts w:hint="eastAsia"/>
                      <w:szCs w:val="21"/>
                    </w:rPr>
                    <w:t>，场内有叉车进行原辅料转运。</w:t>
                  </w:r>
                </w:p>
              </w:tc>
              <w:tc>
                <w:tcPr>
                  <w:tcW w:w="602" w:type="dxa"/>
                  <w:tcBorders>
                    <w:tl2br w:val="nil"/>
                    <w:tr2bl w:val="nil"/>
                  </w:tcBorders>
                  <w:vAlign w:val="center"/>
                </w:tcPr>
                <w:p>
                  <w:pPr>
                    <w:pStyle w:val="46"/>
                    <w:adjustRightInd w:val="0"/>
                    <w:snapToGrid w:val="0"/>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81" w:type="dxa"/>
                  <w:vMerge w:val="continue"/>
                  <w:tcBorders>
                    <w:tl2br w:val="nil"/>
                    <w:tr2bl w:val="nil"/>
                  </w:tcBorders>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pStyle w:val="45"/>
                    <w:spacing w:line="240" w:lineRule="auto"/>
                    <w:ind w:firstLine="0"/>
                    <w:jc w:val="center"/>
                    <w:rPr>
                      <w:sz w:val="21"/>
                      <w:szCs w:val="21"/>
                    </w:rPr>
                  </w:pPr>
                  <w:r>
                    <w:rPr>
                      <w:rFonts w:hint="eastAsia"/>
                      <w:sz w:val="21"/>
                      <w:szCs w:val="21"/>
                    </w:rPr>
                    <w:t>药品室</w:t>
                  </w:r>
                </w:p>
              </w:tc>
              <w:tc>
                <w:tcPr>
                  <w:tcW w:w="5103" w:type="dxa"/>
                  <w:tcBorders>
                    <w:tl2br w:val="nil"/>
                    <w:tr2bl w:val="nil"/>
                  </w:tcBorders>
                  <w:shd w:val="clear" w:color="auto" w:fill="auto"/>
                  <w:vAlign w:val="center"/>
                </w:tcPr>
                <w:p>
                  <w:pPr>
                    <w:pStyle w:val="46"/>
                    <w:adjustRightInd w:val="0"/>
                    <w:snapToGrid w:val="0"/>
                    <w:rPr>
                      <w:szCs w:val="21"/>
                    </w:rPr>
                  </w:pPr>
                  <w:r>
                    <w:rPr>
                      <w:rFonts w:hint="eastAsia"/>
                      <w:szCs w:val="21"/>
                    </w:rPr>
                    <w:t>位于污水处理站南侧，面积10㎡，主要用于药品试剂、清洗剂、无铬钝化剂的储存。</w:t>
                  </w:r>
                </w:p>
              </w:tc>
              <w:tc>
                <w:tcPr>
                  <w:tcW w:w="602" w:type="dxa"/>
                  <w:tcBorders>
                    <w:tl2br w:val="nil"/>
                    <w:tr2bl w:val="nil"/>
                  </w:tcBorders>
                  <w:vAlign w:val="center"/>
                </w:tcPr>
                <w:p>
                  <w:pPr>
                    <w:pStyle w:val="46"/>
                    <w:adjustRightInd w:val="0"/>
                    <w:snapToGrid w:val="0"/>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restart"/>
                  <w:tcBorders>
                    <w:tl2br w:val="nil"/>
                    <w:tr2bl w:val="nil"/>
                  </w:tcBorders>
                  <w:shd w:val="clear" w:color="auto" w:fill="auto"/>
                  <w:vAlign w:val="center"/>
                </w:tcPr>
                <w:p>
                  <w:pPr>
                    <w:pStyle w:val="45"/>
                    <w:spacing w:line="240" w:lineRule="auto"/>
                    <w:ind w:firstLine="0"/>
                    <w:jc w:val="center"/>
                    <w:rPr>
                      <w:sz w:val="21"/>
                      <w:szCs w:val="21"/>
                    </w:rPr>
                  </w:pPr>
                  <w:r>
                    <w:rPr>
                      <w:sz w:val="21"/>
                      <w:szCs w:val="21"/>
                    </w:rPr>
                    <w:t>公用工程</w:t>
                  </w:r>
                </w:p>
              </w:tc>
              <w:tc>
                <w:tcPr>
                  <w:tcW w:w="1632" w:type="dxa"/>
                  <w:gridSpan w:val="2"/>
                  <w:tcBorders>
                    <w:tl2br w:val="nil"/>
                    <w:tr2bl w:val="nil"/>
                  </w:tcBorders>
                  <w:shd w:val="clear" w:color="auto" w:fill="auto"/>
                  <w:vAlign w:val="center"/>
                </w:tcPr>
                <w:p>
                  <w:pPr>
                    <w:adjustRightInd w:val="0"/>
                    <w:snapToGrid w:val="0"/>
                    <w:jc w:val="center"/>
                    <w:rPr>
                      <w:szCs w:val="21"/>
                    </w:rPr>
                  </w:pPr>
                  <w:r>
                    <w:rPr>
                      <w:szCs w:val="21"/>
                    </w:rPr>
                    <w:t>供水</w:t>
                  </w:r>
                </w:p>
              </w:tc>
              <w:tc>
                <w:tcPr>
                  <w:tcW w:w="5103" w:type="dxa"/>
                  <w:tcBorders>
                    <w:tl2br w:val="nil"/>
                    <w:tr2bl w:val="nil"/>
                  </w:tcBorders>
                  <w:shd w:val="clear" w:color="auto" w:fill="auto"/>
                  <w:vAlign w:val="center"/>
                </w:tcPr>
                <w:p>
                  <w:pPr>
                    <w:adjustRightInd w:val="0"/>
                    <w:snapToGrid w:val="0"/>
                    <w:jc w:val="center"/>
                    <w:rPr>
                      <w:szCs w:val="21"/>
                    </w:rPr>
                  </w:pPr>
                  <w:r>
                    <w:t>项目用水由市政给水管网供应。</w:t>
                  </w:r>
                </w:p>
              </w:tc>
              <w:tc>
                <w:tcPr>
                  <w:tcW w:w="602" w:type="dxa"/>
                  <w:tcBorders>
                    <w:tl2br w:val="nil"/>
                    <w:tr2bl w:val="nil"/>
                  </w:tcBorders>
                  <w:vAlign w:val="center"/>
                </w:tcPr>
                <w:p>
                  <w:pPr>
                    <w:pStyle w:val="46"/>
                    <w:adjustRightInd w:val="0"/>
                    <w:snapToGrid w:val="0"/>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adjustRightInd w:val="0"/>
                    <w:snapToGrid w:val="0"/>
                    <w:jc w:val="center"/>
                    <w:rPr>
                      <w:szCs w:val="21"/>
                    </w:rPr>
                  </w:pPr>
                  <w:r>
                    <w:rPr>
                      <w:szCs w:val="21"/>
                    </w:rPr>
                    <w:t>排水</w:t>
                  </w:r>
                </w:p>
              </w:tc>
              <w:tc>
                <w:tcPr>
                  <w:tcW w:w="5103" w:type="dxa"/>
                  <w:tcBorders>
                    <w:tl2br w:val="nil"/>
                    <w:tr2bl w:val="nil"/>
                  </w:tcBorders>
                  <w:shd w:val="clear" w:color="auto" w:fill="auto"/>
                  <w:vAlign w:val="center"/>
                </w:tcPr>
                <w:p>
                  <w:pPr>
                    <w:adjustRightInd w:val="0"/>
                    <w:snapToGrid w:val="0"/>
                    <w:jc w:val="center"/>
                    <w:rPr>
                      <w:szCs w:val="21"/>
                    </w:rPr>
                  </w:pPr>
                  <w:r>
                    <w:rPr>
                      <w:szCs w:val="21"/>
                    </w:rPr>
                    <w:t>雨污分流，屋面雨水及室外雨水</w:t>
                  </w:r>
                  <w:r>
                    <w:rPr>
                      <w:rFonts w:hint="eastAsia"/>
                      <w:szCs w:val="21"/>
                    </w:rPr>
                    <w:t>自然排放；</w:t>
                  </w:r>
                  <w:r>
                    <w:rPr>
                      <w:szCs w:val="21"/>
                    </w:rPr>
                    <w:t>生活污水</w:t>
                  </w:r>
                  <w:r>
                    <w:rPr>
                      <w:rFonts w:hint="eastAsia"/>
                      <w:szCs w:val="21"/>
                    </w:rPr>
                    <w:t>依托租赁方建成</w:t>
                  </w:r>
                  <w:r>
                    <w:rPr>
                      <w:rFonts w:hint="eastAsia"/>
                      <w:szCs w:val="21"/>
                      <w:lang w:eastAsia="zh-CN"/>
                    </w:rPr>
                    <w:t>租赁方化粪池</w:t>
                  </w:r>
                  <w:r>
                    <w:rPr>
                      <w:szCs w:val="21"/>
                    </w:rPr>
                    <w:t>（5</w:t>
                  </w:r>
                  <w:r>
                    <w:rPr>
                      <w:rFonts w:hint="eastAsia"/>
                      <w:szCs w:val="21"/>
                    </w:rPr>
                    <w:t>0</w:t>
                  </w:r>
                  <w:r>
                    <w:rPr>
                      <w:szCs w:val="21"/>
                    </w:rPr>
                    <w:t>m³）处理后</w:t>
                  </w:r>
                  <w:r>
                    <w:rPr>
                      <w:rFonts w:hint="eastAsia"/>
                      <w:szCs w:val="21"/>
                    </w:rPr>
                    <w:t>定期由周边村民清掏外运肥田，不外排。</w:t>
                  </w:r>
                </w:p>
              </w:tc>
              <w:tc>
                <w:tcPr>
                  <w:tcW w:w="602" w:type="dxa"/>
                  <w:tcBorders>
                    <w:tl2br w:val="nil"/>
                    <w:tr2bl w:val="nil"/>
                  </w:tcBorders>
                  <w:vAlign w:val="center"/>
                </w:tcPr>
                <w:p>
                  <w:pPr>
                    <w:pStyle w:val="46"/>
                    <w:adjustRightInd w:val="0"/>
                    <w:snapToGrid w:val="0"/>
                    <w:rPr>
                      <w:szCs w:val="21"/>
                    </w:rPr>
                  </w:pPr>
                  <w:r>
                    <w:rPr>
                      <w:rFonts w:hint="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adjustRightInd w:val="0"/>
                    <w:snapToGrid w:val="0"/>
                    <w:jc w:val="center"/>
                    <w:rPr>
                      <w:szCs w:val="21"/>
                    </w:rPr>
                  </w:pPr>
                  <w:r>
                    <w:rPr>
                      <w:szCs w:val="21"/>
                    </w:rPr>
                    <w:t>供电</w:t>
                  </w:r>
                </w:p>
              </w:tc>
              <w:tc>
                <w:tcPr>
                  <w:tcW w:w="5103" w:type="dxa"/>
                  <w:tcBorders>
                    <w:tl2br w:val="nil"/>
                    <w:tr2bl w:val="nil"/>
                  </w:tcBorders>
                  <w:shd w:val="clear" w:color="auto" w:fill="auto"/>
                  <w:vAlign w:val="center"/>
                </w:tcPr>
                <w:p>
                  <w:pPr>
                    <w:adjustRightInd w:val="0"/>
                    <w:snapToGrid w:val="0"/>
                    <w:jc w:val="center"/>
                    <w:rPr>
                      <w:szCs w:val="21"/>
                    </w:rPr>
                  </w:pPr>
                  <w:r>
                    <w:rPr>
                      <w:szCs w:val="21"/>
                    </w:rPr>
                    <w:t>供电由</w:t>
                  </w:r>
                  <w:r>
                    <w:rPr>
                      <w:rFonts w:hint="eastAsia"/>
                      <w:szCs w:val="21"/>
                    </w:rPr>
                    <w:t>当地供电电网提供。</w:t>
                  </w:r>
                </w:p>
              </w:tc>
              <w:tc>
                <w:tcPr>
                  <w:tcW w:w="602" w:type="dxa"/>
                  <w:tcBorders>
                    <w:tl2br w:val="nil"/>
                    <w:tr2bl w:val="nil"/>
                  </w:tcBorders>
                  <w:vAlign w:val="center"/>
                </w:tcPr>
                <w:p>
                  <w:pPr>
                    <w:pStyle w:val="46"/>
                    <w:adjustRightInd w:val="0"/>
                    <w:snapToGrid w:val="0"/>
                    <w:rPr>
                      <w:szCs w:val="21"/>
                    </w:rPr>
                  </w:pP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adjustRightInd w:val="0"/>
                    <w:snapToGrid w:val="0"/>
                    <w:jc w:val="center"/>
                    <w:rPr>
                      <w:szCs w:val="21"/>
                    </w:rPr>
                  </w:pPr>
                  <w:r>
                    <w:rPr>
                      <w:szCs w:val="21"/>
                    </w:rPr>
                    <w:t>采暖和制冷</w:t>
                  </w:r>
                </w:p>
              </w:tc>
              <w:tc>
                <w:tcPr>
                  <w:tcW w:w="5103" w:type="dxa"/>
                  <w:tcBorders>
                    <w:tl2br w:val="nil"/>
                    <w:tr2bl w:val="nil"/>
                  </w:tcBorders>
                  <w:shd w:val="clear" w:color="auto" w:fill="auto"/>
                  <w:vAlign w:val="center"/>
                </w:tcPr>
                <w:p>
                  <w:pPr>
                    <w:adjustRightInd w:val="0"/>
                    <w:snapToGrid w:val="0"/>
                    <w:jc w:val="center"/>
                    <w:rPr>
                      <w:szCs w:val="21"/>
                    </w:rPr>
                  </w:pPr>
                  <w:r>
                    <w:rPr>
                      <w:szCs w:val="21"/>
                    </w:rPr>
                    <w:t>办公区和休息区采用分体式空调制冷采暖</w:t>
                  </w:r>
                  <w:r>
                    <w:rPr>
                      <w:rFonts w:hint="eastAsia"/>
                      <w:szCs w:val="21"/>
                    </w:rPr>
                    <w:t>，</w:t>
                  </w:r>
                  <w:r>
                    <w:rPr>
                      <w:kern w:val="0"/>
                      <w:szCs w:val="21"/>
                      <w:lang w:bidi="ar"/>
                    </w:rPr>
                    <w:t>固化</w:t>
                  </w:r>
                  <w:r>
                    <w:rPr>
                      <w:rFonts w:hint="eastAsia"/>
                      <w:kern w:val="0"/>
                      <w:szCs w:val="21"/>
                      <w:lang w:bidi="ar"/>
                    </w:rPr>
                    <w:t>、木纹转印、高分子材料覆膜</w:t>
                  </w:r>
                  <w:r>
                    <w:rPr>
                      <w:kern w:val="0"/>
                      <w:szCs w:val="21"/>
                      <w:lang w:bidi="ar"/>
                    </w:rPr>
                    <w:t>采用</w:t>
                  </w:r>
                  <w:r>
                    <w:rPr>
                      <w:rFonts w:hint="eastAsia"/>
                      <w:kern w:val="0"/>
                      <w:szCs w:val="21"/>
                      <w:lang w:bidi="ar"/>
                    </w:rPr>
                    <w:t>天然气</w:t>
                  </w:r>
                  <w:r>
                    <w:rPr>
                      <w:kern w:val="0"/>
                      <w:szCs w:val="21"/>
                      <w:lang w:bidi="ar"/>
                    </w:rPr>
                    <w:t>为燃料。</w:t>
                  </w:r>
                </w:p>
              </w:tc>
              <w:tc>
                <w:tcPr>
                  <w:tcW w:w="602" w:type="dxa"/>
                  <w:tcBorders>
                    <w:tl2br w:val="nil"/>
                    <w:tr2bl w:val="nil"/>
                  </w:tcBorders>
                  <w:vAlign w:val="center"/>
                </w:tcPr>
                <w:p>
                  <w:pPr>
                    <w:pStyle w:val="46"/>
                    <w:adjustRightInd w:val="0"/>
                    <w:snapToGrid w:val="0"/>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1" w:type="dxa"/>
                  <w:vMerge w:val="restart"/>
                  <w:tcBorders>
                    <w:tl2br w:val="nil"/>
                    <w:tr2bl w:val="nil"/>
                  </w:tcBorders>
                  <w:shd w:val="clear" w:color="auto" w:fill="auto"/>
                  <w:vAlign w:val="center"/>
                </w:tcPr>
                <w:p>
                  <w:pPr>
                    <w:pStyle w:val="45"/>
                    <w:spacing w:line="240" w:lineRule="auto"/>
                    <w:ind w:firstLine="0"/>
                    <w:jc w:val="center"/>
                    <w:rPr>
                      <w:sz w:val="21"/>
                      <w:szCs w:val="21"/>
                    </w:rPr>
                  </w:pPr>
                  <w:r>
                    <w:rPr>
                      <w:sz w:val="21"/>
                      <w:szCs w:val="21"/>
                    </w:rPr>
                    <w:t>环保工程</w:t>
                  </w:r>
                </w:p>
              </w:tc>
              <w:tc>
                <w:tcPr>
                  <w:tcW w:w="386" w:type="dxa"/>
                  <w:vMerge w:val="restart"/>
                  <w:tcBorders>
                    <w:tl2br w:val="nil"/>
                    <w:tr2bl w:val="nil"/>
                  </w:tcBorders>
                  <w:shd w:val="clear" w:color="auto" w:fill="auto"/>
                  <w:vAlign w:val="center"/>
                </w:tcPr>
                <w:p>
                  <w:pPr>
                    <w:adjustRightInd w:val="0"/>
                    <w:snapToGrid w:val="0"/>
                    <w:jc w:val="center"/>
                    <w:rPr>
                      <w:szCs w:val="21"/>
                    </w:rPr>
                  </w:pPr>
                  <w:r>
                    <w:rPr>
                      <w:szCs w:val="21"/>
                    </w:rPr>
                    <w:t>废气</w:t>
                  </w:r>
                </w:p>
              </w:tc>
              <w:tc>
                <w:tcPr>
                  <w:tcW w:w="1246" w:type="dxa"/>
                  <w:tcBorders>
                    <w:tl2br w:val="nil"/>
                    <w:tr2bl w:val="nil"/>
                  </w:tcBorders>
                  <w:shd w:val="clear" w:color="auto" w:fill="auto"/>
                  <w:vAlign w:val="center"/>
                </w:tcPr>
                <w:p>
                  <w:pPr>
                    <w:adjustRightInd w:val="0"/>
                    <w:snapToGrid w:val="0"/>
                    <w:jc w:val="center"/>
                    <w:rPr>
                      <w:szCs w:val="21"/>
                    </w:rPr>
                  </w:pPr>
                  <w:r>
                    <w:rPr>
                      <w:rFonts w:hint="eastAsia"/>
                      <w:szCs w:val="21"/>
                    </w:rPr>
                    <w:t>喷塑颗粒物</w:t>
                  </w:r>
                </w:p>
              </w:tc>
              <w:tc>
                <w:tcPr>
                  <w:tcW w:w="5103" w:type="dxa"/>
                  <w:tcBorders>
                    <w:tl2br w:val="nil"/>
                    <w:tr2bl w:val="nil"/>
                  </w:tcBorders>
                  <w:shd w:val="clear" w:color="auto" w:fill="auto"/>
                  <w:vAlign w:val="center"/>
                </w:tcPr>
                <w:p>
                  <w:pPr>
                    <w:widowControl/>
                    <w:wordWrap w:val="0"/>
                    <w:adjustRightInd w:val="0"/>
                    <w:snapToGrid w:val="0"/>
                    <w:jc w:val="center"/>
                    <w:rPr>
                      <w:rFonts w:ascii="宋体" w:hAnsi="宋体" w:cs="宋体"/>
                      <w:kern w:val="21"/>
                      <w:szCs w:val="21"/>
                    </w:rPr>
                  </w:pPr>
                  <w:r>
                    <w:rPr>
                      <w:rFonts w:hint="eastAsia"/>
                      <w:szCs w:val="21"/>
                    </w:rPr>
                    <w:t>喷塑颗粒物</w:t>
                  </w:r>
                  <w:r>
                    <w:rPr>
                      <w:szCs w:val="21"/>
                    </w:rPr>
                    <w:t>经喷粉房自带大旋风回收系统（</w:t>
                  </w:r>
                  <w:r>
                    <w:rPr>
                      <w:rFonts w:hint="eastAsia"/>
                      <w:szCs w:val="21"/>
                    </w:rPr>
                    <w:t>滤筒+旋风处理器</w:t>
                  </w:r>
                  <w:r>
                    <w:rPr>
                      <w:szCs w:val="21"/>
                    </w:rPr>
                    <w:t>）</w:t>
                  </w:r>
                  <w:r>
                    <w:rPr>
                      <w:rFonts w:hint="eastAsia"/>
                      <w:szCs w:val="21"/>
                    </w:rPr>
                    <w:t>处理后经15m排气筒（DA001）排放。</w:t>
                  </w:r>
                </w:p>
              </w:tc>
              <w:tc>
                <w:tcPr>
                  <w:tcW w:w="602" w:type="dxa"/>
                  <w:tcBorders>
                    <w:tl2br w:val="nil"/>
                    <w:tr2bl w:val="nil"/>
                  </w:tcBorders>
                  <w:vAlign w:val="center"/>
                </w:tcPr>
                <w:p>
                  <w:pPr>
                    <w:pStyle w:val="46"/>
                    <w:adjustRightInd w:val="0"/>
                    <w:snapToGrid w:val="0"/>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continue"/>
                  <w:tcBorders>
                    <w:tl2br w:val="nil"/>
                    <w:tr2bl w:val="nil"/>
                  </w:tcBorders>
                  <w:shd w:val="clear" w:color="auto" w:fill="auto"/>
                  <w:vAlign w:val="center"/>
                </w:tcPr>
                <w:p>
                  <w:pPr>
                    <w:adjustRightInd w:val="0"/>
                    <w:snapToGrid w:val="0"/>
                    <w:jc w:val="center"/>
                    <w:rPr>
                      <w:szCs w:val="21"/>
                    </w:rPr>
                  </w:pPr>
                </w:p>
              </w:tc>
              <w:tc>
                <w:tcPr>
                  <w:tcW w:w="1246" w:type="dxa"/>
                  <w:tcBorders>
                    <w:tl2br w:val="nil"/>
                    <w:tr2bl w:val="nil"/>
                  </w:tcBorders>
                  <w:shd w:val="clear" w:color="auto" w:fill="auto"/>
                  <w:vAlign w:val="center"/>
                </w:tcPr>
                <w:p>
                  <w:pPr>
                    <w:adjustRightInd w:val="0"/>
                    <w:snapToGrid w:val="0"/>
                    <w:jc w:val="center"/>
                    <w:rPr>
                      <w:szCs w:val="21"/>
                    </w:rPr>
                  </w:pPr>
                  <w:r>
                    <w:rPr>
                      <w:rFonts w:hint="eastAsia"/>
                      <w:szCs w:val="21"/>
                    </w:rPr>
                    <w:t>有机废气</w:t>
                  </w:r>
                </w:p>
              </w:tc>
              <w:tc>
                <w:tcPr>
                  <w:tcW w:w="5103" w:type="dxa"/>
                  <w:tcBorders>
                    <w:tl2br w:val="nil"/>
                    <w:tr2bl w:val="nil"/>
                  </w:tcBorders>
                  <w:shd w:val="clear" w:color="auto" w:fill="auto"/>
                  <w:vAlign w:val="center"/>
                </w:tcPr>
                <w:p>
                  <w:pPr>
                    <w:widowControl/>
                    <w:wordWrap w:val="0"/>
                    <w:adjustRightInd w:val="0"/>
                    <w:snapToGrid w:val="0"/>
                    <w:jc w:val="center"/>
                    <w:rPr>
                      <w:rFonts w:ascii="宋体" w:hAnsi="宋体" w:cs="宋体"/>
                      <w:kern w:val="21"/>
                      <w:szCs w:val="21"/>
                    </w:rPr>
                  </w:pPr>
                  <w:r>
                    <w:rPr>
                      <w:rFonts w:hint="eastAsia"/>
                    </w:rPr>
                    <w:t>固化工序在工件进出口、木纹转印工件进出口、覆膜出口分别设置5集气罩+喷淋塔+过滤棉+二级活性炭对非甲烷总烃及天然气燃烧废气（3台低氮燃烧器）进行处理，处理后废气通过15m排气筒（DA002）排放。</w:t>
                  </w:r>
                </w:p>
              </w:tc>
              <w:tc>
                <w:tcPr>
                  <w:tcW w:w="602" w:type="dxa"/>
                  <w:tcBorders>
                    <w:tl2br w:val="nil"/>
                    <w:tr2bl w:val="nil"/>
                  </w:tcBorders>
                  <w:vAlign w:val="center"/>
                </w:tcPr>
                <w:p>
                  <w:pPr>
                    <w:pStyle w:val="46"/>
                    <w:adjustRightInd w:val="0"/>
                    <w:snapToGrid w:val="0"/>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restart"/>
                  <w:tcBorders>
                    <w:tl2br w:val="nil"/>
                    <w:tr2bl w:val="nil"/>
                  </w:tcBorders>
                  <w:shd w:val="clear" w:color="auto" w:fill="auto"/>
                  <w:vAlign w:val="center"/>
                </w:tcPr>
                <w:p>
                  <w:pPr>
                    <w:adjustRightInd w:val="0"/>
                    <w:snapToGrid w:val="0"/>
                    <w:jc w:val="center"/>
                    <w:rPr>
                      <w:szCs w:val="21"/>
                    </w:rPr>
                  </w:pPr>
                  <w:r>
                    <w:rPr>
                      <w:szCs w:val="21"/>
                    </w:rPr>
                    <w:t>废水</w:t>
                  </w:r>
                </w:p>
              </w:tc>
              <w:tc>
                <w:tcPr>
                  <w:tcW w:w="1246" w:type="dxa"/>
                  <w:tcBorders>
                    <w:tl2br w:val="nil"/>
                    <w:tr2bl w:val="nil"/>
                  </w:tcBorders>
                  <w:shd w:val="clear" w:color="auto" w:fill="auto"/>
                  <w:vAlign w:val="center"/>
                </w:tcPr>
                <w:p>
                  <w:pPr>
                    <w:adjustRightInd w:val="0"/>
                    <w:snapToGrid w:val="0"/>
                    <w:jc w:val="center"/>
                    <w:rPr>
                      <w:szCs w:val="21"/>
                    </w:rPr>
                  </w:pPr>
                  <w:r>
                    <w:rPr>
                      <w:szCs w:val="21"/>
                    </w:rPr>
                    <w:t>生活污水</w:t>
                  </w:r>
                </w:p>
              </w:tc>
              <w:tc>
                <w:tcPr>
                  <w:tcW w:w="5103" w:type="dxa"/>
                  <w:tcBorders>
                    <w:tl2br w:val="nil"/>
                    <w:tr2bl w:val="nil"/>
                  </w:tcBorders>
                  <w:shd w:val="clear" w:color="auto" w:fill="auto"/>
                  <w:vAlign w:val="center"/>
                </w:tcPr>
                <w:p>
                  <w:pPr>
                    <w:pStyle w:val="46"/>
                    <w:adjustRightInd w:val="0"/>
                    <w:snapToGrid w:val="0"/>
                    <w:rPr>
                      <w:szCs w:val="21"/>
                    </w:rPr>
                  </w:pPr>
                  <w:r>
                    <w:rPr>
                      <w:szCs w:val="21"/>
                    </w:rPr>
                    <w:t>雨污分流，屋面雨水及室外雨水</w:t>
                  </w:r>
                  <w:r>
                    <w:rPr>
                      <w:rFonts w:hint="eastAsia"/>
                      <w:szCs w:val="21"/>
                    </w:rPr>
                    <w:t>自然排放；</w:t>
                  </w:r>
                  <w:r>
                    <w:rPr>
                      <w:szCs w:val="21"/>
                    </w:rPr>
                    <w:t>生活污水</w:t>
                  </w:r>
                  <w:r>
                    <w:rPr>
                      <w:rFonts w:hint="eastAsia"/>
                      <w:szCs w:val="21"/>
                    </w:rPr>
                    <w:t>依托</w:t>
                  </w:r>
                  <w:r>
                    <w:rPr>
                      <w:rFonts w:hint="eastAsia"/>
                      <w:szCs w:val="21"/>
                      <w:lang w:eastAsia="zh-CN"/>
                    </w:rPr>
                    <w:t>租赁方化粪池</w:t>
                  </w:r>
                  <w:r>
                    <w:rPr>
                      <w:szCs w:val="21"/>
                    </w:rPr>
                    <w:t>（5</w:t>
                  </w:r>
                  <w:r>
                    <w:rPr>
                      <w:rFonts w:hint="eastAsia"/>
                      <w:szCs w:val="21"/>
                    </w:rPr>
                    <w:t>0</w:t>
                  </w:r>
                  <w:r>
                    <w:rPr>
                      <w:szCs w:val="21"/>
                    </w:rPr>
                    <w:t>m³）处理后</w:t>
                  </w:r>
                  <w:r>
                    <w:rPr>
                      <w:rFonts w:hint="eastAsia"/>
                      <w:szCs w:val="21"/>
                    </w:rPr>
                    <w:t>定期由周边村民清掏外运肥田，不外排。</w:t>
                  </w:r>
                </w:p>
              </w:tc>
              <w:tc>
                <w:tcPr>
                  <w:tcW w:w="602" w:type="dxa"/>
                  <w:tcBorders>
                    <w:tl2br w:val="nil"/>
                    <w:tr2bl w:val="nil"/>
                  </w:tcBorders>
                  <w:vAlign w:val="center"/>
                </w:tcPr>
                <w:p>
                  <w:pPr>
                    <w:pStyle w:val="46"/>
                    <w:adjustRightInd w:val="0"/>
                    <w:snapToGrid w:val="0"/>
                    <w:rPr>
                      <w:szCs w:val="21"/>
                    </w:rPr>
                  </w:pPr>
                  <w:r>
                    <w:rPr>
                      <w:rFonts w:hint="eastAsia"/>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98" w:hRule="atLeast"/>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continue"/>
                  <w:tcBorders>
                    <w:tl2br w:val="nil"/>
                    <w:tr2bl w:val="nil"/>
                  </w:tcBorders>
                  <w:shd w:val="clear" w:color="auto" w:fill="auto"/>
                  <w:vAlign w:val="center"/>
                </w:tcPr>
                <w:p>
                  <w:pPr>
                    <w:adjustRightInd w:val="0"/>
                    <w:snapToGrid w:val="0"/>
                    <w:jc w:val="center"/>
                    <w:rPr>
                      <w:szCs w:val="21"/>
                    </w:rPr>
                  </w:pPr>
                </w:p>
              </w:tc>
              <w:tc>
                <w:tcPr>
                  <w:tcW w:w="1246" w:type="dxa"/>
                  <w:tcBorders>
                    <w:tl2br w:val="nil"/>
                    <w:tr2bl w:val="nil"/>
                  </w:tcBorders>
                  <w:shd w:val="clear" w:color="auto" w:fill="auto"/>
                  <w:vAlign w:val="center"/>
                </w:tcPr>
                <w:p>
                  <w:pPr>
                    <w:adjustRightInd w:val="0"/>
                    <w:snapToGrid w:val="0"/>
                    <w:jc w:val="center"/>
                    <w:rPr>
                      <w:szCs w:val="21"/>
                    </w:rPr>
                  </w:pPr>
                  <w:r>
                    <w:rPr>
                      <w:rFonts w:hint="eastAsia"/>
                      <w:szCs w:val="21"/>
                      <w:lang w:eastAsia="zh-CN"/>
                    </w:rPr>
                    <w:t>铝材表面处理废水和清洗废水</w:t>
                  </w:r>
                </w:p>
              </w:tc>
              <w:tc>
                <w:tcPr>
                  <w:tcW w:w="5103" w:type="dxa"/>
                  <w:tcBorders>
                    <w:tl2br w:val="nil"/>
                    <w:tr2bl w:val="nil"/>
                  </w:tcBorders>
                  <w:shd w:val="clear" w:color="auto" w:fill="auto"/>
                  <w:vAlign w:val="center"/>
                </w:tcPr>
                <w:p>
                  <w:pPr>
                    <w:widowControl/>
                    <w:jc w:val="center"/>
                    <w:rPr>
                      <w:rFonts w:hint="default" w:eastAsia="宋体"/>
                      <w:szCs w:val="21"/>
                      <w:lang w:val="en-US" w:eastAsia="zh-CN"/>
                    </w:rPr>
                  </w:pPr>
                  <w:r>
                    <w:rPr>
                      <w:rFonts w:hint="eastAsia" w:cs="Times New Roman"/>
                      <w:kern w:val="2"/>
                      <w:sz w:val="21"/>
                      <w:szCs w:val="21"/>
                      <w:lang w:val="en-US" w:eastAsia="zh-CN" w:bidi="ar-SA"/>
                    </w:rPr>
                    <w:t>铝材表面处理废水每年更换一次，上层清液经厂区污水处理站处理后回用，下层废液经危废贮存库暂存后定期交有资质单位进行处置；</w:t>
                  </w:r>
                  <w:r>
                    <w:rPr>
                      <w:rFonts w:hint="eastAsia" w:ascii="Times New Roman" w:hAnsi="Times New Roman" w:eastAsia="宋体" w:cs="Times New Roman"/>
                      <w:kern w:val="2"/>
                      <w:sz w:val="21"/>
                      <w:szCs w:val="21"/>
                      <w:lang w:val="en-US" w:eastAsia="zh-CN" w:bidi="ar-SA"/>
                    </w:rPr>
                    <w:t>1#、3#</w:t>
                  </w:r>
                  <w:r>
                    <w:rPr>
                      <w:rFonts w:hint="eastAsia" w:cs="Times New Roman"/>
                      <w:kern w:val="2"/>
                      <w:sz w:val="21"/>
                      <w:szCs w:val="21"/>
                      <w:lang w:val="en-US" w:eastAsia="zh-CN" w:bidi="ar-SA"/>
                    </w:rPr>
                    <w:t>清洗废水</w:t>
                  </w:r>
                  <w:r>
                    <w:rPr>
                      <w:rFonts w:hint="eastAsia" w:ascii="Times New Roman" w:hAnsi="Times New Roman" w:eastAsia="宋体" w:cs="Times New Roman"/>
                      <w:kern w:val="2"/>
                      <w:sz w:val="21"/>
                      <w:szCs w:val="21"/>
                      <w:lang w:val="en-US" w:eastAsia="zh-CN" w:bidi="ar-SA"/>
                    </w:rPr>
                    <w:t>每月更换一次，2#</w:t>
                  </w:r>
                  <w:r>
                    <w:rPr>
                      <w:rFonts w:hint="eastAsia" w:cs="Times New Roman"/>
                      <w:kern w:val="2"/>
                      <w:sz w:val="21"/>
                      <w:szCs w:val="21"/>
                      <w:lang w:val="en-US" w:eastAsia="zh-CN" w:bidi="ar-SA"/>
                    </w:rPr>
                    <w:t>清洗废水</w:t>
                  </w:r>
                  <w:r>
                    <w:rPr>
                      <w:rFonts w:hint="eastAsia" w:ascii="Times New Roman" w:hAnsi="Times New Roman" w:eastAsia="宋体" w:cs="Times New Roman"/>
                      <w:kern w:val="2"/>
                      <w:sz w:val="21"/>
                      <w:szCs w:val="21"/>
                      <w:lang w:val="en-US" w:eastAsia="zh-CN" w:bidi="ar-SA"/>
                    </w:rPr>
                    <w:t>半年更换一次；</w:t>
                  </w:r>
                  <w:r>
                    <w:rPr>
                      <w:rFonts w:hint="eastAsia" w:cs="Times New Roman"/>
                      <w:kern w:val="2"/>
                      <w:sz w:val="21"/>
                      <w:szCs w:val="21"/>
                      <w:lang w:val="en-US" w:eastAsia="zh-CN" w:bidi="ar-SA"/>
                    </w:rPr>
                    <w:t>铝材表面处理废水和清洗废水</w:t>
                  </w:r>
                  <w:r>
                    <w:rPr>
                      <w:rFonts w:hint="eastAsia" w:ascii="Times New Roman" w:hAnsi="Times New Roman" w:eastAsia="宋体" w:cs="Times New Roman"/>
                      <w:kern w:val="2"/>
                      <w:sz w:val="21"/>
                      <w:szCs w:val="21"/>
                      <w:lang w:val="en-US" w:eastAsia="zh-CN" w:bidi="ar-SA"/>
                    </w:rPr>
                    <w:t>经污水处理站（占地80㎡，工艺“中和+絮凝沉淀+气浮+多介质过滤+反渗透”）处理后</w:t>
                  </w:r>
                  <w:r>
                    <w:rPr>
                      <w:rFonts w:hint="eastAsia" w:cs="Times New Roman"/>
                      <w:kern w:val="2"/>
                      <w:sz w:val="21"/>
                      <w:szCs w:val="21"/>
                      <w:lang w:val="en-US" w:eastAsia="zh-CN" w:bidi="ar-SA"/>
                    </w:rPr>
                    <w:t>回用。</w:t>
                  </w:r>
                </w:p>
              </w:tc>
              <w:tc>
                <w:tcPr>
                  <w:tcW w:w="602" w:type="dxa"/>
                  <w:tcBorders>
                    <w:tl2br w:val="nil"/>
                    <w:tr2bl w:val="nil"/>
                  </w:tcBorders>
                  <w:vAlign w:val="center"/>
                </w:tcPr>
                <w:p>
                  <w:pPr>
                    <w:pStyle w:val="46"/>
                    <w:adjustRightInd w:val="0"/>
                    <w:snapToGrid w:val="0"/>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continue"/>
                  <w:tcBorders>
                    <w:tl2br w:val="nil"/>
                    <w:tr2bl w:val="nil"/>
                  </w:tcBorders>
                  <w:shd w:val="clear" w:color="auto" w:fill="auto"/>
                  <w:vAlign w:val="center"/>
                </w:tcPr>
                <w:p>
                  <w:pPr>
                    <w:adjustRightInd w:val="0"/>
                    <w:snapToGrid w:val="0"/>
                    <w:jc w:val="center"/>
                    <w:rPr>
                      <w:szCs w:val="21"/>
                    </w:rPr>
                  </w:pPr>
                </w:p>
              </w:tc>
              <w:tc>
                <w:tcPr>
                  <w:tcW w:w="1246" w:type="dxa"/>
                  <w:tcBorders>
                    <w:tl2br w:val="nil"/>
                    <w:tr2bl w:val="nil"/>
                  </w:tcBorders>
                  <w:shd w:val="clear" w:color="auto" w:fill="auto"/>
                  <w:vAlign w:val="center"/>
                </w:tcPr>
                <w:p>
                  <w:pPr>
                    <w:adjustRightInd w:val="0"/>
                    <w:snapToGrid w:val="0"/>
                    <w:jc w:val="center"/>
                    <w:rPr>
                      <w:szCs w:val="21"/>
                    </w:rPr>
                  </w:pPr>
                  <w:r>
                    <w:rPr>
                      <w:rFonts w:hint="eastAsia"/>
                      <w:szCs w:val="21"/>
                    </w:rPr>
                    <w:t>喷淋废水</w:t>
                  </w:r>
                </w:p>
              </w:tc>
              <w:tc>
                <w:tcPr>
                  <w:tcW w:w="5103" w:type="dxa"/>
                  <w:tcBorders>
                    <w:tl2br w:val="nil"/>
                    <w:tr2bl w:val="nil"/>
                  </w:tcBorders>
                  <w:shd w:val="clear" w:color="auto" w:fill="auto"/>
                  <w:vAlign w:val="center"/>
                </w:tcPr>
                <w:p>
                  <w:pPr>
                    <w:pStyle w:val="46"/>
                    <w:adjustRightInd w:val="0"/>
                    <w:snapToGrid w:val="0"/>
                    <w:rPr>
                      <w:szCs w:val="21"/>
                    </w:rPr>
                  </w:pPr>
                  <w:r>
                    <w:rPr>
                      <w:rFonts w:hint="eastAsia"/>
                      <w:szCs w:val="21"/>
                    </w:rPr>
                    <w:t>喷淋塔水循环使用不外排，定期补充。</w:t>
                  </w:r>
                </w:p>
              </w:tc>
              <w:tc>
                <w:tcPr>
                  <w:tcW w:w="602" w:type="dxa"/>
                  <w:tcBorders>
                    <w:tl2br w:val="nil"/>
                    <w:tr2bl w:val="nil"/>
                  </w:tcBorders>
                  <w:vAlign w:val="center"/>
                </w:tcPr>
                <w:p>
                  <w:pPr>
                    <w:pStyle w:val="46"/>
                    <w:adjustRightInd w:val="0"/>
                    <w:snapToGrid w:val="0"/>
                    <w:rPr>
                      <w:szCs w:val="21"/>
                    </w:rPr>
                  </w:pPr>
                  <w:r>
                    <w:rPr>
                      <w:rFonts w:hint="eastAsia"/>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restart"/>
                  <w:tcBorders>
                    <w:tl2br w:val="nil"/>
                    <w:tr2bl w:val="nil"/>
                  </w:tcBorders>
                  <w:shd w:val="clear" w:color="auto" w:fill="auto"/>
                  <w:vAlign w:val="center"/>
                </w:tcPr>
                <w:p>
                  <w:pPr>
                    <w:adjustRightInd w:val="0"/>
                    <w:snapToGrid w:val="0"/>
                    <w:jc w:val="center"/>
                    <w:rPr>
                      <w:szCs w:val="21"/>
                    </w:rPr>
                  </w:pPr>
                  <w:r>
                    <w:rPr>
                      <w:szCs w:val="21"/>
                    </w:rPr>
                    <w:t>固体废物</w:t>
                  </w:r>
                </w:p>
              </w:tc>
              <w:tc>
                <w:tcPr>
                  <w:tcW w:w="1246" w:type="dxa"/>
                  <w:tcBorders>
                    <w:tl2br w:val="nil"/>
                    <w:tr2bl w:val="nil"/>
                  </w:tcBorders>
                  <w:shd w:val="clear" w:color="auto" w:fill="auto"/>
                  <w:vAlign w:val="center"/>
                </w:tcPr>
                <w:p>
                  <w:pPr>
                    <w:adjustRightInd w:val="0"/>
                    <w:snapToGrid w:val="0"/>
                    <w:jc w:val="center"/>
                    <w:rPr>
                      <w:szCs w:val="21"/>
                    </w:rPr>
                  </w:pPr>
                  <w:r>
                    <w:rPr>
                      <w:szCs w:val="21"/>
                    </w:rPr>
                    <w:t>生活垃圾</w:t>
                  </w:r>
                </w:p>
              </w:tc>
              <w:tc>
                <w:tcPr>
                  <w:tcW w:w="5103" w:type="dxa"/>
                  <w:tcBorders>
                    <w:tl2br w:val="nil"/>
                    <w:tr2bl w:val="nil"/>
                  </w:tcBorders>
                  <w:shd w:val="clear" w:color="auto" w:fill="auto"/>
                  <w:vAlign w:val="center"/>
                </w:tcPr>
                <w:p>
                  <w:pPr>
                    <w:pStyle w:val="46"/>
                    <w:adjustRightInd w:val="0"/>
                    <w:snapToGrid w:val="0"/>
                    <w:rPr>
                      <w:szCs w:val="21"/>
                    </w:rPr>
                  </w:pPr>
                  <w:r>
                    <w:rPr>
                      <w:rFonts w:hint="eastAsia"/>
                      <w:szCs w:val="21"/>
                    </w:rPr>
                    <w:t>统一收集，由环卫部门统一清运。</w:t>
                  </w:r>
                </w:p>
              </w:tc>
              <w:tc>
                <w:tcPr>
                  <w:tcW w:w="602" w:type="dxa"/>
                  <w:tcBorders>
                    <w:tl2br w:val="nil"/>
                    <w:tr2bl w:val="nil"/>
                  </w:tcBorders>
                  <w:vAlign w:val="center"/>
                </w:tcPr>
                <w:p>
                  <w:pPr>
                    <w:pStyle w:val="46"/>
                    <w:adjustRightInd w:val="0"/>
                    <w:snapToGrid w:val="0"/>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continue"/>
                  <w:tcBorders>
                    <w:tl2br w:val="nil"/>
                    <w:tr2bl w:val="nil"/>
                  </w:tcBorders>
                  <w:shd w:val="clear" w:color="auto" w:fill="auto"/>
                  <w:vAlign w:val="center"/>
                </w:tcPr>
                <w:p>
                  <w:pPr>
                    <w:adjustRightInd w:val="0"/>
                    <w:snapToGrid w:val="0"/>
                    <w:jc w:val="center"/>
                    <w:rPr>
                      <w:szCs w:val="21"/>
                    </w:rPr>
                  </w:pPr>
                </w:p>
              </w:tc>
              <w:tc>
                <w:tcPr>
                  <w:tcW w:w="1246" w:type="dxa"/>
                  <w:tcBorders>
                    <w:tl2br w:val="nil"/>
                    <w:tr2bl w:val="nil"/>
                  </w:tcBorders>
                  <w:shd w:val="clear" w:color="auto" w:fill="auto"/>
                  <w:vAlign w:val="center"/>
                </w:tcPr>
                <w:p>
                  <w:pPr>
                    <w:adjustRightInd w:val="0"/>
                    <w:snapToGrid w:val="0"/>
                    <w:jc w:val="center"/>
                    <w:rPr>
                      <w:szCs w:val="21"/>
                    </w:rPr>
                  </w:pPr>
                  <w:r>
                    <w:rPr>
                      <w:szCs w:val="21"/>
                    </w:rPr>
                    <w:t>一般固废</w:t>
                  </w:r>
                </w:p>
              </w:tc>
              <w:tc>
                <w:tcPr>
                  <w:tcW w:w="5103" w:type="dxa"/>
                  <w:tcBorders>
                    <w:tl2br w:val="nil"/>
                    <w:tr2bl w:val="nil"/>
                  </w:tcBorders>
                  <w:shd w:val="clear" w:color="auto" w:fill="auto"/>
                  <w:vAlign w:val="center"/>
                </w:tcPr>
                <w:p>
                  <w:pPr>
                    <w:pStyle w:val="46"/>
                    <w:adjustRightInd w:val="0"/>
                    <w:snapToGrid w:val="0"/>
                    <w:rPr>
                      <w:szCs w:val="21"/>
                    </w:rPr>
                  </w:pPr>
                  <w:r>
                    <w:rPr>
                      <w:kern w:val="0"/>
                      <w:szCs w:val="21"/>
                    </w:rPr>
                    <w:t>废边角料、</w:t>
                  </w:r>
                  <w:r>
                    <w:rPr>
                      <w:rFonts w:hint="eastAsia"/>
                      <w:kern w:val="0"/>
                      <w:szCs w:val="21"/>
                    </w:rPr>
                    <w:t>废包装材料、废木纹转印纸、废塑粉</w:t>
                  </w:r>
                  <w:r>
                    <w:rPr>
                      <w:kern w:val="0"/>
                      <w:szCs w:val="21"/>
                    </w:rPr>
                    <w:t>外售处理</w:t>
                  </w:r>
                  <w:r>
                    <w:rPr>
                      <w:rFonts w:hint="eastAsia"/>
                      <w:kern w:val="0"/>
                      <w:szCs w:val="21"/>
                    </w:rPr>
                    <w:t>；滤筒</w:t>
                  </w:r>
                  <w:r>
                    <w:rPr>
                      <w:kern w:val="0"/>
                      <w:szCs w:val="21"/>
                    </w:rPr>
                    <w:t>回收塑粉回用于生产</w:t>
                  </w:r>
                  <w:r>
                    <w:rPr>
                      <w:rFonts w:hint="eastAsia"/>
                      <w:kern w:val="0"/>
                      <w:szCs w:val="21"/>
                    </w:rPr>
                    <w:t>；废树脂和废渗透膜由厂家回收处置。</w:t>
                  </w:r>
                </w:p>
              </w:tc>
              <w:tc>
                <w:tcPr>
                  <w:tcW w:w="602" w:type="dxa"/>
                  <w:tcBorders>
                    <w:tl2br w:val="nil"/>
                    <w:tr2bl w:val="nil"/>
                  </w:tcBorders>
                  <w:vAlign w:val="center"/>
                </w:tcPr>
                <w:p>
                  <w:pPr>
                    <w:pStyle w:val="46"/>
                    <w:adjustRightInd w:val="0"/>
                    <w:snapToGrid w:val="0"/>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386" w:type="dxa"/>
                  <w:vMerge w:val="continue"/>
                  <w:tcBorders>
                    <w:tl2br w:val="nil"/>
                    <w:tr2bl w:val="nil"/>
                  </w:tcBorders>
                  <w:shd w:val="clear" w:color="auto" w:fill="auto"/>
                  <w:vAlign w:val="center"/>
                </w:tcPr>
                <w:p>
                  <w:pPr>
                    <w:adjustRightInd w:val="0"/>
                    <w:snapToGrid w:val="0"/>
                    <w:jc w:val="center"/>
                    <w:rPr>
                      <w:szCs w:val="21"/>
                    </w:rPr>
                  </w:pPr>
                </w:p>
              </w:tc>
              <w:tc>
                <w:tcPr>
                  <w:tcW w:w="1246" w:type="dxa"/>
                  <w:tcBorders>
                    <w:tl2br w:val="nil"/>
                    <w:tr2bl w:val="nil"/>
                  </w:tcBorders>
                  <w:shd w:val="clear" w:color="auto" w:fill="auto"/>
                  <w:vAlign w:val="center"/>
                </w:tcPr>
                <w:p>
                  <w:pPr>
                    <w:adjustRightInd w:val="0"/>
                    <w:snapToGrid w:val="0"/>
                    <w:jc w:val="center"/>
                    <w:rPr>
                      <w:szCs w:val="21"/>
                    </w:rPr>
                  </w:pPr>
                  <w:r>
                    <w:rPr>
                      <w:szCs w:val="21"/>
                    </w:rPr>
                    <w:t>危险废物</w:t>
                  </w:r>
                </w:p>
              </w:tc>
              <w:tc>
                <w:tcPr>
                  <w:tcW w:w="5103" w:type="dxa"/>
                  <w:tcBorders>
                    <w:tl2br w:val="nil"/>
                    <w:tr2bl w:val="nil"/>
                  </w:tcBorders>
                  <w:shd w:val="clear" w:color="auto" w:fill="auto"/>
                  <w:vAlign w:val="center"/>
                </w:tcPr>
                <w:p>
                  <w:pPr>
                    <w:pStyle w:val="46"/>
                    <w:adjustRightInd w:val="0"/>
                    <w:snapToGrid w:val="0"/>
                    <w:rPr>
                      <w:szCs w:val="21"/>
                    </w:rPr>
                  </w:pPr>
                  <w:r>
                    <w:rPr>
                      <w:rFonts w:hint="eastAsia"/>
                      <w:szCs w:val="21"/>
                    </w:rPr>
                    <w:t>设1间6m</w:t>
                  </w:r>
                  <w:r>
                    <w:rPr>
                      <w:rFonts w:hint="eastAsia"/>
                      <w:szCs w:val="21"/>
                      <w:vertAlign w:val="superscript"/>
                    </w:rPr>
                    <w:t>2</w:t>
                  </w:r>
                  <w:r>
                    <w:rPr>
                      <w:rFonts w:hint="eastAsia"/>
                      <w:szCs w:val="21"/>
                    </w:rPr>
                    <w:t>危废贮存库，位于药品室南侧。</w:t>
                  </w:r>
                  <w:r>
                    <w:rPr>
                      <w:rFonts w:hint="eastAsia"/>
                      <w:szCs w:val="21"/>
                      <w:lang w:val="en-US" w:eastAsia="zh-CN"/>
                    </w:rPr>
                    <w:t>铝材表面处</w:t>
                  </w:r>
                  <w:r>
                    <w:rPr>
                      <w:rFonts w:hint="eastAsia"/>
                      <w:szCs w:val="21"/>
                      <w:lang w:eastAsia="zh-CN"/>
                    </w:rPr>
                    <w:t>理</w:t>
                  </w:r>
                  <w:r>
                    <w:rPr>
                      <w:rFonts w:hint="eastAsia"/>
                      <w:szCs w:val="21"/>
                      <w:lang w:val="en-US" w:eastAsia="zh-CN"/>
                    </w:rPr>
                    <w:t>废液</w:t>
                  </w:r>
                  <w:r>
                    <w:rPr>
                      <w:rFonts w:hint="eastAsia"/>
                      <w:szCs w:val="21"/>
                      <w:lang w:eastAsia="zh-CN"/>
                    </w:rPr>
                    <w:t>（预脱脂、脱脂、钝化</w:t>
                  </w:r>
                  <w:r>
                    <w:rPr>
                      <w:rFonts w:hint="eastAsia"/>
                      <w:szCs w:val="21"/>
                      <w:lang w:val="en-US" w:eastAsia="zh-CN"/>
                    </w:rPr>
                    <w:t>废液</w:t>
                  </w:r>
                  <w:r>
                    <w:rPr>
                      <w:rFonts w:hint="eastAsia"/>
                      <w:szCs w:val="21"/>
                      <w:lang w:eastAsia="zh-CN"/>
                    </w:rPr>
                    <w:t>）</w:t>
                  </w:r>
                  <w:r>
                    <w:rPr>
                      <w:rFonts w:hint="eastAsia"/>
                      <w:szCs w:val="21"/>
                    </w:rPr>
                    <w:t>每年</w:t>
                  </w:r>
                  <w:r>
                    <w:rPr>
                      <w:rFonts w:hint="eastAsia" w:ascii="Times New Roman" w:hAnsi="Times New Roman" w:eastAsia="宋体" w:cs="Times New Roman"/>
                      <w:kern w:val="2"/>
                      <w:sz w:val="21"/>
                      <w:szCs w:val="21"/>
                      <w:lang w:val="en-US" w:eastAsia="zh-CN" w:bidi="ar-SA"/>
                    </w:rPr>
                    <w:t>更换一次，</w:t>
                  </w:r>
                  <w:r>
                    <w:rPr>
                      <w:rFonts w:hint="eastAsia" w:cs="Times New Roman"/>
                      <w:kern w:val="2"/>
                      <w:sz w:val="21"/>
                      <w:szCs w:val="21"/>
                      <w:lang w:val="en-US" w:eastAsia="zh-CN" w:bidi="ar-SA"/>
                    </w:rPr>
                    <w:t>危废贮存库暂存。</w:t>
                  </w:r>
                  <w:r>
                    <w:rPr>
                      <w:rFonts w:hint="eastAsia"/>
                      <w:szCs w:val="21"/>
                    </w:rPr>
                    <w:t>废渣和泥饼、</w:t>
                  </w:r>
                  <w:r>
                    <w:rPr>
                      <w:rFonts w:hint="eastAsia"/>
                      <w:szCs w:val="21"/>
                      <w:lang w:val="en-US" w:eastAsia="zh-CN"/>
                    </w:rPr>
                    <w:t>铝材表面处</w:t>
                  </w:r>
                  <w:r>
                    <w:rPr>
                      <w:rFonts w:hint="eastAsia"/>
                      <w:szCs w:val="21"/>
                      <w:lang w:eastAsia="zh-CN"/>
                    </w:rPr>
                    <w:t>理</w:t>
                  </w:r>
                  <w:r>
                    <w:rPr>
                      <w:rFonts w:hint="eastAsia"/>
                      <w:szCs w:val="21"/>
                      <w:lang w:val="en-US" w:eastAsia="zh-CN"/>
                    </w:rPr>
                    <w:t>废液、</w:t>
                  </w:r>
                  <w:r>
                    <w:rPr>
                      <w:rFonts w:hint="eastAsia"/>
                      <w:szCs w:val="21"/>
                    </w:rPr>
                    <w:t>废活性炭、废吸附棉、废机油、废含有油抹布及手套和废液压油</w:t>
                  </w:r>
                  <w:r>
                    <w:rPr>
                      <w:szCs w:val="21"/>
                    </w:rPr>
                    <w:t>分类暂存于</w:t>
                  </w:r>
                  <w:r>
                    <w:rPr>
                      <w:rFonts w:hint="eastAsia"/>
                      <w:szCs w:val="21"/>
                    </w:rPr>
                    <w:t>为危废贮存库</w:t>
                  </w:r>
                  <w:r>
                    <w:rPr>
                      <w:szCs w:val="21"/>
                    </w:rPr>
                    <w:t>，并交</w:t>
                  </w:r>
                  <w:r>
                    <w:rPr>
                      <w:rFonts w:hint="eastAsia"/>
                      <w:szCs w:val="21"/>
                      <w:lang w:eastAsia="zh-CN"/>
                    </w:rPr>
                    <w:t>陕西新天地固体废物综合处置公司</w:t>
                  </w:r>
                  <w:r>
                    <w:rPr>
                      <w:rFonts w:hint="eastAsia"/>
                      <w:szCs w:val="21"/>
                    </w:rPr>
                    <w:t>处置</w:t>
                  </w:r>
                  <w:r>
                    <w:rPr>
                      <w:rFonts w:hint="eastAsia"/>
                      <w:szCs w:val="21"/>
                      <w:lang w:eastAsia="zh-CN"/>
                    </w:rPr>
                    <w:t>（危废合同见附件</w:t>
                  </w:r>
                  <w:r>
                    <w:rPr>
                      <w:rFonts w:hint="eastAsia"/>
                      <w:szCs w:val="21"/>
                      <w:lang w:val="en-US" w:eastAsia="zh-CN"/>
                    </w:rPr>
                    <w:t>13</w:t>
                  </w:r>
                  <w:r>
                    <w:rPr>
                      <w:rFonts w:hint="eastAsia"/>
                      <w:szCs w:val="21"/>
                      <w:lang w:eastAsia="zh-CN"/>
                    </w:rPr>
                    <w:t>）</w:t>
                  </w:r>
                  <w:r>
                    <w:rPr>
                      <w:rFonts w:hint="eastAsia"/>
                      <w:szCs w:val="21"/>
                    </w:rPr>
                    <w:t>。</w:t>
                  </w:r>
                </w:p>
              </w:tc>
              <w:tc>
                <w:tcPr>
                  <w:tcW w:w="602" w:type="dxa"/>
                  <w:tcBorders>
                    <w:tl2br w:val="nil"/>
                    <w:tr2bl w:val="nil"/>
                  </w:tcBorders>
                  <w:vAlign w:val="center"/>
                </w:tcPr>
                <w:p>
                  <w:pPr>
                    <w:pStyle w:val="46"/>
                    <w:adjustRightInd w:val="0"/>
                    <w:snapToGrid w:val="0"/>
                    <w:rPr>
                      <w:szCs w:val="21"/>
                    </w:rPr>
                  </w:pPr>
                  <w:r>
                    <w:rPr>
                      <w:szCs w:val="21"/>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1" w:type="dxa"/>
                  <w:vMerge w:val="continue"/>
                  <w:tcBorders>
                    <w:tl2br w:val="nil"/>
                    <w:tr2bl w:val="nil"/>
                  </w:tcBorders>
                  <w:shd w:val="clear" w:color="auto" w:fill="auto"/>
                  <w:vAlign w:val="center"/>
                </w:tcPr>
                <w:p>
                  <w:pPr>
                    <w:pStyle w:val="45"/>
                    <w:spacing w:line="240" w:lineRule="auto"/>
                    <w:ind w:firstLine="0"/>
                    <w:jc w:val="center"/>
                    <w:rPr>
                      <w:sz w:val="21"/>
                      <w:szCs w:val="21"/>
                    </w:rPr>
                  </w:pPr>
                </w:p>
              </w:tc>
              <w:tc>
                <w:tcPr>
                  <w:tcW w:w="1632" w:type="dxa"/>
                  <w:gridSpan w:val="2"/>
                  <w:tcBorders>
                    <w:tl2br w:val="nil"/>
                    <w:tr2bl w:val="nil"/>
                  </w:tcBorders>
                  <w:shd w:val="clear" w:color="auto" w:fill="auto"/>
                  <w:vAlign w:val="center"/>
                </w:tcPr>
                <w:p>
                  <w:pPr>
                    <w:adjustRightInd w:val="0"/>
                    <w:snapToGrid w:val="0"/>
                    <w:jc w:val="center"/>
                    <w:rPr>
                      <w:szCs w:val="21"/>
                    </w:rPr>
                  </w:pPr>
                  <w:r>
                    <w:rPr>
                      <w:szCs w:val="21"/>
                    </w:rPr>
                    <w:t>噪声</w:t>
                  </w:r>
                </w:p>
              </w:tc>
              <w:tc>
                <w:tcPr>
                  <w:tcW w:w="5103" w:type="dxa"/>
                  <w:tcBorders>
                    <w:tl2br w:val="nil"/>
                    <w:tr2bl w:val="nil"/>
                  </w:tcBorders>
                  <w:shd w:val="clear" w:color="auto" w:fill="auto"/>
                  <w:vAlign w:val="center"/>
                </w:tcPr>
                <w:p>
                  <w:pPr>
                    <w:pStyle w:val="46"/>
                    <w:adjustRightInd w:val="0"/>
                    <w:snapToGrid w:val="0"/>
                    <w:rPr>
                      <w:szCs w:val="21"/>
                    </w:rPr>
                  </w:pPr>
                  <w:r>
                    <w:rPr>
                      <w:szCs w:val="21"/>
                    </w:rPr>
                    <w:t>选取低噪声设备，并配备基础减振、厂房隔声材料</w:t>
                  </w:r>
                  <w:r>
                    <w:rPr>
                      <w:rFonts w:hint="eastAsia"/>
                      <w:szCs w:val="21"/>
                    </w:rPr>
                    <w:t>。</w:t>
                  </w:r>
                </w:p>
              </w:tc>
              <w:tc>
                <w:tcPr>
                  <w:tcW w:w="602" w:type="dxa"/>
                  <w:tcBorders>
                    <w:tl2br w:val="nil"/>
                    <w:tr2bl w:val="nil"/>
                  </w:tcBorders>
                  <w:vAlign w:val="center"/>
                </w:tcPr>
                <w:p>
                  <w:pPr>
                    <w:pStyle w:val="46"/>
                    <w:adjustRightInd w:val="0"/>
                    <w:snapToGrid w:val="0"/>
                    <w:rPr>
                      <w:szCs w:val="21"/>
                    </w:rPr>
                  </w:pPr>
                  <w:r>
                    <w:rPr>
                      <w:szCs w:val="21"/>
                    </w:rPr>
                    <w:t>新建</w:t>
                  </w:r>
                </w:p>
              </w:tc>
            </w:tr>
          </w:tbl>
          <w:p>
            <w:pPr>
              <w:adjustRightInd w:val="0"/>
              <w:snapToGrid w:val="0"/>
              <w:spacing w:line="360" w:lineRule="auto"/>
              <w:rPr>
                <w:b/>
                <w:bCs/>
                <w:sz w:val="24"/>
              </w:rPr>
            </w:pPr>
            <w:r>
              <w:rPr>
                <w:rFonts w:hint="eastAsia"/>
                <w:b/>
                <w:bCs/>
                <w:sz w:val="24"/>
              </w:rPr>
              <w:t>3</w:t>
            </w:r>
            <w:r>
              <w:rPr>
                <w:b/>
                <w:bCs/>
                <w:sz w:val="24"/>
              </w:rPr>
              <w:t>、生产规模及产品方案</w:t>
            </w:r>
          </w:p>
          <w:p>
            <w:pPr>
              <w:adjustRightInd w:val="0"/>
              <w:snapToGrid w:val="0"/>
              <w:spacing w:line="360" w:lineRule="auto"/>
              <w:ind w:firstLine="480" w:firstLineChars="200"/>
              <w:rPr>
                <w:sz w:val="24"/>
              </w:rPr>
            </w:pPr>
            <w:r>
              <w:rPr>
                <w:sz w:val="24"/>
              </w:rPr>
              <w:t>根据企业的发展计划，具体产品方案见表</w:t>
            </w:r>
            <w:r>
              <w:rPr>
                <w:rFonts w:hint="eastAsia"/>
                <w:sz w:val="24"/>
              </w:rPr>
              <w:t>2-2</w:t>
            </w:r>
            <w:r>
              <w:rPr>
                <w:sz w:val="24"/>
              </w:rPr>
              <w:t>。</w:t>
            </w:r>
          </w:p>
          <w:p>
            <w:pPr>
              <w:autoSpaceDE w:val="0"/>
              <w:autoSpaceDN w:val="0"/>
              <w:adjustRightInd w:val="0"/>
              <w:snapToGrid w:val="0"/>
              <w:jc w:val="center"/>
              <w:rPr>
                <w:b/>
                <w:szCs w:val="21"/>
                <w:lang w:val="zh-CN"/>
              </w:rPr>
            </w:pPr>
            <w:r>
              <w:rPr>
                <w:b/>
                <w:szCs w:val="21"/>
                <w:lang w:val="zh-CN"/>
              </w:rPr>
              <w:t>表</w:t>
            </w:r>
            <w:r>
              <w:rPr>
                <w:rFonts w:hint="eastAsia"/>
                <w:b/>
                <w:szCs w:val="21"/>
              </w:rPr>
              <w:t>2-2</w:t>
            </w:r>
            <w:r>
              <w:rPr>
                <w:b/>
                <w:szCs w:val="21"/>
                <w:lang w:val="zh-CN"/>
              </w:rPr>
              <w:t>产品方案</w:t>
            </w:r>
          </w:p>
          <w:tbl>
            <w:tblPr>
              <w:tblStyle w:val="29"/>
              <w:tblW w:w="8016"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34"/>
              <w:gridCol w:w="3293"/>
              <w:gridCol w:w="188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vAlign w:val="center"/>
                </w:tcPr>
                <w:p>
                  <w:pPr>
                    <w:autoSpaceDE w:val="0"/>
                    <w:autoSpaceDN w:val="0"/>
                    <w:adjustRightInd w:val="0"/>
                    <w:snapToGrid w:val="0"/>
                    <w:jc w:val="center"/>
                    <w:rPr>
                      <w:b/>
                      <w:bCs/>
                      <w:szCs w:val="21"/>
                      <w:lang w:val="zh-CN"/>
                    </w:rPr>
                  </w:pPr>
                  <w:r>
                    <w:rPr>
                      <w:b/>
                      <w:bCs/>
                      <w:szCs w:val="21"/>
                      <w:lang w:val="zh-CN"/>
                    </w:rPr>
                    <w:t>序号</w:t>
                  </w:r>
                </w:p>
              </w:tc>
              <w:tc>
                <w:tcPr>
                  <w:tcW w:w="2134" w:type="dxa"/>
                  <w:tcBorders>
                    <w:tl2br w:val="nil"/>
                    <w:tr2bl w:val="nil"/>
                  </w:tcBorders>
                  <w:vAlign w:val="center"/>
                </w:tcPr>
                <w:p>
                  <w:pPr>
                    <w:autoSpaceDE w:val="0"/>
                    <w:autoSpaceDN w:val="0"/>
                    <w:adjustRightInd w:val="0"/>
                    <w:snapToGrid w:val="0"/>
                    <w:jc w:val="center"/>
                    <w:rPr>
                      <w:b/>
                      <w:bCs/>
                      <w:szCs w:val="21"/>
                      <w:lang w:val="zh-CN"/>
                    </w:rPr>
                  </w:pPr>
                  <w:r>
                    <w:rPr>
                      <w:b/>
                      <w:bCs/>
                      <w:szCs w:val="21"/>
                      <w:lang w:val="zh-CN"/>
                    </w:rPr>
                    <w:t>产品名称</w:t>
                  </w:r>
                </w:p>
              </w:tc>
              <w:tc>
                <w:tcPr>
                  <w:tcW w:w="3293" w:type="dxa"/>
                  <w:tcBorders>
                    <w:tl2br w:val="nil"/>
                    <w:tr2bl w:val="nil"/>
                  </w:tcBorders>
                  <w:vAlign w:val="center"/>
                </w:tcPr>
                <w:p>
                  <w:pPr>
                    <w:autoSpaceDE w:val="0"/>
                    <w:autoSpaceDN w:val="0"/>
                    <w:adjustRightInd w:val="0"/>
                    <w:snapToGrid w:val="0"/>
                    <w:jc w:val="center"/>
                    <w:rPr>
                      <w:b/>
                      <w:bCs/>
                      <w:szCs w:val="21"/>
                      <w:lang w:val="zh-CN"/>
                    </w:rPr>
                  </w:pPr>
                  <w:r>
                    <w:rPr>
                      <w:b/>
                      <w:bCs/>
                      <w:szCs w:val="21"/>
                      <w:lang w:val="zh-CN"/>
                    </w:rPr>
                    <w:t>年产量</w:t>
                  </w:r>
                </w:p>
              </w:tc>
              <w:tc>
                <w:tcPr>
                  <w:tcW w:w="1880" w:type="dxa"/>
                  <w:tcBorders>
                    <w:tl2br w:val="nil"/>
                    <w:tr2bl w:val="nil"/>
                  </w:tcBorders>
                  <w:vAlign w:val="center"/>
                </w:tcPr>
                <w:p>
                  <w:pPr>
                    <w:autoSpaceDE w:val="0"/>
                    <w:autoSpaceDN w:val="0"/>
                    <w:adjustRightInd w:val="0"/>
                    <w:snapToGrid w:val="0"/>
                    <w:jc w:val="center"/>
                    <w:rPr>
                      <w:b/>
                      <w:bCs/>
                      <w:szCs w:val="21"/>
                      <w:lang w:val="zh-CN"/>
                    </w:rPr>
                  </w:pPr>
                  <w:r>
                    <w:rPr>
                      <w:rFonts w:hint="eastAsia"/>
                      <w:b/>
                      <w:bCs/>
                      <w:szCs w:val="21"/>
                      <w:lang w:val="zh-CN"/>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709" w:type="dxa"/>
                  <w:tcBorders>
                    <w:tl2br w:val="nil"/>
                    <w:tr2bl w:val="nil"/>
                  </w:tcBorders>
                  <w:vAlign w:val="center"/>
                </w:tcPr>
                <w:p>
                  <w:pPr>
                    <w:autoSpaceDE w:val="0"/>
                    <w:autoSpaceDN w:val="0"/>
                    <w:adjustRightInd w:val="0"/>
                    <w:snapToGrid w:val="0"/>
                    <w:jc w:val="center"/>
                    <w:rPr>
                      <w:szCs w:val="21"/>
                      <w:lang w:val="zh-CN"/>
                    </w:rPr>
                  </w:pPr>
                  <w:r>
                    <w:rPr>
                      <w:szCs w:val="21"/>
                      <w:lang w:val="zh-CN"/>
                    </w:rPr>
                    <w:t>1</w:t>
                  </w:r>
                </w:p>
              </w:tc>
              <w:tc>
                <w:tcPr>
                  <w:tcW w:w="2134" w:type="dxa"/>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铝方通喷塑铝材</w:t>
                  </w:r>
                </w:p>
              </w:tc>
              <w:tc>
                <w:tcPr>
                  <w:tcW w:w="3293" w:type="dxa"/>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1200吨（喷塑面积为96000㎡，1000吨外售，200吨用于木纹转印）</w:t>
                  </w:r>
                </w:p>
              </w:tc>
              <w:tc>
                <w:tcPr>
                  <w:tcW w:w="1880" w:type="dxa"/>
                  <w:vMerge w:val="restart"/>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《一般工业用铝及铝合金板、带材》GB/T3880-2012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vAlign w:val="center"/>
                </w:tcPr>
                <w:p>
                  <w:pPr>
                    <w:autoSpaceDE w:val="0"/>
                    <w:autoSpaceDN w:val="0"/>
                    <w:adjustRightInd w:val="0"/>
                    <w:snapToGrid w:val="0"/>
                    <w:jc w:val="center"/>
                    <w:rPr>
                      <w:szCs w:val="21"/>
                    </w:rPr>
                  </w:pPr>
                  <w:r>
                    <w:rPr>
                      <w:rFonts w:hint="eastAsia"/>
                      <w:szCs w:val="21"/>
                    </w:rPr>
                    <w:t>2</w:t>
                  </w:r>
                </w:p>
              </w:tc>
              <w:tc>
                <w:tcPr>
                  <w:tcW w:w="2134" w:type="dxa"/>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铝方通木纹转印铝材</w:t>
                  </w:r>
                </w:p>
              </w:tc>
              <w:tc>
                <w:tcPr>
                  <w:tcW w:w="3293" w:type="dxa"/>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200吨</w:t>
                  </w:r>
                </w:p>
              </w:tc>
              <w:tc>
                <w:tcPr>
                  <w:tcW w:w="1880" w:type="dxa"/>
                  <w:vMerge w:val="continue"/>
                  <w:tcBorders>
                    <w:tl2br w:val="nil"/>
                    <w:tr2bl w:val="nil"/>
                  </w:tcBorders>
                  <w:shd w:val="clear" w:color="auto" w:fill="auto"/>
                  <w:vAlign w:val="center"/>
                </w:tcPr>
                <w:p>
                  <w:pPr>
                    <w:autoSpaceDE w:val="0"/>
                    <w:autoSpaceDN w:val="0"/>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tcBorders>
                    <w:tl2br w:val="nil"/>
                    <w:tr2bl w:val="nil"/>
                  </w:tcBorders>
                  <w:vAlign w:val="center"/>
                </w:tcPr>
                <w:p>
                  <w:pPr>
                    <w:autoSpaceDE w:val="0"/>
                    <w:autoSpaceDN w:val="0"/>
                    <w:adjustRightInd w:val="0"/>
                    <w:snapToGrid w:val="0"/>
                    <w:jc w:val="center"/>
                    <w:rPr>
                      <w:szCs w:val="21"/>
                    </w:rPr>
                  </w:pPr>
                  <w:r>
                    <w:rPr>
                      <w:rFonts w:hint="eastAsia"/>
                      <w:szCs w:val="21"/>
                    </w:rPr>
                    <w:t>3</w:t>
                  </w:r>
                </w:p>
              </w:tc>
              <w:tc>
                <w:tcPr>
                  <w:tcW w:w="2134" w:type="dxa"/>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铝方通覆膜铝材</w:t>
                  </w:r>
                </w:p>
              </w:tc>
              <w:tc>
                <w:tcPr>
                  <w:tcW w:w="3293" w:type="dxa"/>
                  <w:tcBorders>
                    <w:tl2br w:val="nil"/>
                    <w:tr2bl w:val="nil"/>
                  </w:tcBorders>
                  <w:shd w:val="clear" w:color="auto" w:fill="auto"/>
                  <w:vAlign w:val="center"/>
                </w:tcPr>
                <w:p>
                  <w:pPr>
                    <w:autoSpaceDE w:val="0"/>
                    <w:autoSpaceDN w:val="0"/>
                    <w:adjustRightInd w:val="0"/>
                    <w:snapToGrid w:val="0"/>
                    <w:jc w:val="center"/>
                    <w:rPr>
                      <w:szCs w:val="21"/>
                    </w:rPr>
                  </w:pPr>
                  <w:r>
                    <w:rPr>
                      <w:rFonts w:hint="eastAsia"/>
                      <w:szCs w:val="21"/>
                    </w:rPr>
                    <w:t>200吨</w:t>
                  </w:r>
                </w:p>
              </w:tc>
              <w:tc>
                <w:tcPr>
                  <w:tcW w:w="1880" w:type="dxa"/>
                  <w:vMerge w:val="continue"/>
                  <w:tcBorders>
                    <w:tl2br w:val="nil"/>
                    <w:tr2bl w:val="nil"/>
                  </w:tcBorders>
                  <w:shd w:val="clear" w:color="auto" w:fill="auto"/>
                  <w:vAlign w:val="center"/>
                </w:tcPr>
                <w:p>
                  <w:pPr>
                    <w:autoSpaceDE w:val="0"/>
                    <w:autoSpaceDN w:val="0"/>
                    <w:adjustRightInd w:val="0"/>
                    <w:snapToGrid w:val="0"/>
                    <w:jc w:val="center"/>
                    <w:rPr>
                      <w:szCs w:val="21"/>
                    </w:rPr>
                  </w:pPr>
                </w:p>
              </w:tc>
            </w:tr>
          </w:tbl>
          <w:p>
            <w:pPr>
              <w:adjustRightInd w:val="0"/>
              <w:snapToGrid w:val="0"/>
              <w:spacing w:line="360" w:lineRule="auto"/>
              <w:rPr>
                <w:b/>
                <w:bCs/>
                <w:sz w:val="24"/>
              </w:rPr>
            </w:pPr>
            <w:r>
              <w:rPr>
                <w:rFonts w:hint="eastAsia"/>
                <w:b/>
                <w:bCs/>
                <w:sz w:val="24"/>
              </w:rPr>
              <w:t>4</w:t>
            </w:r>
            <w:r>
              <w:rPr>
                <w:b/>
                <w:bCs/>
                <w:sz w:val="24"/>
              </w:rPr>
              <w:t>、主要原辅材料</w:t>
            </w:r>
            <w:r>
              <w:rPr>
                <w:rFonts w:hint="eastAsia"/>
                <w:b/>
                <w:bCs/>
                <w:sz w:val="24"/>
              </w:rPr>
              <w:t>及理化性质</w:t>
            </w:r>
          </w:p>
          <w:p>
            <w:pPr>
              <w:adjustRightInd w:val="0"/>
              <w:snapToGrid w:val="0"/>
              <w:spacing w:line="360" w:lineRule="auto"/>
              <w:ind w:firstLine="480" w:firstLineChars="200"/>
              <w:rPr>
                <w:kern w:val="0"/>
                <w:sz w:val="24"/>
              </w:rPr>
            </w:pPr>
            <w:r>
              <w:rPr>
                <w:rFonts w:hint="eastAsia"/>
                <w:kern w:val="0"/>
                <w:sz w:val="24"/>
              </w:rPr>
              <w:t>1）主要原辅材料及能源消耗</w:t>
            </w:r>
          </w:p>
          <w:p>
            <w:pPr>
              <w:adjustRightInd w:val="0"/>
              <w:snapToGrid w:val="0"/>
              <w:spacing w:line="360" w:lineRule="auto"/>
              <w:ind w:firstLine="480" w:firstLineChars="200"/>
              <w:rPr>
                <w:kern w:val="0"/>
                <w:sz w:val="24"/>
              </w:rPr>
            </w:pPr>
            <w:r>
              <w:rPr>
                <w:rFonts w:hint="eastAsia"/>
                <w:kern w:val="0"/>
                <w:sz w:val="24"/>
                <w:lang w:eastAsia="zh-CN"/>
              </w:rPr>
              <w:t>项目</w:t>
            </w:r>
            <w:r>
              <w:rPr>
                <w:kern w:val="0"/>
                <w:sz w:val="24"/>
              </w:rPr>
              <w:t>主要原辅材料用量</w:t>
            </w:r>
            <w:r>
              <w:rPr>
                <w:rFonts w:hint="eastAsia"/>
                <w:kern w:val="0"/>
                <w:sz w:val="24"/>
              </w:rPr>
              <w:t>见表2-3。</w:t>
            </w:r>
          </w:p>
          <w:p>
            <w:pPr>
              <w:autoSpaceDE w:val="0"/>
              <w:autoSpaceDN w:val="0"/>
              <w:adjustRightInd w:val="0"/>
              <w:snapToGrid w:val="0"/>
              <w:jc w:val="center"/>
              <w:rPr>
                <w:b/>
                <w:szCs w:val="21"/>
                <w:lang w:val="zh-CN"/>
              </w:rPr>
            </w:pPr>
            <w:r>
              <w:rPr>
                <w:b/>
                <w:szCs w:val="21"/>
                <w:lang w:val="zh-CN"/>
              </w:rPr>
              <w:t>表</w:t>
            </w:r>
            <w:r>
              <w:rPr>
                <w:rFonts w:hint="eastAsia"/>
                <w:b/>
                <w:szCs w:val="21"/>
              </w:rPr>
              <w:t>2-3</w:t>
            </w:r>
            <w:r>
              <w:rPr>
                <w:b/>
                <w:szCs w:val="21"/>
                <w:lang w:val="zh-CN"/>
              </w:rPr>
              <w:t>原辅材料来源及消耗情况统计表</w:t>
            </w:r>
          </w:p>
          <w:tbl>
            <w:tblPr>
              <w:tblStyle w:val="29"/>
              <w:tblW w:w="80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782"/>
              <w:gridCol w:w="702"/>
              <w:gridCol w:w="586"/>
              <w:gridCol w:w="832"/>
              <w:gridCol w:w="850"/>
              <w:gridCol w:w="1024"/>
              <w:gridCol w:w="18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pStyle w:val="46"/>
                    <w:adjustRightInd w:val="0"/>
                    <w:snapToGrid w:val="0"/>
                    <w:rPr>
                      <w:b/>
                      <w:szCs w:val="21"/>
                    </w:rPr>
                  </w:pPr>
                  <w:r>
                    <w:rPr>
                      <w:rFonts w:hint="eastAsia"/>
                      <w:b/>
                      <w:szCs w:val="21"/>
                    </w:rPr>
                    <w:t>序号</w:t>
                  </w:r>
                </w:p>
              </w:tc>
              <w:tc>
                <w:tcPr>
                  <w:tcW w:w="1782" w:type="dxa"/>
                  <w:tcBorders>
                    <w:tl2br w:val="nil"/>
                    <w:tr2bl w:val="nil"/>
                  </w:tcBorders>
                  <w:vAlign w:val="center"/>
                </w:tcPr>
                <w:p>
                  <w:pPr>
                    <w:pStyle w:val="46"/>
                    <w:adjustRightInd w:val="0"/>
                    <w:snapToGrid w:val="0"/>
                    <w:rPr>
                      <w:b/>
                      <w:szCs w:val="21"/>
                    </w:rPr>
                  </w:pPr>
                  <w:r>
                    <w:rPr>
                      <w:b/>
                      <w:szCs w:val="21"/>
                    </w:rPr>
                    <w:t>名称</w:t>
                  </w:r>
                </w:p>
              </w:tc>
              <w:tc>
                <w:tcPr>
                  <w:tcW w:w="702" w:type="dxa"/>
                  <w:tcBorders>
                    <w:tl2br w:val="nil"/>
                    <w:tr2bl w:val="nil"/>
                  </w:tcBorders>
                  <w:vAlign w:val="center"/>
                </w:tcPr>
                <w:p>
                  <w:pPr>
                    <w:pStyle w:val="46"/>
                    <w:adjustRightInd w:val="0"/>
                    <w:snapToGrid w:val="0"/>
                    <w:rPr>
                      <w:b/>
                      <w:szCs w:val="21"/>
                    </w:rPr>
                  </w:pPr>
                  <w:r>
                    <w:rPr>
                      <w:b/>
                      <w:szCs w:val="21"/>
                    </w:rPr>
                    <w:t>形态</w:t>
                  </w:r>
                </w:p>
              </w:tc>
              <w:tc>
                <w:tcPr>
                  <w:tcW w:w="586" w:type="dxa"/>
                  <w:tcBorders>
                    <w:tl2br w:val="nil"/>
                    <w:tr2bl w:val="nil"/>
                  </w:tcBorders>
                  <w:vAlign w:val="center"/>
                </w:tcPr>
                <w:p>
                  <w:pPr>
                    <w:pStyle w:val="46"/>
                    <w:adjustRightInd w:val="0"/>
                    <w:snapToGrid w:val="0"/>
                    <w:rPr>
                      <w:b/>
                      <w:szCs w:val="21"/>
                    </w:rPr>
                  </w:pPr>
                  <w:r>
                    <w:rPr>
                      <w:b/>
                      <w:szCs w:val="21"/>
                    </w:rPr>
                    <w:t>单位</w:t>
                  </w:r>
                </w:p>
              </w:tc>
              <w:tc>
                <w:tcPr>
                  <w:tcW w:w="832" w:type="dxa"/>
                  <w:tcBorders>
                    <w:tl2br w:val="nil"/>
                    <w:tr2bl w:val="nil"/>
                  </w:tcBorders>
                  <w:vAlign w:val="center"/>
                </w:tcPr>
                <w:p>
                  <w:pPr>
                    <w:pStyle w:val="46"/>
                    <w:adjustRightInd w:val="0"/>
                    <w:snapToGrid w:val="0"/>
                    <w:rPr>
                      <w:b/>
                      <w:szCs w:val="21"/>
                    </w:rPr>
                  </w:pPr>
                  <w:r>
                    <w:rPr>
                      <w:rFonts w:hint="eastAsia"/>
                      <w:b/>
                      <w:szCs w:val="21"/>
                    </w:rPr>
                    <w:t>年用</w:t>
                  </w:r>
                  <w:r>
                    <w:rPr>
                      <w:b/>
                      <w:szCs w:val="21"/>
                    </w:rPr>
                    <w:t>量</w:t>
                  </w:r>
                </w:p>
              </w:tc>
              <w:tc>
                <w:tcPr>
                  <w:tcW w:w="850" w:type="dxa"/>
                  <w:tcBorders>
                    <w:tl2br w:val="nil"/>
                    <w:tr2bl w:val="nil"/>
                  </w:tcBorders>
                  <w:vAlign w:val="center"/>
                </w:tcPr>
                <w:p>
                  <w:pPr>
                    <w:pStyle w:val="46"/>
                    <w:adjustRightInd w:val="0"/>
                    <w:snapToGrid w:val="0"/>
                    <w:rPr>
                      <w:b/>
                      <w:szCs w:val="21"/>
                    </w:rPr>
                  </w:pPr>
                  <w:r>
                    <w:rPr>
                      <w:b/>
                      <w:szCs w:val="21"/>
                    </w:rPr>
                    <w:t>最大储量</w:t>
                  </w:r>
                </w:p>
              </w:tc>
              <w:tc>
                <w:tcPr>
                  <w:tcW w:w="1024" w:type="dxa"/>
                  <w:tcBorders>
                    <w:tl2br w:val="nil"/>
                    <w:tr2bl w:val="nil"/>
                  </w:tcBorders>
                  <w:vAlign w:val="center"/>
                </w:tcPr>
                <w:p>
                  <w:pPr>
                    <w:pStyle w:val="46"/>
                    <w:adjustRightInd w:val="0"/>
                    <w:snapToGrid w:val="0"/>
                    <w:rPr>
                      <w:b/>
                      <w:szCs w:val="21"/>
                    </w:rPr>
                  </w:pPr>
                  <w:r>
                    <w:rPr>
                      <w:b/>
                      <w:szCs w:val="21"/>
                    </w:rPr>
                    <w:t>储存位置</w:t>
                  </w:r>
                </w:p>
              </w:tc>
              <w:tc>
                <w:tcPr>
                  <w:tcW w:w="1815" w:type="dxa"/>
                  <w:tcBorders>
                    <w:tl2br w:val="nil"/>
                    <w:tr2bl w:val="nil"/>
                  </w:tcBorders>
                  <w:vAlign w:val="center"/>
                </w:tcPr>
                <w:p>
                  <w:pPr>
                    <w:pStyle w:val="46"/>
                    <w:adjustRightInd w:val="0"/>
                    <w:snapToGrid w:val="0"/>
                    <w:rPr>
                      <w:b/>
                      <w:szCs w:val="21"/>
                    </w:rPr>
                  </w:pPr>
                  <w:r>
                    <w:rPr>
                      <w:rFonts w:hint="eastAsia"/>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18" w:type="dxa"/>
                  <w:gridSpan w:val="8"/>
                  <w:tcBorders>
                    <w:tl2br w:val="nil"/>
                    <w:tr2bl w:val="nil"/>
                  </w:tcBorders>
                  <w:vAlign w:val="center"/>
                </w:tcPr>
                <w:p>
                  <w:pPr>
                    <w:pStyle w:val="46"/>
                    <w:adjustRightInd w:val="0"/>
                    <w:snapToGrid w:val="0"/>
                    <w:rPr>
                      <w:szCs w:val="21"/>
                    </w:rPr>
                  </w:pPr>
                  <w:r>
                    <w:rPr>
                      <w:rFonts w:hint="eastAsia"/>
                      <w:b/>
                      <w:bCs/>
                      <w:szCs w:val="21"/>
                    </w:rPr>
                    <w:t>喷塑生产线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shd w:val="clear" w:color="auto" w:fill="auto"/>
                  <w:vAlign w:val="center"/>
                </w:tcPr>
                <w:p>
                  <w:pPr>
                    <w:adjustRightInd w:val="0"/>
                    <w:snapToGrid w:val="0"/>
                    <w:jc w:val="center"/>
                    <w:rPr>
                      <w:szCs w:val="21"/>
                    </w:rPr>
                  </w:pPr>
                  <w:r>
                    <w:rPr>
                      <w:rFonts w:hint="eastAsia"/>
                      <w:szCs w:val="21"/>
                    </w:rPr>
                    <w:t>1</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铝材</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固态</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1200</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500</w:t>
                  </w:r>
                </w:p>
              </w:tc>
              <w:tc>
                <w:tcPr>
                  <w:tcW w:w="1024" w:type="dxa"/>
                  <w:tcBorders>
                    <w:tl2br w:val="nil"/>
                    <w:tr2bl w:val="nil"/>
                  </w:tcBorders>
                  <w:shd w:val="clear" w:color="auto" w:fill="auto"/>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shd w:val="clear" w:color="auto" w:fill="auto"/>
                  <w:vAlign w:val="center"/>
                </w:tcPr>
                <w:p>
                  <w:pPr>
                    <w:adjustRightInd w:val="0"/>
                    <w:snapToGrid w:val="0"/>
                    <w:jc w:val="center"/>
                    <w:rPr>
                      <w:szCs w:val="21"/>
                    </w:rPr>
                  </w:pPr>
                  <w:r>
                    <w:rPr>
                      <w:rFonts w:hint="eastAsia"/>
                      <w:szCs w:val="21"/>
                    </w:rPr>
                    <w:t>25mm*40/50/70/90mm*6000mm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shd w:val="clear" w:color="auto" w:fill="auto"/>
                  <w:vAlign w:val="center"/>
                </w:tcPr>
                <w:p>
                  <w:pPr>
                    <w:adjustRightInd w:val="0"/>
                    <w:snapToGrid w:val="0"/>
                    <w:jc w:val="center"/>
                    <w:rPr>
                      <w:szCs w:val="21"/>
                    </w:rPr>
                  </w:pPr>
                  <w:r>
                    <w:rPr>
                      <w:rFonts w:hint="eastAsia"/>
                      <w:szCs w:val="21"/>
                    </w:rPr>
                    <w:t>2</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塑粉</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固态</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16</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5</w:t>
                  </w:r>
                </w:p>
              </w:tc>
              <w:tc>
                <w:tcPr>
                  <w:tcW w:w="1024" w:type="dxa"/>
                  <w:tcBorders>
                    <w:tl2br w:val="nil"/>
                    <w:tr2bl w:val="nil"/>
                  </w:tcBorders>
                  <w:shd w:val="clear" w:color="auto" w:fill="auto"/>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shd w:val="clear" w:color="auto" w:fill="auto"/>
                  <w:vAlign w:val="center"/>
                </w:tcPr>
                <w:p>
                  <w:pPr>
                    <w:adjustRightInd w:val="0"/>
                    <w:snapToGrid w:val="0"/>
                    <w:jc w:val="center"/>
                    <w:rPr>
                      <w:szCs w:val="21"/>
                    </w:rPr>
                  </w:pPr>
                  <w:r>
                    <w:rPr>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18" w:type="dxa"/>
                  <w:gridSpan w:val="8"/>
                  <w:tcBorders>
                    <w:tl2br w:val="nil"/>
                    <w:tr2bl w:val="nil"/>
                  </w:tcBorders>
                  <w:shd w:val="clear" w:color="auto" w:fill="auto"/>
                  <w:vAlign w:val="center"/>
                </w:tcPr>
                <w:p>
                  <w:pPr>
                    <w:adjustRightInd w:val="0"/>
                    <w:snapToGrid w:val="0"/>
                    <w:jc w:val="center"/>
                    <w:rPr>
                      <w:szCs w:val="21"/>
                    </w:rPr>
                  </w:pPr>
                  <w:r>
                    <w:rPr>
                      <w:rFonts w:hint="eastAsia"/>
                      <w:b/>
                      <w:bCs/>
                      <w:szCs w:val="21"/>
                    </w:rPr>
                    <w:t>木纹转印生产线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427" w:type="dxa"/>
                  <w:tcBorders>
                    <w:tl2br w:val="nil"/>
                    <w:tr2bl w:val="nil"/>
                  </w:tcBorders>
                  <w:shd w:val="clear" w:color="auto" w:fill="auto"/>
                  <w:vAlign w:val="center"/>
                </w:tcPr>
                <w:p>
                  <w:pPr>
                    <w:adjustRightInd w:val="0"/>
                    <w:snapToGrid w:val="0"/>
                    <w:jc w:val="center"/>
                    <w:rPr>
                      <w:szCs w:val="21"/>
                    </w:rPr>
                  </w:pPr>
                  <w:r>
                    <w:rPr>
                      <w:rFonts w:hint="eastAsia"/>
                      <w:szCs w:val="21"/>
                    </w:rPr>
                    <w:t>1</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喷塑铝材</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固态</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200</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50</w:t>
                  </w:r>
                </w:p>
              </w:tc>
              <w:tc>
                <w:tcPr>
                  <w:tcW w:w="1024" w:type="dxa"/>
                  <w:tcBorders>
                    <w:tl2br w:val="nil"/>
                    <w:tr2bl w:val="nil"/>
                  </w:tcBorders>
                  <w:shd w:val="clear" w:color="auto" w:fill="auto"/>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shd w:val="clear" w:color="auto" w:fill="auto"/>
                  <w:vAlign w:val="center"/>
                </w:tcPr>
                <w:p>
                  <w:pPr>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shd w:val="clear" w:color="auto" w:fill="auto"/>
                  <w:vAlign w:val="center"/>
                </w:tcPr>
                <w:p>
                  <w:pPr>
                    <w:adjustRightInd w:val="0"/>
                    <w:snapToGrid w:val="0"/>
                    <w:jc w:val="center"/>
                    <w:rPr>
                      <w:szCs w:val="21"/>
                    </w:rPr>
                  </w:pPr>
                  <w:r>
                    <w:rPr>
                      <w:rFonts w:hint="eastAsia"/>
                      <w:szCs w:val="21"/>
                    </w:rPr>
                    <w:t>2</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木纹转印纸</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0.48</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3</w:t>
                  </w:r>
                </w:p>
              </w:tc>
              <w:tc>
                <w:tcPr>
                  <w:tcW w:w="1024" w:type="dxa"/>
                  <w:tcBorders>
                    <w:tl2br w:val="nil"/>
                    <w:tr2bl w:val="nil"/>
                  </w:tcBorders>
                  <w:shd w:val="clear" w:color="auto" w:fill="auto"/>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shd w:val="clear" w:color="auto" w:fill="auto"/>
                  <w:vAlign w:val="center"/>
                </w:tcPr>
                <w:p>
                  <w:pPr>
                    <w:adjustRightInd w:val="0"/>
                    <w:snapToGrid w:val="0"/>
                    <w:jc w:val="center"/>
                    <w:rPr>
                      <w:szCs w:val="21"/>
                    </w:rPr>
                  </w:pPr>
                  <w:r>
                    <w:rPr>
                      <w:rFonts w:hint="eastAsia"/>
                      <w:szCs w:val="21"/>
                    </w:rPr>
                    <w:t>1t可覆3.33万㎡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18" w:type="dxa"/>
                  <w:gridSpan w:val="8"/>
                  <w:tcBorders>
                    <w:tl2br w:val="nil"/>
                    <w:tr2bl w:val="nil"/>
                  </w:tcBorders>
                  <w:vAlign w:val="center"/>
                </w:tcPr>
                <w:p>
                  <w:pPr>
                    <w:adjustRightInd w:val="0"/>
                    <w:snapToGrid w:val="0"/>
                    <w:jc w:val="center"/>
                    <w:rPr>
                      <w:szCs w:val="21"/>
                    </w:rPr>
                  </w:pPr>
                  <w:r>
                    <w:rPr>
                      <w:rFonts w:hint="eastAsia"/>
                      <w:b/>
                      <w:bCs/>
                      <w:szCs w:val="21"/>
                    </w:rPr>
                    <w:t>覆膜生产线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adjustRightInd w:val="0"/>
                    <w:snapToGrid w:val="0"/>
                    <w:jc w:val="center"/>
                    <w:rPr>
                      <w:szCs w:val="21"/>
                    </w:rPr>
                  </w:pPr>
                  <w:r>
                    <w:rPr>
                      <w:rFonts w:hint="eastAsia"/>
                      <w:szCs w:val="21"/>
                    </w:rPr>
                    <w:t>1</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铝卷</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固态</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200</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50</w:t>
                  </w:r>
                </w:p>
              </w:tc>
              <w:tc>
                <w:tcPr>
                  <w:tcW w:w="1024" w:type="dxa"/>
                  <w:tcBorders>
                    <w:tl2br w:val="nil"/>
                    <w:tr2bl w:val="nil"/>
                  </w:tcBorders>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vAlign w:val="center"/>
                </w:tcPr>
                <w:p>
                  <w:pPr>
                    <w:adjustRightInd w:val="0"/>
                    <w:snapToGrid w:val="0"/>
                    <w:jc w:val="center"/>
                    <w:rPr>
                      <w:szCs w:val="21"/>
                    </w:rPr>
                  </w:pPr>
                  <w:r>
                    <w:rPr>
                      <w:szCs w:val="21"/>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7" w:type="dxa"/>
                  <w:tcBorders>
                    <w:tl2br w:val="nil"/>
                    <w:tr2bl w:val="nil"/>
                  </w:tcBorders>
                  <w:vAlign w:val="center"/>
                </w:tcPr>
                <w:p>
                  <w:pPr>
                    <w:adjustRightInd w:val="0"/>
                    <w:snapToGrid w:val="0"/>
                    <w:jc w:val="center"/>
                    <w:rPr>
                      <w:szCs w:val="21"/>
                    </w:rPr>
                  </w:pPr>
                  <w:r>
                    <w:rPr>
                      <w:rFonts w:hint="eastAsia"/>
                      <w:szCs w:val="21"/>
                    </w:rPr>
                    <w:t>2</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高分子覆膜材料</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0.8</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1</w:t>
                  </w:r>
                </w:p>
              </w:tc>
              <w:tc>
                <w:tcPr>
                  <w:tcW w:w="1024" w:type="dxa"/>
                  <w:tcBorders>
                    <w:tl2br w:val="nil"/>
                    <w:tr2bl w:val="nil"/>
                  </w:tcBorders>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vAlign w:val="center"/>
                </w:tcPr>
                <w:p>
                  <w:pPr>
                    <w:adjustRightInd w:val="0"/>
                    <w:snapToGrid w:val="0"/>
                    <w:jc w:val="center"/>
                    <w:rPr>
                      <w:szCs w:val="21"/>
                    </w:rPr>
                  </w:pPr>
                  <w:r>
                    <w:rPr>
                      <w:rFonts w:hint="eastAsia"/>
                      <w:szCs w:val="21"/>
                    </w:rPr>
                    <w:t>1t可覆2万㎡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adjustRightInd w:val="0"/>
                    <w:snapToGrid w:val="0"/>
                    <w:jc w:val="center"/>
                    <w:rPr>
                      <w:szCs w:val="21"/>
                    </w:rPr>
                  </w:pPr>
                  <w:r>
                    <w:rPr>
                      <w:rFonts w:hint="eastAsia"/>
                      <w:szCs w:val="21"/>
                    </w:rPr>
                    <w:t>3</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薄膜</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w:t>
                  </w:r>
                </w:p>
              </w:tc>
              <w:tc>
                <w:tcPr>
                  <w:tcW w:w="586" w:type="dxa"/>
                  <w:tcBorders>
                    <w:tl2br w:val="nil"/>
                    <w:tr2bl w:val="nil"/>
                  </w:tcBorders>
                  <w:shd w:val="clear" w:color="auto" w:fill="auto"/>
                  <w:vAlign w:val="center"/>
                </w:tcPr>
                <w:p>
                  <w:pPr>
                    <w:adjustRightInd w:val="0"/>
                    <w:snapToGrid w:val="0"/>
                    <w:jc w:val="center"/>
                    <w:rPr>
                      <w:szCs w:val="21"/>
                    </w:rPr>
                  </w:pPr>
                  <w:r>
                    <w:rPr>
                      <w:rFonts w:hint="eastAsia"/>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0.1</w:t>
                  </w:r>
                </w:p>
              </w:tc>
              <w:tc>
                <w:tcPr>
                  <w:tcW w:w="850" w:type="dxa"/>
                  <w:tcBorders>
                    <w:tl2br w:val="nil"/>
                    <w:tr2bl w:val="nil"/>
                  </w:tcBorders>
                  <w:shd w:val="clear" w:color="auto" w:fill="auto"/>
                  <w:vAlign w:val="center"/>
                </w:tcPr>
                <w:p>
                  <w:pPr>
                    <w:adjustRightInd w:val="0"/>
                    <w:snapToGrid w:val="0"/>
                    <w:jc w:val="center"/>
                    <w:rPr>
                      <w:szCs w:val="21"/>
                    </w:rPr>
                  </w:pPr>
                  <w:r>
                    <w:rPr>
                      <w:rFonts w:hint="eastAsia"/>
                      <w:szCs w:val="21"/>
                    </w:rPr>
                    <w:t>0.05</w:t>
                  </w:r>
                </w:p>
              </w:tc>
              <w:tc>
                <w:tcPr>
                  <w:tcW w:w="1024" w:type="dxa"/>
                  <w:tcBorders>
                    <w:tl2br w:val="nil"/>
                    <w:tr2bl w:val="nil"/>
                  </w:tcBorders>
                  <w:vAlign w:val="center"/>
                </w:tcPr>
                <w:p>
                  <w:pPr>
                    <w:adjustRightInd w:val="0"/>
                    <w:snapToGrid w:val="0"/>
                    <w:jc w:val="center"/>
                    <w:rPr>
                      <w:szCs w:val="21"/>
                    </w:rPr>
                  </w:pPr>
                  <w:r>
                    <w:rPr>
                      <w:szCs w:val="21"/>
                    </w:rPr>
                    <w:t>原料</w:t>
                  </w:r>
                  <w:r>
                    <w:rPr>
                      <w:rFonts w:hint="eastAsia"/>
                      <w:szCs w:val="21"/>
                    </w:rPr>
                    <w:t>区</w:t>
                  </w:r>
                </w:p>
              </w:tc>
              <w:tc>
                <w:tcPr>
                  <w:tcW w:w="1815" w:type="dxa"/>
                  <w:tcBorders>
                    <w:tl2br w:val="nil"/>
                    <w:tr2bl w:val="nil"/>
                  </w:tcBorders>
                  <w:vAlign w:val="center"/>
                </w:tcPr>
                <w:p>
                  <w:pPr>
                    <w:adjustRightInd w:val="0"/>
                    <w:snapToGrid w:val="0"/>
                    <w:jc w:val="center"/>
                    <w:rPr>
                      <w:szCs w:val="21"/>
                    </w:rPr>
                  </w:pPr>
                  <w:r>
                    <w:rPr>
                      <w:rFonts w:hint="eastAsia"/>
                      <w:szCs w:val="21"/>
                    </w:rPr>
                    <w:t>1t可覆7万㎡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18" w:type="dxa"/>
                  <w:gridSpan w:val="8"/>
                  <w:tcBorders>
                    <w:tl2br w:val="nil"/>
                    <w:tr2bl w:val="nil"/>
                  </w:tcBorders>
                  <w:vAlign w:val="center"/>
                </w:tcPr>
                <w:p>
                  <w:pPr>
                    <w:widowControl/>
                    <w:adjustRightInd w:val="0"/>
                    <w:snapToGrid w:val="0"/>
                    <w:jc w:val="center"/>
                    <w:rPr>
                      <w:b/>
                      <w:bCs/>
                      <w:szCs w:val="21"/>
                    </w:rPr>
                  </w:pPr>
                  <w:r>
                    <w:rPr>
                      <w:rFonts w:hint="eastAsia"/>
                      <w:b/>
                      <w:bCs/>
                      <w:szCs w:val="21"/>
                      <w:lang w:val="en-US" w:eastAsia="zh-CN"/>
                    </w:rPr>
                    <w:t>铝材表面处理</w:t>
                  </w:r>
                  <w:r>
                    <w:rPr>
                      <w:rFonts w:hint="eastAsia"/>
                      <w:b/>
                      <w:bCs/>
                      <w:szCs w:val="21"/>
                    </w:rPr>
                    <w:t>及</w:t>
                  </w:r>
                  <w:r>
                    <w:rPr>
                      <w:rFonts w:hint="eastAsia"/>
                      <w:b/>
                      <w:bCs/>
                      <w:szCs w:val="21"/>
                      <w:lang w:val="en-US" w:eastAsia="zh-CN"/>
                    </w:rPr>
                    <w:t>污</w:t>
                  </w:r>
                  <w:r>
                    <w:rPr>
                      <w:rFonts w:hint="eastAsia"/>
                      <w:b/>
                      <w:bCs/>
                      <w:szCs w:val="21"/>
                    </w:rPr>
                    <w:t>水处理站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widowControl/>
                    <w:adjustRightInd w:val="0"/>
                    <w:snapToGrid w:val="0"/>
                    <w:jc w:val="center"/>
                    <w:rPr>
                      <w:szCs w:val="21"/>
                    </w:rPr>
                  </w:pPr>
                  <w:r>
                    <w:rPr>
                      <w:rFonts w:hint="eastAsia"/>
                      <w:szCs w:val="21"/>
                    </w:rPr>
                    <w:t>1</w:t>
                  </w:r>
                </w:p>
              </w:tc>
              <w:tc>
                <w:tcPr>
                  <w:tcW w:w="1782" w:type="dxa"/>
                  <w:tcBorders>
                    <w:tl2br w:val="nil"/>
                    <w:tr2bl w:val="nil"/>
                  </w:tcBorders>
                  <w:vAlign w:val="center"/>
                </w:tcPr>
                <w:p>
                  <w:pPr>
                    <w:widowControl/>
                    <w:adjustRightInd w:val="0"/>
                    <w:snapToGrid w:val="0"/>
                    <w:jc w:val="center"/>
                    <w:rPr>
                      <w:szCs w:val="21"/>
                    </w:rPr>
                  </w:pPr>
                  <w:r>
                    <w:rPr>
                      <w:rFonts w:hint="eastAsia"/>
                      <w:szCs w:val="21"/>
                    </w:rPr>
                    <w:t>清洗剂/脱脂剂</w:t>
                  </w:r>
                </w:p>
              </w:tc>
              <w:tc>
                <w:tcPr>
                  <w:tcW w:w="702" w:type="dxa"/>
                  <w:tcBorders>
                    <w:tl2br w:val="nil"/>
                    <w:tr2bl w:val="nil"/>
                  </w:tcBorders>
                  <w:vAlign w:val="center"/>
                </w:tcPr>
                <w:p>
                  <w:pPr>
                    <w:widowControl/>
                    <w:adjustRightInd w:val="0"/>
                    <w:snapToGrid w:val="0"/>
                    <w:jc w:val="center"/>
                    <w:rPr>
                      <w:szCs w:val="21"/>
                    </w:rPr>
                  </w:pPr>
                  <w:r>
                    <w:rPr>
                      <w:rFonts w:hint="eastAsia"/>
                      <w:szCs w:val="21"/>
                    </w:rPr>
                    <w:t>液态</w:t>
                  </w:r>
                </w:p>
              </w:tc>
              <w:tc>
                <w:tcPr>
                  <w:tcW w:w="586" w:type="dxa"/>
                  <w:tcBorders>
                    <w:tl2br w:val="nil"/>
                    <w:tr2bl w:val="nil"/>
                  </w:tcBorders>
                  <w:vAlign w:val="center"/>
                </w:tcPr>
                <w:p>
                  <w:pPr>
                    <w:widowControl/>
                    <w:adjustRightInd w:val="0"/>
                    <w:snapToGrid w:val="0"/>
                    <w:jc w:val="center"/>
                    <w:rPr>
                      <w:szCs w:val="21"/>
                    </w:rPr>
                  </w:pPr>
                  <w:r>
                    <w:rPr>
                      <w:rFonts w:hint="eastAsia"/>
                      <w:szCs w:val="21"/>
                    </w:rPr>
                    <w:t>吨</w:t>
                  </w:r>
                </w:p>
              </w:tc>
              <w:tc>
                <w:tcPr>
                  <w:tcW w:w="832" w:type="dxa"/>
                  <w:tcBorders>
                    <w:tl2br w:val="nil"/>
                    <w:tr2bl w:val="nil"/>
                  </w:tcBorders>
                  <w:vAlign w:val="center"/>
                </w:tcPr>
                <w:p>
                  <w:pPr>
                    <w:widowControl/>
                    <w:adjustRightInd w:val="0"/>
                    <w:snapToGrid w:val="0"/>
                    <w:jc w:val="center"/>
                    <w:rPr>
                      <w:szCs w:val="21"/>
                    </w:rPr>
                  </w:pPr>
                  <w:r>
                    <w:rPr>
                      <w:rFonts w:hint="eastAsia"/>
                      <w:szCs w:val="21"/>
                    </w:rPr>
                    <w:t>0.15</w:t>
                  </w:r>
                </w:p>
              </w:tc>
              <w:tc>
                <w:tcPr>
                  <w:tcW w:w="850" w:type="dxa"/>
                  <w:tcBorders>
                    <w:tl2br w:val="nil"/>
                    <w:tr2bl w:val="nil"/>
                  </w:tcBorders>
                  <w:vAlign w:val="center"/>
                </w:tcPr>
                <w:p>
                  <w:pPr>
                    <w:widowControl/>
                    <w:adjustRightInd w:val="0"/>
                    <w:snapToGrid w:val="0"/>
                    <w:jc w:val="center"/>
                    <w:rPr>
                      <w:szCs w:val="21"/>
                    </w:rPr>
                  </w:pPr>
                  <w:r>
                    <w:rPr>
                      <w:rFonts w:hint="eastAsia"/>
                      <w:szCs w:val="21"/>
                    </w:rPr>
                    <w:t>0.3</w:t>
                  </w:r>
                </w:p>
              </w:tc>
              <w:tc>
                <w:tcPr>
                  <w:tcW w:w="1024" w:type="dxa"/>
                  <w:tcBorders>
                    <w:tl2br w:val="nil"/>
                    <w:tr2bl w:val="nil"/>
                  </w:tcBorders>
                  <w:vAlign w:val="center"/>
                </w:tcPr>
                <w:p>
                  <w:pPr>
                    <w:widowControl/>
                    <w:adjustRightInd w:val="0"/>
                    <w:snapToGrid w:val="0"/>
                    <w:jc w:val="center"/>
                    <w:rPr>
                      <w:szCs w:val="21"/>
                    </w:rPr>
                  </w:pPr>
                  <w:r>
                    <w:rPr>
                      <w:rFonts w:hint="eastAsia"/>
                      <w:szCs w:val="21"/>
                    </w:rPr>
                    <w:t>药品室</w:t>
                  </w:r>
                </w:p>
              </w:tc>
              <w:tc>
                <w:tcPr>
                  <w:tcW w:w="1815" w:type="dxa"/>
                  <w:tcBorders>
                    <w:tl2br w:val="nil"/>
                    <w:tr2bl w:val="nil"/>
                  </w:tcBorders>
                  <w:vAlign w:val="center"/>
                </w:tcPr>
                <w:p>
                  <w:pPr>
                    <w:widowControl/>
                    <w:adjustRightInd w:val="0"/>
                    <w:snapToGrid w:val="0"/>
                    <w:jc w:val="center"/>
                    <w:rPr>
                      <w:szCs w:val="21"/>
                    </w:rPr>
                  </w:pPr>
                  <w:r>
                    <w:rPr>
                      <w:rFonts w:hint="eastAsia"/>
                      <w:szCs w:val="21"/>
                    </w:rPr>
                    <w:t>外购，30kg/桶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widowControl/>
                    <w:adjustRightInd w:val="0"/>
                    <w:snapToGrid w:val="0"/>
                    <w:jc w:val="center"/>
                    <w:rPr>
                      <w:szCs w:val="21"/>
                    </w:rPr>
                  </w:pPr>
                  <w:r>
                    <w:rPr>
                      <w:rFonts w:hint="eastAsia"/>
                      <w:szCs w:val="21"/>
                    </w:rPr>
                    <w:t>2</w:t>
                  </w:r>
                </w:p>
              </w:tc>
              <w:tc>
                <w:tcPr>
                  <w:tcW w:w="1782" w:type="dxa"/>
                  <w:tcBorders>
                    <w:tl2br w:val="nil"/>
                    <w:tr2bl w:val="nil"/>
                  </w:tcBorders>
                  <w:vAlign w:val="center"/>
                </w:tcPr>
                <w:p>
                  <w:pPr>
                    <w:widowControl/>
                    <w:adjustRightInd w:val="0"/>
                    <w:snapToGrid w:val="0"/>
                    <w:jc w:val="center"/>
                    <w:rPr>
                      <w:szCs w:val="21"/>
                    </w:rPr>
                  </w:pPr>
                  <w:r>
                    <w:rPr>
                      <w:rFonts w:hint="eastAsia"/>
                      <w:szCs w:val="21"/>
                    </w:rPr>
                    <w:t>无铬钝化剂</w:t>
                  </w:r>
                </w:p>
              </w:tc>
              <w:tc>
                <w:tcPr>
                  <w:tcW w:w="702" w:type="dxa"/>
                  <w:tcBorders>
                    <w:tl2br w:val="nil"/>
                    <w:tr2bl w:val="nil"/>
                  </w:tcBorders>
                  <w:vAlign w:val="center"/>
                </w:tcPr>
                <w:p>
                  <w:pPr>
                    <w:widowControl/>
                    <w:adjustRightInd w:val="0"/>
                    <w:snapToGrid w:val="0"/>
                    <w:jc w:val="center"/>
                    <w:rPr>
                      <w:szCs w:val="21"/>
                    </w:rPr>
                  </w:pPr>
                  <w:r>
                    <w:rPr>
                      <w:rFonts w:hint="eastAsia"/>
                      <w:szCs w:val="21"/>
                    </w:rPr>
                    <w:t>液态</w:t>
                  </w:r>
                </w:p>
              </w:tc>
              <w:tc>
                <w:tcPr>
                  <w:tcW w:w="586" w:type="dxa"/>
                  <w:tcBorders>
                    <w:tl2br w:val="nil"/>
                    <w:tr2bl w:val="nil"/>
                  </w:tcBorders>
                  <w:vAlign w:val="center"/>
                </w:tcPr>
                <w:p>
                  <w:pPr>
                    <w:widowControl/>
                    <w:adjustRightInd w:val="0"/>
                    <w:snapToGrid w:val="0"/>
                    <w:jc w:val="center"/>
                    <w:rPr>
                      <w:szCs w:val="21"/>
                    </w:rPr>
                  </w:pPr>
                  <w:r>
                    <w:rPr>
                      <w:rFonts w:hint="eastAsia"/>
                      <w:szCs w:val="21"/>
                    </w:rPr>
                    <w:t>吨</w:t>
                  </w:r>
                </w:p>
              </w:tc>
              <w:tc>
                <w:tcPr>
                  <w:tcW w:w="832" w:type="dxa"/>
                  <w:tcBorders>
                    <w:tl2br w:val="nil"/>
                    <w:tr2bl w:val="nil"/>
                  </w:tcBorders>
                  <w:vAlign w:val="center"/>
                </w:tcPr>
                <w:p>
                  <w:pPr>
                    <w:widowControl/>
                    <w:adjustRightInd w:val="0"/>
                    <w:snapToGrid w:val="0"/>
                    <w:jc w:val="center"/>
                    <w:rPr>
                      <w:szCs w:val="21"/>
                    </w:rPr>
                  </w:pPr>
                  <w:r>
                    <w:rPr>
                      <w:rFonts w:hint="eastAsia"/>
                      <w:szCs w:val="21"/>
                    </w:rPr>
                    <w:t>0.03</w:t>
                  </w:r>
                </w:p>
              </w:tc>
              <w:tc>
                <w:tcPr>
                  <w:tcW w:w="850" w:type="dxa"/>
                  <w:tcBorders>
                    <w:tl2br w:val="nil"/>
                    <w:tr2bl w:val="nil"/>
                  </w:tcBorders>
                  <w:vAlign w:val="center"/>
                </w:tcPr>
                <w:p>
                  <w:pPr>
                    <w:widowControl/>
                    <w:adjustRightInd w:val="0"/>
                    <w:snapToGrid w:val="0"/>
                    <w:jc w:val="center"/>
                    <w:rPr>
                      <w:szCs w:val="21"/>
                    </w:rPr>
                  </w:pPr>
                  <w:r>
                    <w:rPr>
                      <w:rFonts w:hint="eastAsia"/>
                      <w:szCs w:val="21"/>
                    </w:rPr>
                    <w:t>0.06</w:t>
                  </w:r>
                </w:p>
              </w:tc>
              <w:tc>
                <w:tcPr>
                  <w:tcW w:w="1024" w:type="dxa"/>
                  <w:tcBorders>
                    <w:tl2br w:val="nil"/>
                    <w:tr2bl w:val="nil"/>
                  </w:tcBorders>
                  <w:vAlign w:val="center"/>
                </w:tcPr>
                <w:p>
                  <w:pPr>
                    <w:widowControl/>
                    <w:adjustRightInd w:val="0"/>
                    <w:snapToGrid w:val="0"/>
                    <w:jc w:val="center"/>
                    <w:rPr>
                      <w:szCs w:val="21"/>
                    </w:rPr>
                  </w:pPr>
                  <w:r>
                    <w:rPr>
                      <w:rFonts w:hint="eastAsia"/>
                      <w:szCs w:val="21"/>
                    </w:rPr>
                    <w:t>药品室</w:t>
                  </w:r>
                </w:p>
              </w:tc>
              <w:tc>
                <w:tcPr>
                  <w:tcW w:w="1815" w:type="dxa"/>
                  <w:tcBorders>
                    <w:tl2br w:val="nil"/>
                    <w:tr2bl w:val="nil"/>
                  </w:tcBorders>
                  <w:vAlign w:val="center"/>
                </w:tcPr>
                <w:p>
                  <w:pPr>
                    <w:widowControl/>
                    <w:adjustRightInd w:val="0"/>
                    <w:snapToGrid w:val="0"/>
                    <w:jc w:val="center"/>
                    <w:rPr>
                      <w:szCs w:val="21"/>
                    </w:rPr>
                  </w:pPr>
                  <w:r>
                    <w:rPr>
                      <w:rFonts w:hint="eastAsia"/>
                      <w:szCs w:val="21"/>
                    </w:rPr>
                    <w:t>外购，30kg/桶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widowControl/>
                    <w:adjustRightInd w:val="0"/>
                    <w:snapToGrid w:val="0"/>
                    <w:jc w:val="center"/>
                    <w:rPr>
                      <w:szCs w:val="21"/>
                    </w:rPr>
                  </w:pPr>
                  <w:r>
                    <w:rPr>
                      <w:rFonts w:hint="eastAsia"/>
                      <w:szCs w:val="21"/>
                    </w:rPr>
                    <w:t>3</w:t>
                  </w:r>
                </w:p>
              </w:tc>
              <w:tc>
                <w:tcPr>
                  <w:tcW w:w="1782" w:type="dxa"/>
                  <w:tcBorders>
                    <w:tl2br w:val="nil"/>
                    <w:tr2bl w:val="nil"/>
                  </w:tcBorders>
                  <w:vAlign w:val="center"/>
                </w:tcPr>
                <w:p>
                  <w:pPr>
                    <w:widowControl/>
                    <w:adjustRightInd w:val="0"/>
                    <w:snapToGrid w:val="0"/>
                    <w:jc w:val="center"/>
                    <w:rPr>
                      <w:szCs w:val="21"/>
                    </w:rPr>
                  </w:pPr>
                  <w:r>
                    <w:rPr>
                      <w:szCs w:val="21"/>
                    </w:rPr>
                    <w:t>聚丙烯酰胺</w:t>
                  </w:r>
                </w:p>
              </w:tc>
              <w:tc>
                <w:tcPr>
                  <w:tcW w:w="702" w:type="dxa"/>
                  <w:tcBorders>
                    <w:tl2br w:val="nil"/>
                    <w:tr2bl w:val="nil"/>
                  </w:tcBorders>
                  <w:vAlign w:val="center"/>
                </w:tcPr>
                <w:p>
                  <w:pPr>
                    <w:widowControl/>
                    <w:adjustRightInd w:val="0"/>
                    <w:snapToGrid w:val="0"/>
                    <w:jc w:val="center"/>
                    <w:rPr>
                      <w:b/>
                      <w:bCs/>
                      <w:szCs w:val="21"/>
                    </w:rPr>
                  </w:pPr>
                  <w:r>
                    <w:rPr>
                      <w:rFonts w:hint="eastAsia"/>
                      <w:szCs w:val="21"/>
                    </w:rPr>
                    <w:t>粉状</w:t>
                  </w:r>
                </w:p>
              </w:tc>
              <w:tc>
                <w:tcPr>
                  <w:tcW w:w="586" w:type="dxa"/>
                  <w:tcBorders>
                    <w:tl2br w:val="nil"/>
                    <w:tr2bl w:val="nil"/>
                  </w:tcBorders>
                  <w:vAlign w:val="center"/>
                </w:tcPr>
                <w:p>
                  <w:pPr>
                    <w:widowControl/>
                    <w:adjustRightInd w:val="0"/>
                    <w:snapToGrid w:val="0"/>
                    <w:jc w:val="center"/>
                    <w:rPr>
                      <w:b/>
                      <w:bCs/>
                      <w:szCs w:val="21"/>
                    </w:rPr>
                  </w:pPr>
                  <w:r>
                    <w:rPr>
                      <w:rFonts w:hint="eastAsia"/>
                      <w:szCs w:val="21"/>
                    </w:rPr>
                    <w:t>吨</w:t>
                  </w:r>
                </w:p>
              </w:tc>
              <w:tc>
                <w:tcPr>
                  <w:tcW w:w="832" w:type="dxa"/>
                  <w:tcBorders>
                    <w:tl2br w:val="nil"/>
                    <w:tr2bl w:val="nil"/>
                  </w:tcBorders>
                  <w:vAlign w:val="center"/>
                </w:tcPr>
                <w:p>
                  <w:pPr>
                    <w:widowControl/>
                    <w:adjustRightInd w:val="0"/>
                    <w:snapToGrid w:val="0"/>
                    <w:jc w:val="center"/>
                    <w:rPr>
                      <w:b/>
                      <w:bCs/>
                      <w:szCs w:val="21"/>
                    </w:rPr>
                  </w:pPr>
                  <w:r>
                    <w:rPr>
                      <w:rFonts w:hint="eastAsia"/>
                      <w:szCs w:val="21"/>
                    </w:rPr>
                    <w:t>0.15</w:t>
                  </w:r>
                </w:p>
              </w:tc>
              <w:tc>
                <w:tcPr>
                  <w:tcW w:w="850" w:type="dxa"/>
                  <w:tcBorders>
                    <w:tl2br w:val="nil"/>
                    <w:tr2bl w:val="nil"/>
                  </w:tcBorders>
                  <w:vAlign w:val="center"/>
                </w:tcPr>
                <w:p>
                  <w:pPr>
                    <w:widowControl/>
                    <w:adjustRightInd w:val="0"/>
                    <w:snapToGrid w:val="0"/>
                    <w:jc w:val="center"/>
                    <w:rPr>
                      <w:b/>
                      <w:bCs/>
                      <w:szCs w:val="21"/>
                    </w:rPr>
                  </w:pPr>
                  <w:r>
                    <w:rPr>
                      <w:rFonts w:hint="eastAsia"/>
                      <w:szCs w:val="21"/>
                    </w:rPr>
                    <w:t>0.05</w:t>
                  </w:r>
                </w:p>
              </w:tc>
              <w:tc>
                <w:tcPr>
                  <w:tcW w:w="1024" w:type="dxa"/>
                  <w:tcBorders>
                    <w:tl2br w:val="nil"/>
                    <w:tr2bl w:val="nil"/>
                  </w:tcBorders>
                  <w:vAlign w:val="center"/>
                </w:tcPr>
                <w:p>
                  <w:pPr>
                    <w:widowControl/>
                    <w:adjustRightInd w:val="0"/>
                    <w:snapToGrid w:val="0"/>
                    <w:jc w:val="center"/>
                    <w:rPr>
                      <w:b/>
                      <w:bCs/>
                      <w:szCs w:val="21"/>
                    </w:rPr>
                  </w:pPr>
                  <w:r>
                    <w:rPr>
                      <w:rFonts w:hint="eastAsia"/>
                      <w:szCs w:val="21"/>
                    </w:rPr>
                    <w:t>药品室</w:t>
                  </w:r>
                </w:p>
              </w:tc>
              <w:tc>
                <w:tcPr>
                  <w:tcW w:w="1815" w:type="dxa"/>
                  <w:tcBorders>
                    <w:tl2br w:val="nil"/>
                    <w:tr2bl w:val="nil"/>
                  </w:tcBorders>
                  <w:vAlign w:val="center"/>
                </w:tcPr>
                <w:p>
                  <w:pPr>
                    <w:widowControl/>
                    <w:adjustRightInd w:val="0"/>
                    <w:snapToGrid w:val="0"/>
                    <w:jc w:val="center"/>
                    <w:rPr>
                      <w:b/>
                      <w:bCs/>
                      <w:szCs w:val="21"/>
                    </w:rPr>
                  </w:pPr>
                  <w:r>
                    <w:rPr>
                      <w:rFonts w:hint="eastAsia"/>
                      <w:szCs w:val="21"/>
                    </w:rPr>
                    <w:t>500g/瓶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widowControl/>
                    <w:adjustRightInd w:val="0"/>
                    <w:snapToGrid w:val="0"/>
                    <w:jc w:val="center"/>
                    <w:rPr>
                      <w:szCs w:val="21"/>
                    </w:rPr>
                  </w:pPr>
                  <w:r>
                    <w:rPr>
                      <w:rFonts w:hint="eastAsia"/>
                      <w:szCs w:val="21"/>
                    </w:rPr>
                    <w:t>4</w:t>
                  </w:r>
                </w:p>
              </w:tc>
              <w:tc>
                <w:tcPr>
                  <w:tcW w:w="1782" w:type="dxa"/>
                  <w:tcBorders>
                    <w:tl2br w:val="nil"/>
                    <w:tr2bl w:val="nil"/>
                  </w:tcBorders>
                  <w:vAlign w:val="center"/>
                </w:tcPr>
                <w:p>
                  <w:pPr>
                    <w:widowControl/>
                    <w:adjustRightInd w:val="0"/>
                    <w:snapToGrid w:val="0"/>
                    <w:jc w:val="center"/>
                    <w:rPr>
                      <w:szCs w:val="21"/>
                    </w:rPr>
                  </w:pPr>
                  <w:r>
                    <w:rPr>
                      <w:rFonts w:hint="eastAsia"/>
                      <w:szCs w:val="21"/>
                    </w:rPr>
                    <w:t>聚合氯化铝</w:t>
                  </w:r>
                </w:p>
              </w:tc>
              <w:tc>
                <w:tcPr>
                  <w:tcW w:w="702" w:type="dxa"/>
                  <w:tcBorders>
                    <w:tl2br w:val="nil"/>
                    <w:tr2bl w:val="nil"/>
                  </w:tcBorders>
                  <w:vAlign w:val="center"/>
                </w:tcPr>
                <w:p>
                  <w:pPr>
                    <w:widowControl/>
                    <w:adjustRightInd w:val="0"/>
                    <w:snapToGrid w:val="0"/>
                    <w:jc w:val="center"/>
                    <w:rPr>
                      <w:szCs w:val="21"/>
                    </w:rPr>
                  </w:pPr>
                  <w:r>
                    <w:rPr>
                      <w:rFonts w:hint="eastAsia"/>
                      <w:szCs w:val="21"/>
                    </w:rPr>
                    <w:t>粉状</w:t>
                  </w:r>
                </w:p>
              </w:tc>
              <w:tc>
                <w:tcPr>
                  <w:tcW w:w="586" w:type="dxa"/>
                  <w:tcBorders>
                    <w:tl2br w:val="nil"/>
                    <w:tr2bl w:val="nil"/>
                  </w:tcBorders>
                  <w:vAlign w:val="center"/>
                </w:tcPr>
                <w:p>
                  <w:pPr>
                    <w:widowControl/>
                    <w:adjustRightInd w:val="0"/>
                    <w:snapToGrid w:val="0"/>
                    <w:jc w:val="center"/>
                    <w:rPr>
                      <w:b/>
                      <w:bCs/>
                      <w:szCs w:val="21"/>
                    </w:rPr>
                  </w:pPr>
                  <w:r>
                    <w:rPr>
                      <w:rFonts w:hint="eastAsia"/>
                      <w:szCs w:val="21"/>
                    </w:rPr>
                    <w:t>吨</w:t>
                  </w:r>
                </w:p>
              </w:tc>
              <w:tc>
                <w:tcPr>
                  <w:tcW w:w="832" w:type="dxa"/>
                  <w:tcBorders>
                    <w:tl2br w:val="nil"/>
                    <w:tr2bl w:val="nil"/>
                  </w:tcBorders>
                  <w:vAlign w:val="center"/>
                </w:tcPr>
                <w:p>
                  <w:pPr>
                    <w:widowControl/>
                    <w:adjustRightInd w:val="0"/>
                    <w:snapToGrid w:val="0"/>
                    <w:jc w:val="center"/>
                    <w:rPr>
                      <w:szCs w:val="21"/>
                    </w:rPr>
                  </w:pPr>
                  <w:r>
                    <w:rPr>
                      <w:rFonts w:hint="eastAsia"/>
                      <w:szCs w:val="21"/>
                    </w:rPr>
                    <w:t>3</w:t>
                  </w:r>
                </w:p>
              </w:tc>
              <w:tc>
                <w:tcPr>
                  <w:tcW w:w="850" w:type="dxa"/>
                  <w:tcBorders>
                    <w:tl2br w:val="nil"/>
                    <w:tr2bl w:val="nil"/>
                  </w:tcBorders>
                  <w:vAlign w:val="center"/>
                </w:tcPr>
                <w:p>
                  <w:pPr>
                    <w:widowControl/>
                    <w:adjustRightInd w:val="0"/>
                    <w:snapToGrid w:val="0"/>
                    <w:jc w:val="center"/>
                    <w:rPr>
                      <w:szCs w:val="21"/>
                    </w:rPr>
                  </w:pPr>
                  <w:r>
                    <w:rPr>
                      <w:rFonts w:hint="eastAsia"/>
                      <w:szCs w:val="21"/>
                    </w:rPr>
                    <w:t>0.5</w:t>
                  </w:r>
                </w:p>
              </w:tc>
              <w:tc>
                <w:tcPr>
                  <w:tcW w:w="1024" w:type="dxa"/>
                  <w:tcBorders>
                    <w:tl2br w:val="nil"/>
                    <w:tr2bl w:val="nil"/>
                  </w:tcBorders>
                  <w:vAlign w:val="center"/>
                </w:tcPr>
                <w:p>
                  <w:pPr>
                    <w:widowControl/>
                    <w:adjustRightInd w:val="0"/>
                    <w:snapToGrid w:val="0"/>
                    <w:jc w:val="center"/>
                    <w:rPr>
                      <w:szCs w:val="21"/>
                    </w:rPr>
                  </w:pPr>
                  <w:r>
                    <w:rPr>
                      <w:rFonts w:hint="eastAsia"/>
                      <w:szCs w:val="21"/>
                    </w:rPr>
                    <w:t>药品室</w:t>
                  </w:r>
                </w:p>
              </w:tc>
              <w:tc>
                <w:tcPr>
                  <w:tcW w:w="1815" w:type="dxa"/>
                  <w:tcBorders>
                    <w:tl2br w:val="nil"/>
                    <w:tr2bl w:val="nil"/>
                  </w:tcBorders>
                  <w:vAlign w:val="center"/>
                </w:tcPr>
                <w:p>
                  <w:pPr>
                    <w:widowControl/>
                    <w:adjustRightInd w:val="0"/>
                    <w:snapToGrid w:val="0"/>
                    <w:jc w:val="center"/>
                    <w:rPr>
                      <w:szCs w:val="21"/>
                    </w:rPr>
                  </w:pPr>
                  <w:r>
                    <w:rPr>
                      <w:rFonts w:hint="eastAsia"/>
                      <w:szCs w:val="21"/>
                    </w:rPr>
                    <w:t>500g/瓶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widowControl/>
                    <w:adjustRightInd w:val="0"/>
                    <w:snapToGrid w:val="0"/>
                    <w:jc w:val="center"/>
                    <w:rPr>
                      <w:szCs w:val="21"/>
                    </w:rPr>
                  </w:pPr>
                  <w:r>
                    <w:rPr>
                      <w:rFonts w:hint="eastAsia"/>
                      <w:szCs w:val="21"/>
                    </w:rPr>
                    <w:t>5</w:t>
                  </w:r>
                </w:p>
              </w:tc>
              <w:tc>
                <w:tcPr>
                  <w:tcW w:w="1782" w:type="dxa"/>
                  <w:tcBorders>
                    <w:tl2br w:val="nil"/>
                    <w:tr2bl w:val="nil"/>
                  </w:tcBorders>
                  <w:vAlign w:val="center"/>
                </w:tcPr>
                <w:p>
                  <w:pPr>
                    <w:widowControl/>
                    <w:adjustRightInd w:val="0"/>
                    <w:snapToGrid w:val="0"/>
                    <w:jc w:val="center"/>
                    <w:rPr>
                      <w:szCs w:val="21"/>
                    </w:rPr>
                  </w:pPr>
                  <w:r>
                    <w:rPr>
                      <w:rFonts w:hint="eastAsia"/>
                      <w:szCs w:val="21"/>
                    </w:rPr>
                    <w:t>氢氧化钠</w:t>
                  </w:r>
                </w:p>
              </w:tc>
              <w:tc>
                <w:tcPr>
                  <w:tcW w:w="702" w:type="dxa"/>
                  <w:tcBorders>
                    <w:tl2br w:val="nil"/>
                    <w:tr2bl w:val="nil"/>
                  </w:tcBorders>
                  <w:vAlign w:val="center"/>
                </w:tcPr>
                <w:p>
                  <w:pPr>
                    <w:widowControl/>
                    <w:adjustRightInd w:val="0"/>
                    <w:snapToGrid w:val="0"/>
                    <w:jc w:val="center"/>
                    <w:rPr>
                      <w:szCs w:val="21"/>
                    </w:rPr>
                  </w:pPr>
                  <w:r>
                    <w:rPr>
                      <w:rFonts w:hint="eastAsia"/>
                      <w:szCs w:val="21"/>
                    </w:rPr>
                    <w:t>固体</w:t>
                  </w:r>
                </w:p>
              </w:tc>
              <w:tc>
                <w:tcPr>
                  <w:tcW w:w="586" w:type="dxa"/>
                  <w:tcBorders>
                    <w:tl2br w:val="nil"/>
                    <w:tr2bl w:val="nil"/>
                  </w:tcBorders>
                  <w:vAlign w:val="center"/>
                </w:tcPr>
                <w:p>
                  <w:pPr>
                    <w:widowControl/>
                    <w:adjustRightInd w:val="0"/>
                    <w:snapToGrid w:val="0"/>
                    <w:jc w:val="center"/>
                    <w:rPr>
                      <w:b/>
                      <w:bCs/>
                      <w:szCs w:val="21"/>
                    </w:rPr>
                  </w:pPr>
                  <w:r>
                    <w:rPr>
                      <w:rFonts w:hint="eastAsia"/>
                      <w:szCs w:val="21"/>
                    </w:rPr>
                    <w:t>吨</w:t>
                  </w:r>
                </w:p>
              </w:tc>
              <w:tc>
                <w:tcPr>
                  <w:tcW w:w="832" w:type="dxa"/>
                  <w:tcBorders>
                    <w:tl2br w:val="nil"/>
                    <w:tr2bl w:val="nil"/>
                  </w:tcBorders>
                  <w:vAlign w:val="center"/>
                </w:tcPr>
                <w:p>
                  <w:pPr>
                    <w:widowControl/>
                    <w:adjustRightInd w:val="0"/>
                    <w:snapToGrid w:val="0"/>
                    <w:jc w:val="center"/>
                    <w:rPr>
                      <w:szCs w:val="21"/>
                    </w:rPr>
                  </w:pPr>
                  <w:r>
                    <w:rPr>
                      <w:rFonts w:hint="eastAsia"/>
                      <w:szCs w:val="21"/>
                    </w:rPr>
                    <w:t>1.2</w:t>
                  </w:r>
                </w:p>
              </w:tc>
              <w:tc>
                <w:tcPr>
                  <w:tcW w:w="850" w:type="dxa"/>
                  <w:tcBorders>
                    <w:tl2br w:val="nil"/>
                    <w:tr2bl w:val="nil"/>
                  </w:tcBorders>
                  <w:vAlign w:val="center"/>
                </w:tcPr>
                <w:p>
                  <w:pPr>
                    <w:widowControl/>
                    <w:adjustRightInd w:val="0"/>
                    <w:snapToGrid w:val="0"/>
                    <w:jc w:val="center"/>
                    <w:rPr>
                      <w:szCs w:val="21"/>
                    </w:rPr>
                  </w:pPr>
                  <w:r>
                    <w:rPr>
                      <w:rFonts w:hint="eastAsia"/>
                      <w:szCs w:val="21"/>
                    </w:rPr>
                    <w:t>0.5</w:t>
                  </w:r>
                </w:p>
              </w:tc>
              <w:tc>
                <w:tcPr>
                  <w:tcW w:w="1024" w:type="dxa"/>
                  <w:tcBorders>
                    <w:tl2br w:val="nil"/>
                    <w:tr2bl w:val="nil"/>
                  </w:tcBorders>
                  <w:vAlign w:val="center"/>
                </w:tcPr>
                <w:p>
                  <w:pPr>
                    <w:widowControl/>
                    <w:adjustRightInd w:val="0"/>
                    <w:snapToGrid w:val="0"/>
                    <w:jc w:val="center"/>
                    <w:rPr>
                      <w:szCs w:val="21"/>
                    </w:rPr>
                  </w:pPr>
                  <w:r>
                    <w:rPr>
                      <w:rFonts w:hint="eastAsia"/>
                      <w:szCs w:val="21"/>
                    </w:rPr>
                    <w:t>药品室</w:t>
                  </w:r>
                </w:p>
              </w:tc>
              <w:tc>
                <w:tcPr>
                  <w:tcW w:w="1815" w:type="dxa"/>
                  <w:tcBorders>
                    <w:tl2br w:val="nil"/>
                    <w:tr2bl w:val="nil"/>
                  </w:tcBorders>
                  <w:vAlign w:val="center"/>
                </w:tcPr>
                <w:p>
                  <w:pPr>
                    <w:widowControl/>
                    <w:adjustRightInd w:val="0"/>
                    <w:snapToGrid w:val="0"/>
                    <w:jc w:val="center"/>
                    <w:rPr>
                      <w:szCs w:val="21"/>
                    </w:rPr>
                  </w:pPr>
                  <w:r>
                    <w:rPr>
                      <w:rFonts w:hint="eastAsia"/>
                      <w:szCs w:val="21"/>
                    </w:rPr>
                    <w:t>500g/瓶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widowControl/>
                    <w:adjustRightInd w:val="0"/>
                    <w:snapToGrid w:val="0"/>
                    <w:jc w:val="center"/>
                    <w:rPr>
                      <w:szCs w:val="21"/>
                    </w:rPr>
                  </w:pPr>
                  <w:r>
                    <w:rPr>
                      <w:rFonts w:hint="eastAsia"/>
                      <w:szCs w:val="21"/>
                    </w:rPr>
                    <w:t>6</w:t>
                  </w:r>
                </w:p>
              </w:tc>
              <w:tc>
                <w:tcPr>
                  <w:tcW w:w="1782" w:type="dxa"/>
                  <w:tcBorders>
                    <w:tl2br w:val="nil"/>
                    <w:tr2bl w:val="nil"/>
                  </w:tcBorders>
                  <w:vAlign w:val="center"/>
                </w:tcPr>
                <w:p>
                  <w:pPr>
                    <w:widowControl/>
                    <w:adjustRightInd w:val="0"/>
                    <w:snapToGrid w:val="0"/>
                    <w:jc w:val="center"/>
                    <w:rPr>
                      <w:szCs w:val="21"/>
                    </w:rPr>
                  </w:pPr>
                  <w:r>
                    <w:rPr>
                      <w:rFonts w:hint="eastAsia"/>
                      <w:szCs w:val="21"/>
                    </w:rPr>
                    <w:t>氯化钙</w:t>
                  </w:r>
                </w:p>
              </w:tc>
              <w:tc>
                <w:tcPr>
                  <w:tcW w:w="702" w:type="dxa"/>
                  <w:tcBorders>
                    <w:tl2br w:val="nil"/>
                    <w:tr2bl w:val="nil"/>
                  </w:tcBorders>
                  <w:vAlign w:val="center"/>
                </w:tcPr>
                <w:p>
                  <w:pPr>
                    <w:widowControl/>
                    <w:adjustRightInd w:val="0"/>
                    <w:snapToGrid w:val="0"/>
                    <w:jc w:val="center"/>
                    <w:rPr>
                      <w:szCs w:val="21"/>
                    </w:rPr>
                  </w:pPr>
                  <w:r>
                    <w:rPr>
                      <w:rFonts w:hint="eastAsia"/>
                      <w:szCs w:val="21"/>
                    </w:rPr>
                    <w:t>粉状</w:t>
                  </w:r>
                </w:p>
              </w:tc>
              <w:tc>
                <w:tcPr>
                  <w:tcW w:w="586" w:type="dxa"/>
                  <w:tcBorders>
                    <w:tl2br w:val="nil"/>
                    <w:tr2bl w:val="nil"/>
                  </w:tcBorders>
                  <w:vAlign w:val="center"/>
                </w:tcPr>
                <w:p>
                  <w:pPr>
                    <w:widowControl/>
                    <w:adjustRightInd w:val="0"/>
                    <w:snapToGrid w:val="0"/>
                    <w:jc w:val="center"/>
                    <w:rPr>
                      <w:b/>
                      <w:bCs/>
                      <w:szCs w:val="21"/>
                    </w:rPr>
                  </w:pPr>
                  <w:r>
                    <w:rPr>
                      <w:rFonts w:hint="eastAsia"/>
                      <w:szCs w:val="21"/>
                    </w:rPr>
                    <w:t>吨</w:t>
                  </w:r>
                </w:p>
              </w:tc>
              <w:tc>
                <w:tcPr>
                  <w:tcW w:w="832" w:type="dxa"/>
                  <w:tcBorders>
                    <w:tl2br w:val="nil"/>
                    <w:tr2bl w:val="nil"/>
                  </w:tcBorders>
                  <w:vAlign w:val="center"/>
                </w:tcPr>
                <w:p>
                  <w:pPr>
                    <w:widowControl/>
                    <w:adjustRightInd w:val="0"/>
                    <w:snapToGrid w:val="0"/>
                    <w:jc w:val="center"/>
                    <w:rPr>
                      <w:szCs w:val="21"/>
                    </w:rPr>
                  </w:pPr>
                  <w:r>
                    <w:rPr>
                      <w:rFonts w:hint="eastAsia"/>
                      <w:szCs w:val="21"/>
                    </w:rPr>
                    <w:t>0.2</w:t>
                  </w:r>
                </w:p>
              </w:tc>
              <w:tc>
                <w:tcPr>
                  <w:tcW w:w="850" w:type="dxa"/>
                  <w:tcBorders>
                    <w:tl2br w:val="nil"/>
                    <w:tr2bl w:val="nil"/>
                  </w:tcBorders>
                  <w:vAlign w:val="center"/>
                </w:tcPr>
                <w:p>
                  <w:pPr>
                    <w:widowControl/>
                    <w:adjustRightInd w:val="0"/>
                    <w:snapToGrid w:val="0"/>
                    <w:jc w:val="center"/>
                    <w:rPr>
                      <w:szCs w:val="21"/>
                    </w:rPr>
                  </w:pPr>
                  <w:r>
                    <w:rPr>
                      <w:rFonts w:hint="eastAsia"/>
                      <w:szCs w:val="21"/>
                    </w:rPr>
                    <w:t>0.05</w:t>
                  </w:r>
                </w:p>
              </w:tc>
              <w:tc>
                <w:tcPr>
                  <w:tcW w:w="1024" w:type="dxa"/>
                  <w:tcBorders>
                    <w:tl2br w:val="nil"/>
                    <w:tr2bl w:val="nil"/>
                  </w:tcBorders>
                  <w:vAlign w:val="center"/>
                </w:tcPr>
                <w:p>
                  <w:pPr>
                    <w:widowControl/>
                    <w:adjustRightInd w:val="0"/>
                    <w:snapToGrid w:val="0"/>
                    <w:jc w:val="center"/>
                    <w:rPr>
                      <w:szCs w:val="21"/>
                    </w:rPr>
                  </w:pPr>
                  <w:r>
                    <w:rPr>
                      <w:rFonts w:hint="eastAsia"/>
                      <w:szCs w:val="21"/>
                    </w:rPr>
                    <w:t>药品室</w:t>
                  </w:r>
                </w:p>
              </w:tc>
              <w:tc>
                <w:tcPr>
                  <w:tcW w:w="1815" w:type="dxa"/>
                  <w:tcBorders>
                    <w:tl2br w:val="nil"/>
                    <w:tr2bl w:val="nil"/>
                  </w:tcBorders>
                  <w:vAlign w:val="center"/>
                </w:tcPr>
                <w:p>
                  <w:pPr>
                    <w:widowControl/>
                    <w:adjustRightInd w:val="0"/>
                    <w:snapToGrid w:val="0"/>
                    <w:jc w:val="center"/>
                    <w:rPr>
                      <w:szCs w:val="21"/>
                    </w:rPr>
                  </w:pPr>
                  <w:r>
                    <w:rPr>
                      <w:rFonts w:hint="eastAsia"/>
                      <w:szCs w:val="21"/>
                    </w:rPr>
                    <w:t>500g/瓶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18" w:type="dxa"/>
                  <w:gridSpan w:val="8"/>
                  <w:tcBorders>
                    <w:tl2br w:val="nil"/>
                    <w:tr2bl w:val="nil"/>
                  </w:tcBorders>
                  <w:vAlign w:val="center"/>
                </w:tcPr>
                <w:p>
                  <w:pPr>
                    <w:widowControl/>
                    <w:adjustRightInd w:val="0"/>
                    <w:snapToGrid w:val="0"/>
                    <w:jc w:val="center"/>
                    <w:rPr>
                      <w:szCs w:val="21"/>
                    </w:rPr>
                  </w:pPr>
                  <w:r>
                    <w:rPr>
                      <w:rFonts w:hint="eastAsia"/>
                      <w:b/>
                      <w:bCs/>
                      <w:szCs w:val="21"/>
                    </w:rPr>
                    <w:t>资源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jc w:val="center"/>
                    <w:rPr>
                      <w:szCs w:val="21"/>
                    </w:rPr>
                  </w:pPr>
                  <w:r>
                    <w:rPr>
                      <w:rFonts w:hint="eastAsia"/>
                      <w:szCs w:val="21"/>
                    </w:rPr>
                    <w:t>1</w:t>
                  </w:r>
                </w:p>
              </w:tc>
              <w:tc>
                <w:tcPr>
                  <w:tcW w:w="1782" w:type="dxa"/>
                  <w:tcBorders>
                    <w:tl2br w:val="nil"/>
                    <w:tr2bl w:val="nil"/>
                  </w:tcBorders>
                  <w:shd w:val="clear" w:color="auto" w:fill="auto"/>
                  <w:vAlign w:val="center"/>
                </w:tcPr>
                <w:p>
                  <w:pPr>
                    <w:jc w:val="center"/>
                    <w:rPr>
                      <w:szCs w:val="21"/>
                    </w:rPr>
                  </w:pPr>
                  <w:r>
                    <w:t>水</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液态</w:t>
                  </w:r>
                </w:p>
              </w:tc>
              <w:tc>
                <w:tcPr>
                  <w:tcW w:w="586" w:type="dxa"/>
                  <w:tcBorders>
                    <w:tl2br w:val="nil"/>
                    <w:tr2bl w:val="nil"/>
                  </w:tcBorders>
                  <w:shd w:val="clear" w:color="auto" w:fill="auto"/>
                  <w:vAlign w:val="center"/>
                </w:tcPr>
                <w:p>
                  <w:pPr>
                    <w:widowControl/>
                    <w:adjustRightInd w:val="0"/>
                    <w:snapToGrid w:val="0"/>
                    <w:jc w:val="center"/>
                    <w:rPr>
                      <w:szCs w:val="21"/>
                    </w:rPr>
                  </w:pPr>
                  <w:r>
                    <w:rPr>
                      <w:szCs w:val="21"/>
                    </w:rPr>
                    <w:t>吨</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1270.5</w:t>
                  </w:r>
                </w:p>
              </w:tc>
              <w:tc>
                <w:tcPr>
                  <w:tcW w:w="3689" w:type="dxa"/>
                  <w:gridSpan w:val="3"/>
                  <w:tcBorders>
                    <w:tl2br w:val="nil"/>
                    <w:tr2bl w:val="nil"/>
                  </w:tcBorders>
                  <w:shd w:val="clear" w:color="auto" w:fill="auto"/>
                  <w:vAlign w:val="center"/>
                </w:tcPr>
                <w:p>
                  <w:pPr>
                    <w:widowControl/>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jc w:val="center"/>
                    <w:rPr>
                      <w:szCs w:val="21"/>
                    </w:rPr>
                  </w:pPr>
                  <w:r>
                    <w:rPr>
                      <w:rFonts w:hint="eastAsia"/>
                      <w:szCs w:val="21"/>
                    </w:rPr>
                    <w:t>2</w:t>
                  </w:r>
                </w:p>
              </w:tc>
              <w:tc>
                <w:tcPr>
                  <w:tcW w:w="1782" w:type="dxa"/>
                  <w:tcBorders>
                    <w:tl2br w:val="nil"/>
                    <w:tr2bl w:val="nil"/>
                  </w:tcBorders>
                  <w:shd w:val="clear" w:color="auto" w:fill="auto"/>
                  <w:vAlign w:val="center"/>
                </w:tcPr>
                <w:p>
                  <w:pPr>
                    <w:jc w:val="center"/>
                    <w:rPr>
                      <w:szCs w:val="21"/>
                    </w:rPr>
                  </w:pPr>
                  <w:r>
                    <w:t>电</w:t>
                  </w:r>
                </w:p>
              </w:tc>
              <w:tc>
                <w:tcPr>
                  <w:tcW w:w="702" w:type="dxa"/>
                  <w:tcBorders>
                    <w:tl2br w:val="nil"/>
                    <w:tr2bl w:val="nil"/>
                  </w:tcBorders>
                  <w:shd w:val="clear" w:color="auto" w:fill="auto"/>
                  <w:vAlign w:val="center"/>
                </w:tcPr>
                <w:p>
                  <w:pPr>
                    <w:widowControl/>
                    <w:adjustRightInd w:val="0"/>
                    <w:snapToGrid w:val="0"/>
                    <w:jc w:val="center"/>
                    <w:rPr>
                      <w:szCs w:val="21"/>
                    </w:rPr>
                  </w:pPr>
                  <w:r>
                    <w:rPr>
                      <w:rFonts w:hint="eastAsia"/>
                      <w:szCs w:val="21"/>
                    </w:rPr>
                    <w:t>/</w:t>
                  </w:r>
                </w:p>
              </w:tc>
              <w:tc>
                <w:tcPr>
                  <w:tcW w:w="586" w:type="dxa"/>
                  <w:tcBorders>
                    <w:tl2br w:val="nil"/>
                    <w:tr2bl w:val="nil"/>
                  </w:tcBorders>
                  <w:shd w:val="clear" w:color="auto" w:fill="auto"/>
                  <w:vAlign w:val="center"/>
                </w:tcPr>
                <w:p>
                  <w:pPr>
                    <w:widowControl/>
                    <w:adjustRightInd w:val="0"/>
                    <w:snapToGrid w:val="0"/>
                    <w:jc w:val="center"/>
                    <w:rPr>
                      <w:szCs w:val="21"/>
                    </w:rPr>
                  </w:pPr>
                  <w:r>
                    <w:rPr>
                      <w:rFonts w:hint="eastAsia"/>
                    </w:rPr>
                    <w:t>万</w:t>
                  </w:r>
                  <w:r>
                    <w:t>kWh</w:t>
                  </w:r>
                </w:p>
              </w:tc>
              <w:tc>
                <w:tcPr>
                  <w:tcW w:w="832" w:type="dxa"/>
                  <w:tcBorders>
                    <w:tl2br w:val="nil"/>
                    <w:tr2bl w:val="nil"/>
                  </w:tcBorders>
                  <w:shd w:val="clear" w:color="auto" w:fill="auto"/>
                  <w:vAlign w:val="center"/>
                </w:tcPr>
                <w:p>
                  <w:pPr>
                    <w:widowControl/>
                    <w:adjustRightInd w:val="0"/>
                    <w:snapToGrid w:val="0"/>
                    <w:jc w:val="center"/>
                    <w:rPr>
                      <w:szCs w:val="21"/>
                    </w:rPr>
                  </w:pPr>
                  <w:r>
                    <w:t>15</w:t>
                  </w:r>
                </w:p>
              </w:tc>
              <w:tc>
                <w:tcPr>
                  <w:tcW w:w="3689" w:type="dxa"/>
                  <w:gridSpan w:val="3"/>
                  <w:tcBorders>
                    <w:tl2br w:val="nil"/>
                    <w:tr2bl w:val="nil"/>
                  </w:tcBorders>
                  <w:shd w:val="clear" w:color="auto" w:fill="auto"/>
                  <w:vAlign w:val="center"/>
                </w:tcPr>
                <w:p>
                  <w:pPr>
                    <w:widowControl/>
                    <w:adjustRightInd w:val="0"/>
                    <w:snapToGrid w:val="0"/>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27" w:type="dxa"/>
                  <w:tcBorders>
                    <w:tl2br w:val="nil"/>
                    <w:tr2bl w:val="nil"/>
                  </w:tcBorders>
                  <w:vAlign w:val="center"/>
                </w:tcPr>
                <w:p>
                  <w:pPr>
                    <w:adjustRightInd w:val="0"/>
                    <w:snapToGrid w:val="0"/>
                    <w:jc w:val="center"/>
                    <w:rPr>
                      <w:szCs w:val="21"/>
                    </w:rPr>
                  </w:pPr>
                  <w:r>
                    <w:rPr>
                      <w:rFonts w:hint="eastAsia"/>
                      <w:szCs w:val="21"/>
                    </w:rPr>
                    <w:t>3</w:t>
                  </w:r>
                </w:p>
              </w:tc>
              <w:tc>
                <w:tcPr>
                  <w:tcW w:w="1782" w:type="dxa"/>
                  <w:tcBorders>
                    <w:tl2br w:val="nil"/>
                    <w:tr2bl w:val="nil"/>
                  </w:tcBorders>
                  <w:shd w:val="clear" w:color="auto" w:fill="auto"/>
                  <w:vAlign w:val="center"/>
                </w:tcPr>
                <w:p>
                  <w:pPr>
                    <w:adjustRightInd w:val="0"/>
                    <w:snapToGrid w:val="0"/>
                    <w:jc w:val="center"/>
                    <w:rPr>
                      <w:szCs w:val="21"/>
                    </w:rPr>
                  </w:pPr>
                  <w:r>
                    <w:rPr>
                      <w:rFonts w:hint="eastAsia"/>
                      <w:szCs w:val="21"/>
                    </w:rPr>
                    <w:t>天然气</w:t>
                  </w:r>
                </w:p>
              </w:tc>
              <w:tc>
                <w:tcPr>
                  <w:tcW w:w="702" w:type="dxa"/>
                  <w:tcBorders>
                    <w:tl2br w:val="nil"/>
                    <w:tr2bl w:val="nil"/>
                  </w:tcBorders>
                  <w:shd w:val="clear" w:color="auto" w:fill="auto"/>
                  <w:vAlign w:val="center"/>
                </w:tcPr>
                <w:p>
                  <w:pPr>
                    <w:adjustRightInd w:val="0"/>
                    <w:snapToGrid w:val="0"/>
                    <w:jc w:val="center"/>
                    <w:rPr>
                      <w:szCs w:val="21"/>
                    </w:rPr>
                  </w:pPr>
                  <w:r>
                    <w:rPr>
                      <w:rFonts w:hint="eastAsia"/>
                      <w:szCs w:val="21"/>
                    </w:rPr>
                    <w:t>气态</w:t>
                  </w:r>
                </w:p>
              </w:tc>
              <w:tc>
                <w:tcPr>
                  <w:tcW w:w="586" w:type="dxa"/>
                  <w:tcBorders>
                    <w:tl2br w:val="nil"/>
                    <w:tr2bl w:val="nil"/>
                  </w:tcBorders>
                  <w:shd w:val="clear" w:color="auto" w:fill="auto"/>
                  <w:vAlign w:val="center"/>
                </w:tcPr>
                <w:p>
                  <w:pPr>
                    <w:adjustRightInd w:val="0"/>
                    <w:snapToGrid w:val="0"/>
                    <w:jc w:val="center"/>
                    <w:rPr>
                      <w:szCs w:val="21"/>
                    </w:rPr>
                  </w:pPr>
                  <w:r>
                    <w:rPr>
                      <w:bCs/>
                      <w:szCs w:val="21"/>
                    </w:rPr>
                    <w:t>万m</w:t>
                  </w:r>
                  <w:r>
                    <w:rPr>
                      <w:bCs/>
                      <w:szCs w:val="21"/>
                      <w:vertAlign w:val="superscript"/>
                    </w:rPr>
                    <w:t>3</w:t>
                  </w:r>
                </w:p>
              </w:tc>
              <w:tc>
                <w:tcPr>
                  <w:tcW w:w="832" w:type="dxa"/>
                  <w:tcBorders>
                    <w:tl2br w:val="nil"/>
                    <w:tr2bl w:val="nil"/>
                  </w:tcBorders>
                  <w:shd w:val="clear" w:color="auto" w:fill="auto"/>
                  <w:vAlign w:val="center"/>
                </w:tcPr>
                <w:p>
                  <w:pPr>
                    <w:adjustRightInd w:val="0"/>
                    <w:snapToGrid w:val="0"/>
                    <w:jc w:val="center"/>
                    <w:rPr>
                      <w:szCs w:val="21"/>
                    </w:rPr>
                  </w:pPr>
                  <w:r>
                    <w:rPr>
                      <w:rFonts w:hint="eastAsia"/>
                      <w:szCs w:val="21"/>
                    </w:rPr>
                    <w:t>228.6</w:t>
                  </w:r>
                </w:p>
              </w:tc>
              <w:tc>
                <w:tcPr>
                  <w:tcW w:w="3689" w:type="dxa"/>
                  <w:gridSpan w:val="3"/>
                  <w:tcBorders>
                    <w:tl2br w:val="nil"/>
                    <w:tr2bl w:val="nil"/>
                  </w:tcBorders>
                  <w:shd w:val="clear" w:color="auto" w:fill="auto"/>
                  <w:vAlign w:val="center"/>
                </w:tcPr>
                <w:p>
                  <w:pPr>
                    <w:adjustRightInd w:val="0"/>
                    <w:snapToGrid w:val="0"/>
                    <w:jc w:val="center"/>
                    <w:rPr>
                      <w:szCs w:val="21"/>
                    </w:rPr>
                  </w:pPr>
                  <w:r>
                    <w:rPr>
                      <w:rFonts w:hint="eastAsia"/>
                      <w:szCs w:val="21"/>
                    </w:rPr>
                    <w:t>/</w:t>
                  </w:r>
                </w:p>
              </w:tc>
            </w:tr>
          </w:tbl>
          <w:p>
            <w:pPr>
              <w:adjustRightInd w:val="0"/>
              <w:snapToGrid w:val="0"/>
              <w:spacing w:line="360" w:lineRule="auto"/>
              <w:ind w:firstLine="480" w:firstLineChars="200"/>
              <w:jc w:val="left"/>
              <w:rPr>
                <w:sz w:val="24"/>
              </w:rPr>
            </w:pPr>
            <w:r>
              <w:rPr>
                <w:rFonts w:hint="eastAsia"/>
                <w:sz w:val="24"/>
              </w:rPr>
              <w:t>（1）塑粉</w:t>
            </w:r>
          </w:p>
          <w:p>
            <w:pPr>
              <w:pStyle w:val="46"/>
              <w:adjustRightInd w:val="0"/>
              <w:snapToGrid w:val="0"/>
              <w:spacing w:line="360" w:lineRule="auto"/>
              <w:ind w:firstLine="420"/>
              <w:jc w:val="left"/>
              <w:rPr>
                <w:sz w:val="24"/>
                <w:szCs w:val="24"/>
                <w:lang w:val="zh-CN"/>
              </w:rPr>
            </w:pPr>
            <w:r>
              <w:rPr>
                <w:rFonts w:hint="eastAsia"/>
                <w:sz w:val="24"/>
                <w:szCs w:val="24"/>
                <w:lang w:val="zh-CN"/>
              </w:rPr>
              <w:t>是一种静电喷塑用热固性粉末涂料。主要成份是聚酯树脂（占</w:t>
            </w:r>
            <w:r>
              <w:rPr>
                <w:rFonts w:hint="eastAsia"/>
                <w:sz w:val="24"/>
                <w:szCs w:val="24"/>
              </w:rPr>
              <w:t>56</w:t>
            </w:r>
            <w:r>
              <w:rPr>
                <w:rFonts w:hint="eastAsia"/>
                <w:sz w:val="24"/>
                <w:szCs w:val="24"/>
                <w:lang w:val="zh-CN"/>
              </w:rPr>
              <w:t>%</w:t>
            </w:r>
            <w:r>
              <w:rPr>
                <w:rFonts w:hint="eastAsia"/>
                <w:sz w:val="24"/>
                <w:szCs w:val="24"/>
              </w:rPr>
              <w:t>-80%</w:t>
            </w:r>
            <w:r>
              <w:rPr>
                <w:rFonts w:hint="eastAsia"/>
                <w:sz w:val="24"/>
                <w:szCs w:val="24"/>
                <w:lang w:val="zh-CN"/>
              </w:rPr>
              <w:t>）聚酯树脂和颜料及其他助剂，耐弱酸和弱碱，遇强酸发生分解，遇强碱发生腐蚀（</w:t>
            </w:r>
            <w:r>
              <w:rPr>
                <w:rFonts w:hint="eastAsia"/>
                <w:sz w:val="24"/>
                <w:szCs w:val="24"/>
              </w:rPr>
              <w:t>MSDS文件见附件6</w:t>
            </w:r>
            <w:r>
              <w:rPr>
                <w:rFonts w:hint="eastAsia"/>
                <w:sz w:val="24"/>
                <w:szCs w:val="24"/>
                <w:lang w:val="zh-CN"/>
              </w:rPr>
              <w:t>）。不溶于水，溶于酒精等有机溶剂中，固体分可达100％，固化温度在180℃-200℃固化时间为10-20</w:t>
            </w:r>
            <w:r>
              <w:rPr>
                <w:rFonts w:hint="eastAsia"/>
                <w:sz w:val="24"/>
                <w:szCs w:val="24"/>
              </w:rPr>
              <w:t>分钟</w:t>
            </w:r>
            <w:r>
              <w:rPr>
                <w:rFonts w:hint="eastAsia"/>
                <w:sz w:val="24"/>
                <w:szCs w:val="24"/>
                <w:lang w:val="zh-CN"/>
              </w:rPr>
              <w:t>。</w:t>
            </w:r>
          </w:p>
          <w:p>
            <w:pPr>
              <w:pStyle w:val="46"/>
              <w:numPr>
                <w:ilvl w:val="0"/>
                <w:numId w:val="6"/>
              </w:numPr>
              <w:adjustRightInd w:val="0"/>
              <w:snapToGrid w:val="0"/>
              <w:spacing w:line="360" w:lineRule="auto"/>
              <w:ind w:firstLine="420"/>
              <w:jc w:val="left"/>
              <w:rPr>
                <w:sz w:val="24"/>
                <w:szCs w:val="24"/>
                <w:lang w:val="zh-CN"/>
              </w:rPr>
            </w:pPr>
            <w:r>
              <w:rPr>
                <w:rFonts w:hint="eastAsia"/>
                <w:sz w:val="24"/>
                <w:szCs w:val="24"/>
                <w:lang w:val="zh-CN"/>
              </w:rPr>
              <w:t>木纹转印纸</w:t>
            </w:r>
          </w:p>
          <w:p>
            <w:pPr>
              <w:pStyle w:val="46"/>
              <w:adjustRightInd w:val="0"/>
              <w:snapToGrid w:val="0"/>
              <w:spacing w:line="360" w:lineRule="auto"/>
              <w:ind w:firstLine="480" w:firstLineChars="200"/>
              <w:jc w:val="left"/>
              <w:rPr>
                <w:sz w:val="24"/>
                <w:szCs w:val="24"/>
                <w:lang w:val="zh-CN"/>
              </w:rPr>
            </w:pPr>
            <w:r>
              <w:rPr>
                <w:rFonts w:hint="eastAsia"/>
                <w:sz w:val="24"/>
                <w:szCs w:val="24"/>
                <w:lang w:val="zh-CN"/>
              </w:rPr>
              <w:t>是一种印有图案的纸，而该纸的图案能够转印到其他表面上。主要成份是热转印纸（</w:t>
            </w:r>
            <w:r>
              <w:rPr>
                <w:rFonts w:hint="eastAsia"/>
                <w:sz w:val="24"/>
                <w:szCs w:val="24"/>
              </w:rPr>
              <w:t>85</w:t>
            </w:r>
            <w:r>
              <w:rPr>
                <w:rFonts w:hint="eastAsia"/>
                <w:sz w:val="24"/>
                <w:szCs w:val="24"/>
                <w:lang w:val="zh-CN"/>
              </w:rPr>
              <w:t>%</w:t>
            </w:r>
            <w:r>
              <w:rPr>
                <w:rFonts w:hint="eastAsia"/>
                <w:sz w:val="24"/>
                <w:szCs w:val="24"/>
              </w:rPr>
              <w:t>-90%</w:t>
            </w:r>
            <w:r>
              <w:rPr>
                <w:rFonts w:hint="eastAsia"/>
                <w:sz w:val="24"/>
                <w:szCs w:val="24"/>
                <w:lang w:val="zh-CN"/>
              </w:rPr>
              <w:t>）和油墨、异丁醇、甲醇及其他助剂，耐弱酸和弱碱，遇强酸发生分解，遇强碱发生腐蚀（</w:t>
            </w:r>
            <w:r>
              <w:rPr>
                <w:rFonts w:hint="eastAsia"/>
                <w:sz w:val="24"/>
                <w:szCs w:val="24"/>
              </w:rPr>
              <w:t>MSDS文件见附件7</w:t>
            </w:r>
            <w:r>
              <w:rPr>
                <w:rFonts w:hint="eastAsia"/>
                <w:sz w:val="24"/>
                <w:szCs w:val="24"/>
                <w:lang w:val="zh-CN"/>
              </w:rPr>
              <w:t>）。</w:t>
            </w:r>
          </w:p>
          <w:p>
            <w:pPr>
              <w:pStyle w:val="46"/>
              <w:numPr>
                <w:ilvl w:val="0"/>
                <w:numId w:val="6"/>
              </w:numPr>
              <w:adjustRightInd w:val="0"/>
              <w:snapToGrid w:val="0"/>
              <w:spacing w:line="360" w:lineRule="auto"/>
              <w:ind w:firstLine="420"/>
              <w:jc w:val="left"/>
              <w:rPr>
                <w:sz w:val="24"/>
                <w:szCs w:val="24"/>
                <w:lang w:val="zh-CN"/>
              </w:rPr>
            </w:pPr>
            <w:r>
              <w:rPr>
                <w:rFonts w:hint="eastAsia"/>
                <w:sz w:val="24"/>
                <w:szCs w:val="24"/>
                <w:lang w:val="zh-CN"/>
              </w:rPr>
              <w:t>高分子材料膜</w:t>
            </w:r>
          </w:p>
          <w:p>
            <w:pPr>
              <w:pStyle w:val="46"/>
              <w:adjustRightInd w:val="0"/>
              <w:snapToGrid w:val="0"/>
              <w:spacing w:line="360" w:lineRule="auto"/>
              <w:ind w:firstLine="480" w:firstLineChars="200"/>
              <w:jc w:val="left"/>
              <w:rPr>
                <w:sz w:val="24"/>
                <w:szCs w:val="24"/>
                <w:lang w:val="zh-CN"/>
              </w:rPr>
            </w:pPr>
            <w:r>
              <w:rPr>
                <w:rFonts w:hint="eastAsia"/>
                <w:sz w:val="24"/>
                <w:szCs w:val="24"/>
                <w:lang w:val="zh-CN"/>
              </w:rPr>
              <w:t>以</w:t>
            </w:r>
            <w:r>
              <w:rPr>
                <w:rFonts w:hint="eastAsia"/>
                <w:sz w:val="24"/>
                <w:szCs w:val="24"/>
              </w:rPr>
              <w:t>PE</w:t>
            </w:r>
            <w:r>
              <w:rPr>
                <w:rFonts w:hint="eastAsia"/>
                <w:sz w:val="24"/>
                <w:szCs w:val="24"/>
                <w:lang w:val="zh-CN"/>
              </w:rPr>
              <w:t>常用的主要高分子薄膜有</w:t>
            </w:r>
            <w:r>
              <w:rPr>
                <w:rFonts w:hint="eastAsia"/>
                <w:sz w:val="24"/>
                <w:szCs w:val="24"/>
              </w:rPr>
              <w:t>PP、PA、PE、PET等。其中PET膜综合能力最优，具有易成型、抑菌、硬度高、耐高温、耐磨好等</w:t>
            </w:r>
            <w:r>
              <w:rPr>
                <w:rFonts w:hint="eastAsia"/>
                <w:sz w:val="24"/>
                <w:szCs w:val="24"/>
                <w:lang w:val="zh-CN"/>
              </w:rPr>
              <w:t>（</w:t>
            </w:r>
            <w:r>
              <w:rPr>
                <w:rFonts w:hint="eastAsia"/>
                <w:sz w:val="24"/>
                <w:szCs w:val="24"/>
              </w:rPr>
              <w:t>MSDS文件见附件8</w:t>
            </w:r>
            <w:r>
              <w:rPr>
                <w:rFonts w:hint="eastAsia"/>
                <w:sz w:val="24"/>
                <w:szCs w:val="24"/>
                <w:lang w:val="zh-CN"/>
              </w:rPr>
              <w:t>）。</w:t>
            </w:r>
          </w:p>
          <w:p>
            <w:pPr>
              <w:numPr>
                <w:ilvl w:val="0"/>
                <w:numId w:val="6"/>
              </w:numPr>
              <w:adjustRightInd w:val="0"/>
              <w:snapToGrid w:val="0"/>
              <w:spacing w:line="360" w:lineRule="auto"/>
              <w:ind w:firstLine="420"/>
              <w:rPr>
                <w:bCs/>
                <w:sz w:val="24"/>
              </w:rPr>
            </w:pPr>
            <w:r>
              <w:rPr>
                <w:rFonts w:hint="eastAsia"/>
                <w:bCs/>
                <w:sz w:val="24"/>
              </w:rPr>
              <w:t>清洗剂和脱脂剂</w:t>
            </w:r>
          </w:p>
          <w:p>
            <w:pPr>
              <w:adjustRightInd w:val="0"/>
              <w:snapToGrid w:val="0"/>
              <w:spacing w:line="360" w:lineRule="auto"/>
              <w:ind w:firstLine="480" w:firstLineChars="200"/>
              <w:rPr>
                <w:bCs/>
                <w:sz w:val="24"/>
              </w:rPr>
            </w:pPr>
            <w:r>
              <w:rPr>
                <w:rFonts w:hint="eastAsia"/>
                <w:bCs/>
                <w:sz w:val="24"/>
              </w:rPr>
              <w:t>根</w:t>
            </w:r>
            <w:r>
              <w:rPr>
                <w:rFonts w:hint="eastAsia"/>
                <w:sz w:val="24"/>
                <w:lang w:val="zh-CN"/>
              </w:rPr>
              <w:t>据化学品安全技术说明书，清洗剂</w:t>
            </w:r>
            <w:r>
              <w:rPr>
                <w:rFonts w:hint="eastAsia"/>
                <w:sz w:val="24"/>
              </w:rPr>
              <w:t>/</w:t>
            </w:r>
            <w:r>
              <w:rPr>
                <w:rFonts w:hint="eastAsia"/>
                <w:sz w:val="24"/>
                <w:lang w:val="zh-CN"/>
              </w:rPr>
              <w:t>脱脂剂主要成分为</w:t>
            </w:r>
            <w:r>
              <w:rPr>
                <w:rFonts w:hint="eastAsia"/>
                <w:bCs/>
                <w:sz w:val="24"/>
              </w:rPr>
              <w:t>硫酸20~25%、氢氟酸5~15%和水60~75%</w:t>
            </w:r>
            <w:r>
              <w:rPr>
                <w:rFonts w:hint="eastAsia"/>
                <w:sz w:val="24"/>
                <w:lang w:val="zh-CN"/>
              </w:rPr>
              <w:t>（</w:t>
            </w:r>
            <w:r>
              <w:rPr>
                <w:rFonts w:hint="eastAsia"/>
                <w:sz w:val="24"/>
              </w:rPr>
              <w:t>MSDS文件见附件10</w:t>
            </w:r>
            <w:r>
              <w:rPr>
                <w:rFonts w:hint="eastAsia"/>
                <w:sz w:val="24"/>
                <w:lang w:val="zh-CN"/>
              </w:rPr>
              <w:t>）</w:t>
            </w:r>
            <w:r>
              <w:rPr>
                <w:rFonts w:hint="eastAsia"/>
                <w:bCs/>
                <w:sz w:val="24"/>
              </w:rPr>
              <w:t>；无铬钝化剂主要成分为无机酸铵1~10%、氢氟酸0.5~5.0%、丙烯酸聚合物2~3%、纳米粒子0.5~1%，水81~96%</w:t>
            </w:r>
            <w:r>
              <w:rPr>
                <w:rFonts w:hint="eastAsia"/>
                <w:sz w:val="24"/>
                <w:lang w:val="zh-CN"/>
              </w:rPr>
              <w:t>（</w:t>
            </w:r>
            <w:r>
              <w:rPr>
                <w:rFonts w:hint="eastAsia"/>
                <w:sz w:val="24"/>
              </w:rPr>
              <w:t>MSDS文件见附件11</w:t>
            </w:r>
            <w:r>
              <w:rPr>
                <w:rFonts w:hint="eastAsia"/>
                <w:sz w:val="24"/>
                <w:lang w:val="zh-CN"/>
              </w:rPr>
              <w:t>）。</w:t>
            </w:r>
          </w:p>
          <w:p>
            <w:pPr>
              <w:pStyle w:val="46"/>
              <w:adjustRightInd w:val="0"/>
              <w:snapToGrid w:val="0"/>
              <w:spacing w:line="480" w:lineRule="exact"/>
              <w:ind w:firstLine="420"/>
              <w:rPr>
                <w:b/>
                <w:bCs/>
                <w:szCs w:val="21"/>
              </w:rPr>
            </w:pPr>
            <w:r>
              <w:rPr>
                <w:rFonts w:hint="eastAsia"/>
                <w:b/>
                <w:bCs/>
                <w:szCs w:val="21"/>
              </w:rPr>
              <w:t>表2-4原辅材料成分分析一览表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64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vAlign w:val="center"/>
                </w:tcPr>
                <w:p>
                  <w:pPr>
                    <w:adjustRightInd w:val="0"/>
                    <w:snapToGrid w:val="0"/>
                    <w:jc w:val="center"/>
                    <w:rPr>
                      <w:rFonts w:ascii="Calibri" w:hAnsi="Calibri" w:cs="Calibri"/>
                      <w:b/>
                      <w:bCs/>
                      <w:szCs w:val="21"/>
                    </w:rPr>
                  </w:pPr>
                  <w:r>
                    <w:rPr>
                      <w:rFonts w:ascii="Calibri" w:hAnsi="Calibri" w:cs="Calibri"/>
                      <w:b/>
                      <w:bCs/>
                      <w:szCs w:val="21"/>
                    </w:rPr>
                    <w:t>名称</w:t>
                  </w:r>
                </w:p>
              </w:tc>
              <w:tc>
                <w:tcPr>
                  <w:tcW w:w="6408" w:type="dxa"/>
                  <w:tcBorders>
                    <w:tl2br w:val="nil"/>
                    <w:tr2bl w:val="nil"/>
                  </w:tcBorders>
                  <w:vAlign w:val="center"/>
                </w:tcPr>
                <w:p>
                  <w:pPr>
                    <w:adjustRightInd w:val="0"/>
                    <w:snapToGrid w:val="0"/>
                    <w:jc w:val="center"/>
                    <w:rPr>
                      <w:rFonts w:ascii="Calibri" w:hAnsi="Calibri" w:cs="Calibri"/>
                      <w:b/>
                      <w:bCs/>
                      <w:szCs w:val="21"/>
                    </w:rPr>
                  </w:pPr>
                  <w:r>
                    <w:rPr>
                      <w:rFonts w:ascii="Calibri" w:hAnsi="Calibri" w:cs="Calibri"/>
                      <w:b/>
                      <w:bCs/>
                      <w:szCs w:val="21"/>
                    </w:rPr>
                    <w:t>成分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塑粉</w:t>
                  </w:r>
                </w:p>
              </w:tc>
              <w:tc>
                <w:tcPr>
                  <w:tcW w:w="6408"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基料是聚醛树脂、固化剂，56%~80%；助剂是流平剂、脱气剂，1~51%；</w:t>
                  </w:r>
                </w:p>
                <w:p>
                  <w:pPr>
                    <w:adjustRightInd w:val="0"/>
                    <w:snapToGrid w:val="0"/>
                    <w:jc w:val="both"/>
                    <w:rPr>
                      <w:rFonts w:ascii="Calibri" w:hAnsi="Calibri" w:cs="Calibri"/>
                      <w:szCs w:val="21"/>
                    </w:rPr>
                  </w:pPr>
                  <w:r>
                    <w:rPr>
                      <w:rFonts w:ascii="Calibri" w:hAnsi="Calibri" w:cs="Calibri"/>
                      <w:szCs w:val="21"/>
                    </w:rPr>
                    <w:t>调料主要为硫酸钡，1%~30%；颜料主要为经书氧化颜料、炭黑、有机填料，0%~5%。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木纹转印纸</w:t>
                  </w:r>
                </w:p>
              </w:tc>
              <w:tc>
                <w:tcPr>
                  <w:tcW w:w="6408" w:type="dxa"/>
                  <w:tcBorders>
                    <w:tl2br w:val="nil"/>
                    <w:tr2bl w:val="nil"/>
                  </w:tcBorders>
                  <w:vAlign w:val="center"/>
                </w:tcPr>
                <w:p>
                  <w:pPr>
                    <w:widowControl/>
                    <w:jc w:val="both"/>
                    <w:rPr>
                      <w:rFonts w:ascii="Calibri" w:hAnsi="Calibri" w:cs="Calibri"/>
                      <w:color w:val="000000"/>
                      <w:kern w:val="0"/>
                      <w:szCs w:val="21"/>
                      <w:lang w:bidi="ar"/>
                    </w:rPr>
                  </w:pPr>
                  <w:r>
                    <w:rPr>
                      <w:rFonts w:ascii="Calibri" w:hAnsi="Calibri" w:cs="Calibri"/>
                      <w:color w:val="000000"/>
                      <w:kern w:val="0"/>
                      <w:szCs w:val="21"/>
                      <w:lang w:bidi="ar"/>
                    </w:rPr>
                    <w:t>热转印纸含量85~90%，油墨含量10~15%油墨组分：异丁醇60%、甲醇10%、分散染料7%，EC乙基纤维素15%；醇-PMAB8%。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604"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高分子材料膜</w:t>
                  </w:r>
                </w:p>
              </w:tc>
              <w:tc>
                <w:tcPr>
                  <w:tcW w:w="6408"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PET膜，聚乙烯树脂、固化剂，聚乙烯树脂含量70~90%，固化剂含量为8~15%，其他占2~20%。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脱脂</w:t>
                  </w:r>
                  <w:r>
                    <w:rPr>
                      <w:rFonts w:hint="eastAsia" w:ascii="Calibri" w:hAnsi="Calibri" w:cs="Calibri"/>
                      <w:szCs w:val="21"/>
                    </w:rPr>
                    <w:t>剂</w:t>
                  </w:r>
                </w:p>
              </w:tc>
              <w:tc>
                <w:tcPr>
                  <w:tcW w:w="6408" w:type="dxa"/>
                  <w:tcBorders>
                    <w:tl2br w:val="nil"/>
                    <w:tr2bl w:val="nil"/>
                  </w:tcBorders>
                  <w:vAlign w:val="center"/>
                </w:tcPr>
                <w:p>
                  <w:pPr>
                    <w:adjustRightInd w:val="0"/>
                    <w:snapToGrid w:val="0"/>
                    <w:jc w:val="both"/>
                    <w:rPr>
                      <w:rFonts w:ascii="Calibri" w:hAnsi="Calibri" w:cs="Calibri"/>
                      <w:szCs w:val="21"/>
                    </w:rPr>
                  </w:pPr>
                  <w:r>
                    <w:rPr>
                      <w:rFonts w:hint="eastAsia" w:ascii="Calibri" w:hAnsi="Calibri" w:cs="Calibri"/>
                      <w:szCs w:val="21"/>
                    </w:rPr>
                    <w:t>硫酸20~25%、氢氟酸5~15%和水60~75%。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604" w:type="dxa"/>
                  <w:tcBorders>
                    <w:tl2br w:val="nil"/>
                    <w:tr2bl w:val="nil"/>
                  </w:tcBorders>
                  <w:vAlign w:val="center"/>
                </w:tcPr>
                <w:p>
                  <w:pPr>
                    <w:adjustRightInd w:val="0"/>
                    <w:snapToGrid w:val="0"/>
                    <w:jc w:val="both"/>
                    <w:rPr>
                      <w:rFonts w:ascii="Calibri" w:hAnsi="Calibri" w:cs="Calibri"/>
                      <w:szCs w:val="21"/>
                    </w:rPr>
                  </w:pPr>
                  <w:r>
                    <w:rPr>
                      <w:rFonts w:ascii="Calibri" w:hAnsi="Calibri" w:cs="Calibri"/>
                      <w:szCs w:val="21"/>
                    </w:rPr>
                    <w:t>无铬钝化剂</w:t>
                  </w:r>
                </w:p>
              </w:tc>
              <w:tc>
                <w:tcPr>
                  <w:tcW w:w="6408" w:type="dxa"/>
                  <w:tcBorders>
                    <w:tl2br w:val="nil"/>
                    <w:tr2bl w:val="nil"/>
                  </w:tcBorders>
                  <w:vAlign w:val="center"/>
                </w:tcPr>
                <w:p>
                  <w:pPr>
                    <w:adjustRightInd w:val="0"/>
                    <w:snapToGrid w:val="0"/>
                    <w:jc w:val="both"/>
                    <w:rPr>
                      <w:rFonts w:ascii="Calibri" w:hAnsi="Calibri" w:cs="Calibri"/>
                      <w:szCs w:val="21"/>
                    </w:rPr>
                  </w:pPr>
                  <w:r>
                    <w:rPr>
                      <w:rFonts w:hint="eastAsia" w:ascii="Calibri" w:hAnsi="Calibri" w:cs="Calibri"/>
                      <w:szCs w:val="21"/>
                    </w:rPr>
                    <w:t>无机酸1~10%、氢氟酸0.5~5.0%、丙烯酸聚合物2~3%、纳米粒子0.5~1%，水81~96%.</w:t>
                  </w:r>
                </w:p>
              </w:tc>
            </w:tr>
          </w:tbl>
          <w:p>
            <w:pPr>
              <w:pStyle w:val="38"/>
              <w:adjustRightInd w:val="0"/>
              <w:snapToGrid w:val="0"/>
              <w:spacing w:line="360" w:lineRule="auto"/>
              <w:ind w:left="0" w:firstLine="482" w:firstLineChars="200"/>
              <w:rPr>
                <w:rFonts w:ascii="Times New Roman"/>
                <w:sz w:val="24"/>
                <w:szCs w:val="24"/>
              </w:rPr>
            </w:pPr>
            <w:r>
              <w:rPr>
                <w:rFonts w:hint="eastAsia" w:ascii="Times New Roman"/>
                <w:sz w:val="24"/>
                <w:szCs w:val="24"/>
              </w:rPr>
              <w:t>2）项目主要原辅材料理化性质</w:t>
            </w:r>
          </w:p>
          <w:p>
            <w:pPr>
              <w:pStyle w:val="38"/>
              <w:jc w:val="center"/>
              <w:rPr>
                <w:rFonts w:ascii="Times New Roman"/>
                <w:sz w:val="21"/>
                <w:szCs w:val="21"/>
              </w:rPr>
            </w:pPr>
            <w:r>
              <w:rPr>
                <w:rFonts w:hint="eastAsia" w:ascii="Times New Roman"/>
                <w:sz w:val="21"/>
                <w:szCs w:val="21"/>
              </w:rPr>
              <w:t>表2-5项目主要原辅材料理化性质及毒性性质</w:t>
            </w:r>
          </w:p>
          <w:tbl>
            <w:tblPr>
              <w:tblStyle w:val="30"/>
              <w:tblW w:w="80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95"/>
              <w:gridCol w:w="912"/>
              <w:gridCol w:w="3948"/>
              <w:gridCol w:w="852"/>
              <w:gridCol w:w="16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center"/>
                    <w:rPr>
                      <w:rFonts w:ascii="Calibri" w:hAnsi="Calibri" w:cs="Calibri"/>
                      <w:b/>
                      <w:bCs/>
                    </w:rPr>
                  </w:pPr>
                  <w:r>
                    <w:rPr>
                      <w:rFonts w:hint="eastAsia" w:ascii="Calibri" w:hAnsi="Calibri" w:cs="Calibri"/>
                      <w:b/>
                      <w:bCs/>
                    </w:rPr>
                    <w:t>名称</w:t>
                  </w:r>
                </w:p>
              </w:tc>
              <w:tc>
                <w:tcPr>
                  <w:tcW w:w="912" w:type="dxa"/>
                  <w:tcBorders>
                    <w:tl2br w:val="nil"/>
                    <w:tr2bl w:val="nil"/>
                  </w:tcBorders>
                  <w:vAlign w:val="center"/>
                </w:tcPr>
                <w:p>
                  <w:pPr>
                    <w:adjustRightInd w:val="0"/>
                    <w:snapToGrid w:val="0"/>
                    <w:jc w:val="center"/>
                    <w:rPr>
                      <w:rFonts w:ascii="Calibri" w:hAnsi="Calibri" w:cs="Calibri"/>
                      <w:b/>
                      <w:bCs/>
                    </w:rPr>
                  </w:pPr>
                  <w:r>
                    <w:rPr>
                      <w:rFonts w:hint="eastAsia" w:ascii="Calibri" w:hAnsi="Calibri" w:cs="Calibri"/>
                      <w:b/>
                      <w:bCs/>
                    </w:rPr>
                    <w:t>分子式</w:t>
                  </w:r>
                </w:p>
              </w:tc>
              <w:tc>
                <w:tcPr>
                  <w:tcW w:w="3948" w:type="dxa"/>
                  <w:tcBorders>
                    <w:tl2br w:val="nil"/>
                    <w:tr2bl w:val="nil"/>
                  </w:tcBorders>
                  <w:vAlign w:val="center"/>
                </w:tcPr>
                <w:p>
                  <w:pPr>
                    <w:adjustRightInd w:val="0"/>
                    <w:snapToGrid w:val="0"/>
                    <w:jc w:val="center"/>
                    <w:rPr>
                      <w:rFonts w:ascii="Calibri" w:hAnsi="Calibri" w:cs="Calibri"/>
                      <w:b/>
                      <w:bCs/>
                    </w:rPr>
                  </w:pPr>
                  <w:r>
                    <w:rPr>
                      <w:rFonts w:hint="eastAsia" w:ascii="Calibri" w:hAnsi="Calibri" w:cs="Calibri"/>
                      <w:b/>
                      <w:bCs/>
                    </w:rPr>
                    <w:t>理化性质</w:t>
                  </w:r>
                </w:p>
              </w:tc>
              <w:tc>
                <w:tcPr>
                  <w:tcW w:w="852" w:type="dxa"/>
                  <w:tcBorders>
                    <w:tl2br w:val="nil"/>
                    <w:tr2bl w:val="nil"/>
                  </w:tcBorders>
                  <w:vAlign w:val="center"/>
                </w:tcPr>
                <w:p>
                  <w:pPr>
                    <w:adjustRightInd w:val="0"/>
                    <w:snapToGrid w:val="0"/>
                    <w:jc w:val="center"/>
                    <w:rPr>
                      <w:rFonts w:ascii="Calibri" w:hAnsi="Calibri" w:cs="Calibri"/>
                      <w:b/>
                      <w:bCs/>
                    </w:rPr>
                  </w:pPr>
                  <w:r>
                    <w:rPr>
                      <w:rFonts w:hint="eastAsia" w:ascii="Calibri" w:hAnsi="Calibri" w:cs="Calibri"/>
                      <w:b/>
                      <w:bCs/>
                    </w:rPr>
                    <w:t>燃烧爆炸性</w:t>
                  </w:r>
                </w:p>
              </w:tc>
              <w:tc>
                <w:tcPr>
                  <w:tcW w:w="1611" w:type="dxa"/>
                  <w:tcBorders>
                    <w:tl2br w:val="nil"/>
                    <w:tr2bl w:val="nil"/>
                  </w:tcBorders>
                  <w:vAlign w:val="center"/>
                </w:tcPr>
                <w:p>
                  <w:pPr>
                    <w:adjustRightInd w:val="0"/>
                    <w:snapToGrid w:val="0"/>
                    <w:jc w:val="center"/>
                    <w:rPr>
                      <w:rFonts w:ascii="Calibri" w:hAnsi="Calibri" w:cs="Calibri"/>
                      <w:b/>
                      <w:bCs/>
                    </w:rPr>
                  </w:pPr>
                  <w:r>
                    <w:rPr>
                      <w:rFonts w:hint="eastAsia" w:ascii="Calibri" w:hAnsi="Calibri" w:cs="Calibri"/>
                      <w:b/>
                      <w:bCs/>
                    </w:rPr>
                    <w:t>毒理性质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铝</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Al</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银白色轻金属，有延展性；易溶于稀硫酸、稀硝酸、盐酸溶液，不溶于水，相对密度2.7，容点660℃，沸点2327℃。</w:t>
                  </w:r>
                </w:p>
              </w:tc>
              <w:tc>
                <w:tcPr>
                  <w:tcW w:w="852"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可燃</w:t>
                  </w:r>
                </w:p>
              </w:tc>
              <w:tc>
                <w:tcPr>
                  <w:tcW w:w="1611"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硫酸</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H</w:t>
                  </w:r>
                  <w:r>
                    <w:rPr>
                      <w:rFonts w:ascii="Calibri" w:hAnsi="Calibri" w:cs="Calibri"/>
                      <w:color w:val="000000"/>
                      <w:kern w:val="0"/>
                      <w:szCs w:val="21"/>
                      <w:vertAlign w:val="subscript"/>
                      <w:lang w:bidi="ar"/>
                    </w:rPr>
                    <w:t>2</w:t>
                  </w:r>
                  <w:r>
                    <w:rPr>
                      <w:rFonts w:ascii="Calibri" w:hAnsi="Calibri" w:cs="Calibri"/>
                      <w:color w:val="000000"/>
                      <w:kern w:val="0"/>
                      <w:szCs w:val="21"/>
                      <w:lang w:bidi="ar"/>
                    </w:rPr>
                    <w:t>SO</w:t>
                  </w:r>
                  <w:r>
                    <w:rPr>
                      <w:rFonts w:ascii="Calibri" w:hAnsi="Calibri" w:cs="Calibri"/>
                      <w:color w:val="000000"/>
                      <w:kern w:val="0"/>
                      <w:szCs w:val="21"/>
                      <w:vertAlign w:val="subscript"/>
                      <w:lang w:bidi="ar"/>
                    </w:rPr>
                    <w:t>4</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纯品为无色透明油状液体，无臭，熔点：10.5℃沸点：330.0</w:t>
                  </w:r>
                </w:p>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℃，相对密度(水=1)1.83；相对密度(空气=1)3.4，与水混溶。</w:t>
                  </w:r>
                </w:p>
              </w:tc>
              <w:tc>
                <w:tcPr>
                  <w:tcW w:w="852"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w:t>
                  </w:r>
                </w:p>
              </w:tc>
              <w:tc>
                <w:tcPr>
                  <w:tcW w:w="1611" w:type="dxa"/>
                  <w:tcBorders>
                    <w:tl2br w:val="nil"/>
                    <w:tr2bl w:val="nil"/>
                  </w:tcBorders>
                  <w:vAlign w:val="center"/>
                </w:tcPr>
                <w:p>
                  <w:pPr>
                    <w:widowControl/>
                    <w:adjustRightInd w:val="0"/>
                    <w:snapToGrid w:val="0"/>
                    <w:jc w:val="both"/>
                    <w:rPr>
                      <w:rFonts w:ascii="Calibri" w:hAnsi="Calibri" w:cs="Calibri"/>
                    </w:rPr>
                  </w:pPr>
                  <w:r>
                    <w:rPr>
                      <w:rFonts w:ascii="Calibri" w:hAnsi="Calibri" w:cs="Calibri"/>
                      <w:color w:val="000000"/>
                      <w:kern w:val="0"/>
                      <w:szCs w:val="21"/>
                      <w:lang w:bidi="ar"/>
                    </w:rPr>
                    <w:t>LD502140mg/kg(</w:t>
                  </w:r>
                  <w:r>
                    <w:rPr>
                      <w:rFonts w:hint="eastAsia" w:ascii="宋体" w:hAnsi="宋体" w:cs="宋体"/>
                      <w:color w:val="000000"/>
                      <w:kern w:val="0"/>
                      <w:szCs w:val="21"/>
                      <w:lang w:bidi="ar"/>
                    </w:rPr>
                    <w:t>大鼠经口；</w:t>
                  </w:r>
                  <w:r>
                    <w:rPr>
                      <w:rFonts w:ascii="Calibri" w:hAnsi="Calibri" w:cs="Calibri"/>
                      <w:color w:val="000000"/>
                      <w:kern w:val="0"/>
                      <w:szCs w:val="21"/>
                      <w:lang w:bidi="ar"/>
                    </w:rPr>
                    <w:t>LC50</w:t>
                  </w:r>
                  <w:r>
                    <w:rPr>
                      <w:rFonts w:hint="eastAsia" w:ascii="宋体" w:hAnsi="宋体" w:cs="宋体"/>
                      <w:color w:val="000000"/>
                      <w:kern w:val="0"/>
                      <w:szCs w:val="21"/>
                      <w:lang w:bidi="ar"/>
                    </w:rPr>
                    <w:t>：</w:t>
                  </w:r>
                  <w:r>
                    <w:rPr>
                      <w:rFonts w:ascii="Calibri" w:hAnsi="Calibri" w:cs="Calibri"/>
                      <w:color w:val="000000"/>
                      <w:kern w:val="0"/>
                      <w:szCs w:val="21"/>
                      <w:lang w:bidi="ar"/>
                    </w:rPr>
                    <w:t>510mg/m</w:t>
                  </w:r>
                  <w:r>
                    <w:rPr>
                      <w:rFonts w:hint="eastAsia" w:ascii="Calibri" w:hAnsi="Calibri" w:cs="Calibri"/>
                      <w:color w:val="000000"/>
                      <w:kern w:val="0"/>
                      <w:szCs w:val="21"/>
                      <w:vertAlign w:val="superscript"/>
                      <w:lang w:bidi="ar"/>
                    </w:rPr>
                    <w:t>3</w:t>
                  </w:r>
                  <w:r>
                    <w:rPr>
                      <w:rFonts w:hint="eastAsia" w:ascii="宋体" w:hAnsi="宋体" w:cs="宋体"/>
                      <w:color w:val="000000"/>
                      <w:kern w:val="0"/>
                      <w:szCs w:val="21"/>
                      <w:lang w:bidi="ar"/>
                    </w:rPr>
                    <w:t>，</w:t>
                  </w:r>
                  <w:r>
                    <w:rPr>
                      <w:rFonts w:ascii="Calibri" w:hAnsi="Calibri" w:cs="Calibri"/>
                      <w:color w:val="000000"/>
                      <w:kern w:val="0"/>
                      <w:szCs w:val="21"/>
                      <w:lang w:bidi="ar"/>
                    </w:rPr>
                    <w:t>2</w:t>
                  </w:r>
                  <w:r>
                    <w:rPr>
                      <w:rFonts w:hint="eastAsia" w:ascii="宋体" w:hAnsi="宋体" w:cs="宋体"/>
                      <w:color w:val="000000"/>
                      <w:kern w:val="0"/>
                      <w:szCs w:val="21"/>
                      <w:lang w:bidi="ar"/>
                    </w:rPr>
                    <w:t>小时</w:t>
                  </w:r>
                  <w:r>
                    <w:rPr>
                      <w:rFonts w:ascii="Calibri" w:hAnsi="Calibri" w:cs="Calibri"/>
                      <w:color w:val="000000"/>
                      <w:kern w:val="0"/>
                      <w:szCs w:val="21"/>
                      <w:lang w:bidi="ar"/>
                    </w:rPr>
                    <w:t>(</w:t>
                  </w:r>
                  <w:r>
                    <w:rPr>
                      <w:rFonts w:hint="eastAsia" w:ascii="宋体" w:hAnsi="宋体" w:cs="宋体"/>
                      <w:color w:val="000000"/>
                      <w:kern w:val="0"/>
                      <w:szCs w:val="21"/>
                      <w:lang w:bidi="ar"/>
                    </w:rPr>
                    <w:t>大鼠吸入</w:t>
                  </w:r>
                  <w:r>
                    <w:rPr>
                      <w:rFonts w:ascii="Calibri" w:hAnsi="Calibri" w:cs="Calibri"/>
                      <w:color w:val="000000"/>
                      <w:kern w:val="0"/>
                      <w:szCs w:val="21"/>
                      <w:lang w:bidi="ar"/>
                    </w:rPr>
                    <w:t>)</w:t>
                  </w:r>
                  <w:r>
                    <w:rPr>
                      <w:rFonts w:hint="eastAsia" w:ascii="宋体" w:hAnsi="宋体" w:cs="宋体"/>
                      <w:color w:val="000000"/>
                      <w:kern w:val="0"/>
                      <w:szCs w:val="21"/>
                      <w:lang w:bidi="ar"/>
                    </w:rPr>
                    <w:t>；</w:t>
                  </w:r>
                  <w:r>
                    <w:rPr>
                      <w:rFonts w:ascii="Calibri" w:hAnsi="Calibri" w:cs="Calibri"/>
                      <w:color w:val="000000"/>
                      <w:kern w:val="0"/>
                      <w:szCs w:val="21"/>
                      <w:lang w:bidi="ar"/>
                    </w:rPr>
                    <w:t>320mg/m</w:t>
                  </w:r>
                  <w:r>
                    <w:rPr>
                      <w:rFonts w:hint="eastAsia" w:ascii="Calibri" w:hAnsi="Calibri" w:cs="Calibri"/>
                      <w:color w:val="000000"/>
                      <w:kern w:val="0"/>
                      <w:szCs w:val="21"/>
                      <w:vertAlign w:val="superscript"/>
                      <w:lang w:bidi="ar"/>
                    </w:rPr>
                    <w:t>3</w:t>
                  </w:r>
                  <w:r>
                    <w:rPr>
                      <w:rFonts w:hint="eastAsia" w:ascii="宋体" w:hAnsi="宋体" w:cs="宋体"/>
                      <w:color w:val="000000"/>
                      <w:kern w:val="0"/>
                      <w:szCs w:val="21"/>
                      <w:lang w:bidi="ar"/>
                    </w:rPr>
                    <w:t>，</w:t>
                  </w:r>
                  <w:r>
                    <w:rPr>
                      <w:rFonts w:ascii="Calibri" w:hAnsi="Calibri" w:cs="Calibri"/>
                      <w:color w:val="000000"/>
                      <w:kern w:val="0"/>
                      <w:szCs w:val="21"/>
                      <w:lang w:bidi="ar"/>
                    </w:rPr>
                    <w:t>2</w:t>
                  </w:r>
                  <w:r>
                    <w:rPr>
                      <w:rFonts w:hint="eastAsia" w:ascii="宋体" w:hAnsi="宋体" w:cs="宋体"/>
                      <w:color w:val="000000"/>
                      <w:kern w:val="0"/>
                      <w:szCs w:val="21"/>
                      <w:lang w:bidi="ar"/>
                    </w:rPr>
                    <w:t>小时</w:t>
                  </w:r>
                  <w:r>
                    <w:rPr>
                      <w:rFonts w:ascii="Calibri" w:hAnsi="Calibri" w:cs="Calibri"/>
                      <w:color w:val="000000"/>
                      <w:kern w:val="0"/>
                      <w:szCs w:val="21"/>
                      <w:lang w:bidi="ar"/>
                    </w:rPr>
                    <w:t>(</w:t>
                  </w:r>
                  <w:r>
                    <w:rPr>
                      <w:rFonts w:hint="eastAsia" w:ascii="宋体" w:hAnsi="宋体" w:cs="宋体"/>
                      <w:color w:val="000000"/>
                      <w:kern w:val="0"/>
                      <w:szCs w:val="21"/>
                      <w:lang w:bidi="ar"/>
                    </w:rPr>
                    <w:t>小鼠吸入</w:t>
                  </w:r>
                  <w:r>
                    <w:rPr>
                      <w:rFonts w:ascii="Calibri" w:hAnsi="Calibri" w:cs="Calibri"/>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氢氟酸</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HF</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弱酸，氟化氢气体的水溶液，清澈，无色、发烟的腐蚀性液体，有剧烈刺激性气味。熔点-83.3</w:t>
                  </w:r>
                </w:p>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℃，沸点19.54℃</w:t>
                  </w:r>
                  <w:r>
                    <w:rPr>
                      <w:rFonts w:hint="eastAsia" w:ascii="Calibri" w:hAnsi="Calibri" w:cs="Calibri"/>
                      <w:color w:val="000000"/>
                      <w:kern w:val="0"/>
                      <w:szCs w:val="21"/>
                      <w:lang w:bidi="ar"/>
                    </w:rPr>
                    <w:t>，</w:t>
                  </w:r>
                  <w:r>
                    <w:rPr>
                      <w:rFonts w:ascii="Calibri" w:hAnsi="Calibri" w:cs="Calibri"/>
                      <w:color w:val="000000"/>
                      <w:kern w:val="0"/>
                      <w:szCs w:val="21"/>
                      <w:lang w:bidi="ar"/>
                    </w:rPr>
                    <w:t>闪点112.2</w:t>
                  </w:r>
                </w:p>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℃，密度1.15g/cm³。易溶于水、乙醇，微溶于乙醚。</w:t>
                  </w:r>
                </w:p>
              </w:tc>
              <w:tc>
                <w:tcPr>
                  <w:tcW w:w="852"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w:t>
                  </w:r>
                </w:p>
              </w:tc>
              <w:tc>
                <w:tcPr>
                  <w:tcW w:w="1611"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widowControl/>
                    <w:adjustRightInd w:val="0"/>
                    <w:snapToGrid w:val="0"/>
                    <w:jc w:val="both"/>
                    <w:rPr>
                      <w:rFonts w:ascii="Calibri" w:hAnsi="Calibri" w:cs="Calibri"/>
                    </w:rPr>
                  </w:pPr>
                  <w:r>
                    <w:rPr>
                      <w:rFonts w:hint="eastAsia" w:ascii="宋体" w:hAnsi="宋体" w:cs="宋体"/>
                      <w:color w:val="000000"/>
                      <w:kern w:val="0"/>
                      <w:szCs w:val="21"/>
                      <w:lang w:bidi="ar"/>
                    </w:rPr>
                    <w:t>丙烯酸</w:t>
                  </w:r>
                </w:p>
                <w:p>
                  <w:pPr>
                    <w:widowControl/>
                    <w:adjustRightInd w:val="0"/>
                    <w:snapToGrid w:val="0"/>
                    <w:jc w:val="both"/>
                    <w:rPr>
                      <w:rFonts w:ascii="Calibri" w:hAnsi="Calibri" w:cs="Calibri"/>
                    </w:rPr>
                  </w:pPr>
                  <w:r>
                    <w:rPr>
                      <w:rFonts w:hint="eastAsia" w:ascii="宋体" w:hAnsi="宋体" w:cs="宋体"/>
                      <w:color w:val="000000"/>
                      <w:kern w:val="0"/>
                      <w:szCs w:val="21"/>
                      <w:lang w:bidi="ar"/>
                    </w:rPr>
                    <w:t>聚合物</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丙烯酸及其衍生物的聚合物，一种液</w:t>
                  </w:r>
                  <w:r>
                    <w:rPr>
                      <w:rFonts w:hint="eastAsia" w:ascii="Calibri" w:hAnsi="Calibri" w:cs="Calibri"/>
                      <w:color w:val="000000"/>
                      <w:kern w:val="0"/>
                      <w:szCs w:val="21"/>
                      <w:lang w:bidi="ar"/>
                    </w:rPr>
                    <w:t>，</w:t>
                  </w:r>
                  <w:r>
                    <w:rPr>
                      <w:rFonts w:ascii="Calibri" w:hAnsi="Calibri" w:cs="Calibri"/>
                      <w:color w:val="000000"/>
                      <w:kern w:val="0"/>
                      <w:szCs w:val="21"/>
                      <w:lang w:bidi="ar"/>
                    </w:rPr>
                    <w:t>体其熔点为12℃，沸点为142℃,具有和乙酸相似的刺激气味。通常多以水溶液状态进行聚合。</w:t>
                  </w:r>
                </w:p>
              </w:tc>
              <w:tc>
                <w:tcPr>
                  <w:tcW w:w="852"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w:t>
                  </w:r>
                </w:p>
              </w:tc>
              <w:tc>
                <w:tcPr>
                  <w:tcW w:w="1611"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聚醛树脂</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一般是由不饱和二元酸二元醇或者饱和二元酸不饱和二元醇缩聚而成的具有酯键和不饱和双键的线型高分子化合物，经过苯乙烯稀释形成的是有一定粘度的热固型树脂溶液，室温常压下可固化成型。不饱和聚酯树脂的相对密度在1.11～1.20</w:t>
                  </w:r>
                  <w:r>
                    <w:rPr>
                      <w:rFonts w:hint="eastAsia" w:ascii="Calibri" w:hAnsi="Calibri" w:cs="Calibri"/>
                      <w:color w:val="000000"/>
                      <w:kern w:val="0"/>
                      <w:szCs w:val="21"/>
                      <w:lang w:bidi="ar"/>
                    </w:rPr>
                    <w:t>左</w:t>
                  </w:r>
                  <w:r>
                    <w:rPr>
                      <w:rFonts w:ascii="Calibri" w:hAnsi="Calibri" w:cs="Calibri"/>
                      <w:color w:val="000000"/>
                      <w:kern w:val="0"/>
                      <w:szCs w:val="21"/>
                      <w:lang w:bidi="ar"/>
                    </w:rPr>
                    <w:t>右</w:t>
                  </w:r>
                  <w:r>
                    <w:rPr>
                      <w:rFonts w:hint="eastAsia" w:ascii="Calibri" w:hAnsi="Calibri" w:cs="Calibri"/>
                      <w:color w:val="000000"/>
                      <w:kern w:val="0"/>
                      <w:szCs w:val="21"/>
                      <w:lang w:bidi="ar"/>
                    </w:rPr>
                    <w:t>,</w:t>
                  </w:r>
                  <w:r>
                    <w:rPr>
                      <w:rFonts w:ascii="Calibri" w:hAnsi="Calibri" w:cs="Calibri"/>
                      <w:color w:val="000000"/>
                      <w:kern w:val="0"/>
                      <w:szCs w:val="21"/>
                      <w:lang w:bidi="ar"/>
                    </w:rPr>
                    <w:t>粘度：0.25~0.45Pa.S，凝胶时间：9~17min通常。</w:t>
                  </w:r>
                </w:p>
              </w:tc>
              <w:tc>
                <w:tcPr>
                  <w:tcW w:w="852"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易燃</w:t>
                  </w:r>
                </w:p>
              </w:tc>
              <w:tc>
                <w:tcPr>
                  <w:tcW w:w="1611" w:type="dxa"/>
                  <w:tcBorders>
                    <w:tl2br w:val="nil"/>
                    <w:tr2bl w:val="nil"/>
                  </w:tcBorders>
                  <w:vAlign w:val="center"/>
                </w:tcPr>
                <w:p>
                  <w:pPr>
                    <w:widowControl/>
                    <w:adjustRightInd w:val="0"/>
                    <w:snapToGrid w:val="0"/>
                    <w:jc w:val="both"/>
                    <w:rPr>
                      <w:rFonts w:ascii="Calibri" w:hAnsi="Calibri" w:cs="Calibri"/>
                      <w:color w:val="000000"/>
                      <w:kern w:val="0"/>
                      <w:szCs w:val="21"/>
                      <w:lang w:bidi="ar"/>
                    </w:rPr>
                  </w:pPr>
                  <w:r>
                    <w:rPr>
                      <w:rFonts w:hint="eastAsia" w:ascii="Calibri" w:hAnsi="Calibri" w:cs="Calibri"/>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油墨</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异丁醇60%、甲醇10%、分散染料7%，EC乙基纤维素15%；醇-PMAB8%。</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微溶于水，有刺激性气味，闪点12℃</w:t>
                  </w:r>
                  <w:r>
                    <w:rPr>
                      <w:rFonts w:hint="eastAsia" w:ascii="Calibri" w:hAnsi="Calibri" w:cs="Calibri"/>
                      <w:color w:val="000000"/>
                      <w:kern w:val="0"/>
                      <w:szCs w:val="21"/>
                      <w:lang w:bidi="ar"/>
                    </w:rPr>
                    <w:t>。</w:t>
                  </w:r>
                </w:p>
              </w:tc>
              <w:tc>
                <w:tcPr>
                  <w:tcW w:w="852" w:type="dxa"/>
                  <w:tcBorders>
                    <w:tl2br w:val="nil"/>
                    <w:tr2bl w:val="nil"/>
                  </w:tcBorders>
                  <w:vAlign w:val="center"/>
                </w:tcPr>
                <w:p>
                  <w:pPr>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易燃</w:t>
                  </w:r>
                </w:p>
              </w:tc>
              <w:tc>
                <w:tcPr>
                  <w:tcW w:w="1611" w:type="dxa"/>
                  <w:tcBorders>
                    <w:tl2br w:val="nil"/>
                    <w:tr2bl w:val="nil"/>
                  </w:tcBorders>
                  <w:vAlign w:val="center"/>
                </w:tcPr>
                <w:p>
                  <w:pPr>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异丁醇：大鼠口服毒性</w:t>
                  </w:r>
                  <w:r>
                    <w:rPr>
                      <w:rFonts w:ascii="宋体" w:hAnsi="宋体" w:cs="宋体"/>
                      <w:color w:val="000000"/>
                      <w:kern w:val="0"/>
                      <w:szCs w:val="21"/>
                      <w:lang w:bidi="ar"/>
                    </w:rPr>
                    <w:t>LD50</w:t>
                  </w:r>
                  <w:r>
                    <w:rPr>
                      <w:rFonts w:hint="eastAsia" w:ascii="宋体" w:hAnsi="宋体" w:cs="宋体"/>
                      <w:color w:val="000000"/>
                      <w:kern w:val="0"/>
                      <w:szCs w:val="21"/>
                      <w:lang w:bidi="ar"/>
                    </w:rPr>
                    <w:t>：</w:t>
                  </w:r>
                  <w:r>
                    <w:rPr>
                      <w:rFonts w:ascii="宋体" w:hAnsi="宋体" w:cs="宋体"/>
                      <w:color w:val="000000"/>
                      <w:kern w:val="0"/>
                      <w:szCs w:val="21"/>
                      <w:lang w:bidi="ar"/>
                    </w:rPr>
                    <w:t>2460mg/kg</w:t>
                  </w:r>
                  <w:r>
                    <w:rPr>
                      <w:rFonts w:hint="eastAsia" w:ascii="宋体" w:hAnsi="宋体" w:cs="宋体"/>
                      <w:color w:val="000000"/>
                      <w:kern w:val="0"/>
                      <w:szCs w:val="21"/>
                      <w:lang w:bidi="ar"/>
                    </w:rPr>
                    <w:t>；兔子皮肤毒</w:t>
                  </w:r>
                  <w:r>
                    <w:rPr>
                      <w:rFonts w:ascii="宋体" w:hAnsi="宋体" w:cs="宋体"/>
                      <w:color w:val="000000"/>
                      <w:kern w:val="0"/>
                      <w:szCs w:val="21"/>
                      <w:lang w:bidi="ar"/>
                    </w:rPr>
                    <w:t>LD50</w:t>
                  </w:r>
                  <w:r>
                    <w:rPr>
                      <w:rFonts w:hint="eastAsia" w:ascii="宋体" w:hAnsi="宋体" w:cs="宋体"/>
                      <w:color w:val="000000"/>
                      <w:kern w:val="0"/>
                      <w:szCs w:val="21"/>
                      <w:lang w:bidi="ar"/>
                    </w:rPr>
                    <w:t>：</w:t>
                  </w:r>
                  <w:r>
                    <w:rPr>
                      <w:rFonts w:ascii="宋体" w:hAnsi="宋体" w:cs="宋体"/>
                      <w:color w:val="000000"/>
                      <w:kern w:val="0"/>
                      <w:szCs w:val="21"/>
                      <w:lang w:bidi="ar"/>
                    </w:rPr>
                    <w:t>3400mg/kg</w:t>
                  </w:r>
                  <w:r>
                    <w:rPr>
                      <w:rFonts w:hint="eastAsia" w:ascii="宋体" w:hAnsi="宋体" w:cs="宋体"/>
                      <w:color w:val="000000"/>
                      <w:kern w:val="0"/>
                      <w:szCs w:val="21"/>
                      <w:lang w:bidi="ar"/>
                    </w:rPr>
                    <w:t>甲醇：大鼠口服毒</w:t>
                  </w:r>
                  <w:r>
                    <w:rPr>
                      <w:rFonts w:ascii="宋体" w:hAnsi="宋体" w:cs="宋体"/>
                      <w:color w:val="000000"/>
                      <w:kern w:val="0"/>
                      <w:szCs w:val="21"/>
                      <w:lang w:bidi="ar"/>
                    </w:rPr>
                    <w:t>LD50</w:t>
                  </w:r>
                  <w:r>
                    <w:rPr>
                      <w:rFonts w:hint="eastAsia" w:ascii="宋体" w:hAnsi="宋体" w:cs="宋体"/>
                      <w:color w:val="000000"/>
                      <w:kern w:val="0"/>
                      <w:szCs w:val="21"/>
                      <w:lang w:bidi="ar"/>
                    </w:rPr>
                    <w:t>：</w:t>
                  </w:r>
                  <w:r>
                    <w:rPr>
                      <w:rFonts w:ascii="宋体" w:hAnsi="宋体" w:cs="宋体"/>
                      <w:color w:val="000000"/>
                      <w:kern w:val="0"/>
                      <w:szCs w:val="21"/>
                      <w:lang w:bidi="ar"/>
                    </w:rPr>
                    <w:t>5628mg/kg</w:t>
                  </w:r>
                  <w:r>
                    <w:rPr>
                      <w:rFonts w:hint="eastAsia" w:ascii="宋体" w:hAnsi="宋体" w:cs="宋体"/>
                      <w:color w:val="000000"/>
                      <w:kern w:val="0"/>
                      <w:szCs w:val="21"/>
                      <w:lang w:bidi="ar"/>
                    </w:rPr>
                    <w:t>；大鼠吸入毒</w:t>
                  </w:r>
                  <w:r>
                    <w:rPr>
                      <w:rFonts w:ascii="宋体" w:hAnsi="宋体" w:cs="宋体"/>
                      <w:color w:val="000000"/>
                      <w:kern w:val="0"/>
                      <w:szCs w:val="21"/>
                      <w:lang w:bidi="ar"/>
                    </w:rPr>
                    <w:t>LD50</w:t>
                  </w:r>
                  <w:r>
                    <w:rPr>
                      <w:rFonts w:hint="eastAsia" w:ascii="宋体" w:hAnsi="宋体" w:cs="宋体"/>
                      <w:color w:val="000000"/>
                      <w:kern w:val="0"/>
                      <w:szCs w:val="21"/>
                      <w:lang w:bidi="ar"/>
                    </w:rPr>
                    <w:t>:</w:t>
                  </w:r>
                  <w:r>
                    <w:rPr>
                      <w:rFonts w:ascii="宋体" w:hAnsi="宋体" w:cs="宋体"/>
                      <w:color w:val="000000"/>
                      <w:kern w:val="0"/>
                      <w:szCs w:val="21"/>
                      <w:lang w:bidi="ar"/>
                    </w:rPr>
                    <w:t>6400ppm/4H</w:t>
                  </w:r>
                  <w:r>
                    <w:rPr>
                      <w:rFonts w:hint="eastAsia" w:ascii="宋体" w:hAnsi="宋体" w:cs="宋体"/>
                      <w:color w:val="000000"/>
                      <w:kern w:val="0"/>
                      <w:szCs w:val="21"/>
                      <w:lang w:bidi="ar"/>
                    </w:rPr>
                    <w:t>，兔子皮肤毒：</w:t>
                  </w:r>
                  <w:r>
                    <w:rPr>
                      <w:rFonts w:ascii="宋体" w:hAnsi="宋体" w:cs="宋体"/>
                      <w:color w:val="000000"/>
                      <w:kern w:val="0"/>
                      <w:szCs w:val="21"/>
                      <w:lang w:bidi="ar"/>
                    </w:rPr>
                    <w:t>LD50</w:t>
                  </w:r>
                  <w:r>
                    <w:rPr>
                      <w:rFonts w:hint="eastAsia" w:ascii="宋体" w:hAnsi="宋体" w:cs="宋体"/>
                      <w:color w:val="000000"/>
                      <w:kern w:val="0"/>
                      <w:szCs w:val="21"/>
                      <w:lang w:bidi="ar"/>
                    </w:rPr>
                    <w:t>：</w:t>
                  </w:r>
                  <w:r>
                    <w:rPr>
                      <w:rFonts w:ascii="宋体" w:hAnsi="宋体" w:cs="宋体"/>
                      <w:color w:val="000000"/>
                      <w:kern w:val="0"/>
                      <w:szCs w:val="21"/>
                      <w:lang w:bidi="ar"/>
                    </w:rPr>
                    <w:t>158000</w:t>
                  </w:r>
                </w:p>
                <w:p>
                  <w:pPr>
                    <w:adjustRightInd w:val="0"/>
                    <w:snapToGrid w:val="0"/>
                    <w:jc w:val="both"/>
                    <w:rPr>
                      <w:rFonts w:ascii="宋体" w:hAnsi="宋体" w:cs="宋体"/>
                      <w:color w:val="000000"/>
                      <w:kern w:val="0"/>
                      <w:szCs w:val="21"/>
                      <w:lang w:bidi="ar"/>
                    </w:rPr>
                  </w:pPr>
                  <w:r>
                    <w:rPr>
                      <w:rFonts w:ascii="宋体" w:hAnsi="宋体" w:cs="宋体"/>
                      <w:color w:val="000000"/>
                      <w:kern w:val="0"/>
                      <w:szCs w:val="21"/>
                      <w:lang w:bidi="ar"/>
                    </w:rPr>
                    <w:t>mg/kg</w:t>
                  </w:r>
                  <w:r>
                    <w:rPr>
                      <w:rFonts w:hint="eastAsia" w:ascii="宋体" w:hAnsi="宋体" w:cs="宋体"/>
                      <w:color w:val="000000"/>
                      <w:kern w:val="0"/>
                      <w:szCs w:val="21"/>
                      <w:lang w:bidi="ar"/>
                    </w:rPr>
                    <w:t>；对眼睛、呼吸系统和皮肤有刺激性。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聚丙烯酰胺</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PAM</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是一种线型高分子</w:t>
                  </w:r>
                  <w:r>
                    <w:fldChar w:fldCharType="begin"/>
                  </w:r>
                  <w:r>
                    <w:instrText xml:space="preserve"> HYPERLINK "https://baike.baidu.com/item/%E8%81%9A%E5%90%88%E7%89%A9/6252844?fromModule=lemma_inlink" \t "https://baike.baidu.com/item/%E8%81%9A%E4%B8%99%E7%83%AF%E9%85%B0%E8%83%BA/_blank" </w:instrText>
                  </w:r>
                  <w:r>
                    <w:fldChar w:fldCharType="separate"/>
                  </w:r>
                  <w:r>
                    <w:rPr>
                      <w:rFonts w:ascii="Calibri" w:hAnsi="Calibri" w:cs="Calibri"/>
                      <w:color w:val="000000"/>
                      <w:kern w:val="0"/>
                      <w:szCs w:val="21"/>
                      <w:lang w:bidi="ar"/>
                    </w:rPr>
                    <w:t>聚合物</w:t>
                  </w:r>
                  <w:r>
                    <w:rPr>
                      <w:rFonts w:ascii="Calibri" w:hAnsi="Calibri" w:cs="Calibri"/>
                      <w:color w:val="000000"/>
                      <w:kern w:val="0"/>
                      <w:szCs w:val="21"/>
                      <w:lang w:bidi="ar"/>
                    </w:rPr>
                    <w:fldChar w:fldCharType="end"/>
                  </w:r>
                  <w:r>
                    <w:rPr>
                      <w:rFonts w:ascii="Calibri" w:hAnsi="Calibri" w:cs="Calibri"/>
                      <w:color w:val="000000"/>
                      <w:kern w:val="0"/>
                      <w:szCs w:val="21"/>
                      <w:lang w:bidi="ar"/>
                    </w:rPr>
                    <w:t>，化学式为(C3H5NO)n。在常温下为坚硬的玻璃态固体，产品有胶液、胶乳和白色粉粒、半透明珠粒和薄片等。热稳定性良好。能以任意比例溶于水，水溶液为均匀透明的液体。</w:t>
                  </w:r>
                </w:p>
              </w:tc>
              <w:tc>
                <w:tcPr>
                  <w:tcW w:w="852" w:type="dxa"/>
                  <w:tcBorders>
                    <w:tl2br w:val="nil"/>
                    <w:tr2bl w:val="nil"/>
                  </w:tcBorders>
                  <w:vAlign w:val="center"/>
                </w:tcPr>
                <w:p>
                  <w:pPr>
                    <w:adjustRightInd w:val="0"/>
                    <w:snapToGrid w:val="0"/>
                    <w:jc w:val="both"/>
                    <w:rPr>
                      <w:rFonts w:hint="default" w:ascii="Times New Roman" w:hAnsi="Times New Roman" w:cs="Times New Roman"/>
                      <w:b w:val="0"/>
                      <w:bCs w:val="0"/>
                    </w:rPr>
                  </w:pPr>
                  <w:r>
                    <w:rPr>
                      <w:rFonts w:hint="default" w:ascii="Times New Roman" w:hAnsi="Times New Roman" w:cs="Times New Roman"/>
                      <w:b w:val="0"/>
                      <w:bCs w:val="0"/>
                    </w:rPr>
                    <w:t>/</w:t>
                  </w:r>
                </w:p>
              </w:tc>
              <w:tc>
                <w:tcPr>
                  <w:tcW w:w="1611" w:type="dxa"/>
                  <w:tcBorders>
                    <w:tl2br w:val="nil"/>
                    <w:tr2bl w:val="nil"/>
                  </w:tcBorders>
                  <w:vAlign w:val="center"/>
                </w:tcPr>
                <w:p>
                  <w:pPr>
                    <w:widowControl/>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widowControl/>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聚合氯化铝</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PAC</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是一种无机物，一种新兴净水材料、</w:t>
                  </w:r>
                  <w:r>
                    <w:fldChar w:fldCharType="begin"/>
                  </w:r>
                  <w:r>
                    <w:instrText xml:space="preserve"> HYPERLINK "https://baike.baidu.com/item/%E6%97%A0%E6%9C%BA%E9%AB%98%E5%88%86%E5%AD%90/10251184?fromModule=lemma_inlink" \t "https://baike.baidu.com/item/_blank" </w:instrText>
                  </w:r>
                  <w:r>
                    <w:fldChar w:fldCharType="separate"/>
                  </w:r>
                  <w:r>
                    <w:rPr>
                      <w:rFonts w:ascii="Calibri" w:hAnsi="Calibri" w:cs="Calibri"/>
                      <w:color w:val="000000"/>
                      <w:kern w:val="0"/>
                      <w:szCs w:val="21"/>
                      <w:lang w:bidi="ar"/>
                    </w:rPr>
                    <w:t>无机高分子</w:t>
                  </w:r>
                  <w:r>
                    <w:rPr>
                      <w:rFonts w:ascii="Calibri" w:hAnsi="Calibri" w:cs="Calibri"/>
                      <w:color w:val="000000"/>
                      <w:kern w:val="0"/>
                      <w:szCs w:val="21"/>
                      <w:lang w:bidi="ar"/>
                    </w:rPr>
                    <w:fldChar w:fldCharType="end"/>
                  </w:r>
                  <w:r>
                    <w:rPr>
                      <w:rFonts w:ascii="Calibri" w:hAnsi="Calibri" w:cs="Calibri"/>
                      <w:color w:val="000000"/>
                      <w:kern w:val="0"/>
                      <w:szCs w:val="21"/>
                      <w:lang w:bidi="ar"/>
                    </w:rPr>
                    <w:t>混凝剂，简称聚铝。它是介于AlCl</w:t>
                  </w:r>
                  <w:r>
                    <w:rPr>
                      <w:rFonts w:ascii="Calibri" w:hAnsi="Calibri" w:cs="Calibri"/>
                      <w:color w:val="000000"/>
                      <w:kern w:val="0"/>
                      <w:szCs w:val="21"/>
                      <w:vertAlign w:val="subscript"/>
                      <w:lang w:bidi="ar"/>
                    </w:rPr>
                    <w:t>3</w:t>
                  </w:r>
                  <w:r>
                    <w:rPr>
                      <w:rFonts w:ascii="Calibri" w:hAnsi="Calibri" w:cs="Calibri"/>
                      <w:color w:val="000000"/>
                      <w:kern w:val="0"/>
                      <w:szCs w:val="21"/>
                      <w:lang w:bidi="ar"/>
                    </w:rPr>
                    <w:t>和Al(OH)</w:t>
                  </w:r>
                  <w:r>
                    <w:rPr>
                      <w:rFonts w:ascii="Calibri" w:hAnsi="Calibri" w:cs="Calibri"/>
                      <w:color w:val="000000"/>
                      <w:kern w:val="0"/>
                      <w:szCs w:val="21"/>
                      <w:vertAlign w:val="subscript"/>
                      <w:lang w:bidi="ar"/>
                    </w:rPr>
                    <w:t>3</w:t>
                  </w:r>
                  <w:r>
                    <w:rPr>
                      <w:rFonts w:ascii="Calibri" w:hAnsi="Calibri" w:cs="Calibri"/>
                      <w:color w:val="000000"/>
                      <w:kern w:val="0"/>
                      <w:szCs w:val="21"/>
                      <w:lang w:bidi="ar"/>
                    </w:rPr>
                    <w:t>之间的一种水溶性无机高分子聚合物，化学通式为[Al2(OH)</w:t>
                  </w:r>
                  <w:r>
                    <w:rPr>
                      <w:rFonts w:hint="eastAsia" w:ascii="Calibri" w:hAnsi="Calibri" w:cs="Calibri"/>
                      <w:color w:val="000000"/>
                      <w:kern w:val="0"/>
                      <w:szCs w:val="21"/>
                      <w:vertAlign w:val="subscript"/>
                      <w:lang w:bidi="ar"/>
                    </w:rPr>
                    <w:t>n</w:t>
                  </w:r>
                </w:p>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C</w:t>
                  </w:r>
                  <w:r>
                    <w:rPr>
                      <w:rFonts w:ascii="Calibri" w:hAnsi="Calibri" w:cs="Calibri"/>
                      <w:color w:val="000000"/>
                      <w:kern w:val="0"/>
                      <w:szCs w:val="21"/>
                      <w:vertAlign w:val="subscript"/>
                      <w:lang w:bidi="ar"/>
                    </w:rPr>
                    <w:t>l6-n</w:t>
                  </w:r>
                  <w:r>
                    <w:rPr>
                      <w:rFonts w:ascii="Calibri" w:hAnsi="Calibri" w:cs="Calibri"/>
                      <w:color w:val="000000"/>
                      <w:kern w:val="0"/>
                      <w:szCs w:val="21"/>
                      <w:lang w:bidi="ar"/>
                    </w:rPr>
                    <w:t>]</w:t>
                  </w:r>
                  <w:r>
                    <w:rPr>
                      <w:rFonts w:ascii="Calibri" w:hAnsi="Calibri" w:cs="Calibri"/>
                      <w:color w:val="000000"/>
                      <w:kern w:val="0"/>
                      <w:szCs w:val="21"/>
                      <w:vertAlign w:val="subscript"/>
                      <w:lang w:bidi="ar"/>
                    </w:rPr>
                    <w:t>m</w:t>
                  </w:r>
                  <w:r>
                    <w:rPr>
                      <w:rFonts w:ascii="Calibri" w:hAnsi="Calibri" w:cs="Calibri"/>
                      <w:color w:val="000000"/>
                      <w:kern w:val="0"/>
                      <w:szCs w:val="21"/>
                      <w:lang w:bidi="ar"/>
                    </w:rPr>
                    <w:t>，其中m代表聚合程度，n表示PAC产品的中性程度。对水中胶体和颗粒物具有高度电中和及桥联作用，并可强力去除微有毒物及重金属离子，性状稳定。</w:t>
                  </w:r>
                </w:p>
              </w:tc>
              <w:tc>
                <w:tcPr>
                  <w:tcW w:w="852" w:type="dxa"/>
                  <w:tcBorders>
                    <w:tl2br w:val="nil"/>
                    <w:tr2bl w:val="nil"/>
                  </w:tcBorders>
                  <w:vAlign w:val="center"/>
                </w:tcPr>
                <w:p>
                  <w:pPr>
                    <w:adjustRightInd w:val="0"/>
                    <w:snapToGrid w:val="0"/>
                    <w:jc w:val="both"/>
                    <w:rPr>
                      <w:rFonts w:hint="default" w:ascii="Times New Roman" w:hAnsi="Times New Roman" w:cs="Times New Roman"/>
                      <w:b w:val="0"/>
                      <w:bCs w:val="0"/>
                    </w:rPr>
                  </w:pPr>
                  <w:r>
                    <w:rPr>
                      <w:rFonts w:hint="default" w:ascii="Times New Roman" w:hAnsi="Times New Roman" w:cs="Times New Roman"/>
                      <w:b w:val="0"/>
                      <w:bCs w:val="0"/>
                    </w:rPr>
                    <w:t>/</w:t>
                  </w:r>
                </w:p>
              </w:tc>
              <w:tc>
                <w:tcPr>
                  <w:tcW w:w="1611" w:type="dxa"/>
                  <w:tcBorders>
                    <w:tl2br w:val="nil"/>
                    <w:tr2bl w:val="nil"/>
                  </w:tcBorders>
                  <w:vAlign w:val="center"/>
                </w:tcPr>
                <w:p>
                  <w:pPr>
                    <w:widowControl/>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widowControl/>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氯化钙</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CaCl</w:t>
                  </w:r>
                  <w:r>
                    <w:rPr>
                      <w:rFonts w:ascii="Calibri" w:hAnsi="Calibri" w:cs="Calibri"/>
                      <w:color w:val="000000"/>
                      <w:kern w:val="0"/>
                      <w:szCs w:val="21"/>
                      <w:vertAlign w:val="subscript"/>
                      <w:lang w:bidi="ar"/>
                    </w:rPr>
                    <w:t>2</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无色立方结晶体，白色或灰白色，有粒状、蜂窝块状、圆球状、不规则颗粒状、粉末状。微毒、无臭、味微苦。吸湿性极强，暴露于空气中极易潮解。易溶于水，易溶于多种极性、</w:t>
                  </w:r>
                  <w:r>
                    <w:fldChar w:fldCharType="begin"/>
                  </w:r>
                  <w:r>
                    <w:instrText xml:space="preserve"> HYPERLINK "https://baike.baidu.com/item/%E8%B4%A8%E5%AD%90%E6%80%A7%E6%BA%B6%E5%89%82/1226626?fromModule=lemma_inlink" \t "https://baike.baidu.com/item/_blank" </w:instrText>
                  </w:r>
                  <w:r>
                    <w:fldChar w:fldCharType="separate"/>
                  </w:r>
                  <w:r>
                    <w:rPr>
                      <w:rFonts w:ascii="Calibri" w:hAnsi="Calibri" w:cs="Calibri"/>
                      <w:color w:val="000000"/>
                      <w:kern w:val="0"/>
                      <w:szCs w:val="21"/>
                      <w:lang w:bidi="ar"/>
                    </w:rPr>
                    <w:t>质子性溶剂</w:t>
                  </w:r>
                  <w:r>
                    <w:rPr>
                      <w:rFonts w:ascii="Calibri" w:hAnsi="Calibri" w:cs="Calibri"/>
                      <w:color w:val="000000"/>
                      <w:kern w:val="0"/>
                      <w:szCs w:val="21"/>
                      <w:lang w:bidi="ar"/>
                    </w:rPr>
                    <w:fldChar w:fldCharType="end"/>
                  </w:r>
                  <w:r>
                    <w:rPr>
                      <w:rFonts w:ascii="Calibri" w:hAnsi="Calibri" w:cs="Calibri"/>
                      <w:color w:val="000000"/>
                      <w:kern w:val="0"/>
                      <w:szCs w:val="21"/>
                      <w:lang w:bidi="ar"/>
                    </w:rPr>
                    <w:t>。</w:t>
                  </w:r>
                </w:p>
              </w:tc>
              <w:tc>
                <w:tcPr>
                  <w:tcW w:w="852" w:type="dxa"/>
                  <w:tcBorders>
                    <w:tl2br w:val="nil"/>
                    <w:tr2bl w:val="nil"/>
                  </w:tcBorders>
                  <w:vAlign w:val="center"/>
                </w:tcPr>
                <w:p>
                  <w:pPr>
                    <w:adjustRightInd w:val="0"/>
                    <w:snapToGrid w:val="0"/>
                    <w:jc w:val="both"/>
                    <w:rPr>
                      <w:rFonts w:hint="default" w:ascii="Times New Roman" w:hAnsi="Times New Roman" w:cs="Times New Roman"/>
                      <w:b w:val="0"/>
                      <w:bCs w:val="0"/>
                    </w:rPr>
                  </w:pPr>
                  <w:r>
                    <w:rPr>
                      <w:rFonts w:hint="default" w:ascii="Times New Roman" w:hAnsi="Times New Roman" w:cs="Times New Roman"/>
                      <w:b w:val="0"/>
                      <w:bCs w:val="0"/>
                    </w:rPr>
                    <w:t>/</w:t>
                  </w:r>
                </w:p>
              </w:tc>
              <w:tc>
                <w:tcPr>
                  <w:tcW w:w="1611" w:type="dxa"/>
                  <w:tcBorders>
                    <w:tl2br w:val="nil"/>
                    <w:tr2bl w:val="nil"/>
                  </w:tcBorders>
                  <w:vAlign w:val="center"/>
                </w:tcPr>
                <w:p>
                  <w:pPr>
                    <w:widowControl/>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l2br w:val="nil"/>
                    <w:tr2bl w:val="nil"/>
                  </w:tcBorders>
                  <w:vAlign w:val="center"/>
                </w:tcPr>
                <w:p>
                  <w:pPr>
                    <w:adjustRightInd w:val="0"/>
                    <w:snapToGrid w:val="0"/>
                    <w:jc w:val="both"/>
                    <w:rPr>
                      <w:rFonts w:ascii="Calibri" w:hAnsi="Calibri" w:cs="Calibri"/>
                    </w:rPr>
                  </w:pPr>
                  <w:r>
                    <w:rPr>
                      <w:rFonts w:hint="eastAsia" w:ascii="Calibri" w:hAnsi="Calibri" w:cs="Calibri"/>
                    </w:rPr>
                    <w:t>氢氧化钠</w:t>
                  </w:r>
                </w:p>
              </w:tc>
              <w:tc>
                <w:tcPr>
                  <w:tcW w:w="912"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NaOH</w:t>
                  </w:r>
                </w:p>
              </w:tc>
              <w:tc>
                <w:tcPr>
                  <w:tcW w:w="3948" w:type="dxa"/>
                  <w:tcBorders>
                    <w:tl2br w:val="nil"/>
                    <w:tr2bl w:val="nil"/>
                  </w:tcBorders>
                  <w:vAlign w:val="center"/>
                </w:tcPr>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俗称烧碱、火碱、苛性钠，为一种具有强腐蚀性的强碱，一般为片状或块状形态，易溶于水（溶于水时放热）并形成碱性溶液。密度2.130g/cm³。熔点318.4</w:t>
                  </w:r>
                </w:p>
                <w:p>
                  <w:pPr>
                    <w:adjustRightInd w:val="0"/>
                    <w:snapToGrid w:val="0"/>
                    <w:jc w:val="both"/>
                    <w:rPr>
                      <w:rFonts w:ascii="Calibri" w:hAnsi="Calibri" w:cs="Calibri"/>
                      <w:color w:val="000000"/>
                      <w:kern w:val="0"/>
                      <w:szCs w:val="21"/>
                      <w:lang w:bidi="ar"/>
                    </w:rPr>
                  </w:pPr>
                  <w:r>
                    <w:rPr>
                      <w:rFonts w:ascii="Calibri" w:hAnsi="Calibri" w:cs="Calibri"/>
                      <w:color w:val="000000"/>
                      <w:kern w:val="0"/>
                      <w:szCs w:val="21"/>
                      <w:lang w:bidi="ar"/>
                    </w:rPr>
                    <w:t>℃。沸点1390℃。</w:t>
                  </w:r>
                </w:p>
              </w:tc>
              <w:tc>
                <w:tcPr>
                  <w:tcW w:w="852" w:type="dxa"/>
                  <w:tcBorders>
                    <w:tl2br w:val="nil"/>
                    <w:tr2bl w:val="nil"/>
                  </w:tcBorders>
                  <w:vAlign w:val="center"/>
                </w:tcPr>
                <w:p>
                  <w:pPr>
                    <w:adjustRightInd w:val="0"/>
                    <w:snapToGrid w:val="0"/>
                    <w:jc w:val="both"/>
                    <w:rPr>
                      <w:rFonts w:hint="default" w:ascii="Times New Roman" w:hAnsi="Times New Roman" w:cs="Times New Roman"/>
                      <w:b w:val="0"/>
                      <w:bCs w:val="0"/>
                    </w:rPr>
                  </w:pPr>
                  <w:r>
                    <w:rPr>
                      <w:rFonts w:hint="default" w:ascii="Times New Roman" w:hAnsi="Times New Roman" w:cs="Times New Roman"/>
                      <w:b w:val="0"/>
                      <w:bCs w:val="0"/>
                    </w:rPr>
                    <w:t>/</w:t>
                  </w:r>
                </w:p>
              </w:tc>
              <w:tc>
                <w:tcPr>
                  <w:tcW w:w="1611" w:type="dxa"/>
                  <w:tcBorders>
                    <w:tl2br w:val="nil"/>
                    <w:tr2bl w:val="nil"/>
                  </w:tcBorders>
                  <w:vAlign w:val="center"/>
                </w:tcPr>
                <w:p>
                  <w:pPr>
                    <w:widowControl/>
                    <w:adjustRightInd w:val="0"/>
                    <w:snapToGrid w:val="0"/>
                    <w:jc w:val="both"/>
                    <w:rPr>
                      <w:rFonts w:ascii="宋体" w:hAnsi="宋体" w:cs="宋体"/>
                      <w:color w:val="000000"/>
                      <w:kern w:val="0"/>
                      <w:szCs w:val="21"/>
                      <w:lang w:bidi="ar"/>
                    </w:rPr>
                  </w:pPr>
                  <w:r>
                    <w:rPr>
                      <w:rFonts w:hint="eastAsia" w:ascii="宋体" w:hAnsi="宋体" w:cs="宋体"/>
                      <w:color w:val="000000"/>
                      <w:kern w:val="0"/>
                      <w:szCs w:val="21"/>
                      <w:lang w:bidi="ar"/>
                    </w:rPr>
                    <w:t>/</w:t>
                  </w:r>
                </w:p>
              </w:tc>
            </w:tr>
          </w:tbl>
          <w:p>
            <w:pPr>
              <w:pStyle w:val="46"/>
              <w:adjustRightInd w:val="0"/>
              <w:snapToGrid w:val="0"/>
              <w:spacing w:line="360" w:lineRule="auto"/>
              <w:jc w:val="both"/>
              <w:rPr>
                <w:b/>
                <w:bCs/>
                <w:sz w:val="24"/>
                <w:szCs w:val="24"/>
              </w:rPr>
            </w:pPr>
            <w:r>
              <w:rPr>
                <w:rFonts w:hint="eastAsia"/>
                <w:b/>
                <w:bCs/>
                <w:sz w:val="24"/>
                <w:szCs w:val="24"/>
              </w:rPr>
              <w:t>5</w:t>
            </w:r>
            <w:r>
              <w:rPr>
                <w:b/>
                <w:bCs/>
                <w:sz w:val="24"/>
                <w:szCs w:val="24"/>
              </w:rPr>
              <w:t>、主要设备</w:t>
            </w:r>
          </w:p>
          <w:p>
            <w:pPr>
              <w:pStyle w:val="46"/>
              <w:adjustRightInd w:val="0"/>
              <w:snapToGrid w:val="0"/>
              <w:spacing w:line="360" w:lineRule="auto"/>
              <w:ind w:firstLine="480" w:firstLineChars="200"/>
              <w:jc w:val="both"/>
              <w:rPr>
                <w:sz w:val="24"/>
                <w:szCs w:val="24"/>
              </w:rPr>
            </w:pPr>
            <w:r>
              <w:rPr>
                <w:sz w:val="24"/>
                <w:szCs w:val="24"/>
              </w:rPr>
              <w:t>项目主要生产设备见表</w:t>
            </w:r>
            <w:r>
              <w:rPr>
                <w:rFonts w:hint="eastAsia"/>
                <w:sz w:val="24"/>
                <w:szCs w:val="24"/>
              </w:rPr>
              <w:t>2-6</w:t>
            </w:r>
            <w:r>
              <w:rPr>
                <w:sz w:val="24"/>
                <w:szCs w:val="24"/>
              </w:rPr>
              <w:t>。</w:t>
            </w:r>
          </w:p>
          <w:p>
            <w:pPr>
              <w:autoSpaceDE w:val="0"/>
              <w:autoSpaceDN w:val="0"/>
              <w:adjustRightInd w:val="0"/>
              <w:snapToGrid w:val="0"/>
              <w:jc w:val="center"/>
              <w:rPr>
                <w:b/>
                <w:szCs w:val="21"/>
                <w:lang w:val="zh-CN"/>
              </w:rPr>
            </w:pPr>
            <w:r>
              <w:rPr>
                <w:b/>
                <w:szCs w:val="21"/>
                <w:lang w:val="zh-CN"/>
              </w:rPr>
              <w:t>表</w:t>
            </w:r>
            <w:r>
              <w:rPr>
                <w:rFonts w:hint="eastAsia"/>
                <w:b/>
                <w:szCs w:val="21"/>
              </w:rPr>
              <w:t>2-6</w:t>
            </w:r>
            <w:r>
              <w:rPr>
                <w:b/>
                <w:szCs w:val="21"/>
                <w:lang w:val="zh-CN"/>
              </w:rPr>
              <w:t>主要生产设备一览表</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9"/>
              <w:gridCol w:w="2338"/>
              <w:gridCol w:w="1299"/>
              <w:gridCol w:w="682"/>
              <w:gridCol w:w="674"/>
              <w:gridCol w:w="25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b/>
                      <w:szCs w:val="21"/>
                    </w:rPr>
                  </w:pPr>
                  <w:r>
                    <w:rPr>
                      <w:rFonts w:hint="eastAsia" w:ascii="Calibri" w:hAnsi="Calibri" w:cs="Calibri"/>
                      <w:b/>
                      <w:szCs w:val="21"/>
                    </w:rPr>
                    <w:t>序号</w:t>
                  </w:r>
                </w:p>
              </w:tc>
              <w:tc>
                <w:tcPr>
                  <w:tcW w:w="2338" w:type="dxa"/>
                  <w:shd w:val="clear" w:color="auto" w:fill="auto"/>
                  <w:vAlign w:val="center"/>
                </w:tcPr>
                <w:p>
                  <w:pPr>
                    <w:adjustRightInd w:val="0"/>
                    <w:snapToGrid w:val="0"/>
                    <w:jc w:val="center"/>
                    <w:rPr>
                      <w:rFonts w:ascii="Calibri" w:hAnsi="Calibri" w:cs="Calibri"/>
                      <w:b/>
                      <w:szCs w:val="21"/>
                    </w:rPr>
                  </w:pPr>
                  <w:r>
                    <w:rPr>
                      <w:rFonts w:hint="eastAsia" w:ascii="Calibri" w:hAnsi="Calibri" w:cs="Calibri"/>
                      <w:b/>
                      <w:szCs w:val="21"/>
                    </w:rPr>
                    <w:t>名称</w:t>
                  </w:r>
                </w:p>
              </w:tc>
              <w:tc>
                <w:tcPr>
                  <w:tcW w:w="1299" w:type="dxa"/>
                  <w:shd w:val="clear" w:color="auto" w:fill="auto"/>
                  <w:vAlign w:val="center"/>
                </w:tcPr>
                <w:p>
                  <w:pPr>
                    <w:adjustRightInd w:val="0"/>
                    <w:snapToGrid w:val="0"/>
                    <w:jc w:val="center"/>
                    <w:rPr>
                      <w:rFonts w:ascii="Calibri" w:hAnsi="Calibri" w:cs="Calibri"/>
                      <w:b/>
                      <w:szCs w:val="21"/>
                    </w:rPr>
                  </w:pPr>
                  <w:r>
                    <w:rPr>
                      <w:rFonts w:hint="eastAsia" w:ascii="Calibri" w:hAnsi="Calibri" w:cs="Calibri"/>
                      <w:b/>
                      <w:szCs w:val="21"/>
                    </w:rPr>
                    <w:t>型号</w:t>
                  </w:r>
                </w:p>
              </w:tc>
              <w:tc>
                <w:tcPr>
                  <w:tcW w:w="682" w:type="dxa"/>
                  <w:shd w:val="clear" w:color="auto" w:fill="auto"/>
                  <w:vAlign w:val="center"/>
                </w:tcPr>
                <w:p>
                  <w:pPr>
                    <w:adjustRightInd w:val="0"/>
                    <w:snapToGrid w:val="0"/>
                    <w:jc w:val="center"/>
                    <w:rPr>
                      <w:rFonts w:ascii="Calibri" w:hAnsi="Calibri" w:cs="Calibri"/>
                      <w:b/>
                      <w:szCs w:val="21"/>
                    </w:rPr>
                  </w:pPr>
                  <w:r>
                    <w:rPr>
                      <w:rFonts w:hint="eastAsia" w:ascii="Calibri" w:hAnsi="Calibri" w:cs="Calibri"/>
                      <w:b/>
                      <w:szCs w:val="21"/>
                    </w:rPr>
                    <w:t>数量</w:t>
                  </w:r>
                </w:p>
              </w:tc>
              <w:tc>
                <w:tcPr>
                  <w:tcW w:w="674" w:type="dxa"/>
                  <w:shd w:val="clear" w:color="auto" w:fill="auto"/>
                  <w:vAlign w:val="center"/>
                </w:tcPr>
                <w:p>
                  <w:pPr>
                    <w:adjustRightInd w:val="0"/>
                    <w:snapToGrid w:val="0"/>
                    <w:jc w:val="center"/>
                    <w:rPr>
                      <w:rFonts w:ascii="Calibri" w:hAnsi="Calibri" w:cs="Calibri"/>
                      <w:b/>
                      <w:szCs w:val="21"/>
                    </w:rPr>
                  </w:pPr>
                  <w:r>
                    <w:rPr>
                      <w:rFonts w:hint="eastAsia" w:ascii="Calibri" w:hAnsi="Calibri" w:cs="Calibri"/>
                      <w:b/>
                      <w:szCs w:val="21"/>
                    </w:rPr>
                    <w:t>单位</w:t>
                  </w:r>
                </w:p>
              </w:tc>
              <w:tc>
                <w:tcPr>
                  <w:tcW w:w="2557" w:type="dxa"/>
                  <w:shd w:val="clear" w:color="auto" w:fill="auto"/>
                  <w:vAlign w:val="center"/>
                </w:tcPr>
                <w:p>
                  <w:pPr>
                    <w:adjustRightInd w:val="0"/>
                    <w:snapToGrid w:val="0"/>
                    <w:jc w:val="center"/>
                    <w:rPr>
                      <w:rFonts w:ascii="Calibri" w:hAnsi="Calibri" w:cs="Calibri"/>
                      <w:b/>
                      <w:szCs w:val="21"/>
                    </w:rPr>
                  </w:pPr>
                  <w:r>
                    <w:rPr>
                      <w:rFonts w:hint="eastAsia" w:ascii="Calibri" w:hAnsi="Calibri" w:cs="Calibri"/>
                      <w:b/>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hint="default" w:ascii="Calibri" w:hAnsi="Calibri" w:eastAsia="宋体" w:cs="Calibri"/>
                      <w:szCs w:val="21"/>
                      <w:lang w:val="en-US" w:eastAsia="zh-CN"/>
                    </w:rPr>
                  </w:pPr>
                  <w:r>
                    <w:rPr>
                      <w:rFonts w:hint="eastAsia" w:ascii="Calibri" w:hAnsi="Calibri" w:cs="Calibri"/>
                      <w:szCs w:val="21"/>
                      <w:lang w:val="en-US" w:eastAsia="zh-CN"/>
                    </w:rPr>
                    <w:t>成型区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铝型分条线</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SWL5T</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2</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折弯机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WC67k</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3</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铝方管切割机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MVE</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4</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铝条扣成型机</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MVE</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3</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150mm、200mm、300mm各一台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5</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铝格栅成型机</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MVE</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表面清洗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6</w:t>
                  </w:r>
                </w:p>
              </w:tc>
              <w:tc>
                <w:tcPr>
                  <w:tcW w:w="4993" w:type="dxa"/>
                  <w:gridSpan w:val="4"/>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2个脱脂池</w:t>
                  </w:r>
                  <w:r>
                    <w:rPr>
                      <w:rFonts w:ascii="Calibri" w:hAnsi="Calibri" w:eastAsia="宋体" w:cs="Calibri"/>
                    </w:rPr>
                    <w:t>、</w:t>
                  </w:r>
                  <w:r>
                    <w:rPr>
                      <w:rFonts w:hint="eastAsia" w:ascii="Calibri" w:hAnsi="Calibri" w:eastAsia="宋体" w:cs="Calibri"/>
                    </w:rPr>
                    <w:t>2个脱脂清洗池、</w:t>
                  </w:r>
                  <w:r>
                    <w:rPr>
                      <w:rFonts w:ascii="Calibri" w:hAnsi="Calibri" w:eastAsia="宋体" w:cs="Calibri"/>
                    </w:rPr>
                    <w:t>1个钝化</w:t>
                  </w:r>
                  <w:r>
                    <w:rPr>
                      <w:rFonts w:hint="eastAsia" w:ascii="Calibri" w:hAnsi="Calibri" w:eastAsia="宋体" w:cs="Calibri"/>
                    </w:rPr>
                    <w:t>池</w:t>
                  </w:r>
                  <w:r>
                    <w:rPr>
                      <w:rFonts w:hint="eastAsia" w:ascii="Calibri" w:hAnsi="Calibri" w:eastAsia="宋体" w:cs="Calibri"/>
                      <w:lang w:eastAsia="zh-CN"/>
                    </w:rPr>
                    <w:t>、</w:t>
                  </w:r>
                  <w:r>
                    <w:rPr>
                      <w:rFonts w:ascii="Calibri" w:hAnsi="Calibri" w:eastAsia="宋体" w:cs="Calibri"/>
                    </w:rPr>
                    <w:t>1个</w:t>
                  </w:r>
                  <w:r>
                    <w:rPr>
                      <w:rFonts w:hint="eastAsia" w:ascii="Calibri" w:hAnsi="Calibri" w:eastAsia="宋体" w:cs="Calibri"/>
                    </w:rPr>
                    <w:t>钝化清洗池、1个备用池</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单独容积为：7</w:t>
                  </w:r>
                  <w:r>
                    <w:rPr>
                      <w:rFonts w:ascii="Calibri" w:hAnsi="Calibri" w:eastAsia="宋体" w:cs="Calibri"/>
                    </w:rPr>
                    <w:t>5</w:t>
                  </w:r>
                  <w:r>
                    <w:rPr>
                      <w:rFonts w:hint="eastAsia" w:ascii="Calibri" w:hAnsi="Calibri" w:eastAsia="宋体" w:cs="Calibri"/>
                    </w:rPr>
                    <w:t>00m</w:t>
                  </w:r>
                  <w:r>
                    <w:rPr>
                      <w:rFonts w:ascii="Calibri" w:hAnsi="Calibri" w:eastAsia="宋体" w:cs="Calibri"/>
                    </w:rPr>
                    <w:t>m</w:t>
                  </w:r>
                </w:p>
                <w:p>
                  <w:pPr>
                    <w:pStyle w:val="49"/>
                    <w:widowControl w:val="0"/>
                    <w:adjustRightInd w:val="0"/>
                    <w:snapToGrid w:val="0"/>
                    <w:spacing w:before="0" w:beforeLines="0"/>
                    <w:rPr>
                      <w:rFonts w:ascii="Calibri" w:hAnsi="Calibri" w:eastAsia="宋体" w:cs="Calibri"/>
                    </w:rPr>
                  </w:pPr>
                  <w:r>
                    <w:rPr>
                      <w:rFonts w:ascii="Calibri" w:hAnsi="Calibri" w:eastAsia="宋体" w:cs="Calibri"/>
                    </w:rPr>
                    <w:t>×2</w:t>
                  </w:r>
                  <w:r>
                    <w:rPr>
                      <w:rFonts w:hint="eastAsia" w:ascii="Calibri" w:hAnsi="Calibri" w:eastAsia="宋体" w:cs="Calibri"/>
                    </w:rPr>
                    <w:t>000m</w:t>
                  </w:r>
                  <w:r>
                    <w:rPr>
                      <w:rFonts w:ascii="Calibri" w:hAnsi="Calibri" w:eastAsia="宋体" w:cs="Calibri"/>
                    </w:rPr>
                    <w:t>m×1</w:t>
                  </w:r>
                  <w:r>
                    <w:rPr>
                      <w:rFonts w:hint="eastAsia" w:ascii="Calibri" w:hAnsi="Calibri" w:eastAsia="宋体" w:cs="Calibri"/>
                    </w:rPr>
                    <w:t>00</w:t>
                  </w:r>
                  <w:r>
                    <w:rPr>
                      <w:rFonts w:ascii="Calibri" w:hAnsi="Calibri" w:eastAsia="宋体" w:cs="Calibri"/>
                    </w:rPr>
                    <w:t>m</w:t>
                  </w:r>
                  <w:r>
                    <w:rPr>
                      <w:rFonts w:hint="eastAsia" w:ascii="Calibri" w:hAnsi="Calibri" w:eastAsia="宋体" w:cs="Calibri"/>
                    </w:rPr>
                    <w:t>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p>
              </w:tc>
              <w:tc>
                <w:tcPr>
                  <w:tcW w:w="4993" w:type="dxa"/>
                  <w:gridSpan w:val="4"/>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废水暂存池</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1500mm</w:t>
                  </w:r>
                  <w:r>
                    <w:rPr>
                      <w:rFonts w:ascii="Calibri" w:hAnsi="Calibri" w:eastAsia="宋体" w:cs="Calibri"/>
                    </w:rPr>
                    <w:t>×</w:t>
                  </w:r>
                  <w:r>
                    <w:rPr>
                      <w:rFonts w:hint="eastAsia" w:ascii="Calibri" w:hAnsi="Calibri" w:eastAsia="宋体" w:cs="Calibri"/>
                    </w:rPr>
                    <w:t>1500m</w:t>
                  </w:r>
                  <w:r>
                    <w:rPr>
                      <w:rFonts w:ascii="Calibri" w:hAnsi="Calibri" w:eastAsia="宋体" w:cs="Calibri"/>
                    </w:rPr>
                    <w:t>m×</w:t>
                  </w:r>
                  <w:r>
                    <w:rPr>
                      <w:rFonts w:hint="eastAsia" w:ascii="Calibri" w:hAnsi="Calibri" w:eastAsia="宋体" w:cs="Calibri"/>
                    </w:rPr>
                    <w:t>500mm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喷塑生产线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7</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旋风粉末回收系统</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RZWY-F</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套</w:t>
                  </w:r>
                </w:p>
              </w:tc>
              <w:tc>
                <w:tcPr>
                  <w:tcW w:w="2557" w:type="dxa"/>
                  <w:vMerge w:val="restart"/>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风量10000m³/h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8</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滤芯式过滤系统</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RZWY-F</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套</w:t>
                  </w:r>
                </w:p>
              </w:tc>
              <w:tc>
                <w:tcPr>
                  <w:tcW w:w="2557" w:type="dxa"/>
                  <w:vMerge w:val="continue"/>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9</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喷塑房</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RZWY-F10</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个</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共计10个喷头，自动喷塑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10</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燃烧机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RS-45</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自带低氮燃烧器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11</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燃烧机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RS-32</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自带低氮燃烧器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木纹转印生产线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12</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贴膜机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TM</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adjustRightInd w:val="0"/>
                    <w:snapToGrid w:val="0"/>
                    <w:jc w:val="center"/>
                    <w:rPr>
                      <w:rFonts w:ascii="Calibri" w:hAnsi="Calibri" w:cs="Calibri"/>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13</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木纹转印设备</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TS-5</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套</w:t>
                  </w:r>
                </w:p>
              </w:tc>
              <w:tc>
                <w:tcPr>
                  <w:tcW w:w="2557" w:type="dxa"/>
                  <w:shd w:val="clear" w:color="auto" w:fill="auto"/>
                  <w:vAlign w:val="center"/>
                </w:tcPr>
                <w:p>
                  <w:pPr>
                    <w:adjustRightInd w:val="0"/>
                    <w:snapToGrid w:val="0"/>
                    <w:jc w:val="center"/>
                    <w:rPr>
                      <w:rFonts w:ascii="Calibri" w:hAnsi="Calibri" w:cs="Calibri"/>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14</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热收缩膜机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8001</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adjustRightInd w:val="0"/>
                    <w:snapToGrid w:val="0"/>
                    <w:jc w:val="center"/>
                    <w:rPr>
                      <w:rFonts w:ascii="Calibri" w:hAnsi="Calibri" w:cs="Calibri"/>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15</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切膜机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UR-T</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adjustRightInd w:val="0"/>
                    <w:snapToGrid w:val="0"/>
                    <w:jc w:val="center"/>
                    <w:rPr>
                      <w:rFonts w:ascii="Calibri" w:hAnsi="Calibri" w:cs="Calibri"/>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16</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燃烧机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RS-32</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自带低氮燃烧器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覆膜生产线</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17</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热收缩包装机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UR-T</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套</w:t>
                  </w:r>
                </w:p>
              </w:tc>
              <w:tc>
                <w:tcPr>
                  <w:tcW w:w="2557" w:type="dxa"/>
                  <w:shd w:val="clear" w:color="auto" w:fill="auto"/>
                  <w:vAlign w:val="center"/>
                </w:tcPr>
                <w:p>
                  <w:pPr>
                    <w:adjustRightInd w:val="0"/>
                    <w:snapToGrid w:val="0"/>
                    <w:jc w:val="center"/>
                    <w:rPr>
                      <w:rFonts w:ascii="Calibri" w:hAnsi="Calibri" w:cs="Calibri"/>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18</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燃烧机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RS-32</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自带低氮燃烧器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19</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切膜机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UR-T</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20</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覆膜机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SJ-100</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20</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开卷机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SJ-1350</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21</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收卷机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SJ-1350</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污水处理站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22</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废水收集桶</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15m³</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个</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PE桶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23</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应急桶</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15m³</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个</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PE桶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24</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中间水桶</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10m³</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个</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PE桶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25</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纯水桶</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10m³</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个</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PE桶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26</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浓水桶</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10m³</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个</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PE桶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27</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一体化</w:t>
                  </w:r>
                  <w:r>
                    <w:rPr>
                      <w:rFonts w:hint="eastAsia" w:ascii="Calibri" w:hAnsi="Calibri" w:cs="Calibri"/>
                      <w:szCs w:val="21"/>
                      <w:lang w:val="en-US" w:eastAsia="zh-CN"/>
                    </w:rPr>
                    <w:t>污</w:t>
                  </w:r>
                  <w:r>
                    <w:rPr>
                      <w:rFonts w:hint="eastAsia" w:ascii="Calibri" w:hAnsi="Calibri" w:cs="Calibri"/>
                      <w:szCs w:val="21"/>
                    </w:rPr>
                    <w:t>水处理设备</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2m³/h</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套</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7500mm×3000mm×4000mm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28</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板框压滤机</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2t/h</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个</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8袋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29</w:t>
                  </w:r>
                </w:p>
              </w:tc>
              <w:tc>
                <w:tcPr>
                  <w:tcW w:w="2338"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纯水机</w:t>
                  </w:r>
                </w:p>
              </w:tc>
              <w:tc>
                <w:tcPr>
                  <w:tcW w:w="129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3t/h</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套</w:t>
                  </w:r>
                </w:p>
              </w:tc>
              <w:tc>
                <w:tcPr>
                  <w:tcW w:w="2557"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一级反渗透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089" w:type="dxa"/>
                  <w:gridSpan w:val="6"/>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其他设备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30</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喷淋塔</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TW-4</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废气治理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31</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二级活性炭吸附装置</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TW-2</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套</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废气治理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32</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叉车</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1.5t</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3</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新能源车辆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39" w:type="dxa"/>
                  <w:shd w:val="clear" w:color="auto" w:fill="auto"/>
                  <w:vAlign w:val="center"/>
                </w:tcPr>
                <w:p>
                  <w:pPr>
                    <w:adjustRightInd w:val="0"/>
                    <w:snapToGrid w:val="0"/>
                    <w:jc w:val="center"/>
                    <w:rPr>
                      <w:rFonts w:ascii="Calibri" w:hAnsi="Calibri" w:cs="Calibri"/>
                      <w:szCs w:val="21"/>
                    </w:rPr>
                  </w:pPr>
                  <w:r>
                    <w:rPr>
                      <w:rFonts w:hint="eastAsia" w:ascii="Calibri" w:hAnsi="Calibri" w:cs="Calibri"/>
                      <w:szCs w:val="21"/>
                    </w:rPr>
                    <w:t>33</w:t>
                  </w:r>
                </w:p>
              </w:tc>
              <w:tc>
                <w:tcPr>
                  <w:tcW w:w="2338"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风机</w:t>
                  </w:r>
                </w:p>
              </w:tc>
              <w:tc>
                <w:tcPr>
                  <w:tcW w:w="1299"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4-72</w:t>
                  </w:r>
                </w:p>
              </w:tc>
              <w:tc>
                <w:tcPr>
                  <w:tcW w:w="682"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2</w:t>
                  </w:r>
                </w:p>
              </w:tc>
              <w:tc>
                <w:tcPr>
                  <w:tcW w:w="674"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台</w:t>
                  </w:r>
                </w:p>
              </w:tc>
              <w:tc>
                <w:tcPr>
                  <w:tcW w:w="2557" w:type="dxa"/>
                  <w:shd w:val="clear" w:color="auto" w:fill="auto"/>
                  <w:vAlign w:val="center"/>
                </w:tcPr>
                <w:p>
                  <w:pPr>
                    <w:pStyle w:val="49"/>
                    <w:widowControl w:val="0"/>
                    <w:adjustRightInd w:val="0"/>
                    <w:snapToGrid w:val="0"/>
                    <w:spacing w:before="0" w:beforeLines="0"/>
                    <w:rPr>
                      <w:rFonts w:ascii="Calibri" w:hAnsi="Calibri" w:eastAsia="宋体" w:cs="Calibri"/>
                    </w:rPr>
                  </w:pPr>
                  <w:r>
                    <w:rPr>
                      <w:rFonts w:hint="eastAsia" w:ascii="Calibri" w:hAnsi="Calibri" w:eastAsia="宋体" w:cs="Calibri"/>
                    </w:rPr>
                    <w:t>10000m³/h</w:t>
                  </w:r>
                </w:p>
              </w:tc>
            </w:tr>
          </w:tbl>
          <w:p>
            <w:pPr>
              <w:adjustRightInd w:val="0"/>
              <w:snapToGrid w:val="0"/>
              <w:spacing w:line="360" w:lineRule="auto"/>
              <w:rPr>
                <w:b/>
                <w:bCs/>
                <w:sz w:val="24"/>
              </w:rPr>
            </w:pPr>
            <w:r>
              <w:rPr>
                <w:rFonts w:hint="eastAsia"/>
                <w:b/>
                <w:bCs/>
                <w:sz w:val="24"/>
              </w:rPr>
              <w:t>6、</w:t>
            </w:r>
            <w:r>
              <w:rPr>
                <w:b/>
                <w:bCs/>
                <w:sz w:val="24"/>
              </w:rPr>
              <w:t>给排水</w:t>
            </w:r>
          </w:p>
          <w:p>
            <w:pPr>
              <w:adjustRightInd w:val="0"/>
              <w:snapToGrid w:val="0"/>
              <w:spacing w:line="360" w:lineRule="auto"/>
              <w:ind w:firstLine="480" w:firstLineChars="200"/>
              <w:rPr>
                <w:sz w:val="24"/>
              </w:rPr>
            </w:pPr>
            <w:r>
              <w:rPr>
                <w:sz w:val="24"/>
              </w:rPr>
              <w:t>（1）给水</w:t>
            </w:r>
          </w:p>
          <w:p>
            <w:pPr>
              <w:pStyle w:val="41"/>
              <w:adjustRightInd w:val="0"/>
              <w:snapToGrid w:val="0"/>
              <w:rPr>
                <w:rFonts w:eastAsia="宋体"/>
              </w:rPr>
            </w:pPr>
            <w:r>
              <w:rPr>
                <w:rFonts w:hint="eastAsia" w:eastAsia="宋体"/>
                <w:lang w:eastAsia="zh-CN"/>
              </w:rPr>
              <w:t>项目</w:t>
            </w:r>
            <w:r>
              <w:rPr>
                <w:rFonts w:eastAsia="宋体"/>
              </w:rPr>
              <w:t>用水主要为职工生活用水</w:t>
            </w:r>
            <w:r>
              <w:rPr>
                <w:rFonts w:hint="eastAsia" w:eastAsia="宋体"/>
                <w:lang w:val="en-US" w:eastAsia="zh-CN"/>
              </w:rPr>
              <w:t>和生产用水。</w:t>
            </w:r>
          </w:p>
          <w:p>
            <w:pPr>
              <w:pStyle w:val="41"/>
              <w:numPr>
                <w:ilvl w:val="0"/>
                <w:numId w:val="7"/>
              </w:numPr>
              <w:adjustRightInd w:val="0"/>
              <w:snapToGrid w:val="0"/>
              <w:rPr>
                <w:rFonts w:eastAsia="宋体"/>
              </w:rPr>
            </w:pPr>
            <w:r>
              <w:rPr>
                <w:rFonts w:hint="eastAsia" w:eastAsia="宋体"/>
              </w:rPr>
              <w:t>生活用水</w:t>
            </w:r>
          </w:p>
          <w:p>
            <w:pPr>
              <w:pStyle w:val="41"/>
              <w:adjustRightInd w:val="0"/>
              <w:snapToGrid w:val="0"/>
              <w:rPr>
                <w:rFonts w:eastAsia="宋体"/>
              </w:rPr>
            </w:pPr>
            <w:r>
              <w:rPr>
                <w:rFonts w:eastAsia="宋体"/>
              </w:rPr>
              <w:t>项目共有员工</w:t>
            </w:r>
            <w:r>
              <w:rPr>
                <w:rFonts w:hint="eastAsia" w:eastAsia="宋体"/>
              </w:rPr>
              <w:t>40</w:t>
            </w:r>
            <w:r>
              <w:rPr>
                <w:rFonts w:eastAsia="宋体"/>
              </w:rPr>
              <w:t>人，</w:t>
            </w:r>
            <w:r>
              <w:rPr>
                <w:rFonts w:hint="eastAsia" w:eastAsia="宋体"/>
              </w:rPr>
              <w:t>不提供食宿，</w:t>
            </w:r>
            <w:r>
              <w:rPr>
                <w:rFonts w:eastAsia="宋体"/>
              </w:rPr>
              <w:t>根据《陕西省行业用水定额》（DB61/T943-2020），结合</w:t>
            </w:r>
            <w:r>
              <w:rPr>
                <w:rFonts w:hint="eastAsia" w:eastAsia="宋体"/>
                <w:lang w:eastAsia="zh-CN"/>
              </w:rPr>
              <w:t>项目</w:t>
            </w:r>
            <w:r>
              <w:rPr>
                <w:rFonts w:eastAsia="宋体"/>
              </w:rPr>
              <w:t>实际情况，职工生活用水量以</w:t>
            </w:r>
            <w:r>
              <w:rPr>
                <w:color w:val="000000" w:themeColor="text1"/>
                <w14:textFill>
                  <w14:solidFill>
                    <w14:schemeClr w14:val="tx1"/>
                  </w14:solidFill>
                </w14:textFill>
              </w:rPr>
              <w:t>25m</w:t>
            </w:r>
            <w:r>
              <w:rPr>
                <w:color w:val="000000" w:themeColor="text1"/>
                <w:vertAlign w:val="superscript"/>
                <w14:textFill>
                  <w14:solidFill>
                    <w14:schemeClr w14:val="tx1"/>
                  </w14:solidFill>
                </w14:textFill>
              </w:rPr>
              <w:t>3</w:t>
            </w:r>
            <w:r>
              <w:rPr>
                <w:color w:val="000000" w:themeColor="text1"/>
                <w:lang w:val="en-GB"/>
                <w14:textFill>
                  <w14:solidFill>
                    <w14:schemeClr w14:val="tx1"/>
                  </w14:solidFill>
                </w14:textFill>
              </w:rPr>
              <w:t>/人·</w:t>
            </w:r>
            <w:r>
              <w:rPr>
                <w:color w:val="000000" w:themeColor="text1"/>
                <w14:textFill>
                  <w14:solidFill>
                    <w14:schemeClr w14:val="tx1"/>
                  </w14:solidFill>
                </w14:textFill>
              </w:rPr>
              <w:t>a</w:t>
            </w:r>
            <w:r>
              <w:rPr>
                <w:rFonts w:eastAsia="宋体"/>
              </w:rPr>
              <w:t>计，项目</w:t>
            </w:r>
            <w:r>
              <w:rPr>
                <w:rFonts w:hint="eastAsia" w:eastAsia="宋体"/>
              </w:rPr>
              <w:t>单班8h</w:t>
            </w:r>
            <w:r>
              <w:rPr>
                <w:rFonts w:eastAsia="宋体"/>
              </w:rPr>
              <w:t>年运行300天，则生活用水</w:t>
            </w:r>
            <w:r>
              <w:rPr>
                <w:rFonts w:hint="eastAsia" w:eastAsia="宋体"/>
                <w:lang w:val="en-US" w:eastAsia="zh-CN"/>
              </w:rPr>
              <w:t>新鲜水</w:t>
            </w:r>
            <w:r>
              <w:rPr>
                <w:rFonts w:eastAsia="宋体"/>
              </w:rPr>
              <w:t>用量为</w:t>
            </w:r>
            <w:r>
              <w:rPr>
                <w:rFonts w:hint="eastAsia" w:eastAsia="宋体"/>
              </w:rPr>
              <w:t>3.33</w:t>
            </w:r>
            <w:r>
              <w:rPr>
                <w:rFonts w:eastAsia="宋体"/>
              </w:rPr>
              <w:t>m</w:t>
            </w:r>
            <w:r>
              <w:rPr>
                <w:rFonts w:eastAsia="宋体"/>
                <w:vertAlign w:val="superscript"/>
              </w:rPr>
              <w:t>3</w:t>
            </w:r>
            <w:r>
              <w:rPr>
                <w:rFonts w:eastAsia="宋体"/>
              </w:rPr>
              <w:t>/</w:t>
            </w:r>
            <w:r>
              <w:rPr>
                <w:rFonts w:hint="eastAsia" w:eastAsia="宋体"/>
              </w:rPr>
              <w:t>d</w:t>
            </w:r>
            <w:r>
              <w:rPr>
                <w:rFonts w:eastAsia="宋体"/>
              </w:rPr>
              <w:t>（</w:t>
            </w:r>
            <w:r>
              <w:rPr>
                <w:rFonts w:hint="eastAsia" w:eastAsia="宋体"/>
              </w:rPr>
              <w:t>1000</w:t>
            </w:r>
            <w:r>
              <w:rPr>
                <w:rFonts w:eastAsia="宋体"/>
              </w:rPr>
              <w:t>m</w:t>
            </w:r>
            <w:r>
              <w:rPr>
                <w:rFonts w:eastAsia="宋体"/>
                <w:vertAlign w:val="superscript"/>
              </w:rPr>
              <w:t>3</w:t>
            </w:r>
            <w:r>
              <w:rPr>
                <w:rFonts w:eastAsia="宋体"/>
              </w:rPr>
              <w:t>/</w:t>
            </w:r>
            <w:r>
              <w:rPr>
                <w:rFonts w:hint="eastAsia" w:eastAsia="宋体"/>
              </w:rPr>
              <w:t>a</w:t>
            </w:r>
            <w:r>
              <w:rPr>
                <w:rFonts w:eastAsia="宋体"/>
              </w:rPr>
              <w:t>）</w:t>
            </w:r>
            <w:r>
              <w:rPr>
                <w:rFonts w:hint="eastAsia" w:eastAsia="宋体"/>
              </w:rPr>
              <w:t>。</w:t>
            </w:r>
          </w:p>
          <w:p>
            <w:pPr>
              <w:pStyle w:val="41"/>
              <w:adjustRightInd w:val="0"/>
              <w:snapToGrid w:val="0"/>
              <w:rPr>
                <w:rFonts w:hint="eastAsia" w:eastAsia="宋体"/>
                <w:lang w:val="en-US" w:eastAsia="zh-CN"/>
              </w:rPr>
            </w:pPr>
            <w:r>
              <w:rPr>
                <w:rFonts w:hint="eastAsia" w:eastAsia="宋体"/>
              </w:rPr>
              <w:t>2</w:t>
            </w:r>
            <w:r>
              <w:rPr>
                <w:rFonts w:eastAsia="宋体"/>
              </w:rPr>
              <w:t>）</w:t>
            </w:r>
            <w:r>
              <w:rPr>
                <w:rFonts w:hint="eastAsia" w:eastAsia="宋体"/>
                <w:lang w:val="en-US" w:eastAsia="zh-CN"/>
              </w:rPr>
              <w:t>生产用水</w:t>
            </w:r>
          </w:p>
          <w:p>
            <w:pPr>
              <w:pStyle w:val="41"/>
              <w:adjustRightInd w:val="0"/>
              <w:snapToGrid w:val="0"/>
              <w:rPr>
                <w:rFonts w:hint="default" w:eastAsia="宋体"/>
                <w:lang w:val="en-US" w:eastAsia="zh-CN"/>
              </w:rPr>
            </w:pPr>
            <w:r>
              <w:rPr>
                <w:rFonts w:hint="eastAsia" w:ascii="Calibri" w:hAnsi="Calibri" w:eastAsia="宋体" w:cs="Calibri"/>
                <w:lang w:val="en-US" w:eastAsia="zh-CN"/>
              </w:rPr>
              <w:t>根据建设单位提供资料，</w:t>
            </w:r>
            <w:r>
              <w:rPr>
                <w:rFonts w:hint="eastAsia" w:eastAsia="宋体"/>
                <w:lang w:val="en-US" w:eastAsia="zh-CN"/>
              </w:rPr>
              <w:t>生产用水包括</w:t>
            </w:r>
            <w:r>
              <w:rPr>
                <w:rFonts w:hint="eastAsia" w:ascii="Calibri" w:hAnsi="Calibri" w:eastAsia="宋体" w:cs="Calibri"/>
                <w:lang w:val="en-US" w:eastAsia="zh-CN"/>
              </w:rPr>
              <w:t>铝材表面</w:t>
            </w:r>
            <w:r>
              <w:rPr>
                <w:rFonts w:eastAsia="宋体"/>
              </w:rPr>
              <w:t>处理用水</w:t>
            </w:r>
            <w:r>
              <w:rPr>
                <w:rFonts w:hint="eastAsia" w:eastAsia="宋体"/>
              </w:rPr>
              <w:t>、</w:t>
            </w:r>
            <w:r>
              <w:rPr>
                <w:rFonts w:hint="eastAsia" w:eastAsia="宋体"/>
                <w:lang w:eastAsia="zh-CN"/>
              </w:rPr>
              <w:t>清洗用水、</w:t>
            </w:r>
            <w:r>
              <w:rPr>
                <w:rFonts w:hint="eastAsia" w:eastAsia="宋体"/>
                <w:lang w:val="en-US" w:eastAsia="zh-CN"/>
              </w:rPr>
              <w:t>污水处理站用水、</w:t>
            </w:r>
            <w:r>
              <w:rPr>
                <w:rFonts w:hint="eastAsia" w:eastAsia="宋体"/>
              </w:rPr>
              <w:t>喷淋塔用水。</w:t>
            </w:r>
            <w:r>
              <w:rPr>
                <w:rFonts w:hint="eastAsia" w:eastAsia="宋体"/>
                <w:lang w:val="en-US" w:eastAsia="zh-CN"/>
              </w:rPr>
              <w:t>其中清洗用水和污水处理站用水为纯水，</w:t>
            </w:r>
            <w:r>
              <w:rPr>
                <w:rFonts w:hint="eastAsia" w:ascii="Calibri" w:hAnsi="Calibri" w:eastAsia="宋体" w:cs="Calibri"/>
                <w:lang w:val="en-US" w:eastAsia="zh-CN"/>
              </w:rPr>
              <w:t>铝材表面</w:t>
            </w:r>
            <w:r>
              <w:rPr>
                <w:rFonts w:eastAsia="宋体"/>
              </w:rPr>
              <w:t>处理用水</w:t>
            </w:r>
            <w:r>
              <w:rPr>
                <w:rFonts w:hint="eastAsia" w:eastAsia="宋体"/>
                <w:lang w:val="en-US" w:eastAsia="zh-CN"/>
              </w:rPr>
              <w:t>为浓水和新鲜水，喷淋塔用水为新鲜水。</w:t>
            </w:r>
          </w:p>
          <w:p>
            <w:pPr>
              <w:pStyle w:val="41"/>
              <w:adjustRightInd w:val="0"/>
              <w:snapToGrid w:val="0"/>
              <w:rPr>
                <w:rFonts w:hint="default" w:ascii="宋体" w:hAnsi="宋体" w:eastAsia="宋体" w:cs="宋体"/>
                <w:lang w:val="en-US" w:eastAsia="zh-CN"/>
              </w:rPr>
            </w:pPr>
            <w:r>
              <w:rPr>
                <w:rFonts w:hint="default" w:ascii="Calibri" w:hAnsi="Calibri" w:eastAsia="宋体" w:cs="Calibri"/>
              </w:rPr>
              <w:t>①</w:t>
            </w:r>
            <w:r>
              <w:rPr>
                <w:rFonts w:hint="eastAsia" w:ascii="Calibri" w:hAnsi="Calibri" w:eastAsia="宋体" w:cs="Calibri"/>
                <w:lang w:val="en-US" w:eastAsia="zh-CN"/>
              </w:rPr>
              <w:t>清洗用水</w:t>
            </w:r>
          </w:p>
          <w:p>
            <w:pPr>
              <w:pStyle w:val="41"/>
              <w:adjustRightInd w:val="0"/>
              <w:snapToGrid w:val="0"/>
              <w:rPr>
                <w:rFonts w:hint="eastAsia" w:eastAsia="宋体"/>
                <w:lang w:eastAsia="zh-CN"/>
              </w:rPr>
            </w:pPr>
            <w:r>
              <w:rPr>
                <w:rFonts w:hint="eastAsia" w:eastAsia="宋体"/>
              </w:rPr>
              <w:t>根据建设单位提供资料，清洗</w:t>
            </w:r>
            <w:r>
              <w:rPr>
                <w:rFonts w:hint="eastAsia" w:eastAsia="宋体"/>
                <w:lang w:eastAsia="zh-CN"/>
              </w:rPr>
              <w:t>工序</w:t>
            </w:r>
            <w:r>
              <w:rPr>
                <w:rFonts w:hint="eastAsia" w:eastAsia="宋体"/>
              </w:rPr>
              <w:t>用水均为纯水。</w:t>
            </w:r>
            <w:r>
              <w:rPr>
                <w:rFonts w:hint="eastAsia" w:hAnsi="宋体"/>
                <w:bCs/>
                <w:szCs w:val="21"/>
              </w:rPr>
              <w:t>清洗</w:t>
            </w:r>
            <w:r>
              <w:rPr>
                <w:rFonts w:hint="eastAsia" w:eastAsia="宋体"/>
              </w:rPr>
              <w:t>过程中工件带走、溢出废水以及自然挥发损耗少量水分，</w:t>
            </w:r>
            <w:r>
              <w:rPr>
                <w:rFonts w:hint="eastAsia" w:eastAsia="宋体"/>
                <w:lang w:eastAsia="zh-CN"/>
              </w:rPr>
              <w:t>项目定期补充</w:t>
            </w:r>
            <w:r>
              <w:rPr>
                <w:rFonts w:hint="eastAsia" w:eastAsia="宋体"/>
              </w:rPr>
              <w:t>清洗水。根据建设单位提供资料，清洗槽约每7d补充一次水，每次补水量为</w:t>
            </w:r>
            <w:r>
              <w:rPr>
                <w:rFonts w:hint="eastAsia" w:eastAsia="宋体"/>
                <w:lang w:val="en-US" w:eastAsia="zh-CN"/>
              </w:rPr>
              <w:t>1</w:t>
            </w:r>
            <w:r>
              <w:rPr>
                <w:rFonts w:hint="eastAsia" w:eastAsia="宋体"/>
              </w:rPr>
              <w:t>m³，每年需添加水43次，每天需补充水量0.</w:t>
            </w:r>
            <w:r>
              <w:rPr>
                <w:rFonts w:hint="eastAsia" w:eastAsia="宋体"/>
                <w:lang w:val="en-US" w:eastAsia="zh-CN"/>
              </w:rPr>
              <w:t>43</w:t>
            </w:r>
            <w:r>
              <w:rPr>
                <w:rFonts w:hint="eastAsia" w:eastAsia="宋体"/>
              </w:rPr>
              <w:t>m</w:t>
            </w:r>
            <w:r>
              <w:rPr>
                <w:rFonts w:hint="eastAsia" w:eastAsia="宋体"/>
                <w:vertAlign w:val="superscript"/>
              </w:rPr>
              <w:t>3</w:t>
            </w:r>
            <w:r>
              <w:rPr>
                <w:rFonts w:hint="eastAsia" w:eastAsia="宋体"/>
              </w:rPr>
              <w:t>/d(</w:t>
            </w:r>
            <w:r>
              <w:rPr>
                <w:rFonts w:hint="eastAsia" w:eastAsia="宋体"/>
                <w:lang w:val="en-US" w:eastAsia="zh-CN"/>
              </w:rPr>
              <w:t>129</w:t>
            </w:r>
            <w:r>
              <w:rPr>
                <w:rFonts w:hint="eastAsia" w:eastAsia="宋体"/>
              </w:rPr>
              <w:t>m</w:t>
            </w:r>
            <w:r>
              <w:rPr>
                <w:rFonts w:hint="eastAsia" w:eastAsia="宋体"/>
                <w:vertAlign w:val="superscript"/>
              </w:rPr>
              <w:t>3</w:t>
            </w:r>
            <w:r>
              <w:rPr>
                <w:rFonts w:hint="eastAsia" w:eastAsia="宋体"/>
              </w:rPr>
              <w:t>/a)。清洗水槽纯水使用量为</w:t>
            </w:r>
            <w:r>
              <w:rPr>
                <w:rFonts w:hint="eastAsia" w:eastAsia="宋体"/>
                <w:lang w:val="en-US" w:eastAsia="zh-CN"/>
              </w:rPr>
              <w:t>1.163</w:t>
            </w:r>
            <w:r>
              <w:rPr>
                <w:rFonts w:hint="eastAsia" w:eastAsia="宋体"/>
              </w:rPr>
              <w:t>m³/d(</w:t>
            </w:r>
            <w:r>
              <w:rPr>
                <w:rFonts w:hint="eastAsia" w:eastAsia="宋体"/>
                <w:lang w:val="en-US" w:eastAsia="zh-CN"/>
              </w:rPr>
              <w:t>349</w:t>
            </w:r>
            <w:r>
              <w:rPr>
                <w:rFonts w:hint="eastAsia" w:eastAsia="宋体"/>
              </w:rPr>
              <w:t>m³/d)</w:t>
            </w:r>
            <w:r>
              <w:rPr>
                <w:rFonts w:hint="eastAsia" w:eastAsia="宋体"/>
                <w:lang w:eastAsia="zh-CN"/>
              </w:rPr>
              <w:t>。</w:t>
            </w:r>
          </w:p>
          <w:p>
            <w:pPr>
              <w:pStyle w:val="41"/>
              <w:adjustRightInd w:val="0"/>
              <w:snapToGrid w:val="0"/>
              <w:rPr>
                <w:rFonts w:hint="default" w:ascii="宋体" w:hAnsi="宋体" w:eastAsia="宋体" w:cs="宋体"/>
                <w:lang w:val="en-US" w:eastAsia="zh-CN"/>
              </w:rPr>
            </w:pPr>
            <w:r>
              <w:rPr>
                <w:rFonts w:hint="default" w:ascii="Calibri" w:hAnsi="Calibri" w:eastAsia="宋体" w:cs="Calibri"/>
                <w:lang w:val="en-US" w:eastAsia="zh-CN"/>
              </w:rPr>
              <w:t>②</w:t>
            </w:r>
            <w:r>
              <w:rPr>
                <w:rFonts w:hint="eastAsia" w:ascii="Calibri" w:hAnsi="Calibri" w:eastAsia="宋体" w:cs="Calibri"/>
                <w:lang w:val="en-US" w:eastAsia="zh-CN"/>
              </w:rPr>
              <w:t>污水处理站用水</w:t>
            </w:r>
          </w:p>
          <w:p>
            <w:pPr>
              <w:pStyle w:val="41"/>
              <w:adjustRightInd w:val="0"/>
              <w:snapToGrid w:val="0"/>
              <w:rPr>
                <w:rFonts w:hint="default" w:eastAsia="宋体"/>
                <w:color w:val="auto"/>
                <w:highlight w:val="none"/>
                <w:lang w:val="en-US" w:eastAsia="zh-CN"/>
              </w:rPr>
            </w:pPr>
            <w:r>
              <w:rPr>
                <w:rFonts w:hint="eastAsia" w:eastAsia="宋体"/>
              </w:rPr>
              <w:t>根据建设单位提供资料，</w:t>
            </w:r>
            <w:r>
              <w:rPr>
                <w:rFonts w:hint="eastAsia" w:eastAsia="宋体"/>
                <w:lang w:val="en-US" w:eastAsia="zh-CN"/>
              </w:rPr>
              <w:t>污水处理站纯水的使用量为0.02</w:t>
            </w:r>
            <w:r>
              <w:rPr>
                <w:rFonts w:hint="eastAsia" w:eastAsia="宋体"/>
                <w:color w:val="auto"/>
                <w:highlight w:val="none"/>
              </w:rPr>
              <w:t>m³/d，</w:t>
            </w:r>
            <w:r>
              <w:rPr>
                <w:rFonts w:hint="eastAsia" w:eastAsia="宋体"/>
                <w:color w:val="auto"/>
                <w:highlight w:val="none"/>
                <w:lang w:val="en-US" w:eastAsia="zh-CN"/>
              </w:rPr>
              <w:t>6</w:t>
            </w:r>
            <w:r>
              <w:rPr>
                <w:rFonts w:hint="eastAsia" w:eastAsia="宋体"/>
                <w:color w:val="auto"/>
                <w:highlight w:val="none"/>
              </w:rPr>
              <w:t>m³/a</w:t>
            </w:r>
            <w:r>
              <w:rPr>
                <w:rFonts w:hint="eastAsia" w:eastAsia="宋体"/>
                <w:color w:val="auto"/>
                <w:highlight w:val="none"/>
                <w:lang w:eastAsia="zh-CN"/>
              </w:rPr>
              <w:t>）</w:t>
            </w:r>
            <w:r>
              <w:rPr>
                <w:rFonts w:hint="eastAsia" w:eastAsia="宋体"/>
                <w:color w:val="auto"/>
                <w:highlight w:val="none"/>
              </w:rPr>
              <w:t>。</w:t>
            </w:r>
          </w:p>
          <w:p>
            <w:pPr>
              <w:pStyle w:val="41"/>
              <w:adjustRightInd w:val="0"/>
              <w:snapToGrid w:val="0"/>
              <w:rPr>
                <w:rFonts w:eastAsia="宋体"/>
              </w:rPr>
            </w:pPr>
            <w:r>
              <w:rPr>
                <w:rFonts w:hint="eastAsia" w:ascii="宋体" w:hAnsi="宋体" w:eastAsia="宋体" w:cs="宋体"/>
              </w:rPr>
              <w:t>③</w:t>
            </w:r>
            <w:r>
              <w:rPr>
                <w:rFonts w:hint="eastAsia" w:ascii="Calibri" w:hAnsi="Calibri" w:eastAsia="宋体" w:cs="Calibri"/>
                <w:lang w:val="en-US" w:eastAsia="zh-CN"/>
              </w:rPr>
              <w:t>铝材表面</w:t>
            </w:r>
            <w:r>
              <w:rPr>
                <w:rFonts w:eastAsia="宋体"/>
              </w:rPr>
              <w:t>处理用水</w:t>
            </w:r>
          </w:p>
          <w:p>
            <w:pPr>
              <w:pStyle w:val="41"/>
              <w:adjustRightInd w:val="0"/>
              <w:snapToGrid w:val="0"/>
              <w:rPr>
                <w:rFonts w:hint="eastAsia" w:ascii="宋体" w:hAnsi="宋体" w:eastAsia="宋体" w:cs="宋体"/>
              </w:rPr>
            </w:pPr>
            <w:r>
              <w:rPr>
                <w:rFonts w:hint="eastAsia" w:ascii="宋体" w:hAnsi="宋体" w:eastAsia="宋体" w:cs="宋体"/>
                <w:lang w:val="en-US" w:eastAsia="zh-CN"/>
              </w:rPr>
              <w:t>铝材表面处理</w:t>
            </w:r>
            <w:r>
              <w:rPr>
                <w:rFonts w:eastAsia="宋体"/>
              </w:rPr>
              <w:t>工序</w:t>
            </w:r>
            <w:r>
              <w:rPr>
                <w:rFonts w:hint="eastAsia" w:eastAsia="宋体"/>
                <w:lang w:eastAsia="zh-CN"/>
              </w:rPr>
              <w:t>主要为</w:t>
            </w:r>
            <w:r>
              <w:rPr>
                <w:rFonts w:hint="eastAsia" w:ascii="宋体" w:hAnsi="宋体" w:eastAsia="宋体" w:cs="宋体"/>
              </w:rPr>
              <w:t>预脱脂、脱脂、钝化</w:t>
            </w:r>
            <w:r>
              <w:rPr>
                <w:rFonts w:hint="eastAsia" w:ascii="宋体" w:hAnsi="宋体" w:eastAsia="宋体" w:cs="宋体"/>
                <w:lang w:eastAsia="zh-CN"/>
              </w:rPr>
              <w:t>，</w:t>
            </w:r>
            <w:r>
              <w:rPr>
                <w:rFonts w:hint="eastAsia" w:eastAsia="宋体"/>
                <w:lang w:eastAsia="zh-CN"/>
              </w:rPr>
              <w:t>主要</w:t>
            </w:r>
            <w:r>
              <w:rPr>
                <w:rFonts w:hint="eastAsia" w:eastAsia="宋体"/>
                <w:lang w:val="en-US" w:eastAsia="zh-CN"/>
              </w:rPr>
              <w:t>用水</w:t>
            </w:r>
            <w:r>
              <w:rPr>
                <w:rFonts w:hint="eastAsia" w:eastAsia="宋体"/>
                <w:lang w:eastAsia="zh-CN"/>
              </w:rPr>
              <w:t>为补充用水。</w:t>
            </w:r>
            <w:r>
              <w:rPr>
                <w:rFonts w:hint="eastAsia" w:ascii="宋体" w:hAnsi="宋体" w:eastAsia="宋体" w:cs="宋体"/>
              </w:rPr>
              <w:t>预脱脂槽、脱脂槽、钝化槽中</w:t>
            </w:r>
            <w:r>
              <w:rPr>
                <w:rFonts w:hint="eastAsia" w:ascii="宋体" w:hAnsi="宋体" w:eastAsia="宋体" w:cs="宋体"/>
                <w:lang w:val="en-US" w:eastAsia="zh-CN"/>
              </w:rPr>
              <w:t>试</w:t>
            </w:r>
            <w:r>
              <w:rPr>
                <w:rFonts w:hint="eastAsia" w:ascii="宋体" w:hAnsi="宋体" w:eastAsia="宋体" w:cs="宋体"/>
              </w:rPr>
              <w:t>剂与水配比，定期添加；脱脂液的浓度为</w:t>
            </w:r>
            <w:r>
              <w:rPr>
                <w:rFonts w:hint="eastAsia"/>
              </w:rPr>
              <w:t>6%</w:t>
            </w:r>
            <w:r>
              <w:rPr>
                <w:rFonts w:hint="eastAsia" w:ascii="宋体" w:hAnsi="宋体" w:eastAsia="宋体" w:cs="宋体"/>
              </w:rPr>
              <w:t>，钝化液的浓度为</w:t>
            </w:r>
            <w:r>
              <w:rPr>
                <w:rFonts w:hint="eastAsia"/>
              </w:rPr>
              <w:t>3%</w:t>
            </w:r>
            <w:r>
              <w:rPr>
                <w:rFonts w:hint="eastAsia" w:ascii="宋体" w:hAnsi="宋体" w:eastAsia="宋体" w:cs="宋体"/>
              </w:rPr>
              <w:t>。</w:t>
            </w:r>
            <w:r>
              <w:rPr>
                <w:rFonts w:hint="eastAsia" w:ascii="宋体" w:hAnsi="宋体" w:eastAsia="宋体" w:cs="宋体"/>
                <w:lang w:eastAsia="zh-CN"/>
              </w:rPr>
              <w:t>由于工件带走、溢出废水以及自然挥发损耗少量水分，根据建设单位提供资料，项目定期补充预处理溶液。</w:t>
            </w:r>
            <w:r>
              <w:rPr>
                <w:rFonts w:hint="eastAsia" w:ascii="宋体" w:hAnsi="宋体" w:eastAsia="宋体" w:cs="宋体"/>
              </w:rPr>
              <w:t>约每</w:t>
            </w:r>
            <w:r>
              <w:rPr>
                <w:rFonts w:hint="eastAsia" w:eastAsia="宋体"/>
              </w:rPr>
              <w:t>7d补充一次</w:t>
            </w:r>
            <w:r>
              <w:rPr>
                <w:rFonts w:hint="eastAsia" w:ascii="宋体" w:hAnsi="宋体" w:eastAsia="宋体" w:cs="宋体"/>
              </w:rPr>
              <w:t>次水、脱脂剂、钝化剂，单个槽添加水量约</w:t>
            </w:r>
            <w:r>
              <w:rPr>
                <w:rFonts w:hint="eastAsia" w:eastAsia="宋体"/>
                <w:lang w:val="en-US" w:eastAsia="zh-CN"/>
              </w:rPr>
              <w:t>1</w:t>
            </w:r>
            <w:r>
              <w:rPr>
                <w:rFonts w:hint="eastAsia"/>
              </w:rPr>
              <w:t>m</w:t>
            </w:r>
            <w:r>
              <w:rPr>
                <w:rFonts w:hint="eastAsia"/>
                <w:vertAlign w:val="superscript"/>
              </w:rPr>
              <w:t>3</w:t>
            </w:r>
            <w:r>
              <w:rPr>
                <w:rFonts w:hint="eastAsia" w:ascii="宋体" w:hAnsi="宋体" w:eastAsia="宋体" w:cs="宋体"/>
              </w:rPr>
              <w:t>，每年需添加水</w:t>
            </w:r>
            <w:r>
              <w:rPr>
                <w:rFonts w:hint="eastAsia" w:eastAsia="宋体"/>
                <w:lang w:val="en-US" w:eastAsia="zh-CN"/>
              </w:rPr>
              <w:t>43</w:t>
            </w:r>
            <w:r>
              <w:rPr>
                <w:rFonts w:hint="eastAsia" w:ascii="宋体" w:hAnsi="宋体" w:eastAsia="宋体" w:cs="宋体"/>
              </w:rPr>
              <w:t>次，每天需补充水量</w:t>
            </w:r>
            <w:r>
              <w:rPr>
                <w:rFonts w:hint="eastAsia" w:eastAsia="宋体"/>
                <w:lang w:val="en-US" w:eastAsia="zh-CN"/>
              </w:rPr>
              <w:t>0.43</w:t>
            </w:r>
            <w:r>
              <w:rPr>
                <w:rFonts w:hint="eastAsia"/>
              </w:rPr>
              <w:t>m</w:t>
            </w:r>
            <w:r>
              <w:rPr>
                <w:rFonts w:hint="eastAsia"/>
                <w:vertAlign w:val="superscript"/>
              </w:rPr>
              <w:t>3</w:t>
            </w:r>
            <w:r>
              <w:rPr>
                <w:rFonts w:hint="eastAsia"/>
              </w:rPr>
              <w:t>/d(</w:t>
            </w:r>
            <w:r>
              <w:rPr>
                <w:rFonts w:hint="eastAsia" w:eastAsia="宋体"/>
                <w:lang w:val="en-US" w:eastAsia="zh-CN"/>
              </w:rPr>
              <w:t>129</w:t>
            </w:r>
            <w:r>
              <w:rPr>
                <w:rFonts w:hint="eastAsia"/>
              </w:rPr>
              <w:t>m</w:t>
            </w:r>
            <w:r>
              <w:rPr>
                <w:rFonts w:hint="eastAsia"/>
                <w:vertAlign w:val="superscript"/>
              </w:rPr>
              <w:t>3</w:t>
            </w:r>
            <w:r>
              <w:rPr>
                <w:rFonts w:hint="eastAsia"/>
              </w:rPr>
              <w:t>/a)</w:t>
            </w:r>
            <w:r>
              <w:rPr>
                <w:rFonts w:hint="eastAsia" w:ascii="宋体" w:hAnsi="宋体" w:eastAsia="宋体" w:cs="宋体"/>
              </w:rPr>
              <w:t>。</w:t>
            </w:r>
          </w:p>
          <w:p>
            <w:pPr>
              <w:pStyle w:val="41"/>
              <w:adjustRightInd w:val="0"/>
              <w:snapToGrid w:val="0"/>
              <w:rPr>
                <w:rFonts w:hint="default" w:ascii="宋体" w:hAnsi="宋体" w:eastAsia="宋体" w:cs="宋体"/>
                <w:lang w:val="en-US" w:eastAsia="zh-CN"/>
              </w:rPr>
            </w:pPr>
            <w:r>
              <w:rPr>
                <w:rFonts w:hint="eastAsia" w:eastAsia="宋体"/>
                <w:lang w:val="en-US" w:eastAsia="zh-CN"/>
              </w:rPr>
              <w:t>制水机产生的浓水用于</w:t>
            </w:r>
            <w:r>
              <w:rPr>
                <w:rFonts w:hint="eastAsia" w:ascii="Calibri" w:hAnsi="Calibri" w:eastAsia="宋体" w:cs="Calibri"/>
                <w:lang w:val="en-US" w:eastAsia="zh-CN"/>
              </w:rPr>
              <w:t>铝材表面</w:t>
            </w:r>
            <w:r>
              <w:rPr>
                <w:rFonts w:eastAsia="宋体"/>
              </w:rPr>
              <w:t>处理用水</w:t>
            </w:r>
            <w:r>
              <w:rPr>
                <w:rFonts w:hint="eastAsia" w:eastAsia="宋体"/>
                <w:color w:val="auto"/>
                <w:highlight w:val="none"/>
                <w:lang w:val="en-US" w:eastAsia="zh-CN"/>
              </w:rPr>
              <w:t>0.394</w:t>
            </w:r>
            <w:r>
              <w:rPr>
                <w:rFonts w:hint="eastAsia" w:eastAsia="宋体"/>
                <w:color w:val="auto"/>
                <w:highlight w:val="none"/>
              </w:rPr>
              <w:t>m³/d</w:t>
            </w:r>
            <w:r>
              <w:rPr>
                <w:rFonts w:hint="eastAsia" w:eastAsia="宋体"/>
                <w:color w:val="auto"/>
                <w:highlight w:val="none"/>
                <w:lang w:val="en-US" w:eastAsia="zh-CN"/>
              </w:rPr>
              <w:t>(118.3</w:t>
            </w:r>
            <w:r>
              <w:rPr>
                <w:rFonts w:hint="eastAsia" w:eastAsia="宋体"/>
                <w:color w:val="auto"/>
                <w:highlight w:val="none"/>
              </w:rPr>
              <w:t>m³/a</w:t>
            </w:r>
            <w:r>
              <w:rPr>
                <w:rFonts w:hint="eastAsia" w:eastAsia="宋体"/>
                <w:color w:val="auto"/>
                <w:highlight w:val="none"/>
                <w:lang w:val="en-US" w:eastAsia="zh-CN"/>
              </w:rPr>
              <w:t>)，则新鲜水用量为0.036</w:t>
            </w:r>
            <w:r>
              <w:rPr>
                <w:rFonts w:hint="eastAsia" w:eastAsia="宋体"/>
                <w:color w:val="auto"/>
                <w:highlight w:val="none"/>
              </w:rPr>
              <w:t>m³/d</w:t>
            </w:r>
            <w:r>
              <w:rPr>
                <w:rFonts w:hint="eastAsia" w:eastAsia="宋体"/>
                <w:color w:val="auto"/>
                <w:highlight w:val="none"/>
                <w:lang w:val="en-US" w:eastAsia="zh-CN"/>
              </w:rPr>
              <w:t>(10.8</w:t>
            </w:r>
            <w:r>
              <w:rPr>
                <w:rFonts w:hint="eastAsia" w:eastAsia="宋体"/>
                <w:color w:val="auto"/>
                <w:highlight w:val="none"/>
              </w:rPr>
              <w:t>m³/a</w:t>
            </w:r>
            <w:r>
              <w:rPr>
                <w:rFonts w:hint="eastAsia" w:eastAsia="宋体"/>
                <w:color w:val="auto"/>
                <w:highlight w:val="none"/>
                <w:lang w:val="en-US" w:eastAsia="zh-CN"/>
              </w:rPr>
              <w:t>)。</w:t>
            </w:r>
          </w:p>
          <w:p>
            <w:pPr>
              <w:pStyle w:val="41"/>
              <w:adjustRightInd w:val="0"/>
              <w:snapToGrid w:val="0"/>
              <w:rPr>
                <w:rFonts w:eastAsia="宋体"/>
              </w:rPr>
            </w:pPr>
            <w:r>
              <w:rPr>
                <w:rFonts w:hint="eastAsia" w:ascii="宋体" w:hAnsi="宋体" w:eastAsia="宋体" w:cs="宋体"/>
                <w:lang w:val="en-US" w:eastAsia="zh-CN"/>
              </w:rPr>
              <w:t>④</w:t>
            </w:r>
            <w:r>
              <w:rPr>
                <w:rFonts w:hint="eastAsia" w:eastAsia="宋体"/>
              </w:rPr>
              <w:t>制水机用水</w:t>
            </w:r>
          </w:p>
          <w:p>
            <w:pPr>
              <w:pStyle w:val="41"/>
              <w:adjustRightInd w:val="0"/>
              <w:snapToGrid w:val="0"/>
              <w:rPr>
                <w:rFonts w:hint="eastAsia" w:eastAsia="宋体"/>
                <w:color w:val="auto"/>
                <w:highlight w:val="none"/>
                <w:lang w:val="en-US" w:eastAsia="zh-CN"/>
              </w:rPr>
            </w:pPr>
            <w:r>
              <w:rPr>
                <w:rFonts w:hint="eastAsia" w:eastAsia="宋体"/>
                <w:color w:val="auto"/>
                <w:highlight w:val="none"/>
                <w:lang w:eastAsia="zh-CN"/>
              </w:rPr>
              <w:t>根据前文计算，项目需纯水</w:t>
            </w:r>
            <w:r>
              <w:rPr>
                <w:rFonts w:hint="eastAsia" w:eastAsia="宋体"/>
                <w:color w:val="auto"/>
                <w:highlight w:val="none"/>
                <w:lang w:val="en-US" w:eastAsia="zh-CN"/>
              </w:rPr>
              <w:t>1.183</w:t>
            </w:r>
            <w:r>
              <w:rPr>
                <w:rFonts w:hint="eastAsia" w:eastAsia="宋体"/>
                <w:color w:val="auto"/>
                <w:highlight w:val="none"/>
              </w:rPr>
              <w:t>m³/d</w:t>
            </w:r>
            <w:r>
              <w:rPr>
                <w:rFonts w:hint="eastAsia" w:eastAsia="宋体"/>
                <w:color w:val="auto"/>
                <w:highlight w:val="none"/>
                <w:lang w:val="en-US" w:eastAsia="zh-CN"/>
              </w:rPr>
              <w:t>(355</w:t>
            </w:r>
            <w:r>
              <w:rPr>
                <w:rFonts w:hint="eastAsia" w:eastAsia="宋体"/>
                <w:color w:val="auto"/>
                <w:highlight w:val="none"/>
              </w:rPr>
              <w:t>m³/a</w:t>
            </w:r>
            <w:r>
              <w:rPr>
                <w:rFonts w:hint="eastAsia" w:eastAsia="宋体"/>
                <w:color w:val="auto"/>
                <w:highlight w:val="none"/>
                <w:lang w:val="en-US" w:eastAsia="zh-CN"/>
              </w:rPr>
              <w:t>)。</w:t>
            </w:r>
          </w:p>
          <w:p>
            <w:pPr>
              <w:pStyle w:val="41"/>
              <w:adjustRightInd w:val="0"/>
              <w:snapToGrid w:val="0"/>
              <w:rPr>
                <w:rFonts w:hint="eastAsia" w:eastAsia="宋体"/>
                <w:color w:val="auto"/>
                <w:highlight w:val="none"/>
                <w:lang w:val="en-US" w:eastAsia="zh-CN"/>
              </w:rPr>
            </w:pPr>
            <w:r>
              <w:rPr>
                <w:rFonts w:hint="eastAsia" w:eastAsia="宋体"/>
              </w:rPr>
              <w:t>根据</w:t>
            </w:r>
            <w:r>
              <w:rPr>
                <w:rFonts w:hint="eastAsia" w:eastAsia="宋体"/>
                <w:lang w:val="en-US" w:eastAsia="zh-CN"/>
              </w:rPr>
              <w:t>同类型企业调查和建设单位提供资料</w:t>
            </w:r>
            <w:r>
              <w:rPr>
                <w:rFonts w:hint="eastAsia" w:eastAsia="宋体"/>
              </w:rPr>
              <w:t>，</w:t>
            </w:r>
            <w:r>
              <w:rPr>
                <w:rFonts w:hint="eastAsia" w:eastAsia="宋体"/>
                <w:lang w:val="en-US" w:eastAsia="zh-CN"/>
              </w:rPr>
              <w:t>铝材表面处理上层废水COD、SS浓度低，铝材表面处理下层废液COD、SS浓度较高，废液经危废贮存库暂存后交有资质单位进行处置，委托量按0.6%计，则铝材表面处理废液产生量为0.18m³/a，铝材表面出废水的产生量为0.0994</w:t>
            </w:r>
            <w:r>
              <w:rPr>
                <w:rFonts w:hint="eastAsia" w:eastAsia="宋体"/>
                <w:color w:val="auto"/>
                <w:highlight w:val="none"/>
              </w:rPr>
              <w:t>m³/d</w:t>
            </w:r>
            <w:r>
              <w:rPr>
                <w:rFonts w:hint="eastAsia" w:eastAsia="宋体"/>
                <w:color w:val="auto"/>
                <w:highlight w:val="none"/>
                <w:lang w:eastAsia="zh-CN"/>
              </w:rPr>
              <w:t>（</w:t>
            </w:r>
            <w:r>
              <w:rPr>
                <w:rFonts w:hint="eastAsia" w:eastAsia="宋体"/>
                <w:color w:val="auto"/>
                <w:highlight w:val="none"/>
                <w:lang w:val="en-US" w:eastAsia="zh-CN"/>
              </w:rPr>
              <w:t>29.82</w:t>
            </w:r>
            <w:r>
              <w:rPr>
                <w:rFonts w:hint="eastAsia" w:eastAsia="宋体"/>
                <w:color w:val="auto"/>
                <w:highlight w:val="none"/>
              </w:rPr>
              <w:t>m³/a)</w:t>
            </w:r>
            <w:r>
              <w:rPr>
                <w:rFonts w:hint="eastAsia" w:eastAsia="宋体"/>
                <w:color w:val="auto"/>
                <w:highlight w:val="none"/>
                <w:lang w:eastAsia="zh-CN"/>
              </w:rPr>
              <w:t>。</w:t>
            </w:r>
            <w:r>
              <w:rPr>
                <w:rFonts w:hint="eastAsia"/>
                <w:sz w:val="24"/>
                <w:szCs w:val="32"/>
                <w:lang w:eastAsia="zh-CN"/>
              </w:rPr>
              <w:t>铝材表面处理废水</w:t>
            </w:r>
            <w:r>
              <w:rPr>
                <w:rFonts w:hint="eastAsia"/>
                <w:sz w:val="24"/>
                <w:szCs w:val="32"/>
                <w:lang w:val="en-US" w:eastAsia="zh-CN"/>
              </w:rPr>
              <w:t>每年更换一次，</w:t>
            </w:r>
            <w:r>
              <w:rPr>
                <w:rFonts w:hint="eastAsia" w:eastAsia="宋体"/>
              </w:rPr>
              <w:t>1#、3#清洗用水约每月更换一次，2#清洗用水半年更换一次</w:t>
            </w:r>
            <w:r>
              <w:rPr>
                <w:rFonts w:hint="eastAsia" w:eastAsia="宋体"/>
                <w:lang w:eastAsia="zh-CN"/>
              </w:rPr>
              <w:t>。</w:t>
            </w:r>
            <w:r>
              <w:rPr>
                <w:rFonts w:hint="eastAsia" w:eastAsia="宋体"/>
                <w:color w:val="auto"/>
                <w:highlight w:val="none"/>
                <w:lang w:val="en-US" w:eastAsia="zh-CN"/>
              </w:rPr>
              <w:t>项目铝材表面处理废水和清洗废水和铝材表面处理废水产生量为0.833</w:t>
            </w:r>
            <w:r>
              <w:rPr>
                <w:rFonts w:hint="eastAsia" w:eastAsia="宋体"/>
                <w:color w:val="auto"/>
                <w:highlight w:val="none"/>
              </w:rPr>
              <w:t>m³/d</w:t>
            </w:r>
            <w:r>
              <w:rPr>
                <w:rFonts w:hint="eastAsia" w:eastAsia="宋体"/>
                <w:color w:val="auto"/>
                <w:highlight w:val="none"/>
                <w:lang w:eastAsia="zh-CN"/>
              </w:rPr>
              <w:t>（</w:t>
            </w:r>
            <w:r>
              <w:rPr>
                <w:rFonts w:hint="eastAsia" w:eastAsia="宋体"/>
                <w:color w:val="auto"/>
                <w:highlight w:val="none"/>
                <w:lang w:val="en-US" w:eastAsia="zh-CN"/>
              </w:rPr>
              <w:t>249.82</w:t>
            </w:r>
            <w:r>
              <w:rPr>
                <w:rFonts w:hint="eastAsia" w:eastAsia="宋体"/>
                <w:color w:val="auto"/>
                <w:highlight w:val="none"/>
              </w:rPr>
              <w:t>m³/a)</w:t>
            </w:r>
            <w:r>
              <w:rPr>
                <w:rFonts w:hint="eastAsia" w:eastAsia="宋体"/>
                <w:color w:val="auto"/>
                <w:highlight w:val="none"/>
                <w:lang w:eastAsia="zh-CN"/>
              </w:rPr>
              <w:t>，</w:t>
            </w:r>
            <w:r>
              <w:rPr>
                <w:rFonts w:hint="eastAsia" w:eastAsia="宋体"/>
                <w:color w:val="auto"/>
                <w:highlight w:val="none"/>
                <w:lang w:val="en-US" w:eastAsia="zh-CN"/>
              </w:rPr>
              <w:t>经污水处理站处理</w:t>
            </w:r>
            <w:r>
              <w:rPr>
                <w:rFonts w:hint="eastAsia" w:eastAsia="宋体"/>
                <w:color w:val="auto"/>
                <w:highlight w:val="none"/>
              </w:rPr>
              <w:t>（工艺：“</w:t>
            </w:r>
            <w:r>
              <w:rPr>
                <w:rFonts w:hint="eastAsia" w:eastAsia="宋体"/>
                <w:color w:val="auto"/>
                <w:szCs w:val="21"/>
                <w:highlight w:val="none"/>
              </w:rPr>
              <w:t>中和+絮凝沉淀+气浮+多介质过滤”</w:t>
            </w:r>
            <w:r>
              <w:rPr>
                <w:rFonts w:hint="eastAsia" w:eastAsia="宋体"/>
                <w:color w:val="auto"/>
                <w:highlight w:val="none"/>
              </w:rPr>
              <w:t>）</w:t>
            </w:r>
            <w:r>
              <w:rPr>
                <w:rFonts w:hint="eastAsia" w:eastAsia="宋体"/>
                <w:color w:val="auto"/>
                <w:highlight w:val="none"/>
                <w:lang w:val="en-US" w:eastAsia="zh-CN"/>
              </w:rPr>
              <w:t>后的再生水产生量为0.83</w:t>
            </w:r>
            <w:r>
              <w:rPr>
                <w:rFonts w:hint="eastAsia" w:eastAsia="宋体"/>
                <w:color w:val="auto"/>
                <w:highlight w:val="none"/>
              </w:rPr>
              <w:t>m³/d</w:t>
            </w:r>
            <w:r>
              <w:rPr>
                <w:rFonts w:hint="eastAsia" w:eastAsia="宋体"/>
                <w:color w:val="auto"/>
                <w:highlight w:val="none"/>
                <w:lang w:eastAsia="zh-CN"/>
              </w:rPr>
              <w:t>（</w:t>
            </w:r>
            <w:r>
              <w:rPr>
                <w:rFonts w:hint="eastAsia" w:eastAsia="宋体"/>
                <w:color w:val="auto"/>
                <w:highlight w:val="none"/>
                <w:lang w:val="en-US" w:eastAsia="zh-CN"/>
              </w:rPr>
              <w:t>249</w:t>
            </w:r>
            <w:r>
              <w:rPr>
                <w:rFonts w:hint="eastAsia" w:eastAsia="宋体"/>
                <w:color w:val="auto"/>
                <w:highlight w:val="none"/>
              </w:rPr>
              <w:t>m³/a)</w:t>
            </w:r>
            <w:r>
              <w:rPr>
                <w:rFonts w:hint="eastAsia" w:eastAsia="宋体"/>
                <w:color w:val="auto"/>
                <w:highlight w:val="none"/>
                <w:lang w:val="en-US" w:eastAsia="zh-CN"/>
              </w:rPr>
              <w:t>进入制水机。</w:t>
            </w:r>
          </w:p>
          <w:p>
            <w:pPr>
              <w:pStyle w:val="41"/>
              <w:adjustRightInd w:val="0"/>
              <w:snapToGrid w:val="0"/>
              <w:rPr>
                <w:rFonts w:hint="default" w:eastAsia="宋体"/>
                <w:color w:val="auto"/>
                <w:highlight w:val="none"/>
                <w:lang w:val="en-US" w:eastAsia="zh-CN"/>
              </w:rPr>
            </w:pPr>
            <w:r>
              <w:rPr>
                <w:rFonts w:hint="eastAsia" w:eastAsia="宋体"/>
                <w:color w:val="auto"/>
                <w:highlight w:val="none"/>
                <w:lang w:val="en-US" w:eastAsia="zh-CN"/>
              </w:rPr>
              <w:t>则制水机新鲜水用量为0.748</w:t>
            </w:r>
            <w:r>
              <w:rPr>
                <w:rFonts w:hint="eastAsia" w:eastAsia="宋体"/>
                <w:color w:val="auto"/>
                <w:highlight w:val="none"/>
              </w:rPr>
              <w:t>m³/d</w:t>
            </w:r>
            <w:r>
              <w:rPr>
                <w:rFonts w:hint="eastAsia" w:eastAsia="宋体"/>
                <w:color w:val="auto"/>
                <w:highlight w:val="none"/>
                <w:lang w:val="en-US" w:eastAsia="zh-CN"/>
              </w:rPr>
              <w:t>(224.33</w:t>
            </w:r>
            <w:r>
              <w:rPr>
                <w:rFonts w:hint="eastAsia" w:eastAsia="宋体"/>
                <w:color w:val="auto"/>
                <w:highlight w:val="none"/>
              </w:rPr>
              <w:t>m³/a</w:t>
            </w:r>
            <w:r>
              <w:rPr>
                <w:rFonts w:hint="eastAsia" w:eastAsia="宋体"/>
                <w:color w:val="auto"/>
                <w:highlight w:val="none"/>
                <w:lang w:val="en-US" w:eastAsia="zh-CN"/>
              </w:rPr>
              <w:t>)，制水机产生的浓水量为0.394</w:t>
            </w:r>
            <w:r>
              <w:rPr>
                <w:rFonts w:hint="eastAsia" w:eastAsia="宋体"/>
                <w:color w:val="auto"/>
                <w:highlight w:val="none"/>
              </w:rPr>
              <w:t>m³/d</w:t>
            </w:r>
            <w:r>
              <w:rPr>
                <w:rFonts w:hint="eastAsia" w:eastAsia="宋体"/>
                <w:color w:val="auto"/>
                <w:highlight w:val="none"/>
                <w:lang w:val="en-US" w:eastAsia="zh-CN"/>
              </w:rPr>
              <w:t>(118.3</w:t>
            </w:r>
            <w:r>
              <w:rPr>
                <w:rFonts w:hint="eastAsia" w:eastAsia="宋体"/>
                <w:color w:val="auto"/>
                <w:highlight w:val="none"/>
              </w:rPr>
              <w:t>m³/a</w:t>
            </w:r>
            <w:r>
              <w:rPr>
                <w:rFonts w:hint="eastAsia" w:eastAsia="宋体"/>
                <w:color w:val="auto"/>
                <w:highlight w:val="none"/>
                <w:lang w:val="en-US" w:eastAsia="zh-CN"/>
              </w:rPr>
              <w:t>)。</w:t>
            </w:r>
          </w:p>
          <w:p>
            <w:pPr>
              <w:pStyle w:val="41"/>
              <w:adjustRightInd w:val="0"/>
              <w:snapToGrid w:val="0"/>
              <w:ind w:left="420" w:leftChars="200" w:firstLine="0" w:firstLineChars="0"/>
              <w:rPr>
                <w:rFonts w:eastAsia="宋体"/>
              </w:rPr>
            </w:pPr>
            <w:r>
              <w:rPr>
                <w:rFonts w:hint="eastAsia" w:ascii="宋体" w:hAnsi="宋体" w:eastAsia="宋体" w:cs="宋体"/>
              </w:rPr>
              <w:t>⑤</w:t>
            </w:r>
            <w:r>
              <w:rPr>
                <w:rFonts w:hint="eastAsia" w:eastAsia="宋体"/>
              </w:rPr>
              <w:t>喷淋塔用水</w:t>
            </w:r>
          </w:p>
          <w:p>
            <w:pPr>
              <w:pStyle w:val="41"/>
              <w:adjustRightInd w:val="0"/>
              <w:snapToGrid w:val="0"/>
              <w:rPr>
                <w:rFonts w:hint="eastAsia" w:eastAsia="宋体"/>
              </w:rPr>
            </w:pPr>
            <w:r>
              <w:rPr>
                <w:rFonts w:hint="eastAsia" w:eastAsia="宋体"/>
                <w:lang w:val="en-US" w:eastAsia="zh-CN"/>
              </w:rPr>
              <w:t>根据建设单位提供资料，</w:t>
            </w:r>
            <w:r>
              <w:rPr>
                <w:rFonts w:hint="eastAsia" w:eastAsia="宋体"/>
              </w:rPr>
              <w:t>喷淋塔用水量循环水量为0.5m³/h，水箱为1m³，每日损耗里</w:t>
            </w:r>
            <w:r>
              <w:rPr>
                <w:rFonts w:eastAsia="宋体"/>
              </w:rPr>
              <w:t>为5‰，</w:t>
            </w:r>
            <w:r>
              <w:rPr>
                <w:rFonts w:hint="eastAsia" w:eastAsia="宋体"/>
                <w:lang w:val="en-US" w:eastAsia="zh-CN"/>
              </w:rPr>
              <w:t>则喷淋塔新鲜水用</w:t>
            </w:r>
            <w:r>
              <w:rPr>
                <w:rFonts w:hint="eastAsia" w:eastAsia="宋体"/>
              </w:rPr>
              <w:t>量为0.005m³/d，1.5m³/a。</w:t>
            </w:r>
          </w:p>
          <w:p>
            <w:pPr>
              <w:pStyle w:val="41"/>
              <w:adjustRightInd w:val="0"/>
              <w:snapToGrid w:val="0"/>
              <w:rPr>
                <w:rFonts w:hint="default" w:eastAsia="宋体"/>
                <w:lang w:val="en-US" w:eastAsia="zh-CN"/>
              </w:rPr>
            </w:pPr>
            <w:r>
              <w:rPr>
                <w:rFonts w:hint="eastAsia" w:eastAsia="宋体"/>
                <w:lang w:val="en-US" w:eastAsia="zh-CN"/>
              </w:rPr>
              <w:t>综上，本项目用水量为4.13</w:t>
            </w:r>
            <w:r>
              <w:rPr>
                <w:rFonts w:hint="eastAsia" w:eastAsia="宋体"/>
              </w:rPr>
              <w:t>m³/d，</w:t>
            </w:r>
            <w:r>
              <w:rPr>
                <w:rFonts w:hint="eastAsia" w:eastAsia="宋体"/>
                <w:lang w:val="en-US" w:eastAsia="zh-CN"/>
              </w:rPr>
              <w:t>1239</w:t>
            </w:r>
            <w:r>
              <w:rPr>
                <w:rFonts w:hint="eastAsia" w:eastAsia="宋体"/>
              </w:rPr>
              <w:t>m³/a。</w:t>
            </w:r>
          </w:p>
          <w:p>
            <w:pPr>
              <w:adjustRightInd w:val="0"/>
              <w:snapToGrid w:val="0"/>
              <w:spacing w:line="360" w:lineRule="auto"/>
              <w:ind w:firstLine="480" w:firstLineChars="200"/>
              <w:rPr>
                <w:sz w:val="24"/>
              </w:rPr>
            </w:pPr>
            <w:r>
              <w:rPr>
                <w:sz w:val="24"/>
              </w:rPr>
              <w:t>（2）排水</w:t>
            </w:r>
          </w:p>
          <w:p>
            <w:pPr>
              <w:pStyle w:val="41"/>
              <w:adjustRightInd w:val="0"/>
              <w:snapToGrid w:val="0"/>
              <w:rPr>
                <w:rFonts w:eastAsia="宋体"/>
              </w:rPr>
            </w:pPr>
            <w:r>
              <w:rPr>
                <w:rFonts w:hint="eastAsia" w:eastAsia="宋体"/>
              </w:rPr>
              <w:t>1）</w:t>
            </w:r>
            <w:r>
              <w:rPr>
                <w:rFonts w:eastAsia="宋体"/>
              </w:rPr>
              <w:t>生活污水</w:t>
            </w:r>
          </w:p>
          <w:p>
            <w:pPr>
              <w:pStyle w:val="41"/>
              <w:adjustRightInd w:val="0"/>
              <w:snapToGrid w:val="0"/>
            </w:pPr>
            <w:r>
              <w:rPr>
                <w:rFonts w:hint="eastAsia" w:eastAsia="宋体"/>
                <w:lang w:val="en-US" w:eastAsia="zh-CN"/>
              </w:rPr>
              <w:t>生活污水</w:t>
            </w:r>
            <w:r>
              <w:rPr>
                <w:rFonts w:eastAsia="宋体"/>
              </w:rPr>
              <w:t>的产生量按照用水量的80%计算，则项目生活污水的产生量</w:t>
            </w:r>
            <w:r>
              <w:rPr>
                <w:rFonts w:hint="eastAsia" w:eastAsia="宋体"/>
              </w:rPr>
              <w:t>2.67</w:t>
            </w:r>
            <w:r>
              <w:rPr>
                <w:rFonts w:eastAsia="宋体"/>
              </w:rPr>
              <w:t>m</w:t>
            </w:r>
            <w:r>
              <w:rPr>
                <w:rFonts w:eastAsia="宋体"/>
                <w:vertAlign w:val="superscript"/>
              </w:rPr>
              <w:t>3</w:t>
            </w:r>
            <w:r>
              <w:rPr>
                <w:rFonts w:eastAsia="宋体"/>
              </w:rPr>
              <w:t>/</w:t>
            </w:r>
            <w:r>
              <w:rPr>
                <w:rFonts w:hint="eastAsia" w:eastAsia="宋体"/>
              </w:rPr>
              <w:t>d</w:t>
            </w:r>
            <w:r>
              <w:rPr>
                <w:rFonts w:eastAsia="宋体"/>
              </w:rPr>
              <w:t>（</w:t>
            </w:r>
            <w:r>
              <w:rPr>
                <w:rFonts w:hint="eastAsia" w:eastAsia="宋体"/>
              </w:rPr>
              <w:t>800</w:t>
            </w:r>
            <w:r>
              <w:rPr>
                <w:rFonts w:eastAsia="宋体"/>
              </w:rPr>
              <w:t>m</w:t>
            </w:r>
            <w:r>
              <w:rPr>
                <w:rFonts w:eastAsia="宋体"/>
                <w:vertAlign w:val="superscript"/>
              </w:rPr>
              <w:t>3</w:t>
            </w:r>
            <w:r>
              <w:rPr>
                <w:rFonts w:eastAsia="宋体"/>
              </w:rPr>
              <w:t>/</w:t>
            </w:r>
            <w:r>
              <w:rPr>
                <w:rFonts w:hint="eastAsia" w:eastAsia="宋体"/>
              </w:rPr>
              <w:t>a</w:t>
            </w:r>
            <w:r>
              <w:rPr>
                <w:rFonts w:eastAsia="宋体"/>
              </w:rPr>
              <w:t>），</w:t>
            </w:r>
            <w:r>
              <w:rPr>
                <w:rFonts w:hint="eastAsia" w:eastAsia="宋体"/>
              </w:rPr>
              <w:t>项目生活污水依托</w:t>
            </w:r>
            <w:r>
              <w:rPr>
                <w:rFonts w:hint="eastAsia" w:eastAsia="宋体"/>
                <w:lang w:eastAsia="zh-CN"/>
              </w:rPr>
              <w:t>租赁方化粪池</w:t>
            </w:r>
            <w:r>
              <w:rPr>
                <w:rFonts w:hint="eastAsia" w:eastAsia="宋体"/>
              </w:rPr>
              <w:t>处理后定期清掏外运肥田。</w:t>
            </w:r>
          </w:p>
          <w:p>
            <w:pPr>
              <w:pStyle w:val="41"/>
              <w:numPr>
                <w:ilvl w:val="0"/>
                <w:numId w:val="7"/>
              </w:numPr>
              <w:adjustRightInd w:val="0"/>
              <w:snapToGrid w:val="0"/>
              <w:ind w:left="0" w:leftChars="0" w:firstLine="480" w:firstLineChars="200"/>
              <w:rPr>
                <w:rFonts w:hint="eastAsia" w:eastAsia="宋体"/>
                <w:lang w:eastAsia="zh-CN"/>
              </w:rPr>
            </w:pPr>
            <w:r>
              <w:rPr>
                <w:rFonts w:hint="eastAsia" w:eastAsia="宋体"/>
                <w:lang w:val="en-US" w:eastAsia="zh-CN"/>
              </w:rPr>
              <w:t>生产废水</w:t>
            </w:r>
          </w:p>
          <w:p>
            <w:pPr>
              <w:pStyle w:val="41"/>
              <w:numPr>
                <w:ilvl w:val="0"/>
                <w:numId w:val="0"/>
              </w:numPr>
              <w:adjustRightInd w:val="0"/>
              <w:snapToGrid w:val="0"/>
              <w:ind w:leftChars="200"/>
              <w:rPr>
                <w:rFonts w:hint="eastAsia" w:eastAsia="宋体"/>
                <w:lang w:eastAsia="zh-CN"/>
              </w:rPr>
            </w:pPr>
            <w:r>
              <w:rPr>
                <w:rFonts w:hint="default" w:ascii="Calibri" w:hAnsi="Calibri" w:eastAsia="宋体" w:cs="Calibri"/>
                <w:lang w:val="en-US" w:eastAsia="zh-CN"/>
              </w:rPr>
              <w:t>①</w:t>
            </w:r>
            <w:r>
              <w:rPr>
                <w:rFonts w:hint="eastAsia" w:ascii="Calibri" w:hAnsi="Calibri" w:eastAsia="宋体" w:cs="Calibri"/>
                <w:lang w:val="en-US" w:eastAsia="zh-CN"/>
              </w:rPr>
              <w:t>铝材表面</w:t>
            </w:r>
            <w:r>
              <w:rPr>
                <w:rFonts w:eastAsia="宋体"/>
              </w:rPr>
              <w:t>处理</w:t>
            </w:r>
            <w:r>
              <w:rPr>
                <w:rFonts w:hint="eastAsia" w:eastAsia="宋体"/>
                <w:lang w:val="en-US" w:eastAsia="zh-CN"/>
              </w:rPr>
              <w:t>废液</w:t>
            </w:r>
          </w:p>
          <w:p>
            <w:pPr>
              <w:pStyle w:val="41"/>
              <w:adjustRightInd w:val="0"/>
              <w:snapToGrid w:val="0"/>
              <w:rPr>
                <w:rFonts w:hint="eastAsia" w:eastAsia="宋体"/>
                <w:lang w:val="en-US" w:eastAsia="zh-CN"/>
              </w:rPr>
            </w:pPr>
            <w:r>
              <w:rPr>
                <w:rFonts w:hint="eastAsia" w:eastAsia="宋体"/>
                <w:lang w:val="en-US" w:eastAsia="zh-CN"/>
              </w:rPr>
              <w:t>根据建设单位提供资料，</w:t>
            </w:r>
            <w:r>
              <w:rPr>
                <w:rFonts w:hint="eastAsia" w:ascii="Calibri" w:hAnsi="Calibri" w:eastAsia="宋体" w:cs="Calibri"/>
                <w:lang w:val="en-US" w:eastAsia="zh-CN"/>
              </w:rPr>
              <w:t>铝材表面</w:t>
            </w:r>
            <w:r>
              <w:rPr>
                <w:rFonts w:eastAsia="宋体"/>
              </w:rPr>
              <w:t>处理</w:t>
            </w:r>
            <w:r>
              <w:rPr>
                <w:rFonts w:hint="eastAsia" w:eastAsia="宋体"/>
                <w:lang w:val="en-US" w:eastAsia="zh-CN"/>
              </w:rPr>
              <w:t>废液每年更换一次，</w:t>
            </w:r>
            <w:r>
              <w:rPr>
                <w:rFonts w:hint="eastAsia" w:ascii="Calibri" w:hAnsi="Calibri" w:eastAsia="宋体" w:cs="Calibri"/>
                <w:lang w:val="en-US" w:eastAsia="zh-CN"/>
              </w:rPr>
              <w:t>铝材表面</w:t>
            </w:r>
            <w:r>
              <w:rPr>
                <w:rFonts w:eastAsia="宋体"/>
              </w:rPr>
              <w:t>处理</w:t>
            </w:r>
            <w:r>
              <w:rPr>
                <w:rFonts w:hint="eastAsia" w:eastAsia="宋体"/>
                <w:lang w:val="en-US" w:eastAsia="zh-CN"/>
              </w:rPr>
              <w:t>废液的产生0.006m³/d（0.18</w:t>
            </w:r>
            <w:r>
              <w:rPr>
                <w:rFonts w:hint="eastAsia" w:eastAsia="宋体"/>
              </w:rPr>
              <w:t>m³/a</w:t>
            </w:r>
            <w:r>
              <w:rPr>
                <w:rFonts w:hint="eastAsia" w:eastAsia="宋体"/>
                <w:lang w:eastAsia="zh-CN"/>
              </w:rPr>
              <w:t>）。</w:t>
            </w:r>
            <w:r>
              <w:rPr>
                <w:rFonts w:hint="eastAsia" w:eastAsia="宋体"/>
                <w:lang w:val="en-US" w:eastAsia="zh-CN"/>
              </w:rPr>
              <w:t>清洗废液暂存于危废贮存库，</w:t>
            </w:r>
            <w:r>
              <w:rPr>
                <w:rFonts w:hint="eastAsia" w:eastAsia="宋体"/>
                <w:lang w:eastAsia="zh-CN"/>
              </w:rPr>
              <w:t>交由有资质单位进行处置。</w:t>
            </w:r>
          </w:p>
          <w:p>
            <w:pPr>
              <w:pStyle w:val="41"/>
              <w:numPr>
                <w:ilvl w:val="0"/>
                <w:numId w:val="0"/>
              </w:numPr>
              <w:adjustRightInd w:val="0"/>
              <w:snapToGrid w:val="0"/>
              <w:ind w:leftChars="200"/>
              <w:rPr>
                <w:rFonts w:hint="eastAsia" w:eastAsia="宋体"/>
                <w:lang w:eastAsia="zh-CN"/>
              </w:rPr>
            </w:pPr>
            <w:r>
              <w:rPr>
                <w:rFonts w:hint="default" w:ascii="Calibri" w:hAnsi="Calibri" w:eastAsia="宋体" w:cs="Calibri"/>
                <w:lang w:val="en-US" w:eastAsia="zh-CN"/>
              </w:rPr>
              <w:t>②</w:t>
            </w:r>
            <w:r>
              <w:rPr>
                <w:rFonts w:hint="eastAsia" w:eastAsia="宋体"/>
                <w:lang w:val="en-US" w:eastAsia="zh-CN"/>
              </w:rPr>
              <w:t>污泥</w:t>
            </w:r>
          </w:p>
          <w:p>
            <w:pPr>
              <w:pStyle w:val="41"/>
              <w:adjustRightInd w:val="0"/>
              <w:snapToGrid w:val="0"/>
              <w:rPr>
                <w:rFonts w:hint="eastAsia" w:eastAsia="宋体"/>
                <w:lang w:val="en-US" w:eastAsia="zh-CN"/>
              </w:rPr>
            </w:pPr>
            <w:r>
              <w:rPr>
                <w:rFonts w:hint="eastAsia" w:eastAsia="宋体"/>
                <w:lang w:val="en-US" w:eastAsia="zh-CN"/>
              </w:rPr>
              <w:t>根据建设单位提供资料，</w:t>
            </w:r>
            <w:r>
              <w:rPr>
                <w:rFonts w:hint="eastAsia" w:eastAsia="宋体"/>
                <w:lang w:eastAsia="zh-CN"/>
              </w:rPr>
              <w:t>铝材表面处理废水和清洗废水</w:t>
            </w:r>
            <w:r>
              <w:rPr>
                <w:rFonts w:hint="eastAsia" w:eastAsia="宋体"/>
                <w:lang w:val="en-US" w:eastAsia="zh-CN"/>
              </w:rPr>
              <w:t>经处理站处理后产生的污泥经压滤机压滤后暂存于危废贮存库，</w:t>
            </w:r>
            <w:r>
              <w:rPr>
                <w:rFonts w:hint="eastAsia" w:eastAsia="宋体"/>
                <w:lang w:eastAsia="zh-CN"/>
              </w:rPr>
              <w:t>交由有资质单位进行处置，</w:t>
            </w:r>
            <w:r>
              <w:rPr>
                <w:rFonts w:hint="eastAsia" w:eastAsia="宋体"/>
                <w:lang w:val="en-US" w:eastAsia="zh-CN"/>
              </w:rPr>
              <w:t>污泥的产生0.003</w:t>
            </w:r>
            <w:r>
              <w:rPr>
                <w:rFonts w:hint="eastAsia" w:eastAsia="宋体"/>
              </w:rPr>
              <w:t>m³/d（</w:t>
            </w:r>
            <w:r>
              <w:rPr>
                <w:rFonts w:hint="eastAsia" w:eastAsia="宋体"/>
                <w:lang w:val="en-US" w:eastAsia="zh-CN"/>
              </w:rPr>
              <w:t>0.9</w:t>
            </w:r>
            <w:r>
              <w:rPr>
                <w:rFonts w:hint="eastAsia" w:eastAsia="宋体"/>
              </w:rPr>
              <w:t>m³/a）</w:t>
            </w:r>
            <w:r>
              <w:rPr>
                <w:rFonts w:hint="eastAsia" w:eastAsia="宋体"/>
                <w:lang w:eastAsia="zh-CN"/>
              </w:rPr>
              <w:t>。</w:t>
            </w:r>
          </w:p>
          <w:p>
            <w:pPr>
              <w:pStyle w:val="41"/>
              <w:adjustRightInd w:val="0"/>
              <w:snapToGrid w:val="0"/>
              <w:rPr>
                <w:rFonts w:hint="eastAsia" w:eastAsia="宋体"/>
                <w:lang w:eastAsia="zh-CN"/>
              </w:rPr>
            </w:pPr>
            <w:r>
              <w:rPr>
                <w:rFonts w:hint="default" w:ascii="Calibri" w:hAnsi="Calibri" w:eastAsia="宋体" w:cs="Calibri"/>
              </w:rPr>
              <w:t>③</w:t>
            </w:r>
            <w:r>
              <w:rPr>
                <w:rFonts w:hint="eastAsia" w:eastAsia="宋体"/>
              </w:rPr>
              <w:t>制水机</w:t>
            </w:r>
            <w:r>
              <w:rPr>
                <w:rFonts w:hint="eastAsia" w:eastAsia="宋体"/>
                <w:lang w:val="en-US" w:eastAsia="zh-CN"/>
              </w:rPr>
              <w:t>浓水</w:t>
            </w:r>
          </w:p>
          <w:p>
            <w:pPr>
              <w:pStyle w:val="41"/>
              <w:adjustRightInd w:val="0"/>
              <w:snapToGrid w:val="0"/>
              <w:rPr>
                <w:rFonts w:hint="default" w:eastAsia="宋体"/>
                <w:lang w:val="en-US" w:eastAsia="zh-CN"/>
              </w:rPr>
            </w:pPr>
            <w:r>
              <w:rPr>
                <w:rFonts w:hint="eastAsia" w:eastAsia="宋体"/>
                <w:lang w:val="en-US" w:eastAsia="zh-CN"/>
              </w:rPr>
              <w:t>根据建设单位提供资料，</w:t>
            </w:r>
            <w:r>
              <w:rPr>
                <w:rFonts w:hint="eastAsia" w:eastAsia="宋体"/>
              </w:rPr>
              <w:t>制水机产生的浓水为</w:t>
            </w:r>
            <w:r>
              <w:rPr>
                <w:rFonts w:hint="eastAsia" w:eastAsia="宋体"/>
                <w:lang w:val="en-US" w:eastAsia="zh-CN"/>
              </w:rPr>
              <w:t>会用于</w:t>
            </w:r>
            <w:r>
              <w:rPr>
                <w:rFonts w:hint="eastAsia" w:ascii="Calibri" w:hAnsi="Calibri" w:eastAsia="宋体" w:cs="Calibri"/>
                <w:lang w:val="en-US" w:eastAsia="zh-CN"/>
              </w:rPr>
              <w:t>铝材表面</w:t>
            </w:r>
            <w:r>
              <w:rPr>
                <w:rFonts w:eastAsia="宋体"/>
              </w:rPr>
              <w:t>处理</w:t>
            </w:r>
            <w:r>
              <w:rPr>
                <w:rFonts w:hint="eastAsia" w:eastAsia="宋体"/>
                <w:color w:val="auto"/>
                <w:highlight w:val="none"/>
                <w:lang w:val="en-US" w:eastAsia="zh-CN"/>
              </w:rPr>
              <w:t>工序，不外排。</w:t>
            </w:r>
          </w:p>
          <w:p>
            <w:pPr>
              <w:pStyle w:val="41"/>
              <w:adjustRightInd w:val="0"/>
              <w:snapToGrid w:val="0"/>
              <w:rPr>
                <w:rFonts w:eastAsia="宋体"/>
              </w:rPr>
            </w:pPr>
            <w:r>
              <w:rPr>
                <w:rFonts w:hint="default" w:ascii="Calibri" w:hAnsi="Calibri" w:eastAsia="宋体" w:cs="Calibri"/>
              </w:rPr>
              <w:t>④</w:t>
            </w:r>
            <w:r>
              <w:rPr>
                <w:rFonts w:hint="eastAsia" w:eastAsia="宋体"/>
              </w:rPr>
              <w:t>喷淋塔用水</w:t>
            </w:r>
          </w:p>
          <w:p>
            <w:pPr>
              <w:pStyle w:val="41"/>
              <w:adjustRightInd w:val="0"/>
              <w:snapToGrid w:val="0"/>
              <w:rPr>
                <w:rFonts w:eastAsia="宋体"/>
              </w:rPr>
            </w:pPr>
            <w:r>
              <w:rPr>
                <w:rFonts w:hint="eastAsia" w:eastAsia="宋体"/>
                <w:lang w:val="en-US" w:eastAsia="zh-CN"/>
              </w:rPr>
              <w:t>根据建设单位提供资料，</w:t>
            </w:r>
            <w:r>
              <w:rPr>
                <w:rFonts w:hint="eastAsia" w:eastAsia="宋体"/>
              </w:rPr>
              <w:t>喷淋塔用水循环使用不外排。</w:t>
            </w:r>
          </w:p>
          <w:p>
            <w:pPr>
              <w:pStyle w:val="41"/>
              <w:adjustRightInd w:val="0"/>
              <w:snapToGrid w:val="0"/>
              <w:rPr>
                <w:rFonts w:eastAsia="宋体"/>
              </w:rPr>
            </w:pPr>
            <w:r>
              <w:rPr>
                <w:rFonts w:hint="eastAsia" w:eastAsia="宋体"/>
                <w:lang w:val="zh-CN"/>
              </w:rPr>
              <w:t>项目用水、排水情况见表</w:t>
            </w:r>
            <w:r>
              <w:rPr>
                <w:rFonts w:hint="eastAsia" w:eastAsia="宋体"/>
              </w:rPr>
              <w:t>2-7，水平衡图见图2-1。</w:t>
            </w:r>
          </w:p>
          <w:p>
            <w:pPr>
              <w:pStyle w:val="41"/>
              <w:adjustRightInd w:val="0"/>
              <w:snapToGrid w:val="0"/>
              <w:spacing w:line="240" w:lineRule="auto"/>
              <w:ind w:firstLine="422"/>
              <w:jc w:val="center"/>
              <w:rPr>
                <w:rFonts w:eastAsia="宋体"/>
                <w:b/>
                <w:bCs/>
                <w:sz w:val="21"/>
                <w:szCs w:val="21"/>
                <w:lang w:val="zh-CN"/>
              </w:rPr>
            </w:pPr>
            <w:r>
              <w:rPr>
                <w:rFonts w:eastAsia="宋体"/>
                <w:b/>
                <w:bCs/>
                <w:sz w:val="21"/>
                <w:szCs w:val="21"/>
                <w:lang w:val="zh-CN"/>
              </w:rPr>
              <w:t>表</w:t>
            </w:r>
            <w:r>
              <w:rPr>
                <w:rFonts w:hint="eastAsia" w:eastAsia="宋体"/>
                <w:b/>
                <w:bCs/>
                <w:sz w:val="21"/>
                <w:szCs w:val="21"/>
              </w:rPr>
              <w:t>2-7</w:t>
            </w:r>
            <w:r>
              <w:rPr>
                <w:rFonts w:eastAsia="宋体"/>
                <w:b/>
                <w:bCs/>
                <w:sz w:val="21"/>
                <w:szCs w:val="21"/>
                <w:lang w:val="zh-CN"/>
              </w:rPr>
              <w:t>项目用</w:t>
            </w:r>
            <w:r>
              <w:rPr>
                <w:rFonts w:hint="eastAsia" w:eastAsia="宋体"/>
                <w:b/>
                <w:bCs/>
                <w:sz w:val="21"/>
                <w:szCs w:val="21"/>
                <w:lang w:val="zh-CN"/>
              </w:rPr>
              <w:t>水</w:t>
            </w:r>
            <w:r>
              <w:rPr>
                <w:rFonts w:eastAsia="宋体"/>
                <w:b/>
                <w:bCs/>
                <w:sz w:val="21"/>
                <w:szCs w:val="21"/>
                <w:lang w:val="zh-CN"/>
              </w:rPr>
              <w:t>、排水</w:t>
            </w:r>
            <w:r>
              <w:rPr>
                <w:rFonts w:hint="eastAsia" w:eastAsia="宋体"/>
                <w:b/>
                <w:bCs/>
                <w:sz w:val="21"/>
                <w:szCs w:val="21"/>
                <w:lang w:val="zh-CN"/>
              </w:rPr>
              <w:t>分</w:t>
            </w:r>
            <w:r>
              <w:rPr>
                <w:rFonts w:eastAsia="宋体"/>
                <w:b/>
                <w:bCs/>
                <w:sz w:val="21"/>
                <w:szCs w:val="21"/>
                <w:lang w:val="zh-CN"/>
              </w:rPr>
              <w:t>析一览表单位</w:t>
            </w:r>
            <w:r>
              <w:rPr>
                <w:rFonts w:eastAsia="宋体"/>
                <w:b/>
                <w:bCs/>
                <w:sz w:val="21"/>
                <w:szCs w:val="21"/>
              </w:rPr>
              <w:t>m³</w:t>
            </w:r>
            <w:r>
              <w:rPr>
                <w:rFonts w:eastAsia="宋体"/>
                <w:b/>
                <w:bCs/>
                <w:sz w:val="21"/>
                <w:szCs w:val="21"/>
                <w:lang w:val="zh-CN"/>
              </w:rPr>
              <w:t>/d</w:t>
            </w:r>
          </w:p>
          <w:tbl>
            <w:tblPr>
              <w:tblStyle w:val="29"/>
              <w:tblW w:w="8041"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313"/>
              <w:gridCol w:w="836"/>
              <w:gridCol w:w="804"/>
              <w:gridCol w:w="723"/>
              <w:gridCol w:w="723"/>
              <w:gridCol w:w="723"/>
              <w:gridCol w:w="778"/>
              <w:gridCol w:w="778"/>
              <w:gridCol w:w="2363"/>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86" w:hRule="atLeast"/>
                <w:jc w:val="center"/>
              </w:trPr>
              <w:tc>
                <w:tcPr>
                  <w:tcW w:w="1149" w:type="dxa"/>
                  <w:gridSpan w:val="2"/>
                  <w:tcBorders>
                    <w:tl2br w:val="nil"/>
                    <w:tr2bl w:val="nil"/>
                  </w:tcBorders>
                  <w:vAlign w:val="center"/>
                </w:tcPr>
                <w:p>
                  <w:pPr>
                    <w:adjustRightInd w:val="0"/>
                    <w:snapToGrid w:val="0"/>
                    <w:jc w:val="center"/>
                    <w:rPr>
                      <w:b/>
                      <w:bCs/>
                      <w:spacing w:val="6"/>
                      <w:szCs w:val="21"/>
                    </w:rPr>
                  </w:pPr>
                  <w:r>
                    <w:rPr>
                      <w:b/>
                      <w:bCs/>
                      <w:spacing w:val="6"/>
                      <w:szCs w:val="21"/>
                    </w:rPr>
                    <w:t>用水类别</w:t>
                  </w:r>
                </w:p>
              </w:tc>
              <w:tc>
                <w:tcPr>
                  <w:tcW w:w="804" w:type="dxa"/>
                  <w:tcBorders>
                    <w:tl2br w:val="nil"/>
                    <w:tr2bl w:val="nil"/>
                  </w:tcBorders>
                  <w:vAlign w:val="center"/>
                </w:tcPr>
                <w:p>
                  <w:pPr>
                    <w:adjustRightInd w:val="0"/>
                    <w:snapToGrid w:val="0"/>
                    <w:jc w:val="center"/>
                    <w:rPr>
                      <w:b/>
                      <w:bCs/>
                      <w:spacing w:val="6"/>
                      <w:szCs w:val="21"/>
                    </w:rPr>
                  </w:pPr>
                  <w:r>
                    <w:rPr>
                      <w:b/>
                      <w:bCs/>
                      <w:spacing w:val="6"/>
                      <w:szCs w:val="21"/>
                    </w:rPr>
                    <w:t>用水量</w:t>
                  </w:r>
                </w:p>
              </w:tc>
              <w:tc>
                <w:tcPr>
                  <w:tcW w:w="723" w:type="dxa"/>
                  <w:tcBorders>
                    <w:tl2br w:val="nil"/>
                    <w:tr2bl w:val="nil"/>
                  </w:tcBorders>
                  <w:vAlign w:val="center"/>
                </w:tcPr>
                <w:p>
                  <w:pPr>
                    <w:adjustRightInd w:val="0"/>
                    <w:snapToGrid w:val="0"/>
                    <w:jc w:val="center"/>
                    <w:rPr>
                      <w:rFonts w:hint="default" w:eastAsia="宋体"/>
                      <w:b/>
                      <w:bCs/>
                      <w:spacing w:val="6"/>
                      <w:szCs w:val="21"/>
                      <w:lang w:val="en-US" w:eastAsia="zh-CN"/>
                    </w:rPr>
                  </w:pPr>
                  <w:r>
                    <w:rPr>
                      <w:rFonts w:hint="eastAsia"/>
                      <w:b/>
                      <w:bCs/>
                      <w:spacing w:val="6"/>
                      <w:szCs w:val="21"/>
                      <w:lang w:val="en-US" w:eastAsia="zh-CN"/>
                    </w:rPr>
                    <w:t>纯水量</w:t>
                  </w:r>
                </w:p>
              </w:tc>
              <w:tc>
                <w:tcPr>
                  <w:tcW w:w="723" w:type="dxa"/>
                  <w:tcBorders>
                    <w:tl2br w:val="nil"/>
                    <w:tr2bl w:val="nil"/>
                  </w:tcBorders>
                  <w:vAlign w:val="center"/>
                </w:tcPr>
                <w:p>
                  <w:pPr>
                    <w:adjustRightInd w:val="0"/>
                    <w:snapToGrid w:val="0"/>
                    <w:jc w:val="center"/>
                    <w:rPr>
                      <w:rFonts w:hint="default" w:eastAsia="宋体"/>
                      <w:b/>
                      <w:bCs/>
                      <w:spacing w:val="6"/>
                      <w:szCs w:val="21"/>
                      <w:lang w:val="en-US" w:eastAsia="zh-CN"/>
                    </w:rPr>
                  </w:pPr>
                  <w:r>
                    <w:rPr>
                      <w:rFonts w:hint="eastAsia"/>
                      <w:b/>
                      <w:bCs/>
                      <w:spacing w:val="6"/>
                      <w:szCs w:val="21"/>
                      <w:lang w:val="en-US" w:eastAsia="zh-CN"/>
                    </w:rPr>
                    <w:t>浓水量</w:t>
                  </w:r>
                </w:p>
              </w:tc>
              <w:tc>
                <w:tcPr>
                  <w:tcW w:w="723" w:type="dxa"/>
                  <w:tcBorders>
                    <w:tl2br w:val="nil"/>
                    <w:tr2bl w:val="nil"/>
                  </w:tcBorders>
                  <w:vAlign w:val="center"/>
                </w:tcPr>
                <w:p>
                  <w:pPr>
                    <w:adjustRightInd w:val="0"/>
                    <w:snapToGrid w:val="0"/>
                    <w:jc w:val="center"/>
                    <w:rPr>
                      <w:b/>
                      <w:bCs/>
                      <w:spacing w:val="6"/>
                      <w:szCs w:val="21"/>
                    </w:rPr>
                  </w:pPr>
                  <w:r>
                    <w:rPr>
                      <w:rFonts w:hint="eastAsia"/>
                      <w:b/>
                      <w:bCs/>
                      <w:spacing w:val="6"/>
                      <w:szCs w:val="21"/>
                    </w:rPr>
                    <w:t>损耗量</w:t>
                  </w:r>
                </w:p>
              </w:tc>
              <w:tc>
                <w:tcPr>
                  <w:tcW w:w="778" w:type="dxa"/>
                  <w:tcBorders>
                    <w:tl2br w:val="nil"/>
                    <w:tr2bl w:val="nil"/>
                  </w:tcBorders>
                  <w:vAlign w:val="center"/>
                </w:tcPr>
                <w:p>
                  <w:pPr>
                    <w:adjustRightInd w:val="0"/>
                    <w:snapToGrid w:val="0"/>
                    <w:jc w:val="center"/>
                    <w:rPr>
                      <w:rFonts w:hint="eastAsia" w:eastAsia="宋体"/>
                      <w:b/>
                      <w:bCs/>
                      <w:spacing w:val="6"/>
                      <w:szCs w:val="21"/>
                      <w:lang w:val="en-US" w:eastAsia="zh-CN"/>
                    </w:rPr>
                  </w:pPr>
                  <w:r>
                    <w:rPr>
                      <w:rFonts w:hint="eastAsia"/>
                      <w:b/>
                      <w:bCs/>
                      <w:spacing w:val="6"/>
                      <w:szCs w:val="21"/>
                      <w:lang w:val="en-US" w:eastAsia="zh-CN"/>
                    </w:rPr>
                    <w:t>回用水</w:t>
                  </w:r>
                </w:p>
              </w:tc>
              <w:tc>
                <w:tcPr>
                  <w:tcW w:w="778" w:type="dxa"/>
                  <w:tcBorders>
                    <w:tl2br w:val="nil"/>
                    <w:tr2bl w:val="nil"/>
                  </w:tcBorders>
                  <w:vAlign w:val="center"/>
                </w:tcPr>
                <w:p>
                  <w:pPr>
                    <w:adjustRightInd w:val="0"/>
                    <w:snapToGrid w:val="0"/>
                    <w:jc w:val="center"/>
                    <w:rPr>
                      <w:b/>
                      <w:bCs/>
                      <w:spacing w:val="6"/>
                      <w:szCs w:val="21"/>
                    </w:rPr>
                  </w:pPr>
                  <w:r>
                    <w:rPr>
                      <w:b/>
                      <w:bCs/>
                      <w:spacing w:val="6"/>
                      <w:szCs w:val="21"/>
                    </w:rPr>
                    <w:t>排水量</w:t>
                  </w:r>
                </w:p>
              </w:tc>
              <w:tc>
                <w:tcPr>
                  <w:tcW w:w="2363" w:type="dxa"/>
                  <w:tcBorders>
                    <w:tl2br w:val="nil"/>
                    <w:tr2bl w:val="nil"/>
                  </w:tcBorders>
                  <w:vAlign w:val="center"/>
                </w:tcPr>
                <w:p>
                  <w:pPr>
                    <w:adjustRightInd w:val="0"/>
                    <w:snapToGrid w:val="0"/>
                    <w:jc w:val="center"/>
                    <w:rPr>
                      <w:b/>
                      <w:bCs/>
                      <w:spacing w:val="6"/>
                      <w:szCs w:val="21"/>
                    </w:rPr>
                  </w:pPr>
                  <w:r>
                    <w:rPr>
                      <w:b/>
                      <w:bCs/>
                      <w:spacing w:val="6"/>
                      <w:szCs w:val="21"/>
                    </w:rPr>
                    <w:t>处理方式</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1149" w:type="dxa"/>
                  <w:gridSpan w:val="2"/>
                  <w:tcBorders>
                    <w:tl2br w:val="nil"/>
                    <w:tr2bl w:val="nil"/>
                  </w:tcBorders>
                  <w:vAlign w:val="center"/>
                </w:tcPr>
                <w:p>
                  <w:pPr>
                    <w:adjustRightInd w:val="0"/>
                    <w:snapToGrid w:val="0"/>
                    <w:jc w:val="center"/>
                    <w:rPr>
                      <w:spacing w:val="6"/>
                      <w:szCs w:val="21"/>
                    </w:rPr>
                  </w:pPr>
                  <w:r>
                    <w:rPr>
                      <w:spacing w:val="6"/>
                      <w:szCs w:val="21"/>
                    </w:rPr>
                    <w:t>生活用水</w:t>
                  </w:r>
                </w:p>
              </w:tc>
              <w:tc>
                <w:tcPr>
                  <w:tcW w:w="804" w:type="dxa"/>
                  <w:tcBorders>
                    <w:tl2br w:val="nil"/>
                    <w:tr2bl w:val="nil"/>
                  </w:tcBorders>
                  <w:vAlign w:val="center"/>
                </w:tcPr>
                <w:p>
                  <w:pPr>
                    <w:adjustRightInd w:val="0"/>
                    <w:snapToGrid w:val="0"/>
                    <w:jc w:val="center"/>
                    <w:rPr>
                      <w:spacing w:val="6"/>
                      <w:szCs w:val="21"/>
                    </w:rPr>
                  </w:pPr>
                  <w:r>
                    <w:rPr>
                      <w:rFonts w:hint="eastAsia"/>
                      <w:spacing w:val="6"/>
                      <w:szCs w:val="21"/>
                    </w:rPr>
                    <w:t>3.33</w:t>
                  </w:r>
                </w:p>
              </w:tc>
              <w:tc>
                <w:tcPr>
                  <w:tcW w:w="723"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723"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723" w:type="dxa"/>
                  <w:tcBorders>
                    <w:tl2br w:val="nil"/>
                    <w:tr2bl w:val="nil"/>
                  </w:tcBorders>
                  <w:vAlign w:val="center"/>
                </w:tcPr>
                <w:p>
                  <w:pPr>
                    <w:adjustRightInd w:val="0"/>
                    <w:snapToGrid w:val="0"/>
                    <w:jc w:val="center"/>
                    <w:rPr>
                      <w:spacing w:val="6"/>
                      <w:szCs w:val="21"/>
                    </w:rPr>
                  </w:pPr>
                  <w:r>
                    <w:rPr>
                      <w:rFonts w:hint="eastAsia"/>
                      <w:spacing w:val="6"/>
                      <w:szCs w:val="21"/>
                    </w:rPr>
                    <w:t>0.66</w:t>
                  </w:r>
                </w:p>
              </w:tc>
              <w:tc>
                <w:tcPr>
                  <w:tcW w:w="778"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778" w:type="dxa"/>
                  <w:tcBorders>
                    <w:tl2br w:val="nil"/>
                    <w:tr2bl w:val="nil"/>
                  </w:tcBorders>
                  <w:vAlign w:val="center"/>
                </w:tcPr>
                <w:p>
                  <w:pPr>
                    <w:adjustRightInd w:val="0"/>
                    <w:snapToGrid w:val="0"/>
                    <w:jc w:val="center"/>
                    <w:rPr>
                      <w:spacing w:val="6"/>
                      <w:szCs w:val="21"/>
                    </w:rPr>
                  </w:pPr>
                  <w:r>
                    <w:rPr>
                      <w:rFonts w:hint="eastAsia"/>
                      <w:spacing w:val="6"/>
                      <w:szCs w:val="21"/>
                    </w:rPr>
                    <w:t>2.67</w:t>
                  </w:r>
                </w:p>
              </w:tc>
              <w:tc>
                <w:tcPr>
                  <w:tcW w:w="2363" w:type="dxa"/>
                  <w:tcBorders>
                    <w:tl2br w:val="nil"/>
                    <w:tr2bl w:val="nil"/>
                  </w:tcBorders>
                  <w:vAlign w:val="center"/>
                </w:tcPr>
                <w:p>
                  <w:pPr>
                    <w:adjustRightInd w:val="0"/>
                    <w:snapToGrid w:val="0"/>
                    <w:jc w:val="center"/>
                    <w:rPr>
                      <w:spacing w:val="6"/>
                      <w:szCs w:val="21"/>
                    </w:rPr>
                  </w:pPr>
                  <w:r>
                    <w:rPr>
                      <w:rFonts w:hint="eastAsia"/>
                    </w:rPr>
                    <w:t>项目生活污水依托租赁房建成</w:t>
                  </w:r>
                  <w:r>
                    <w:rPr>
                      <w:rFonts w:hint="eastAsia"/>
                      <w:lang w:eastAsia="zh-CN"/>
                    </w:rPr>
                    <w:t>租赁方化粪池</w:t>
                  </w:r>
                  <w:r>
                    <w:rPr>
                      <w:rFonts w:hint="eastAsia"/>
                    </w:rPr>
                    <w:t>处理后定期清掏外运肥田</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848" w:hRule="atLeast"/>
                <w:jc w:val="center"/>
              </w:trPr>
              <w:tc>
                <w:tcPr>
                  <w:tcW w:w="313" w:type="dxa"/>
                  <w:vMerge w:val="restart"/>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纯水制备</w:t>
                  </w:r>
                </w:p>
              </w:tc>
              <w:tc>
                <w:tcPr>
                  <w:tcW w:w="836" w:type="dxa"/>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污水处理站用水</w:t>
                  </w:r>
                </w:p>
              </w:tc>
              <w:tc>
                <w:tcPr>
                  <w:tcW w:w="804" w:type="dxa"/>
                  <w:vMerge w:val="restart"/>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0.748</w:t>
                  </w:r>
                </w:p>
              </w:tc>
              <w:tc>
                <w:tcPr>
                  <w:tcW w:w="723" w:type="dxa"/>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0.02</w:t>
                  </w:r>
                </w:p>
              </w:tc>
              <w:tc>
                <w:tcPr>
                  <w:tcW w:w="723"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723" w:type="dxa"/>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0.02</w:t>
                  </w:r>
                </w:p>
              </w:tc>
              <w:tc>
                <w:tcPr>
                  <w:tcW w:w="778" w:type="dxa"/>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w:t>
                  </w:r>
                </w:p>
              </w:tc>
              <w:tc>
                <w:tcPr>
                  <w:tcW w:w="778" w:type="dxa"/>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w:t>
                  </w:r>
                </w:p>
              </w:tc>
              <w:tc>
                <w:tcPr>
                  <w:tcW w:w="2363" w:type="dxa"/>
                  <w:tcBorders>
                    <w:tl2br w:val="nil"/>
                    <w:tr2bl w:val="nil"/>
                  </w:tcBorders>
                  <w:vAlign w:val="center"/>
                </w:tcPr>
                <w:p>
                  <w:pPr>
                    <w:adjustRightInd w:val="0"/>
                    <w:snapToGrid w:val="0"/>
                    <w:jc w:val="center"/>
                    <w:rPr>
                      <w:rFonts w:hint="eastAsia" w:eastAsia="宋体"/>
                      <w:lang w:val="en-US" w:eastAsia="zh-CN"/>
                    </w:rPr>
                  </w:pPr>
                  <w:r>
                    <w:rPr>
                      <w:rFonts w:hint="eastAsia"/>
                      <w:lang w:val="en-US" w:eastAsia="zh-CN"/>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406" w:hRule="atLeast"/>
                <w:jc w:val="center"/>
              </w:trPr>
              <w:tc>
                <w:tcPr>
                  <w:tcW w:w="313" w:type="dxa"/>
                  <w:vMerge w:val="continue"/>
                  <w:tcBorders>
                    <w:tl2br w:val="nil"/>
                    <w:tr2bl w:val="nil"/>
                  </w:tcBorders>
                  <w:vAlign w:val="center"/>
                </w:tcPr>
                <w:p>
                  <w:pPr>
                    <w:adjustRightInd w:val="0"/>
                    <w:snapToGrid w:val="0"/>
                    <w:jc w:val="center"/>
                    <w:rPr>
                      <w:rFonts w:hint="default" w:eastAsia="宋体"/>
                      <w:spacing w:val="6"/>
                      <w:szCs w:val="21"/>
                      <w:lang w:val="en-US" w:eastAsia="zh-CN"/>
                    </w:rPr>
                  </w:pPr>
                </w:p>
              </w:tc>
              <w:tc>
                <w:tcPr>
                  <w:tcW w:w="836"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清洗用水</w:t>
                  </w:r>
                </w:p>
              </w:tc>
              <w:tc>
                <w:tcPr>
                  <w:tcW w:w="804" w:type="dxa"/>
                  <w:vMerge w:val="continue"/>
                  <w:tcBorders>
                    <w:tl2br w:val="nil"/>
                    <w:tr2bl w:val="nil"/>
                  </w:tcBorders>
                  <w:vAlign w:val="center"/>
                </w:tcPr>
                <w:p>
                  <w:pPr>
                    <w:adjustRightInd w:val="0"/>
                    <w:snapToGrid w:val="0"/>
                    <w:jc w:val="center"/>
                    <w:rPr>
                      <w:rFonts w:hint="default" w:eastAsia="宋体"/>
                      <w:spacing w:val="6"/>
                      <w:szCs w:val="21"/>
                      <w:lang w:val="en-US" w:eastAsia="zh-CN"/>
                    </w:rPr>
                  </w:pPr>
                </w:p>
              </w:tc>
              <w:tc>
                <w:tcPr>
                  <w:tcW w:w="723" w:type="dxa"/>
                  <w:tcBorders>
                    <w:tl2br w:val="nil"/>
                    <w:tr2bl w:val="nil"/>
                  </w:tcBorders>
                  <w:vAlign w:val="center"/>
                </w:tcPr>
                <w:p>
                  <w:pPr>
                    <w:adjustRightInd w:val="0"/>
                    <w:snapToGrid w:val="0"/>
                    <w:jc w:val="center"/>
                    <w:rPr>
                      <w:rFonts w:hint="eastAsia"/>
                      <w:spacing w:val="6"/>
                      <w:szCs w:val="21"/>
                    </w:rPr>
                  </w:pPr>
                  <w:r>
                    <w:rPr>
                      <w:rFonts w:hint="eastAsia"/>
                      <w:spacing w:val="6"/>
                      <w:szCs w:val="21"/>
                      <w:lang w:val="en-US" w:eastAsia="zh-CN"/>
                    </w:rPr>
                    <w:t>1.163</w:t>
                  </w:r>
                </w:p>
              </w:tc>
              <w:tc>
                <w:tcPr>
                  <w:tcW w:w="723" w:type="dxa"/>
                  <w:tcBorders>
                    <w:tl2br w:val="nil"/>
                    <w:tr2bl w:val="nil"/>
                  </w:tcBorders>
                  <w:vAlign w:val="center"/>
                </w:tcPr>
                <w:p>
                  <w:pPr>
                    <w:adjustRightInd w:val="0"/>
                    <w:snapToGrid w:val="0"/>
                    <w:jc w:val="center"/>
                    <w:rPr>
                      <w:rFonts w:hint="eastAsia"/>
                      <w:spacing w:val="6"/>
                      <w:szCs w:val="21"/>
                    </w:rPr>
                  </w:pPr>
                </w:p>
              </w:tc>
              <w:tc>
                <w:tcPr>
                  <w:tcW w:w="723"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0.43</w:t>
                  </w:r>
                </w:p>
              </w:tc>
              <w:tc>
                <w:tcPr>
                  <w:tcW w:w="778" w:type="dxa"/>
                  <w:vMerge w:val="restart"/>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0.83</w:t>
                  </w:r>
                </w:p>
              </w:tc>
              <w:tc>
                <w:tcPr>
                  <w:tcW w:w="778"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w:t>
                  </w:r>
                </w:p>
              </w:tc>
              <w:tc>
                <w:tcPr>
                  <w:tcW w:w="2363" w:type="dxa"/>
                  <w:tcBorders>
                    <w:tl2br w:val="nil"/>
                    <w:tr2bl w:val="nil"/>
                  </w:tcBorders>
                  <w:vAlign w:val="center"/>
                </w:tcPr>
                <w:p>
                  <w:pPr>
                    <w:pStyle w:val="41"/>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textAlignment w:val="auto"/>
                  </w:pPr>
                  <w:r>
                    <w:rPr>
                      <w:rFonts w:hint="eastAsia" w:eastAsia="宋体" w:cs="Times New Roman"/>
                      <w:kern w:val="2"/>
                      <w:sz w:val="21"/>
                      <w:szCs w:val="24"/>
                      <w:lang w:val="en-US" w:eastAsia="zh-CN" w:bidi="ar-SA"/>
                    </w:rPr>
                    <w:t>铝材表面处理废水和清洗废水</w:t>
                  </w:r>
                  <w:r>
                    <w:rPr>
                      <w:rFonts w:hint="eastAsia" w:ascii="Times New Roman" w:hAnsi="Times New Roman" w:eastAsia="宋体" w:cs="Times New Roman"/>
                      <w:kern w:val="2"/>
                      <w:sz w:val="21"/>
                      <w:szCs w:val="24"/>
                      <w:lang w:val="en-US" w:eastAsia="zh-CN" w:bidi="ar-SA"/>
                    </w:rPr>
                    <w:t>经污水处理站处理后产生污泥(</w:t>
                  </w:r>
                  <w:r>
                    <w:rPr>
                      <w:rFonts w:hint="eastAsia" w:ascii="Times New Roman" w:hAnsi="Times New Roman" w:eastAsia="宋体" w:cs="Times New Roman"/>
                      <w:b w:val="0"/>
                      <w:bCs w:val="0"/>
                      <w:kern w:val="2"/>
                      <w:sz w:val="21"/>
                      <w:szCs w:val="24"/>
                      <w:lang w:val="en-US" w:eastAsia="zh-CN" w:bidi="ar-SA"/>
                    </w:rPr>
                    <w:t>0.00</w:t>
                  </w:r>
                  <w:r>
                    <w:rPr>
                      <w:rFonts w:hint="eastAsia" w:eastAsia="宋体" w:cs="Times New Roman"/>
                      <w:b w:val="0"/>
                      <w:bCs w:val="0"/>
                      <w:kern w:val="2"/>
                      <w:sz w:val="21"/>
                      <w:szCs w:val="24"/>
                      <w:lang w:val="en-US" w:eastAsia="zh-CN" w:bidi="ar-SA"/>
                    </w:rPr>
                    <w:t>2</w:t>
                  </w:r>
                  <w:r>
                    <w:rPr>
                      <w:rFonts w:eastAsia="宋体"/>
                      <w:b w:val="0"/>
                      <w:bCs w:val="0"/>
                      <w:sz w:val="21"/>
                      <w:szCs w:val="21"/>
                    </w:rPr>
                    <w:t>m³</w:t>
                  </w:r>
                  <w:r>
                    <w:rPr>
                      <w:rFonts w:eastAsia="宋体"/>
                      <w:b w:val="0"/>
                      <w:bCs w:val="0"/>
                      <w:sz w:val="21"/>
                      <w:szCs w:val="21"/>
                      <w:lang w:val="zh-CN"/>
                    </w:rPr>
                    <w:t>/d</w:t>
                  </w:r>
                  <w:r>
                    <w:rPr>
                      <w:rFonts w:hint="eastAsia" w:eastAsia="宋体"/>
                      <w:b w:val="0"/>
                      <w:bCs w:val="0"/>
                      <w:sz w:val="21"/>
                      <w:szCs w:val="21"/>
                      <w:lang w:val="en-US" w:eastAsia="zh-CN"/>
                    </w:rPr>
                    <w:t>)</w:t>
                  </w:r>
                  <w:r>
                    <w:rPr>
                      <w:rFonts w:hint="eastAsia" w:ascii="Times New Roman" w:hAnsi="Times New Roman" w:eastAsia="宋体" w:cs="Times New Roman"/>
                      <w:kern w:val="2"/>
                      <w:sz w:val="21"/>
                      <w:szCs w:val="24"/>
                      <w:lang w:val="en-US" w:eastAsia="zh-CN" w:bidi="ar-SA"/>
                    </w:rPr>
                    <w:t>经压滤机压滤后暂存于危废贮存库，交由有资质单位进行处置。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313" w:type="dxa"/>
                  <w:vMerge w:val="continue"/>
                  <w:tcBorders>
                    <w:tl2br w:val="nil"/>
                    <w:tr2bl w:val="nil"/>
                  </w:tcBorders>
                  <w:vAlign w:val="center"/>
                </w:tcPr>
                <w:p>
                  <w:pPr>
                    <w:adjustRightInd w:val="0"/>
                    <w:snapToGrid w:val="0"/>
                    <w:jc w:val="center"/>
                    <w:rPr>
                      <w:rFonts w:hint="eastAsia"/>
                      <w:spacing w:val="6"/>
                      <w:szCs w:val="21"/>
                    </w:rPr>
                  </w:pPr>
                </w:p>
              </w:tc>
              <w:tc>
                <w:tcPr>
                  <w:tcW w:w="836" w:type="dxa"/>
                  <w:tcBorders>
                    <w:tl2br w:val="nil"/>
                    <w:tr2bl w:val="nil"/>
                  </w:tcBorders>
                  <w:vAlign w:val="center"/>
                </w:tcPr>
                <w:p>
                  <w:pPr>
                    <w:adjustRightInd w:val="0"/>
                    <w:snapToGrid w:val="0"/>
                    <w:jc w:val="center"/>
                    <w:rPr>
                      <w:rFonts w:hint="eastAsia"/>
                      <w:spacing w:val="6"/>
                      <w:szCs w:val="21"/>
                    </w:rPr>
                  </w:pPr>
                  <w:r>
                    <w:rPr>
                      <w:rFonts w:hint="eastAsia" w:ascii="Calibri" w:hAnsi="Calibri" w:eastAsia="宋体" w:cs="Calibri"/>
                      <w:lang w:val="en-US" w:eastAsia="zh-CN"/>
                    </w:rPr>
                    <w:t>铝材表面</w:t>
                  </w:r>
                  <w:r>
                    <w:rPr>
                      <w:rFonts w:eastAsia="宋体"/>
                    </w:rPr>
                    <w:t>处理</w:t>
                  </w:r>
                  <w:r>
                    <w:rPr>
                      <w:rFonts w:hint="eastAsia"/>
                      <w:spacing w:val="6"/>
                      <w:szCs w:val="21"/>
                    </w:rPr>
                    <w:t>用水</w:t>
                  </w:r>
                </w:p>
              </w:tc>
              <w:tc>
                <w:tcPr>
                  <w:tcW w:w="804"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0.036</w:t>
                  </w:r>
                </w:p>
              </w:tc>
              <w:tc>
                <w:tcPr>
                  <w:tcW w:w="723"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723"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0.394</w:t>
                  </w:r>
                </w:p>
              </w:tc>
              <w:tc>
                <w:tcPr>
                  <w:tcW w:w="723"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0.43</w:t>
                  </w:r>
                </w:p>
              </w:tc>
              <w:tc>
                <w:tcPr>
                  <w:tcW w:w="778" w:type="dxa"/>
                  <w:vMerge w:val="continue"/>
                  <w:tcBorders>
                    <w:tl2br w:val="nil"/>
                    <w:tr2bl w:val="nil"/>
                  </w:tcBorders>
                  <w:vAlign w:val="center"/>
                </w:tcPr>
                <w:p>
                  <w:pPr>
                    <w:adjustRightInd w:val="0"/>
                    <w:snapToGrid w:val="0"/>
                    <w:jc w:val="center"/>
                    <w:rPr>
                      <w:rFonts w:hint="default"/>
                      <w:spacing w:val="6"/>
                      <w:szCs w:val="21"/>
                      <w:lang w:val="en-US" w:eastAsia="zh-CN"/>
                    </w:rPr>
                  </w:pPr>
                </w:p>
              </w:tc>
              <w:tc>
                <w:tcPr>
                  <w:tcW w:w="778"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2363"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ascii="Calibri" w:hAnsi="Calibri" w:eastAsia="宋体" w:cs="Calibri"/>
                      <w:lang w:val="en-US" w:eastAsia="zh-CN"/>
                    </w:rPr>
                    <w:t>铝材表面</w:t>
                  </w:r>
                  <w:r>
                    <w:rPr>
                      <w:rFonts w:eastAsia="宋体"/>
                    </w:rPr>
                    <w:t>处理</w:t>
                  </w:r>
                  <w:r>
                    <w:rPr>
                      <w:rFonts w:hint="eastAsia" w:eastAsia="宋体"/>
                      <w:lang w:val="en-US" w:eastAsia="zh-CN"/>
                    </w:rPr>
                    <w:t>废液每年更换一次（0.0006</w:t>
                  </w:r>
                  <w:r>
                    <w:rPr>
                      <w:rFonts w:eastAsia="宋体"/>
                      <w:b w:val="0"/>
                      <w:bCs w:val="0"/>
                      <w:sz w:val="21"/>
                      <w:szCs w:val="21"/>
                    </w:rPr>
                    <w:t>m³</w:t>
                  </w:r>
                  <w:r>
                    <w:rPr>
                      <w:rFonts w:eastAsia="宋体"/>
                      <w:b w:val="0"/>
                      <w:bCs w:val="0"/>
                      <w:sz w:val="21"/>
                      <w:szCs w:val="21"/>
                      <w:lang w:val="zh-CN"/>
                    </w:rPr>
                    <w:t>/d</w:t>
                  </w:r>
                  <w:r>
                    <w:rPr>
                      <w:rFonts w:hint="eastAsia" w:eastAsia="宋体"/>
                      <w:lang w:eastAsia="zh-CN"/>
                    </w:rPr>
                    <w:t>）</w:t>
                  </w:r>
                  <w:r>
                    <w:rPr>
                      <w:rFonts w:hint="eastAsia" w:eastAsia="宋体"/>
                      <w:lang w:val="en-US" w:eastAsia="zh-CN"/>
                    </w:rPr>
                    <w:t>,废液暂存于危废贮存库，</w:t>
                  </w:r>
                  <w:r>
                    <w:rPr>
                      <w:rFonts w:hint="eastAsia" w:eastAsia="宋体"/>
                      <w:lang w:eastAsia="zh-CN"/>
                    </w:rPr>
                    <w:t>交由有资质单位进行处置。</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05" w:hRule="atLeast"/>
                <w:jc w:val="center"/>
              </w:trPr>
              <w:tc>
                <w:tcPr>
                  <w:tcW w:w="1149" w:type="dxa"/>
                  <w:gridSpan w:val="2"/>
                  <w:tcBorders>
                    <w:tl2br w:val="nil"/>
                    <w:tr2bl w:val="nil"/>
                  </w:tcBorders>
                  <w:vAlign w:val="center"/>
                </w:tcPr>
                <w:p>
                  <w:pPr>
                    <w:adjustRightInd w:val="0"/>
                    <w:snapToGrid w:val="0"/>
                    <w:jc w:val="center"/>
                    <w:rPr>
                      <w:spacing w:val="6"/>
                      <w:szCs w:val="21"/>
                    </w:rPr>
                  </w:pPr>
                  <w:r>
                    <w:rPr>
                      <w:rFonts w:hint="eastAsia"/>
                      <w:spacing w:val="6"/>
                      <w:szCs w:val="21"/>
                    </w:rPr>
                    <w:t>喷淋塔用水</w:t>
                  </w:r>
                </w:p>
              </w:tc>
              <w:tc>
                <w:tcPr>
                  <w:tcW w:w="804" w:type="dxa"/>
                  <w:tcBorders>
                    <w:tl2br w:val="nil"/>
                    <w:tr2bl w:val="nil"/>
                  </w:tcBorders>
                  <w:vAlign w:val="center"/>
                </w:tcPr>
                <w:p>
                  <w:pPr>
                    <w:adjustRightInd w:val="0"/>
                    <w:snapToGrid w:val="0"/>
                    <w:jc w:val="center"/>
                    <w:rPr>
                      <w:rFonts w:eastAsia="黑体"/>
                    </w:rPr>
                  </w:pPr>
                  <w:r>
                    <w:rPr>
                      <w:rFonts w:eastAsia="黑体"/>
                    </w:rPr>
                    <w:t>0.005</w:t>
                  </w:r>
                </w:p>
              </w:tc>
              <w:tc>
                <w:tcPr>
                  <w:tcW w:w="723" w:type="dxa"/>
                  <w:tcBorders>
                    <w:tl2br w:val="nil"/>
                    <w:tr2bl w:val="nil"/>
                  </w:tcBorders>
                  <w:vAlign w:val="center"/>
                </w:tcPr>
                <w:p>
                  <w:pPr>
                    <w:adjustRightInd w:val="0"/>
                    <w:snapToGrid w:val="0"/>
                    <w:jc w:val="center"/>
                    <w:rPr>
                      <w:spacing w:val="6"/>
                      <w:szCs w:val="21"/>
                    </w:rPr>
                  </w:pPr>
                </w:p>
              </w:tc>
              <w:tc>
                <w:tcPr>
                  <w:tcW w:w="723" w:type="dxa"/>
                  <w:tcBorders>
                    <w:tl2br w:val="nil"/>
                    <w:tr2bl w:val="nil"/>
                  </w:tcBorders>
                  <w:vAlign w:val="center"/>
                </w:tcPr>
                <w:p>
                  <w:pPr>
                    <w:adjustRightInd w:val="0"/>
                    <w:snapToGrid w:val="0"/>
                    <w:jc w:val="center"/>
                    <w:rPr>
                      <w:spacing w:val="6"/>
                      <w:szCs w:val="21"/>
                    </w:rPr>
                  </w:pPr>
                </w:p>
              </w:tc>
              <w:tc>
                <w:tcPr>
                  <w:tcW w:w="723" w:type="dxa"/>
                  <w:tcBorders>
                    <w:tl2br w:val="nil"/>
                    <w:tr2bl w:val="nil"/>
                  </w:tcBorders>
                  <w:vAlign w:val="center"/>
                </w:tcPr>
                <w:p>
                  <w:pPr>
                    <w:adjustRightInd w:val="0"/>
                    <w:snapToGrid w:val="0"/>
                    <w:jc w:val="center"/>
                    <w:rPr>
                      <w:spacing w:val="6"/>
                      <w:szCs w:val="21"/>
                    </w:rPr>
                  </w:pPr>
                  <w:r>
                    <w:rPr>
                      <w:spacing w:val="6"/>
                      <w:szCs w:val="21"/>
                    </w:rPr>
                    <w:t>0.005</w:t>
                  </w:r>
                </w:p>
              </w:tc>
              <w:tc>
                <w:tcPr>
                  <w:tcW w:w="778" w:type="dxa"/>
                  <w:tcBorders>
                    <w:tl2br w:val="nil"/>
                    <w:tr2bl w:val="nil"/>
                  </w:tcBorders>
                  <w:vAlign w:val="center"/>
                </w:tcPr>
                <w:p>
                  <w:pPr>
                    <w:adjustRightInd w:val="0"/>
                    <w:snapToGrid w:val="0"/>
                    <w:jc w:val="center"/>
                    <w:rPr>
                      <w:rFonts w:hint="eastAsia" w:eastAsia="宋体"/>
                      <w:spacing w:val="6"/>
                      <w:szCs w:val="21"/>
                      <w:lang w:val="en-US" w:eastAsia="zh-CN"/>
                    </w:rPr>
                  </w:pPr>
                  <w:r>
                    <w:rPr>
                      <w:rFonts w:hint="eastAsia"/>
                      <w:spacing w:val="6"/>
                      <w:szCs w:val="21"/>
                      <w:lang w:val="en-US" w:eastAsia="zh-CN"/>
                    </w:rPr>
                    <w:t>/</w:t>
                  </w:r>
                </w:p>
              </w:tc>
              <w:tc>
                <w:tcPr>
                  <w:tcW w:w="778" w:type="dxa"/>
                  <w:tcBorders>
                    <w:tl2br w:val="nil"/>
                    <w:tr2bl w:val="nil"/>
                  </w:tcBorders>
                  <w:vAlign w:val="center"/>
                </w:tcPr>
                <w:p>
                  <w:pPr>
                    <w:adjustRightInd w:val="0"/>
                    <w:snapToGrid w:val="0"/>
                    <w:jc w:val="center"/>
                    <w:rPr>
                      <w:spacing w:val="6"/>
                      <w:szCs w:val="21"/>
                    </w:rPr>
                  </w:pPr>
                  <w:r>
                    <w:rPr>
                      <w:rFonts w:hint="eastAsia"/>
                      <w:spacing w:val="6"/>
                      <w:szCs w:val="21"/>
                    </w:rPr>
                    <w:t>/</w:t>
                  </w:r>
                </w:p>
              </w:tc>
              <w:tc>
                <w:tcPr>
                  <w:tcW w:w="2363" w:type="dxa"/>
                  <w:tcBorders>
                    <w:tl2br w:val="nil"/>
                    <w:tr2bl w:val="nil"/>
                  </w:tcBorders>
                  <w:vAlign w:val="center"/>
                </w:tcPr>
                <w:p>
                  <w:pPr>
                    <w:adjustRightInd w:val="0"/>
                    <w:snapToGrid w:val="0"/>
                    <w:jc w:val="center"/>
                  </w:pPr>
                  <w:r>
                    <w:rPr>
                      <w:rFonts w:hint="eastAsia"/>
                    </w:rPr>
                    <w:t>循环使用不外排</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1149" w:type="dxa"/>
                  <w:gridSpan w:val="2"/>
                  <w:tcBorders>
                    <w:tl2br w:val="nil"/>
                    <w:tr2bl w:val="nil"/>
                  </w:tcBorders>
                  <w:vAlign w:val="center"/>
                </w:tcPr>
                <w:p>
                  <w:pPr>
                    <w:adjustRightInd w:val="0"/>
                    <w:snapToGrid w:val="0"/>
                    <w:jc w:val="center"/>
                    <w:rPr>
                      <w:spacing w:val="6"/>
                      <w:szCs w:val="21"/>
                    </w:rPr>
                  </w:pPr>
                  <w:r>
                    <w:rPr>
                      <w:rFonts w:ascii="Arial" w:eastAsia="黑体"/>
                    </w:rPr>
                    <w:pict>
                      <v:shape id="_x0000_s2054" o:spid="_x0000_s2054" o:spt="75" type="#_x0000_t75" style="position:absolute;left:0pt;margin-left:-18pt;margin-top:8.8pt;height:253.95pt;width:434.6pt;z-index:251668480;mso-width-relative:page;mso-height-relative:page;" o:ole="t" filled="f" o:preferrelative="t" stroked="f" coordsize="21600,21600">
                        <v:path/>
                        <v:fill on="f" focussize="0,0"/>
                        <v:stroke on="f"/>
                        <v:imagedata r:id="rId9" o:title=""/>
                        <o:lock v:ext="edit" aspectratio="f"/>
                      </v:shape>
                      <o:OLEObject Type="Embed" ProgID="Visio.Drawing.11" ShapeID="_x0000_s2054" DrawAspect="Content" ObjectID="_1468075725" r:id="rId8">
                        <o:LockedField>false</o:LockedField>
                      </o:OLEObject>
                    </w:pict>
                  </w:r>
                  <w:r>
                    <w:rPr>
                      <w:rFonts w:hint="eastAsia"/>
                      <w:spacing w:val="6"/>
                      <w:szCs w:val="21"/>
                    </w:rPr>
                    <w:t>合计</w:t>
                  </w:r>
                </w:p>
              </w:tc>
              <w:tc>
                <w:tcPr>
                  <w:tcW w:w="804"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4.114</w:t>
                  </w:r>
                </w:p>
              </w:tc>
              <w:tc>
                <w:tcPr>
                  <w:tcW w:w="723"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1.183</w:t>
                  </w:r>
                </w:p>
              </w:tc>
              <w:tc>
                <w:tcPr>
                  <w:tcW w:w="723"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0.394</w:t>
                  </w:r>
                </w:p>
              </w:tc>
              <w:tc>
                <w:tcPr>
                  <w:tcW w:w="723"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1.545</w:t>
                  </w:r>
                </w:p>
              </w:tc>
              <w:tc>
                <w:tcPr>
                  <w:tcW w:w="778" w:type="dxa"/>
                  <w:tcBorders>
                    <w:tl2br w:val="nil"/>
                    <w:tr2bl w:val="nil"/>
                  </w:tcBorders>
                  <w:vAlign w:val="center"/>
                </w:tcPr>
                <w:p>
                  <w:pPr>
                    <w:adjustRightInd w:val="0"/>
                    <w:snapToGrid w:val="0"/>
                    <w:jc w:val="center"/>
                    <w:rPr>
                      <w:rFonts w:hint="default"/>
                      <w:spacing w:val="6"/>
                      <w:szCs w:val="21"/>
                      <w:lang w:val="en-US" w:eastAsia="zh-CN"/>
                    </w:rPr>
                  </w:pPr>
                  <w:r>
                    <w:rPr>
                      <w:rFonts w:hint="eastAsia"/>
                      <w:spacing w:val="6"/>
                      <w:szCs w:val="21"/>
                      <w:lang w:val="en-US" w:eastAsia="zh-CN"/>
                    </w:rPr>
                    <w:t>0.83</w:t>
                  </w:r>
                </w:p>
              </w:tc>
              <w:tc>
                <w:tcPr>
                  <w:tcW w:w="778" w:type="dxa"/>
                  <w:tcBorders>
                    <w:tl2br w:val="nil"/>
                    <w:tr2bl w:val="nil"/>
                  </w:tcBorders>
                  <w:vAlign w:val="center"/>
                </w:tcPr>
                <w:p>
                  <w:pPr>
                    <w:adjustRightInd w:val="0"/>
                    <w:snapToGrid w:val="0"/>
                    <w:jc w:val="center"/>
                    <w:rPr>
                      <w:rFonts w:hint="default" w:eastAsia="宋体"/>
                      <w:spacing w:val="6"/>
                      <w:szCs w:val="21"/>
                      <w:lang w:val="en-US" w:eastAsia="zh-CN"/>
                    </w:rPr>
                  </w:pPr>
                  <w:r>
                    <w:rPr>
                      <w:rFonts w:hint="eastAsia"/>
                      <w:spacing w:val="6"/>
                      <w:szCs w:val="21"/>
                      <w:lang w:val="en-US" w:eastAsia="zh-CN"/>
                    </w:rPr>
                    <w:t>2.67</w:t>
                  </w:r>
                </w:p>
              </w:tc>
              <w:tc>
                <w:tcPr>
                  <w:tcW w:w="2363" w:type="dxa"/>
                  <w:tcBorders>
                    <w:tl2br w:val="nil"/>
                    <w:tr2bl w:val="nil"/>
                  </w:tcBorders>
                  <w:vAlign w:val="center"/>
                </w:tcPr>
                <w:p>
                  <w:pPr>
                    <w:adjustRightInd w:val="0"/>
                    <w:snapToGrid w:val="0"/>
                    <w:jc w:val="center"/>
                    <w:rPr>
                      <w:rFonts w:hint="eastAsia" w:eastAsia="宋体"/>
                      <w:lang w:eastAsia="zh-CN"/>
                    </w:rPr>
                  </w:pPr>
                  <w:r>
                    <w:rPr>
                      <w:rFonts w:hint="eastAsia"/>
                      <w:lang w:val="en-US" w:eastAsia="zh-CN"/>
                    </w:rPr>
                    <w:t>/</w:t>
                  </w:r>
                </w:p>
              </w:tc>
            </w:tr>
          </w:tbl>
          <w:p>
            <w:pPr>
              <w:snapToGrid w:val="0"/>
              <w:spacing w:line="480" w:lineRule="exact"/>
              <w:rPr>
                <w:rFonts w:ascii="Arial" w:eastAsia="黑体"/>
              </w:rPr>
            </w:pPr>
          </w:p>
          <w:p>
            <w:pPr>
              <w:pStyle w:val="9"/>
              <w:rPr>
                <w:rFonts w:ascii="Arial" w:eastAsia="黑体"/>
              </w:rPr>
            </w:pPr>
          </w:p>
          <w:p>
            <w:pPr>
              <w:rPr>
                <w:rFonts w:ascii="Arial" w:eastAsia="黑体"/>
              </w:rPr>
            </w:pPr>
          </w:p>
          <w:p>
            <w:pPr>
              <w:pStyle w:val="9"/>
              <w:rPr>
                <w:rFonts w:ascii="Arial" w:eastAsia="黑体"/>
              </w:rPr>
            </w:pPr>
          </w:p>
          <w:p>
            <w:pPr>
              <w:rPr>
                <w:rFonts w:ascii="Arial" w:eastAsia="黑体"/>
              </w:rPr>
            </w:pPr>
          </w:p>
          <w:p>
            <w:pPr>
              <w:pStyle w:val="9"/>
            </w:pPr>
          </w:p>
          <w:p>
            <w:pPr>
              <w:snapToGrid w:val="0"/>
              <w:spacing w:line="480" w:lineRule="exact"/>
              <w:rPr>
                <w:b/>
              </w:rPr>
            </w:pPr>
          </w:p>
          <w:p>
            <w:pPr>
              <w:snapToGrid w:val="0"/>
              <w:spacing w:line="480" w:lineRule="exact"/>
              <w:rPr>
                <w:b/>
              </w:rPr>
            </w:pPr>
          </w:p>
          <w:p>
            <w:pPr>
              <w:snapToGrid w:val="0"/>
              <w:spacing w:line="480" w:lineRule="exact"/>
              <w:rPr>
                <w:b/>
              </w:rPr>
            </w:pPr>
          </w:p>
          <w:p>
            <w:pPr>
              <w:snapToGrid w:val="0"/>
              <w:spacing w:line="480" w:lineRule="exact"/>
              <w:jc w:val="center"/>
              <w:rPr>
                <w:b/>
                <w:kern w:val="0"/>
                <w:sz w:val="18"/>
                <w:szCs w:val="1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
                <w:kern w:val="0"/>
                <w:sz w:val="18"/>
                <w:szCs w:val="1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b/>
                <w:kern w:val="0"/>
                <w:sz w:val="18"/>
                <w:szCs w:val="18"/>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b/>
                <w:kern w:val="0"/>
                <w:sz w:val="21"/>
                <w:szCs w:val="21"/>
                <w:highlight w:val="none"/>
                <w:lang w:val="en-US" w:eastAsia="zh-CN"/>
              </w:rPr>
            </w:pPr>
            <w:r>
              <w:rPr>
                <w:sz w:val="21"/>
                <w:szCs w:val="21"/>
              </w:rPr>
              <mc:AlternateContent>
                <mc:Choice Requires="wps">
                  <w:drawing>
                    <wp:anchor distT="0" distB="0" distL="114300" distR="114300" simplePos="0" relativeHeight="251660288" behindDoc="0" locked="0" layoutInCell="1" allowOverlap="1">
                      <wp:simplePos x="0" y="0"/>
                      <wp:positionH relativeFrom="column">
                        <wp:posOffset>1038225</wp:posOffset>
                      </wp:positionH>
                      <wp:positionV relativeFrom="paragraph">
                        <wp:posOffset>16071850</wp:posOffset>
                      </wp:positionV>
                      <wp:extent cx="238125" cy="7620"/>
                      <wp:effectExtent l="0" t="46355" r="9525" b="60325"/>
                      <wp:wrapNone/>
                      <wp:docPr id="38" name="直接箭头连接符 38"/>
                      <wp:cNvGraphicFramePr/>
                      <a:graphic xmlns:a="http://schemas.openxmlformats.org/drawingml/2006/main">
                        <a:graphicData uri="http://schemas.microsoft.com/office/word/2010/wordprocessingShape">
                          <wps:wsp>
                            <wps:cNvCnPr/>
                            <wps:spPr>
                              <a:xfrm flipV="1">
                                <a:off x="0" y="0"/>
                                <a:ext cx="238125" cy="762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y;margin-left:81.75pt;margin-top:1265.5pt;height:0.6pt;width:18.75pt;z-index:251660288;mso-width-relative:page;mso-height-relative:page;" filled="f" stroked="t" coordsize="21600,21600" o:gfxdata="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Jsi4gdgAAAANAQAADwAAAAAA&#10;AAABACAAAAAiAAAAZHJzL2Rvd25yZXYueG1sUEsBAhQAFAAAAAgAh07iQCKzPPETAgAABQQAAA4A&#10;AAAAAAAAAQAgAAAAJwEAAGRycy9lMm9Eb2MueG1sUEsFBgAAAAAGAAYAWQEAAKwFAAAAAA==&#10;">
                      <v:fill on="f" focussize="0,0"/>
                      <v:stroke color="#000000" joinstyle="round" endarrow="open"/>
                      <v:imagedata o:title=""/>
                      <o:lock v:ext="edit" aspectratio="f"/>
                    </v:shape>
                  </w:pict>
                </mc:Fallback>
              </mc:AlternateContent>
            </w:r>
            <w:r>
              <w:rPr>
                <w:sz w:val="21"/>
                <w:szCs w:val="21"/>
              </w:rPr>
              <mc:AlternateContent>
                <mc:Choice Requires="wps">
                  <w:drawing>
                    <wp:anchor distT="0" distB="0" distL="114300" distR="114300" simplePos="0" relativeHeight="251659264" behindDoc="0" locked="0" layoutInCell="1" allowOverlap="1">
                      <wp:simplePos x="0" y="0"/>
                      <wp:positionH relativeFrom="column">
                        <wp:posOffset>1038225</wp:posOffset>
                      </wp:positionH>
                      <wp:positionV relativeFrom="paragraph">
                        <wp:posOffset>16071850</wp:posOffset>
                      </wp:positionV>
                      <wp:extent cx="238125" cy="7620"/>
                      <wp:effectExtent l="635" t="0" r="8890" b="35560"/>
                      <wp:wrapNone/>
                      <wp:docPr id="32" name="直接箭头连接符 32"/>
                      <wp:cNvGraphicFramePr/>
                      <a:graphic xmlns:a="http://schemas.openxmlformats.org/drawingml/2006/main">
                        <a:graphicData uri="http://schemas.microsoft.com/office/word/2010/wordprocessingShape">
                          <wps:wsp>
                            <wps:cNvCnPr/>
                            <wps:spPr>
                              <a:xfrm flipV="1">
                                <a:off x="0" y="0"/>
                                <a:ext cx="238125" cy="7620"/>
                              </a:xfrm>
                              <a:prstGeom prst="straightConnector1">
                                <a:avLst/>
                              </a:prstGeom>
                              <a:ln w="25400" cap="flat" cmpd="sng">
                                <a:solidFill>
                                  <a:srgbClr val="000000"/>
                                </a:solidFill>
                                <a:prstDash val="solid"/>
                                <a:round/>
                                <a:headEnd type="none" w="med" len="med"/>
                                <a:tailEnd type="none" w="med" len="med"/>
                              </a:ln>
                              <a:effectLst>
                                <a:outerShdw dist="20000" dir="5400000" rotWithShape="0">
                                  <a:srgbClr val="000000">
                                    <a:alpha val="37999"/>
                                  </a:srgbClr>
                                </a:outerShdw>
                              </a:effectLst>
                            </wps:spPr>
                            <wps:bodyPr/>
                          </wps:wsp>
                        </a:graphicData>
                      </a:graphic>
                    </wp:anchor>
                  </w:drawing>
                </mc:Choice>
                <mc:Fallback>
                  <w:pict>
                    <v:shape id="_x0000_s1026" o:spid="_x0000_s1026" o:spt="32" type="#_x0000_t32" style="position:absolute;left:0pt;flip:y;margin-left:81.75pt;margin-top:1265.5pt;height:0.6pt;width:18.75pt;z-index:251659264;mso-width-relative:page;mso-height-relative:page;" filled="f" stroked="t" coordsize="21600,21600" o:gfxdata="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MOoe3zYAAAADQEAAA8A&#10;AAAAAAAAAQAgAAAAIgAAAGRycy9kb3ducmV2LnhtbFBLAQIUABQAAAAIAIdO4kBH21dmUAIAAKEE&#10;AAAOAAAAAAAAAAEAIAAAACcBAABkcnMvZTJvRG9jLnhtbFBLBQYAAAAABgAGAFkBAADpBQAAAAA=&#10;">
                      <v:fill on="f" focussize="0,0"/>
                      <v:stroke weight="2pt" color="#000000" joinstyle="round"/>
                      <v:imagedata o:title=""/>
                      <o:lock v:ext="edit" aspectratio="f"/>
                      <v:shadow on="t" color="#000000" opacity="24903f" offset="0pt,1.5748031496063pt" origin="0f,32768f" matrix="65536f,0f,0f,65536f"/>
                    </v:shape>
                  </w:pict>
                </mc:Fallback>
              </mc:AlternateContent>
            </w:r>
            <w:r>
              <w:rPr>
                <w:sz w:val="21"/>
                <w:szCs w:val="21"/>
              </w:rPr>
              <mc:AlternateContent>
                <mc:Choice Requires="wps">
                  <w:drawing>
                    <wp:anchor distT="0" distB="0" distL="114300" distR="114300" simplePos="0" relativeHeight="251661312" behindDoc="0" locked="0" layoutInCell="1" allowOverlap="1">
                      <wp:simplePos x="0" y="0"/>
                      <wp:positionH relativeFrom="column">
                        <wp:posOffset>1038225</wp:posOffset>
                      </wp:positionH>
                      <wp:positionV relativeFrom="paragraph">
                        <wp:posOffset>15462250</wp:posOffset>
                      </wp:positionV>
                      <wp:extent cx="238125" cy="7620"/>
                      <wp:effectExtent l="0" t="46355" r="9525" b="60325"/>
                      <wp:wrapNone/>
                      <wp:docPr id="25" name="直接箭头连接符 25"/>
                      <wp:cNvGraphicFramePr/>
                      <a:graphic xmlns:a="http://schemas.openxmlformats.org/drawingml/2006/main">
                        <a:graphicData uri="http://schemas.microsoft.com/office/word/2010/wordprocessingShape">
                          <wps:wsp>
                            <wps:cNvCnPr/>
                            <wps:spPr>
                              <a:xfrm flipV="1">
                                <a:off x="0" y="0"/>
                                <a:ext cx="238125" cy="7620"/>
                              </a:xfrm>
                              <a:prstGeom prst="straightConnector1">
                                <a:avLst/>
                              </a:prstGeom>
                              <a:ln w="9525" cap="flat" cmpd="sng">
                                <a:solidFill>
                                  <a:srgbClr val="000000"/>
                                </a:solidFill>
                                <a:prstDash val="solid"/>
                                <a:round/>
                                <a:headEnd type="none" w="med" len="med"/>
                                <a:tailEnd type="arrow" w="med" len="med"/>
                              </a:ln>
                            </wps:spPr>
                            <wps:bodyPr/>
                          </wps:wsp>
                        </a:graphicData>
                      </a:graphic>
                    </wp:anchor>
                  </w:drawing>
                </mc:Choice>
                <mc:Fallback>
                  <w:pict>
                    <v:shape id="_x0000_s1026" o:spid="_x0000_s1026" o:spt="32" type="#_x0000_t32" style="position:absolute;left:0pt;flip:y;margin-left:81.75pt;margin-top:1217.5pt;height:0.6pt;width:18.75pt;z-index:251661312;mso-width-relative:page;mso-height-relative:page;" filled="f" stroked="t" coordsize="21600,21600" o:gfxdata="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7/z/R2QAAAA0BAAAPAAAAAAAA&#10;AAEAIAAAACIAAABkcnMvZG93bnJldi54bWxQSwECFAAUAAAACACHTuJAMZ6ZNhECAAAFBAAADgAA&#10;AAAAAAABACAAAAAoAQAAZHJzL2Uyb0RvYy54bWxQSwUGAAAAAAYABgBZAQAAqwUAAAAA&#10;">
                      <v:fill on="f" focussize="0,0"/>
                      <v:stroke color="#000000" joinstyle="round" endarrow="open"/>
                      <v:imagedata o:title=""/>
                      <o:lock v:ext="edit" aspectratio="f"/>
                    </v:shape>
                  </w:pict>
                </mc:Fallback>
              </mc:AlternateContent>
            </w:r>
            <w:r>
              <w:rPr>
                <w:b/>
                <w:kern w:val="0"/>
                <w:sz w:val="21"/>
                <w:szCs w:val="21"/>
              </w:rPr>
              <w:t>图</w:t>
            </w:r>
            <w:r>
              <w:rPr>
                <w:rFonts w:hint="eastAsia"/>
                <w:b/>
                <w:kern w:val="0"/>
                <w:sz w:val="21"/>
                <w:szCs w:val="21"/>
              </w:rPr>
              <w:t>2-1</w:t>
            </w:r>
            <w:r>
              <w:rPr>
                <w:b/>
                <w:kern w:val="0"/>
                <w:sz w:val="21"/>
                <w:szCs w:val="21"/>
                <w:highlight w:val="none"/>
              </w:rPr>
              <w:t>项目</w:t>
            </w:r>
            <w:r>
              <w:rPr>
                <w:rFonts w:hint="eastAsia"/>
                <w:b/>
                <w:kern w:val="0"/>
                <w:sz w:val="21"/>
                <w:szCs w:val="21"/>
                <w:highlight w:val="none"/>
              </w:rPr>
              <w:t>细化项目各工序用水量、排水量及水平衡图</w:t>
            </w:r>
            <w:r>
              <w:rPr>
                <w:rFonts w:hint="eastAsia"/>
                <w:b/>
                <w:kern w:val="0"/>
                <w:sz w:val="21"/>
                <w:szCs w:val="21"/>
                <w:highlight w:val="none"/>
                <w:lang w:val="en-US" w:eastAsia="zh-CN"/>
              </w:rPr>
              <w:t>（m³/d）</w:t>
            </w:r>
          </w:p>
          <w:p>
            <w:pPr>
              <w:keepNext w:val="0"/>
              <w:keepLines w:val="0"/>
              <w:pageBreakBefore w:val="0"/>
              <w:widowControl w:val="0"/>
              <w:kinsoku/>
              <w:wordWrap/>
              <w:overflowPunct/>
              <w:topLinePunct w:val="0"/>
              <w:autoSpaceDE/>
              <w:autoSpaceDN/>
              <w:bidi w:val="0"/>
              <w:adjustRightInd w:val="0"/>
              <w:snapToGrid w:val="0"/>
              <w:spacing w:line="360" w:lineRule="auto"/>
              <w:jc w:val="left"/>
              <w:textAlignment w:val="auto"/>
              <w:rPr>
                <w:b/>
                <w:bCs/>
                <w:sz w:val="24"/>
              </w:rPr>
            </w:pPr>
            <w:r>
              <w:rPr>
                <w:rFonts w:hint="eastAsia"/>
                <w:b/>
                <w:bCs/>
                <w:sz w:val="24"/>
              </w:rPr>
              <w:t>7、</w:t>
            </w:r>
            <w:r>
              <w:rPr>
                <w:b/>
                <w:bCs/>
                <w:sz w:val="24"/>
              </w:rPr>
              <w:t>劳动定员及工作制度</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rPr>
                <w:sz w:val="24"/>
              </w:rPr>
            </w:pPr>
            <w:r>
              <w:rPr>
                <w:rFonts w:hint="eastAsia"/>
                <w:sz w:val="24"/>
                <w:lang w:eastAsia="zh-CN"/>
              </w:rPr>
              <w:t>项目</w:t>
            </w:r>
            <w:r>
              <w:rPr>
                <w:sz w:val="24"/>
              </w:rPr>
              <w:t>劳动定员</w:t>
            </w:r>
            <w:r>
              <w:rPr>
                <w:rFonts w:hint="eastAsia"/>
                <w:sz w:val="24"/>
              </w:rPr>
              <w:t>40</w:t>
            </w:r>
            <w:r>
              <w:rPr>
                <w:sz w:val="24"/>
              </w:rPr>
              <w:t>人，工作制度为</w:t>
            </w:r>
            <w:r>
              <w:rPr>
                <w:rFonts w:hint="eastAsia"/>
                <w:sz w:val="24"/>
              </w:rPr>
              <w:t>一</w:t>
            </w:r>
            <w:r>
              <w:rPr>
                <w:sz w:val="24"/>
              </w:rPr>
              <w:t>班倒，</w:t>
            </w:r>
            <w:r>
              <w:rPr>
                <w:rFonts w:hint="eastAsia"/>
                <w:sz w:val="24"/>
              </w:rPr>
              <w:t>单班</w:t>
            </w:r>
            <w:r>
              <w:rPr>
                <w:sz w:val="24"/>
              </w:rPr>
              <w:t>工作时间8h/d，年工作天数为300d</w:t>
            </w:r>
            <w:r>
              <w:rPr>
                <w:rFonts w:hint="eastAsia"/>
                <w:sz w:val="24"/>
              </w:rPr>
              <w:t>，不提供食宿。</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b/>
                <w:bCs/>
                <w:sz w:val="24"/>
              </w:rPr>
            </w:pPr>
            <w:r>
              <w:rPr>
                <w:rFonts w:hint="eastAsia"/>
                <w:b/>
                <w:bCs/>
                <w:sz w:val="24"/>
              </w:rPr>
              <w:t>8</w:t>
            </w:r>
            <w:r>
              <w:rPr>
                <w:b/>
                <w:bCs/>
                <w:sz w:val="24"/>
              </w:rPr>
              <w:t>、</w:t>
            </w:r>
            <w:r>
              <w:rPr>
                <w:rFonts w:hint="eastAsia"/>
                <w:b/>
                <w:bCs/>
                <w:sz w:val="24"/>
              </w:rPr>
              <w:t>厂区</w:t>
            </w:r>
            <w:r>
              <w:rPr>
                <w:b/>
                <w:bCs/>
                <w:sz w:val="24"/>
              </w:rPr>
              <w:t>总平面布置</w:t>
            </w:r>
          </w:p>
          <w:p>
            <w:pPr>
              <w:adjustRightInd w:val="0"/>
              <w:snapToGrid w:val="0"/>
              <w:spacing w:line="360" w:lineRule="auto"/>
              <w:ind w:firstLine="480" w:firstLineChars="200"/>
              <w:rPr>
                <w:spacing w:val="6"/>
                <w:szCs w:val="21"/>
              </w:rPr>
            </w:pPr>
            <w:r>
              <w:rPr>
                <w:rFonts w:hint="eastAsia"/>
                <w:sz w:val="24"/>
                <w:lang w:eastAsia="zh-CN"/>
              </w:rPr>
              <w:t>项目</w:t>
            </w:r>
            <w:r>
              <w:rPr>
                <w:rFonts w:hint="eastAsia"/>
                <w:spacing w:val="6"/>
                <w:sz w:val="24"/>
              </w:rPr>
              <w:t>占地约6000m</w:t>
            </w:r>
            <w:r>
              <w:rPr>
                <w:rFonts w:hint="eastAsia"/>
                <w:spacing w:val="6"/>
                <w:sz w:val="24"/>
                <w:vertAlign w:val="superscript"/>
              </w:rPr>
              <w:t>2</w:t>
            </w:r>
            <w:r>
              <w:rPr>
                <w:rFonts w:hint="eastAsia"/>
                <w:spacing w:val="6"/>
                <w:sz w:val="24"/>
              </w:rPr>
              <w:t>，</w:t>
            </w:r>
            <w:r>
              <w:rPr>
                <w:sz w:val="24"/>
              </w:rPr>
              <w:t>建筑面积</w:t>
            </w:r>
            <w:r>
              <w:rPr>
                <w:rFonts w:hint="eastAsia"/>
                <w:sz w:val="24"/>
              </w:rPr>
              <w:t>6000</w:t>
            </w:r>
            <w:r>
              <w:rPr>
                <w:sz w:val="24"/>
              </w:rPr>
              <w:t>m</w:t>
            </w:r>
            <w:r>
              <w:rPr>
                <w:sz w:val="24"/>
                <w:vertAlign w:val="superscript"/>
              </w:rPr>
              <w:t>2</w:t>
            </w:r>
            <w:r>
              <w:rPr>
                <w:rFonts w:hint="eastAsia"/>
                <w:sz w:val="24"/>
              </w:rPr>
              <w:t>，租赁一层钢结构厂房，</w:t>
            </w:r>
            <w:r>
              <w:rPr>
                <w:spacing w:val="6"/>
                <w:sz w:val="24"/>
              </w:rPr>
              <w:t>大门朝</w:t>
            </w:r>
            <w:r>
              <w:rPr>
                <w:rFonts w:hint="eastAsia"/>
                <w:spacing w:val="6"/>
                <w:sz w:val="24"/>
              </w:rPr>
              <w:t>东，办公区位于厂区东北角，原料区</w:t>
            </w:r>
            <w:r>
              <w:rPr>
                <w:rFonts w:hint="eastAsia"/>
                <w:spacing w:val="6"/>
                <w:sz w:val="24"/>
                <w:lang w:val="en-US" w:eastAsia="zh-CN"/>
              </w:rPr>
              <w:t>(</w:t>
            </w:r>
            <w:r>
              <w:rPr>
                <w:rFonts w:hint="eastAsia"/>
                <w:spacing w:val="6"/>
                <w:sz w:val="24"/>
              </w:rPr>
              <w:t>储存铝材</w:t>
            </w:r>
            <w:r>
              <w:rPr>
                <w:rFonts w:hint="eastAsia"/>
                <w:spacing w:val="6"/>
                <w:sz w:val="24"/>
                <w:lang w:eastAsia="zh-CN"/>
              </w:rPr>
              <w:t>、</w:t>
            </w:r>
            <w:r>
              <w:rPr>
                <w:rFonts w:hint="eastAsia"/>
                <w:spacing w:val="6"/>
                <w:sz w:val="24"/>
              </w:rPr>
              <w:t>铝卷</w:t>
            </w:r>
            <w:r>
              <w:rPr>
                <w:rFonts w:hint="eastAsia"/>
                <w:spacing w:val="6"/>
                <w:sz w:val="24"/>
                <w:lang w:val="en-US" w:eastAsia="zh-CN"/>
              </w:rPr>
              <w:t>和高分子覆膜材料</w:t>
            </w:r>
            <w:r>
              <w:rPr>
                <w:rFonts w:hint="eastAsia"/>
                <w:spacing w:val="6"/>
                <w:sz w:val="24"/>
              </w:rPr>
              <w:t>)位于办公室西侧，金属管材加工区位于原料区西侧，成品区位于原料区南侧，覆膜生产线位于成品区中部，木纹转印位于覆膜生产线南侧，喷塑生产线位于车间南部，污水处理站位于厂区西北角，药品室位于污水处理站南侧，危废贮存库室位于药品室南侧，原料</w:t>
            </w:r>
            <w:r>
              <w:rPr>
                <w:rFonts w:hint="eastAsia"/>
                <w:spacing w:val="6"/>
                <w:sz w:val="24"/>
                <w:lang w:eastAsia="zh-CN"/>
              </w:rPr>
              <w:t>间</w:t>
            </w:r>
            <w:r>
              <w:rPr>
                <w:rFonts w:hint="eastAsia"/>
                <w:spacing w:val="6"/>
                <w:sz w:val="24"/>
              </w:rPr>
              <w:t>位于危废贮存库南侧。</w:t>
            </w:r>
            <w:r>
              <w:rPr>
                <w:rFonts w:hint="eastAsia"/>
                <w:spacing w:val="6"/>
                <w:sz w:val="24"/>
                <w:lang w:eastAsia="zh-CN"/>
              </w:rPr>
              <w:t>项目</w:t>
            </w:r>
            <w:r>
              <w:rPr>
                <w:rFonts w:hint="eastAsia"/>
                <w:spacing w:val="6"/>
                <w:sz w:val="24"/>
              </w:rPr>
              <w:t>按照生产工艺合理布局，</w:t>
            </w:r>
            <w:r>
              <w:rPr>
                <w:spacing w:val="6"/>
                <w:sz w:val="24"/>
              </w:rPr>
              <w:t>减少生产运营过程中产生的各类污染物对周边敏感点的影响</w:t>
            </w:r>
            <w:r>
              <w:rPr>
                <w:rFonts w:hint="eastAsia"/>
                <w:spacing w:val="6"/>
                <w:sz w:val="24"/>
              </w:rPr>
              <w:t>（厂区平面布局图</w:t>
            </w:r>
            <w:r>
              <w:rPr>
                <w:rFonts w:hint="eastAsia"/>
                <w:spacing w:val="6"/>
                <w:sz w:val="24"/>
                <w:lang w:val="en-US" w:eastAsia="zh-CN"/>
              </w:rPr>
              <w:t>及废气废气收集管道走向</w:t>
            </w:r>
            <w:r>
              <w:rPr>
                <w:rFonts w:hint="eastAsia"/>
                <w:spacing w:val="6"/>
                <w:sz w:val="24"/>
              </w:rPr>
              <w:t>见附图7）</w:t>
            </w:r>
            <w:r>
              <w:rPr>
                <w:spacing w:val="6"/>
                <w:sz w:val="24"/>
              </w:rPr>
              <w:t>。平面布局时将区域内各个生产工序进行连贯布局，减少运输过程中产生不必要的污染物。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990" w:hRule="atLeast"/>
        </w:trPr>
        <w:tc>
          <w:tcPr>
            <w:tcW w:w="589" w:type="pct"/>
            <w:vAlign w:val="center"/>
          </w:tcPr>
          <w:p/>
          <w:p>
            <w:pPr>
              <w:jc w:val="center"/>
            </w:pPr>
          </w:p>
          <w:p>
            <w:pPr>
              <w:jc w:val="center"/>
            </w:pPr>
          </w:p>
          <w:p>
            <w:pPr>
              <w:pStyle w:val="3"/>
              <w:rPr>
                <w:rFonts w:ascii="Times New Roman" w:hAnsi="Times New Roman" w:eastAsia="宋体"/>
              </w:rPr>
            </w:pPr>
          </w:p>
          <w:p/>
          <w:p>
            <w:pPr>
              <w:jc w:val="center"/>
            </w:pPr>
          </w:p>
          <w:p>
            <w:pPr>
              <w:jc w:val="center"/>
            </w:pPr>
          </w:p>
          <w:p>
            <w:pPr>
              <w:jc w:val="center"/>
            </w:pPr>
            <w:r>
              <w:t>工艺流程和产排污环节</w:t>
            </w: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pStyle w:val="3"/>
              <w:jc w:val="center"/>
              <w:rPr>
                <w:rFonts w:ascii="Times New Roman" w:hAnsi="Times New Roman" w:eastAsia="宋体"/>
              </w:rPr>
            </w:pPr>
          </w:p>
          <w:p>
            <w:pPr>
              <w:jc w:val="center"/>
            </w:pPr>
          </w:p>
          <w:p>
            <w:pPr>
              <w:jc w:val="center"/>
            </w:pPr>
          </w:p>
          <w:p>
            <w:pPr>
              <w:pStyle w:val="3"/>
              <w:jc w:val="center"/>
              <w:rPr>
                <w:rFonts w:ascii="Times New Roman" w:hAnsi="Times New Roman" w:eastAsia="宋体"/>
              </w:rPr>
            </w:pPr>
          </w:p>
          <w:p/>
          <w:p>
            <w:pPr>
              <w:jc w:val="center"/>
            </w:pPr>
          </w:p>
          <w:p>
            <w:pPr>
              <w:jc w:val="center"/>
            </w:pPr>
            <w:r>
              <w:t>工艺流程和产排污环节</w:t>
            </w: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jc w:val="center"/>
              <w:rPr>
                <w:bCs/>
                <w:szCs w:val="21"/>
              </w:rPr>
            </w:pPr>
          </w:p>
          <w:p>
            <w:pPr>
              <w:pStyle w:val="24"/>
              <w:adjustRightInd w:val="0"/>
              <w:snapToGrid w:val="0"/>
              <w:spacing w:after="0" w:line="360" w:lineRule="auto"/>
              <w:rPr>
                <w:bCs/>
                <w:szCs w:val="21"/>
              </w:rPr>
            </w:pPr>
          </w:p>
          <w:p>
            <w:pPr>
              <w:jc w:val="center"/>
            </w:pPr>
            <w:r>
              <w:t>工艺流程和产排污环节</w:t>
            </w:r>
          </w:p>
          <w:p>
            <w:pPr>
              <w:pStyle w:val="24"/>
              <w:adjustRightInd w:val="0"/>
              <w:snapToGrid w:val="0"/>
              <w:spacing w:after="0" w:line="360" w:lineRule="auto"/>
              <w:rPr>
                <w:bCs/>
                <w:szCs w:val="21"/>
              </w:rPr>
            </w:pPr>
          </w:p>
        </w:tc>
        <w:tc>
          <w:tcPr>
            <w:tcW w:w="4410" w:type="pct"/>
            <w:vAlign w:val="center"/>
          </w:tcPr>
          <w:p>
            <w:pPr>
              <w:pStyle w:val="24"/>
              <w:adjustRightInd w:val="0"/>
              <w:snapToGrid w:val="0"/>
              <w:spacing w:after="0" w:line="360" w:lineRule="auto"/>
              <w:rPr>
                <w:b/>
                <w:bCs/>
                <w:sz w:val="24"/>
                <w:szCs w:val="32"/>
              </w:rPr>
            </w:pPr>
            <w:r>
              <w:rPr>
                <w:rFonts w:hint="eastAsia"/>
                <w:b/>
                <w:bCs/>
                <w:sz w:val="24"/>
                <w:szCs w:val="32"/>
              </w:rPr>
              <w:t>工艺流程简述</w:t>
            </w:r>
          </w:p>
          <w:p>
            <w:pPr>
              <w:pStyle w:val="62"/>
              <w:snapToGrid w:val="0"/>
              <w:spacing w:line="360" w:lineRule="auto"/>
              <w:ind w:firstLine="480" w:firstLineChars="200"/>
              <w:rPr>
                <w:rFonts w:ascii="Times New Roman" w:eastAsia="宋体" w:cs="Times New Roman"/>
                <w:color w:val="auto"/>
                <w:kern w:val="2"/>
                <w:szCs w:val="32"/>
              </w:rPr>
            </w:pPr>
            <w:r>
              <w:rPr>
                <w:rFonts w:hint="eastAsia" w:ascii="Times New Roman" w:eastAsia="宋体" w:cs="Times New Roman"/>
                <w:color w:val="auto"/>
                <w:kern w:val="2"/>
                <w:szCs w:val="32"/>
                <w:lang w:eastAsia="zh-CN"/>
              </w:rPr>
              <w:t>项目</w:t>
            </w:r>
            <w:r>
              <w:rPr>
                <w:rFonts w:hint="eastAsia" w:ascii="Times New Roman" w:eastAsia="宋体" w:cs="Times New Roman"/>
                <w:color w:val="auto"/>
                <w:kern w:val="2"/>
                <w:szCs w:val="32"/>
              </w:rPr>
              <w:t>将从施工期及运营期两个部分的工艺流程及产污环节分别对环境可能造成的影响进行说明。</w:t>
            </w:r>
          </w:p>
          <w:p>
            <w:pPr>
              <w:pStyle w:val="9"/>
              <w:adjustRightInd w:val="0"/>
              <w:snapToGrid w:val="0"/>
              <w:spacing w:line="360" w:lineRule="auto"/>
              <w:ind w:firstLine="0"/>
              <w:rPr>
                <w:b/>
                <w:bCs/>
                <w:sz w:val="24"/>
                <w:szCs w:val="32"/>
              </w:rPr>
            </w:pPr>
            <w:r>
              <w:rPr>
                <w:rFonts w:hint="eastAsia"/>
                <w:b/>
                <w:bCs/>
              </w:rPr>
              <w:t>1</w:t>
            </w:r>
            <w:r>
              <w:rPr>
                <w:rFonts w:hint="eastAsia"/>
                <w:b/>
                <w:bCs/>
                <w:sz w:val="24"/>
                <w:szCs w:val="32"/>
              </w:rPr>
              <w:t>、施工期项目工艺流程及产污环节</w:t>
            </w:r>
          </w:p>
          <w:p>
            <w:pPr>
              <w:pStyle w:val="9"/>
              <w:adjustRightInd w:val="0"/>
              <w:snapToGrid w:val="0"/>
              <w:spacing w:line="360" w:lineRule="auto"/>
              <w:ind w:firstLine="480" w:firstLineChars="200"/>
            </w:pPr>
            <w:r>
              <w:rPr>
                <w:rFonts w:hint="eastAsia"/>
                <w:sz w:val="24"/>
                <w:szCs w:val="32"/>
                <w:lang w:eastAsia="zh-CN"/>
              </w:rPr>
              <w:t>项目</w:t>
            </w:r>
            <w:r>
              <w:rPr>
                <w:rFonts w:hint="eastAsia"/>
                <w:sz w:val="24"/>
                <w:szCs w:val="32"/>
              </w:rPr>
              <w:t>租赁厂房进行建设，施工期主要为设备安装、隔断安装、办公室、危废贮存库建设，施工过程简单，对环境影响较小。</w:t>
            </w:r>
          </w:p>
          <w:p>
            <w:pPr>
              <w:pStyle w:val="24"/>
              <w:adjustRightInd w:val="0"/>
              <w:snapToGrid w:val="0"/>
              <w:spacing w:after="0" w:line="360" w:lineRule="auto"/>
              <w:rPr>
                <w:b/>
                <w:bCs/>
                <w:sz w:val="24"/>
                <w:szCs w:val="32"/>
              </w:rPr>
            </w:pPr>
            <w:r>
              <w:rPr>
                <w:rFonts w:hint="eastAsia"/>
                <w:b/>
                <w:bCs/>
                <w:sz w:val="24"/>
                <w:szCs w:val="32"/>
              </w:rPr>
              <w:t>2、</w:t>
            </w:r>
            <w:r>
              <w:rPr>
                <w:b/>
                <w:bCs/>
                <w:sz w:val="24"/>
                <w:szCs w:val="32"/>
              </w:rPr>
              <w:t>运营期</w:t>
            </w:r>
            <w:r>
              <w:rPr>
                <w:rFonts w:hint="eastAsia"/>
                <w:b/>
                <w:bCs/>
                <w:sz w:val="24"/>
                <w:szCs w:val="32"/>
              </w:rPr>
              <w:t>：</w:t>
            </w:r>
          </w:p>
          <w:p>
            <w:pPr>
              <w:adjustRightInd w:val="0"/>
              <w:snapToGrid w:val="0"/>
              <w:spacing w:line="360" w:lineRule="auto"/>
              <w:ind w:firstLine="480" w:firstLineChars="200"/>
              <w:rPr>
                <w:sz w:val="24"/>
                <w:szCs w:val="32"/>
              </w:rPr>
            </w:pPr>
            <w:r>
              <w:rPr>
                <w:sz w:val="24"/>
                <w:szCs w:val="32"/>
              </w:rPr>
              <w:t>运营期主要生产工艺流程及排污节点如下：</w:t>
            </w:r>
          </w:p>
          <w:p>
            <w:pPr>
              <w:pStyle w:val="47"/>
              <w:spacing w:line="360" w:lineRule="auto"/>
              <w:ind w:left="0" w:firstLine="632" w:firstLineChars="300"/>
              <w:jc w:val="left"/>
              <w:rPr>
                <w:rFonts w:ascii="Times New Roman" w:eastAsia="宋体"/>
                <w:b/>
                <w:bCs/>
                <w:sz w:val="21"/>
                <w:szCs w:val="24"/>
              </w:rPr>
            </w:pPr>
            <w:r>
              <w:rPr>
                <w:rFonts w:hint="eastAsia" w:ascii="Times New Roman" w:eastAsia="宋体"/>
                <w:b/>
                <w:bCs/>
                <w:sz w:val="21"/>
                <w:szCs w:val="24"/>
              </w:rPr>
              <w:t>1）喷塑生产线</w:t>
            </w:r>
          </w:p>
          <w:p>
            <w:pPr>
              <w:pStyle w:val="3"/>
              <w:rPr>
                <w:sz w:val="21"/>
              </w:rPr>
            </w:pPr>
          </w:p>
          <w:p>
            <w:pPr>
              <w:pStyle w:val="9"/>
              <w:rPr>
                <w:sz w:val="21"/>
              </w:rPr>
            </w:pPr>
          </w:p>
          <w:p/>
          <w:p>
            <w:pPr>
              <w:pStyle w:val="3"/>
              <w:rPr>
                <w:sz w:val="21"/>
              </w:rPr>
            </w:pPr>
          </w:p>
          <w:p>
            <w:pPr>
              <w:rPr>
                <w:rFonts w:hint="default" w:eastAsia="宋体"/>
                <w:lang w:val="en-US" w:eastAsia="zh-CN"/>
              </w:rPr>
            </w:pPr>
          </w:p>
          <w:p>
            <w:pPr>
              <w:pStyle w:val="9"/>
              <w:rPr>
                <w:sz w:val="21"/>
              </w:rPr>
            </w:pPr>
          </w:p>
          <w:p/>
          <w:p>
            <w:pPr>
              <w:pStyle w:val="3"/>
              <w:tabs>
                <w:tab w:val="right" w:pos="8245"/>
              </w:tabs>
              <w:jc w:val="center"/>
              <w:rPr>
                <w:sz w:val="21"/>
              </w:rPr>
            </w:pPr>
            <w:r>
              <w:rPr>
                <w:sz w:val="21"/>
              </w:rPr>
              <w:pict>
                <v:shape id="_x0000_s2052" o:spid="_x0000_s2052" o:spt="75" type="#_x0000_t75" style="position:absolute;left:0pt;margin-left:133.8pt;margin-top:-7.15pt;height:373.65pt;width:145.25pt;z-index:251666432;mso-width-relative:page;mso-height-relative:page;" o:ole="t" filled="f" o:preferrelative="t" stroked="f" coordsize="21600,21600">
                  <v:path/>
                  <v:fill on="f" focussize="0,0"/>
                  <v:stroke on="f"/>
                  <v:imagedata r:id="rId11" o:title=""/>
                  <o:lock v:ext="edit" aspectratio="f"/>
                </v:shape>
                <o:OLEObject Type="Embed" ProgID="Visio.Drawing.11" ShapeID="_x0000_s2052" DrawAspect="Content" ObjectID="_1468075726" r:id="rId10">
                  <o:LockedField>false</o:LockedField>
                </o:OLEObject>
              </w:pict>
            </w:r>
          </w:p>
          <w:p>
            <w:pPr>
              <w:pStyle w:val="3"/>
              <w:tabs>
                <w:tab w:val="right" w:pos="8245"/>
              </w:tabs>
              <w:jc w:val="center"/>
              <w:rPr>
                <w:sz w:val="21"/>
              </w:rPr>
            </w:pPr>
          </w:p>
          <w:p/>
          <w:p/>
          <w:p/>
          <w:p/>
          <w:p/>
          <w:p/>
          <w:p/>
          <w:p/>
          <w:p/>
          <w:p/>
          <w:p/>
          <w:p/>
          <w:p/>
          <w:p/>
          <w:p/>
          <w:p/>
          <w:p/>
          <w:p/>
          <w:p/>
          <w:p/>
          <w:p/>
          <w:p>
            <w:pPr>
              <w:jc w:val="center"/>
              <w:rPr>
                <w:b/>
                <w:bCs/>
              </w:rPr>
            </w:pPr>
          </w:p>
          <w:p>
            <w:pPr>
              <w:jc w:val="center"/>
              <w:rPr>
                <w:b/>
                <w:bCs/>
              </w:rPr>
            </w:pPr>
          </w:p>
          <w:p>
            <w:pPr>
              <w:jc w:val="center"/>
              <w:rPr>
                <w:b/>
                <w:bCs/>
              </w:rPr>
            </w:pPr>
            <w:r>
              <w:rPr>
                <w:b/>
                <w:sz w:val="28"/>
                <w:szCs w:val="28"/>
              </w:rPr>
              <mc:AlternateContent>
                <mc:Choice Requires="wps">
                  <w:drawing>
                    <wp:anchor distT="0" distB="0" distL="114300" distR="114300" simplePos="0" relativeHeight="251662336" behindDoc="0" locked="0" layoutInCell="1" allowOverlap="1">
                      <wp:simplePos x="0" y="0"/>
                      <wp:positionH relativeFrom="column">
                        <wp:posOffset>2311400</wp:posOffset>
                      </wp:positionH>
                      <wp:positionV relativeFrom="paragraph">
                        <wp:posOffset>9204960</wp:posOffset>
                      </wp:positionV>
                      <wp:extent cx="2788285" cy="198120"/>
                      <wp:effectExtent l="0" t="0" r="0" b="0"/>
                      <wp:wrapNone/>
                      <wp:docPr id="79" name="矩形 79"/>
                      <wp:cNvGraphicFramePr/>
                      <a:graphic xmlns:a="http://schemas.openxmlformats.org/drawingml/2006/main">
                        <a:graphicData uri="http://schemas.microsoft.com/office/word/2010/wordprocessingShape">
                          <wps:wsp>
                            <wps:cNvSpPr/>
                            <wps:spPr>
                              <a:xfrm>
                                <a:off x="0" y="0"/>
                                <a:ext cx="2788285" cy="198120"/>
                              </a:xfrm>
                              <a:prstGeom prst="rect">
                                <a:avLst/>
                              </a:prstGeom>
                              <a:noFill/>
                              <a:ln>
                                <a:noFill/>
                              </a:ln>
                              <a:effectLst/>
                            </wps:spPr>
                            <wps:txbx>
                              <w:txbxContent>
                                <w:p>
                                  <w:pPr>
                                    <w:rPr>
                                      <w:b/>
                                      <w:color w:val="000000"/>
                                    </w:rPr>
                                  </w:pPr>
                                  <w:r>
                                    <w:rPr>
                                      <w:b/>
                                      <w:color w:val="000000"/>
                                      <w:kern w:val="0"/>
                                      <w:sz w:val="24"/>
                                    </w:rPr>
                                    <w:t>图5-2工艺流程</w:t>
                                  </w:r>
                                  <w:r>
                                    <w:rPr>
                                      <w:rFonts w:hint="eastAsia" w:ascii="宋体" w:hAnsi="宋体"/>
                                      <w:b/>
                                      <w:color w:val="000000"/>
                                      <w:kern w:val="0"/>
                                      <w:sz w:val="24"/>
                                    </w:rPr>
                                    <w:t>及产污环节图</w:t>
                                  </w:r>
                                </w:p>
                              </w:txbxContent>
                            </wps:txbx>
                            <wps:bodyPr lIns="0" tIns="0" rIns="0" bIns="0" upright="1"/>
                          </wps:wsp>
                        </a:graphicData>
                      </a:graphic>
                    </wp:anchor>
                  </w:drawing>
                </mc:Choice>
                <mc:Fallback>
                  <w:pict>
                    <v:rect id="_x0000_s1026" o:spid="_x0000_s1026" o:spt="1" style="position:absolute;left:0pt;margin-left:182pt;margin-top:724.8pt;height:15.6pt;width:219.55pt;z-index:251662336;mso-width-relative:page;mso-height-relative:page;" filled="f" stroked="f" coordsize="21600,21600" o:gfxdata="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hb+4X3AAAAA0BAAAPAAAAAAAAAAEAIAAAACIAAABkcnMvZG93bnJldi54bWxQSwEC&#10;FAAUAAAACACHTuJA/9EJ3bcBAAB1AwAADgAAAAAAAAABACAAAAArAQAAZHJzL2Uyb0RvYy54bWxQ&#10;SwUGAAAAAAYABgBZAQAAVAUAAAAA&#10;">
                      <v:fill on="f" focussize="0,0"/>
                      <v:stroke on="f"/>
                      <v:imagedata o:title=""/>
                      <o:lock v:ext="edit" aspectratio="f"/>
                      <v:textbox inset="0mm,0mm,0mm,0mm">
                        <w:txbxContent>
                          <w:p>
                            <w:pPr>
                              <w:rPr>
                                <w:b/>
                                <w:color w:val="000000"/>
                              </w:rPr>
                            </w:pPr>
                            <w:r>
                              <w:rPr>
                                <w:b/>
                                <w:color w:val="000000"/>
                                <w:kern w:val="0"/>
                                <w:sz w:val="24"/>
                              </w:rPr>
                              <w:t>图5-2工艺流程</w:t>
                            </w:r>
                            <w:r>
                              <w:rPr>
                                <w:rFonts w:hint="eastAsia" w:ascii="宋体" w:hAnsi="宋体"/>
                                <w:b/>
                                <w:color w:val="000000"/>
                                <w:kern w:val="0"/>
                                <w:sz w:val="24"/>
                              </w:rPr>
                              <w:t>及产污环节图</w:t>
                            </w:r>
                          </w:p>
                        </w:txbxContent>
                      </v:textbox>
                    </v:rect>
                  </w:pict>
                </mc:Fallback>
              </mc:AlternateContent>
            </w:r>
            <w:r>
              <w:rPr>
                <w:b/>
                <w:bCs/>
              </w:rPr>
              <w:t>图</w:t>
            </w:r>
            <w:r>
              <w:rPr>
                <w:rFonts w:hint="eastAsia"/>
                <w:b/>
                <w:bCs/>
              </w:rPr>
              <w:t>2-2喷塑</w:t>
            </w:r>
            <w:r>
              <w:rPr>
                <w:b/>
                <w:bCs/>
              </w:rPr>
              <w:t>生产工艺流程及产污环节图</w:t>
            </w:r>
          </w:p>
          <w:p>
            <w:pPr>
              <w:adjustRightInd w:val="0"/>
              <w:snapToGrid w:val="0"/>
              <w:spacing w:line="360" w:lineRule="auto"/>
            </w:pPr>
            <w:r>
              <w:rPr>
                <w:rFonts w:hint="eastAsia" w:ascii="宋体" w:hAnsi="宋体" w:cs="宋体"/>
                <w:b/>
                <w:bCs/>
                <w:sz w:val="24"/>
              </w:rPr>
              <w:t>工艺流程简介：</w:t>
            </w:r>
          </w:p>
          <w:p>
            <w:pPr>
              <w:numPr>
                <w:ilvl w:val="0"/>
                <w:numId w:val="8"/>
              </w:numPr>
              <w:adjustRightInd w:val="0"/>
              <w:snapToGrid w:val="0"/>
              <w:spacing w:line="360" w:lineRule="auto"/>
              <w:ind w:firstLine="240" w:firstLineChars="100"/>
              <w:rPr>
                <w:sz w:val="24"/>
              </w:rPr>
            </w:pPr>
            <w:r>
              <w:rPr>
                <w:rFonts w:hint="eastAsia"/>
                <w:sz w:val="24"/>
              </w:rPr>
              <w:t>切割：将外购的板材、管材等通过切割机和剪板机等设备切割成需要尺寸，切割过程保证边缘无毛刺、无错位，本工序产生的污染物有噪声N、废边角料S1。</w:t>
            </w:r>
          </w:p>
          <w:p>
            <w:pPr>
              <w:numPr>
                <w:ilvl w:val="0"/>
                <w:numId w:val="8"/>
              </w:numPr>
              <w:adjustRightInd w:val="0"/>
              <w:snapToGrid w:val="0"/>
              <w:spacing w:line="360" w:lineRule="auto"/>
              <w:ind w:firstLine="240" w:firstLineChars="100"/>
              <w:rPr>
                <w:sz w:val="24"/>
              </w:rPr>
            </w:pPr>
            <w:r>
              <w:rPr>
                <w:rFonts w:hint="eastAsia"/>
                <w:sz w:val="24"/>
              </w:rPr>
              <w:t>预脱脂：外购的铝型材表面含有一些污染物，主要为机油，需对这些油类物质行进去除。预脱脂工序采用不含氮、磷成分的预脱脂剂，约每7d补充一次水</w:t>
            </w:r>
            <w:r>
              <w:rPr>
                <w:rFonts w:hint="eastAsia"/>
                <w:sz w:val="24"/>
                <w:lang w:val="en-US" w:eastAsia="zh-CN"/>
              </w:rPr>
              <w:t>和</w:t>
            </w:r>
            <w:r>
              <w:rPr>
                <w:rFonts w:hint="eastAsia"/>
                <w:sz w:val="24"/>
              </w:rPr>
              <w:t>脱脂剂，无需加热，预脱脂时间为5min。该工程产生脱脂槽渣S2、预脱脂废</w:t>
            </w:r>
            <w:r>
              <w:rPr>
                <w:rFonts w:hint="eastAsia"/>
                <w:sz w:val="24"/>
                <w:lang w:val="en-US" w:eastAsia="zh-CN"/>
              </w:rPr>
              <w:t>液</w:t>
            </w:r>
            <w:r>
              <w:rPr>
                <w:rFonts w:hint="eastAsia"/>
                <w:sz w:val="24"/>
              </w:rPr>
              <w:t>W1。</w:t>
            </w:r>
          </w:p>
          <w:p>
            <w:pPr>
              <w:numPr>
                <w:ilvl w:val="0"/>
                <w:numId w:val="8"/>
              </w:numPr>
              <w:adjustRightInd w:val="0"/>
              <w:snapToGrid w:val="0"/>
              <w:spacing w:line="360" w:lineRule="auto"/>
              <w:ind w:firstLine="240" w:firstLineChars="100"/>
              <w:rPr>
                <w:sz w:val="24"/>
              </w:rPr>
            </w:pPr>
            <w:r>
              <w:rPr>
                <w:rFonts w:hint="eastAsia"/>
                <w:sz w:val="24"/>
              </w:rPr>
              <w:t>脱脂：对预脱脂之后的铝型材进行脱脂，约每7d补充一次水</w:t>
            </w:r>
            <w:r>
              <w:rPr>
                <w:rFonts w:hint="eastAsia"/>
                <w:sz w:val="24"/>
                <w:lang w:val="en-US" w:eastAsia="zh-CN"/>
              </w:rPr>
              <w:t>和</w:t>
            </w:r>
            <w:r>
              <w:rPr>
                <w:rFonts w:hint="eastAsia"/>
                <w:sz w:val="24"/>
              </w:rPr>
              <w:t>脱脂剂，无需加热，其中脱脂时间为3min。该工程产生脱脂槽渣S2、</w:t>
            </w:r>
            <w:r>
              <w:rPr>
                <w:rFonts w:hint="eastAsia"/>
                <w:sz w:val="24"/>
                <w:lang w:val="en-US" w:eastAsia="zh-CN"/>
              </w:rPr>
              <w:t>铝材表面处理</w:t>
            </w:r>
            <w:r>
              <w:rPr>
                <w:rFonts w:hint="eastAsia"/>
                <w:sz w:val="24"/>
              </w:rPr>
              <w:t>废水W1。</w:t>
            </w:r>
          </w:p>
          <w:p>
            <w:pPr>
              <w:numPr>
                <w:ilvl w:val="0"/>
                <w:numId w:val="8"/>
              </w:numPr>
              <w:adjustRightInd w:val="0"/>
              <w:snapToGrid w:val="0"/>
              <w:spacing w:line="360" w:lineRule="auto"/>
              <w:ind w:firstLine="240" w:firstLineChars="100"/>
              <w:rPr>
                <w:sz w:val="24"/>
              </w:rPr>
            </w:pPr>
            <w:r>
              <w:rPr>
                <w:rFonts w:hint="eastAsia"/>
                <w:sz w:val="24"/>
              </w:rPr>
              <w:t>清洗：脱脂除油后，需对工件进行清洗，该过程使用纯水通过1#、2#清洗槽进行两道清洗，其中1#清洗5min、2#清洗3min。该过程</w:t>
            </w:r>
            <w:r>
              <w:rPr>
                <w:rFonts w:hint="eastAsia"/>
                <w:sz w:val="24"/>
                <w:lang w:eastAsia="zh-CN"/>
              </w:rPr>
              <w:t>清洗废水</w:t>
            </w:r>
            <w:r>
              <w:rPr>
                <w:rFonts w:hint="eastAsia"/>
                <w:sz w:val="24"/>
              </w:rPr>
              <w:t>W2。</w:t>
            </w:r>
          </w:p>
          <w:p>
            <w:pPr>
              <w:numPr>
                <w:ilvl w:val="0"/>
                <w:numId w:val="8"/>
              </w:numPr>
              <w:adjustRightInd w:val="0"/>
              <w:snapToGrid w:val="0"/>
              <w:spacing w:line="360" w:lineRule="auto"/>
              <w:ind w:firstLine="240" w:firstLineChars="100"/>
              <w:rPr>
                <w:sz w:val="24"/>
              </w:rPr>
            </w:pPr>
            <w:r>
              <w:rPr>
                <w:rFonts w:hint="eastAsia"/>
                <w:sz w:val="24"/>
              </w:rPr>
              <w:t>钝化：清洗之后的工件利用无铬钝化剂进行钝化处理，，约每7d补充一次水</w:t>
            </w:r>
            <w:r>
              <w:rPr>
                <w:rFonts w:hint="eastAsia"/>
                <w:sz w:val="24"/>
                <w:lang w:val="en-US" w:eastAsia="zh-CN"/>
              </w:rPr>
              <w:t>和</w:t>
            </w:r>
            <w:r>
              <w:rPr>
                <w:rFonts w:hint="eastAsia"/>
                <w:sz w:val="24"/>
              </w:rPr>
              <w:t>脱脂剂，无需加热。钝化的目的是提高涂层与铝材之间和结合力，经过钝化处理的铝材，表面已经形成一层0.5-1.0μm的化学氧化膜，该膜层有些细小的腐蚀孔，静电粉末喷塑后，图层材料已经深入微孔中，经烘烤和固化处理后，这些喷塑材料将牢牢嵌入氧化膜微孔中，使涂层与基体很难拨离，从而实现喷塑材料对铝材的长期保护。该过程产生钝化渣S2、</w:t>
            </w:r>
            <w:r>
              <w:rPr>
                <w:rFonts w:hint="eastAsia"/>
                <w:sz w:val="24"/>
                <w:lang w:val="en-US" w:eastAsia="zh-CN"/>
              </w:rPr>
              <w:t>铝材表面处理</w:t>
            </w:r>
            <w:r>
              <w:rPr>
                <w:rFonts w:hint="eastAsia"/>
                <w:sz w:val="24"/>
              </w:rPr>
              <w:t>废水W1。</w:t>
            </w:r>
          </w:p>
          <w:p>
            <w:pPr>
              <w:numPr>
                <w:ilvl w:val="0"/>
                <w:numId w:val="8"/>
              </w:numPr>
              <w:adjustRightInd w:val="0"/>
              <w:snapToGrid w:val="0"/>
              <w:spacing w:line="360" w:lineRule="auto"/>
              <w:ind w:firstLine="240" w:firstLineChars="100"/>
              <w:rPr>
                <w:sz w:val="24"/>
              </w:rPr>
            </w:pPr>
            <w:r>
              <w:rPr>
                <w:rFonts w:hint="eastAsia"/>
                <w:sz w:val="24"/>
              </w:rPr>
              <w:t>钝化清洗：钝化后需对工件进行清洗，该过程使用纯水通过3#清洗槽进行清洗，清洗2min。该过程产生</w:t>
            </w:r>
            <w:r>
              <w:rPr>
                <w:rFonts w:hint="eastAsia"/>
                <w:sz w:val="24"/>
                <w:lang w:eastAsia="zh-CN"/>
              </w:rPr>
              <w:t>铝材表面处理废水</w:t>
            </w:r>
            <w:r>
              <w:rPr>
                <w:rFonts w:hint="eastAsia"/>
                <w:sz w:val="24"/>
                <w:lang w:val="en-US" w:eastAsia="zh-CN"/>
              </w:rPr>
              <w:t>W1、</w:t>
            </w:r>
            <w:r>
              <w:rPr>
                <w:rFonts w:hint="eastAsia"/>
                <w:sz w:val="24"/>
                <w:lang w:eastAsia="zh-CN"/>
              </w:rPr>
              <w:t>清洗废水</w:t>
            </w:r>
            <w:r>
              <w:rPr>
                <w:rFonts w:hint="eastAsia"/>
                <w:sz w:val="24"/>
              </w:rPr>
              <w:t>W2。</w:t>
            </w:r>
          </w:p>
          <w:p>
            <w:pPr>
              <w:numPr>
                <w:ilvl w:val="0"/>
                <w:numId w:val="8"/>
              </w:numPr>
              <w:adjustRightInd w:val="0"/>
              <w:snapToGrid w:val="0"/>
              <w:spacing w:line="360" w:lineRule="auto"/>
              <w:ind w:firstLine="240" w:firstLineChars="100"/>
              <w:rPr>
                <w:sz w:val="24"/>
              </w:rPr>
            </w:pPr>
            <w:r>
              <w:rPr>
                <w:rFonts w:hint="eastAsia"/>
                <w:sz w:val="24"/>
              </w:rPr>
              <w:t>晾干：钝化之后的工件材控水区进行自然晾干，停留时间为3h，该过程</w:t>
            </w:r>
            <w:r>
              <w:rPr>
                <w:rFonts w:hint="eastAsia"/>
                <w:sz w:val="24"/>
                <w:lang w:val="en-US" w:eastAsia="zh-CN"/>
              </w:rPr>
              <w:t>产生</w:t>
            </w:r>
            <w:r>
              <w:rPr>
                <w:rFonts w:hint="eastAsia"/>
                <w:sz w:val="24"/>
                <w:lang w:eastAsia="zh-CN"/>
              </w:rPr>
              <w:t>清洗废水</w:t>
            </w:r>
            <w:r>
              <w:rPr>
                <w:rFonts w:hint="eastAsia"/>
                <w:sz w:val="24"/>
              </w:rPr>
              <w:t>W2。</w:t>
            </w:r>
          </w:p>
          <w:p>
            <w:pPr>
              <w:numPr>
                <w:ilvl w:val="0"/>
                <w:numId w:val="8"/>
              </w:numPr>
              <w:adjustRightInd w:val="0"/>
              <w:snapToGrid w:val="0"/>
              <w:spacing w:line="360" w:lineRule="auto"/>
              <w:ind w:firstLine="240" w:firstLineChars="100"/>
              <w:rPr>
                <w:sz w:val="24"/>
              </w:rPr>
            </w:pPr>
            <w:r>
              <w:rPr>
                <w:rFonts w:hint="eastAsia"/>
                <w:sz w:val="24"/>
              </w:rPr>
              <w:t>静电喷塑：</w:t>
            </w:r>
            <w:r>
              <w:rPr>
                <w:rFonts w:hint="eastAsia"/>
                <w:sz w:val="24"/>
                <w:lang w:eastAsia="zh-CN"/>
              </w:rPr>
              <w:t>项目</w:t>
            </w:r>
            <w:r>
              <w:rPr>
                <w:rFonts w:hint="eastAsia"/>
                <w:sz w:val="24"/>
              </w:rPr>
              <w:t>设有1条自动喷塑线，1间喷塑房，成型后的半成品挂于输送系统上，自动送至封闭式喷粉房，喷塑房内设置10个自动喷头，且有供粉装置及粉末回收装置等，该工序产生废气G1、噪声N，滤筒过滤收集的粉末S3，大旋风收集粉末S4。</w:t>
            </w:r>
          </w:p>
          <w:p>
            <w:pPr>
              <w:adjustRightInd w:val="0"/>
              <w:snapToGrid w:val="0"/>
              <w:spacing w:line="360" w:lineRule="auto"/>
              <w:ind w:firstLine="480" w:firstLineChars="200"/>
              <w:rPr>
                <w:sz w:val="24"/>
              </w:rPr>
            </w:pPr>
            <w:r>
              <w:rPr>
                <w:rFonts w:hint="eastAsia"/>
                <w:sz w:val="24"/>
              </w:rPr>
              <w:t>喷塑线使用干法静电喷塑，基本原理为：高压电晕电场原理，使粉末带上负电荷，在静电力和压缩空气作用下，使粉末均匀吸附在工件上，其工艺过程为粉末喷塑由供粉系统压缩空气送入静电喷塑设备（喷枪），喷枪前端加有高压静电发生器产生的高压，由于电晕放电，在其附近产生密集的电荷，粉末由喷嘴喷出时，形成带电涂料粒子，受静电力作用，被吸附在与其相反的工件上，当电荷聚集越多，工件上塑粉积累一定程度，停止吸附，详见附图6。</w:t>
            </w:r>
          </w:p>
          <w:p>
            <w:pPr>
              <w:numPr>
                <w:ilvl w:val="0"/>
                <w:numId w:val="8"/>
              </w:numPr>
              <w:adjustRightInd w:val="0"/>
              <w:snapToGrid w:val="0"/>
              <w:spacing w:line="360" w:lineRule="auto"/>
              <w:ind w:firstLine="240" w:firstLineChars="100"/>
              <w:rPr>
                <w:sz w:val="24"/>
              </w:rPr>
            </w:pPr>
            <w:r>
              <w:rPr>
                <w:rFonts w:hint="eastAsia"/>
                <w:sz w:val="24"/>
              </w:rPr>
              <w:t>热固化：喷塑好的半成品通过输送系统自动进行热固化，热固化室设置有引风机，采用天然气燃烧提供热风，使室中空气升温，然后通过引风机使热空气循环，对附着在固件上的粉末进行固化，固化温度约为180℃，固化时间约为10-20min，该工序产生的污染物有燃烧废气G2、固化废气G3、噪声N。</w:t>
            </w:r>
          </w:p>
          <w:p>
            <w:pPr>
              <w:numPr>
                <w:ilvl w:val="0"/>
                <w:numId w:val="8"/>
              </w:numPr>
              <w:adjustRightInd w:val="0"/>
              <w:snapToGrid w:val="0"/>
              <w:spacing w:line="360" w:lineRule="auto"/>
              <w:ind w:firstLine="240" w:firstLineChars="100"/>
              <w:rPr>
                <w:sz w:val="24"/>
              </w:rPr>
            </w:pPr>
            <w:r>
              <w:rPr>
                <w:rFonts w:hint="eastAsia"/>
                <w:sz w:val="24"/>
              </w:rPr>
              <w:t>冷却：固化完成后的各产品自然冷却。</w:t>
            </w:r>
          </w:p>
          <w:p>
            <w:pPr>
              <w:numPr>
                <w:ilvl w:val="0"/>
                <w:numId w:val="8"/>
              </w:numPr>
              <w:adjustRightInd w:val="0"/>
              <w:snapToGrid w:val="0"/>
              <w:spacing w:line="360" w:lineRule="auto"/>
              <w:ind w:firstLine="240" w:firstLineChars="100"/>
              <w:rPr>
                <w:sz w:val="24"/>
              </w:rPr>
            </w:pPr>
            <w:r>
              <w:rPr>
                <w:rFonts w:hint="eastAsia"/>
                <w:sz w:val="24"/>
              </w:rPr>
              <w:t>包装：冷却至室温后一部分进行包装入库，即为成品；另外一部分进入下一道木纹转印生产线，该工序产生的污染物有废包装材料S5。</w:t>
            </w:r>
          </w:p>
          <w:p>
            <w:pPr>
              <w:adjustRightInd w:val="0"/>
              <w:snapToGrid w:val="0"/>
              <w:spacing w:line="360" w:lineRule="auto"/>
              <w:ind w:firstLine="482" w:firstLineChars="200"/>
              <w:rPr>
                <w:b/>
                <w:bCs/>
                <w:sz w:val="24"/>
              </w:rPr>
            </w:pPr>
            <w:r>
              <w:rPr>
                <w:b/>
                <w:bCs/>
                <w:sz w:val="24"/>
              </w:rPr>
              <w:pict>
                <v:shape id="_x0000_s2051" o:spid="_x0000_s2051" o:spt="75" type="#_x0000_t75" style="position:absolute;left:0pt;margin-left:123pt;margin-top:15.65pt;height:238.2pt;width:169.9pt;z-index:251665408;mso-width-relative:page;mso-height-relative:page;" o:ole="t" filled="f" o:preferrelative="t" stroked="f" coordsize="21600,21600">
                  <v:path/>
                  <v:fill on="f" focussize="0,0"/>
                  <v:stroke on="f"/>
                  <v:imagedata r:id="rId13" o:title=""/>
                  <o:lock v:ext="edit" aspectratio="f"/>
                </v:shape>
                <o:OLEObject Type="Embed" ProgID="Visio.Drawing.11" ShapeID="_x0000_s2051" DrawAspect="Content" ObjectID="_1468075727" r:id="rId12">
                  <o:LockedField>false</o:LockedField>
                </o:OLEObject>
              </w:pict>
            </w:r>
            <w:r>
              <w:rPr>
                <w:rFonts w:hint="eastAsia"/>
                <w:b/>
                <w:bCs/>
                <w:sz w:val="24"/>
              </w:rPr>
              <w:t>2）木纹转印生产线</w:t>
            </w:r>
          </w:p>
          <w:p>
            <w:pPr>
              <w:rPr>
                <w:sz w:val="24"/>
              </w:rPr>
            </w:pPr>
          </w:p>
          <w:p>
            <w:pPr>
              <w:snapToGrid w:val="0"/>
              <w:spacing w:line="480" w:lineRule="exact"/>
            </w:pPr>
          </w:p>
          <w:p>
            <w:pPr>
              <w:snapToGrid w:val="0"/>
              <w:spacing w:line="480" w:lineRule="exact"/>
            </w:pPr>
          </w:p>
          <w:p>
            <w:pPr>
              <w:snapToGrid w:val="0"/>
              <w:spacing w:line="480" w:lineRule="exact"/>
            </w:pPr>
          </w:p>
          <w:p>
            <w:pPr>
              <w:snapToGrid w:val="0"/>
              <w:spacing w:line="480" w:lineRule="exact"/>
            </w:pPr>
          </w:p>
          <w:p>
            <w:pPr>
              <w:snapToGrid w:val="0"/>
              <w:spacing w:line="480" w:lineRule="exact"/>
            </w:pPr>
          </w:p>
          <w:p>
            <w:pPr>
              <w:snapToGrid w:val="0"/>
              <w:spacing w:line="480" w:lineRule="exact"/>
            </w:pPr>
          </w:p>
          <w:p>
            <w:pPr>
              <w:snapToGrid w:val="0"/>
              <w:spacing w:line="480" w:lineRule="exact"/>
            </w:pPr>
          </w:p>
          <w:p>
            <w:pPr>
              <w:snapToGrid w:val="0"/>
              <w:spacing w:line="480" w:lineRule="exact"/>
            </w:pPr>
          </w:p>
          <w:p>
            <w:pPr>
              <w:jc w:val="center"/>
              <w:rPr>
                <w:b/>
                <w:bCs/>
              </w:rPr>
            </w:pPr>
          </w:p>
          <w:p>
            <w:pPr>
              <w:jc w:val="center"/>
              <w:rPr>
                <w:b/>
                <w:bCs/>
              </w:rPr>
            </w:pPr>
            <w:r>
              <w:rPr>
                <w:b/>
                <w:sz w:val="28"/>
                <w:szCs w:val="28"/>
              </w:rPr>
              <mc:AlternateContent>
                <mc:Choice Requires="wps">
                  <w:drawing>
                    <wp:anchor distT="0" distB="0" distL="114300" distR="114300" simplePos="0" relativeHeight="251663360" behindDoc="0" locked="0" layoutInCell="1" allowOverlap="1">
                      <wp:simplePos x="0" y="0"/>
                      <wp:positionH relativeFrom="column">
                        <wp:posOffset>2311400</wp:posOffset>
                      </wp:positionH>
                      <wp:positionV relativeFrom="paragraph">
                        <wp:posOffset>9204960</wp:posOffset>
                      </wp:positionV>
                      <wp:extent cx="2788285" cy="198120"/>
                      <wp:effectExtent l="0" t="0" r="0" b="0"/>
                      <wp:wrapNone/>
                      <wp:docPr id="15" name="矩形 15"/>
                      <wp:cNvGraphicFramePr/>
                      <a:graphic xmlns:a="http://schemas.openxmlformats.org/drawingml/2006/main">
                        <a:graphicData uri="http://schemas.microsoft.com/office/word/2010/wordprocessingShape">
                          <wps:wsp>
                            <wps:cNvSpPr/>
                            <wps:spPr>
                              <a:xfrm>
                                <a:off x="0" y="0"/>
                                <a:ext cx="2788285" cy="198120"/>
                              </a:xfrm>
                              <a:prstGeom prst="rect">
                                <a:avLst/>
                              </a:prstGeom>
                              <a:noFill/>
                              <a:ln>
                                <a:noFill/>
                              </a:ln>
                              <a:effectLst/>
                            </wps:spPr>
                            <wps:txbx>
                              <w:txbxContent>
                                <w:p>
                                  <w:pPr>
                                    <w:rPr>
                                      <w:b/>
                                      <w:color w:val="000000"/>
                                    </w:rPr>
                                  </w:pPr>
                                  <w:r>
                                    <w:rPr>
                                      <w:b/>
                                      <w:color w:val="000000"/>
                                      <w:kern w:val="0"/>
                                      <w:sz w:val="24"/>
                                    </w:rPr>
                                    <w:t>图5-2工艺流程</w:t>
                                  </w:r>
                                  <w:r>
                                    <w:rPr>
                                      <w:rFonts w:hint="eastAsia" w:ascii="宋体" w:hAnsi="宋体"/>
                                      <w:b/>
                                      <w:color w:val="000000"/>
                                      <w:kern w:val="0"/>
                                      <w:sz w:val="24"/>
                                    </w:rPr>
                                    <w:t>及产污环节图</w:t>
                                  </w:r>
                                </w:p>
                              </w:txbxContent>
                            </wps:txbx>
                            <wps:bodyPr lIns="0" tIns="0" rIns="0" bIns="0" upright="1"/>
                          </wps:wsp>
                        </a:graphicData>
                      </a:graphic>
                    </wp:anchor>
                  </w:drawing>
                </mc:Choice>
                <mc:Fallback>
                  <w:pict>
                    <v:rect id="_x0000_s1026" o:spid="_x0000_s1026" o:spt="1" style="position:absolute;left:0pt;margin-left:182pt;margin-top:724.8pt;height:15.6pt;width:219.55pt;z-index:251663360;mso-width-relative:page;mso-height-relative:page;" filled="f" stroked="f" coordsize="21600,21600" o:gfxdata="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oW/uF9wAAAANAQAADwAAAAAAAAABACAAAAAiAAAAZHJzL2Rvd25yZXYueG1sUEsBAhQA&#10;FAAAAAgAh07iQJcLIqu1AQAAdQMAAA4AAAAAAAAAAQAgAAAAKwEAAGRycy9lMm9Eb2MueG1sUEsF&#10;BgAAAAAGAAYAWQEAAFIFAAAAAA==&#10;">
                      <v:fill on="f" focussize="0,0"/>
                      <v:stroke on="f"/>
                      <v:imagedata o:title=""/>
                      <o:lock v:ext="edit" aspectratio="f"/>
                      <v:textbox inset="0mm,0mm,0mm,0mm">
                        <w:txbxContent>
                          <w:p>
                            <w:pPr>
                              <w:rPr>
                                <w:b/>
                                <w:color w:val="000000"/>
                              </w:rPr>
                            </w:pPr>
                            <w:r>
                              <w:rPr>
                                <w:b/>
                                <w:color w:val="000000"/>
                                <w:kern w:val="0"/>
                                <w:sz w:val="24"/>
                              </w:rPr>
                              <w:t>图5-2工艺流程</w:t>
                            </w:r>
                            <w:r>
                              <w:rPr>
                                <w:rFonts w:hint="eastAsia" w:ascii="宋体" w:hAnsi="宋体"/>
                                <w:b/>
                                <w:color w:val="000000"/>
                                <w:kern w:val="0"/>
                                <w:sz w:val="24"/>
                              </w:rPr>
                              <w:t>及产污环节图</w:t>
                            </w:r>
                          </w:p>
                        </w:txbxContent>
                      </v:textbox>
                    </v:rect>
                  </w:pict>
                </mc:Fallback>
              </mc:AlternateContent>
            </w:r>
            <w:r>
              <w:rPr>
                <w:b/>
                <w:bCs/>
              </w:rPr>
              <w:t>图</w:t>
            </w:r>
            <w:r>
              <w:rPr>
                <w:rFonts w:hint="eastAsia"/>
                <w:b/>
                <w:bCs/>
              </w:rPr>
              <w:t>2-3木纹转印生</w:t>
            </w:r>
            <w:r>
              <w:rPr>
                <w:b/>
                <w:bCs/>
              </w:rPr>
              <w:t>产工艺流程及产污环节图</w:t>
            </w:r>
          </w:p>
          <w:p>
            <w:pPr>
              <w:adjustRightInd w:val="0"/>
              <w:snapToGrid w:val="0"/>
              <w:spacing w:line="360" w:lineRule="auto"/>
              <w:rPr>
                <w:sz w:val="24"/>
              </w:rPr>
            </w:pPr>
            <w:r>
              <w:rPr>
                <w:rFonts w:hint="eastAsia"/>
                <w:sz w:val="24"/>
              </w:rPr>
              <w:t>工艺简述：</w:t>
            </w:r>
          </w:p>
          <w:p>
            <w:pPr>
              <w:adjustRightInd w:val="0"/>
              <w:snapToGrid w:val="0"/>
              <w:spacing w:line="360" w:lineRule="auto"/>
              <w:ind w:firstLine="480" w:firstLineChars="200"/>
              <w:rPr>
                <w:sz w:val="24"/>
              </w:rPr>
            </w:pPr>
            <w:r>
              <w:rPr>
                <w:rFonts w:hint="eastAsia"/>
                <w:sz w:val="24"/>
              </w:rPr>
              <w:t>（1）套膜：采用</w:t>
            </w:r>
            <w:r>
              <w:rPr>
                <w:rFonts w:hint="eastAsia"/>
                <w:sz w:val="24"/>
                <w:lang w:val="en-US" w:eastAsia="zh-CN"/>
              </w:rPr>
              <w:t>贴膜机</w:t>
            </w:r>
            <w:r>
              <w:rPr>
                <w:rFonts w:hint="eastAsia"/>
                <w:sz w:val="24"/>
              </w:rPr>
              <w:t>对喷塑后铝型材，利用木纹纸根据产品的大小进行自动套膜。该工序产生的污染物噪声N。</w:t>
            </w:r>
          </w:p>
          <w:p>
            <w:pPr>
              <w:adjustRightInd w:val="0"/>
              <w:snapToGrid w:val="0"/>
              <w:spacing w:line="360" w:lineRule="auto"/>
              <w:ind w:firstLine="480" w:firstLineChars="200"/>
              <w:rPr>
                <w:sz w:val="24"/>
              </w:rPr>
            </w:pPr>
            <w:r>
              <w:rPr>
                <w:rFonts w:hint="eastAsia"/>
                <w:sz w:val="24"/>
              </w:rPr>
              <w:t>（2）入炉转印：套膜后的铝型材进入转印炉内，再把转印温度设定在175-185℃，恒温时间在10-20min之间。该工序产生的污染物天然气燃烧废气G3、木纹转印有机废气G2、噪声N。</w:t>
            </w:r>
          </w:p>
          <w:p>
            <w:pPr>
              <w:adjustRightInd w:val="0"/>
              <w:snapToGrid w:val="0"/>
              <w:spacing w:line="360" w:lineRule="auto"/>
              <w:ind w:firstLine="480" w:firstLineChars="200"/>
              <w:rPr>
                <w:sz w:val="24"/>
              </w:rPr>
            </w:pPr>
            <w:r>
              <w:rPr>
                <w:rFonts w:hint="eastAsia"/>
                <w:sz w:val="24"/>
              </w:rPr>
              <w:t>（3）切膜：转印后的铝型材利用切膜机进行切膜，并检查型材的各个部分的木纹转印的质量。该工序产生的污染物噪声N、废木纹纸S6。</w:t>
            </w:r>
          </w:p>
          <w:p>
            <w:pPr>
              <w:adjustRightInd w:val="0"/>
              <w:snapToGrid w:val="0"/>
              <w:spacing w:line="360" w:lineRule="auto"/>
              <w:ind w:firstLine="480" w:firstLineChars="200"/>
              <w:rPr>
                <w:sz w:val="24"/>
              </w:rPr>
            </w:pPr>
            <w:r>
              <w:rPr>
                <w:rFonts w:hint="eastAsia"/>
                <w:sz w:val="24"/>
              </w:rPr>
              <w:t>（4）包装：使用热收缩膜包装机将收缩膜紧密覆于转印好放热铝型材上，起到保护作用，成品入库。</w:t>
            </w:r>
          </w:p>
          <w:p>
            <w:pPr>
              <w:adjustRightInd w:val="0"/>
              <w:snapToGrid w:val="0"/>
              <w:spacing w:line="360" w:lineRule="auto"/>
              <w:ind w:firstLine="482" w:firstLineChars="200"/>
              <w:rPr>
                <w:b/>
                <w:bCs/>
                <w:sz w:val="24"/>
              </w:rPr>
            </w:pPr>
            <w:r>
              <w:rPr>
                <w:rFonts w:hint="eastAsia"/>
                <w:b/>
                <w:bCs/>
                <w:sz w:val="24"/>
              </w:rPr>
              <w:t>3)覆膜生产线</w:t>
            </w:r>
          </w:p>
          <w:p>
            <w:pPr>
              <w:pStyle w:val="35"/>
              <w:rPr>
                <w:rFonts w:ascii="Times New Roman"/>
                <w:color w:val="auto"/>
              </w:rPr>
            </w:pPr>
          </w:p>
          <w:p>
            <w:pPr>
              <w:pStyle w:val="38"/>
              <w:rPr>
                <w:rFonts w:ascii="Times New Roman"/>
                <w:b w:val="0"/>
                <w:bCs w:val="0"/>
                <w:sz w:val="24"/>
              </w:rPr>
            </w:pPr>
          </w:p>
          <w:p>
            <w:pPr>
              <w:rPr>
                <w:sz w:val="24"/>
              </w:rPr>
            </w:pPr>
          </w:p>
          <w:p>
            <w:pPr>
              <w:pStyle w:val="35"/>
              <w:rPr>
                <w:rFonts w:ascii="Times New Roman"/>
                <w:color w:val="auto"/>
              </w:rPr>
            </w:pPr>
          </w:p>
          <w:p>
            <w:pPr>
              <w:pStyle w:val="38"/>
              <w:rPr>
                <w:rFonts w:ascii="Times New Roman"/>
                <w:b w:val="0"/>
                <w:bCs w:val="0"/>
                <w:sz w:val="24"/>
              </w:rPr>
            </w:pPr>
          </w:p>
          <w:p>
            <w:pPr>
              <w:pStyle w:val="38"/>
              <w:rPr>
                <w:rFonts w:ascii="Times New Roman"/>
                <w:sz w:val="24"/>
                <w:szCs w:val="24"/>
              </w:rPr>
            </w:pPr>
          </w:p>
          <w:p>
            <w:pPr>
              <w:rPr>
                <w:sz w:val="24"/>
              </w:rPr>
            </w:pPr>
          </w:p>
          <w:p>
            <w:pPr>
              <w:pStyle w:val="35"/>
            </w:pPr>
          </w:p>
          <w:p>
            <w:pPr>
              <w:rPr>
                <w:sz w:val="24"/>
              </w:rPr>
            </w:pPr>
          </w:p>
          <w:p>
            <w:pPr>
              <w:pStyle w:val="35"/>
              <w:rPr>
                <w:rFonts w:ascii="Times New Roman"/>
                <w:color w:val="auto"/>
              </w:rPr>
            </w:pPr>
          </w:p>
          <w:p>
            <w:pPr>
              <w:pStyle w:val="38"/>
              <w:rPr>
                <w:rFonts w:ascii="Times New Roman"/>
                <w:b w:val="0"/>
                <w:bCs w:val="0"/>
                <w:sz w:val="24"/>
              </w:rPr>
            </w:pPr>
          </w:p>
          <w:p>
            <w:pPr>
              <w:rPr>
                <w:sz w:val="24"/>
              </w:rPr>
            </w:pPr>
          </w:p>
          <w:p>
            <w:pPr>
              <w:pStyle w:val="35"/>
              <w:rPr>
                <w:rFonts w:ascii="Times New Roman"/>
                <w:color w:val="auto"/>
              </w:rPr>
            </w:pPr>
          </w:p>
          <w:p>
            <w:pPr>
              <w:pStyle w:val="38"/>
            </w:pPr>
            <w:r>
              <w:rPr>
                <w:b/>
                <w:bCs/>
                <w:sz w:val="24"/>
              </w:rPr>
              <w:pict>
                <v:shape id="_x0000_s2053" o:spid="_x0000_s2053" o:spt="75" type="#_x0000_t75" style="position:absolute;left:0pt;margin-left:83.85pt;margin-top:-0.1pt;height:371.75pt;width:199.7pt;z-index:251667456;mso-width-relative:page;mso-height-relative:page;" o:ole="t" filled="f" o:preferrelative="t" stroked="f" coordsize="21600,21600">
                  <v:path/>
                  <v:fill on="f" focussize="0,0"/>
                  <v:stroke on="f"/>
                  <v:imagedata r:id="rId15" o:title=""/>
                  <o:lock v:ext="edit" aspectratio="f"/>
                </v:shape>
                <o:OLEObject Type="Embed" ProgID="Visio.Drawing.11" ShapeID="_x0000_s2053" DrawAspect="Content" ObjectID="_1468075728" r:id="rId14">
                  <o:LockedField>false</o:LockedField>
                </o:OLEObject>
              </w:pict>
            </w:r>
          </w:p>
          <w:p>
            <w:pPr>
              <w:rPr>
                <w:sz w:val="24"/>
              </w:rPr>
            </w:pPr>
          </w:p>
          <w:p>
            <w:pPr>
              <w:pStyle w:val="35"/>
              <w:rPr>
                <w:rFonts w:ascii="Times New Roman"/>
                <w:color w:val="auto"/>
              </w:rPr>
            </w:pPr>
          </w:p>
          <w:p>
            <w:pPr>
              <w:pStyle w:val="38"/>
              <w:rPr>
                <w:rFonts w:ascii="Times New Roman"/>
                <w:b w:val="0"/>
                <w:bCs w:val="0"/>
                <w:sz w:val="24"/>
              </w:rPr>
            </w:pPr>
          </w:p>
          <w:p>
            <w:pPr>
              <w:rPr>
                <w:sz w:val="24"/>
              </w:rPr>
            </w:pPr>
          </w:p>
          <w:p>
            <w:pPr>
              <w:pStyle w:val="35"/>
              <w:rPr>
                <w:rFonts w:ascii="Times New Roman"/>
                <w:color w:val="auto"/>
              </w:rPr>
            </w:pPr>
          </w:p>
          <w:p>
            <w:pPr>
              <w:pStyle w:val="38"/>
              <w:rPr>
                <w:rFonts w:ascii="Times New Roman"/>
                <w:b w:val="0"/>
                <w:bCs w:val="0"/>
                <w:sz w:val="24"/>
              </w:rPr>
            </w:pPr>
          </w:p>
          <w:p>
            <w:pPr>
              <w:rPr>
                <w:sz w:val="24"/>
              </w:rPr>
            </w:pPr>
          </w:p>
          <w:p>
            <w:pPr>
              <w:pStyle w:val="38"/>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adjustRightInd w:val="0"/>
              <w:snapToGrid w:val="0"/>
              <w:spacing w:line="360" w:lineRule="auto"/>
              <w:jc w:val="center"/>
              <w:rPr>
                <w:sz w:val="24"/>
              </w:rPr>
            </w:pPr>
            <w:r>
              <w:rPr>
                <w:b/>
                <w:bCs/>
              </w:rPr>
              <w:t>图</w:t>
            </w:r>
            <w:r>
              <w:rPr>
                <w:rFonts w:hint="eastAsia"/>
                <w:b/>
                <w:bCs/>
              </w:rPr>
              <w:t>2-4覆膜</w:t>
            </w:r>
            <w:r>
              <w:rPr>
                <w:b/>
                <w:bCs/>
              </w:rPr>
              <w:t>工艺流程及产污环节图</w:t>
            </w:r>
          </w:p>
          <w:p>
            <w:pPr>
              <w:adjustRightInd w:val="0"/>
              <w:snapToGrid w:val="0"/>
              <w:spacing w:line="360" w:lineRule="auto"/>
              <w:ind w:firstLine="480" w:firstLineChars="200"/>
              <w:rPr>
                <w:sz w:val="24"/>
              </w:rPr>
            </w:pPr>
            <w:r>
              <w:rPr>
                <w:rFonts w:hint="eastAsia"/>
                <w:sz w:val="24"/>
              </w:rPr>
              <w:t>工艺简述：</w:t>
            </w:r>
          </w:p>
          <w:p>
            <w:pPr>
              <w:adjustRightInd w:val="0"/>
              <w:snapToGrid w:val="0"/>
              <w:spacing w:line="360" w:lineRule="auto"/>
              <w:ind w:firstLine="480" w:firstLineChars="200"/>
              <w:rPr>
                <w:sz w:val="24"/>
              </w:rPr>
            </w:pPr>
            <w:r>
              <w:rPr>
                <w:rFonts w:hint="eastAsia"/>
                <w:sz w:val="24"/>
              </w:rPr>
              <w:t>（1）上料：将铝卷送至开卷机的卷筒上，该工序主要污染物为噪声N</w:t>
            </w:r>
            <w:r>
              <w:rPr>
                <w:rFonts w:hint="eastAsia"/>
                <w:sz w:val="24"/>
                <w:lang w:eastAsia="zh-CN"/>
              </w:rPr>
              <w:t>、</w:t>
            </w:r>
            <w:r>
              <w:rPr>
                <w:rFonts w:hint="eastAsia"/>
                <w:sz w:val="24"/>
                <w:lang w:val="en-US" w:eastAsia="zh-CN"/>
              </w:rPr>
              <w:t>废边角料S1</w:t>
            </w:r>
            <w:r>
              <w:rPr>
                <w:rFonts w:hint="eastAsia"/>
                <w:sz w:val="24"/>
              </w:rPr>
              <w:t>。</w:t>
            </w:r>
          </w:p>
          <w:p>
            <w:pPr>
              <w:adjustRightInd w:val="0"/>
              <w:snapToGrid w:val="0"/>
              <w:spacing w:line="360" w:lineRule="auto"/>
              <w:ind w:firstLine="480" w:firstLineChars="200"/>
              <w:rPr>
                <w:sz w:val="24"/>
              </w:rPr>
            </w:pPr>
            <w:r>
              <w:rPr>
                <w:rFonts w:hint="eastAsia"/>
                <w:sz w:val="24"/>
              </w:rPr>
              <w:t>（2）开卷：开卷机通过交流电机中心驱动系统带动卷筒选装，将铝卷展开，引料压辊压紧卷料，料压由引辊带动铝卷板把料头旋转到离引料压辊后辊较近位置，剪短包装铝卷，可有效方式铝卷头摊开伤人。该</w:t>
            </w:r>
            <w:r>
              <w:rPr>
                <w:rFonts w:hint="eastAsia"/>
                <w:sz w:val="24"/>
                <w:lang w:val="en-US" w:eastAsia="zh-CN"/>
              </w:rPr>
              <w:t>工序主要</w:t>
            </w:r>
            <w:r>
              <w:rPr>
                <w:rFonts w:hint="eastAsia"/>
                <w:sz w:val="24"/>
              </w:rPr>
              <w:t>污染物</w:t>
            </w:r>
            <w:r>
              <w:rPr>
                <w:rFonts w:hint="eastAsia"/>
                <w:sz w:val="24"/>
                <w:lang w:val="en-US" w:eastAsia="zh-CN"/>
              </w:rPr>
              <w:t>为</w:t>
            </w:r>
            <w:r>
              <w:rPr>
                <w:rFonts w:hint="eastAsia"/>
                <w:sz w:val="24"/>
              </w:rPr>
              <w:t>噪声N。</w:t>
            </w:r>
          </w:p>
          <w:p>
            <w:pPr>
              <w:adjustRightInd w:val="0"/>
              <w:snapToGrid w:val="0"/>
              <w:spacing w:line="360" w:lineRule="auto"/>
              <w:ind w:firstLine="480" w:firstLineChars="200"/>
              <w:rPr>
                <w:sz w:val="24"/>
              </w:rPr>
            </w:pPr>
            <w:r>
              <w:rPr>
                <w:rFonts w:hint="eastAsia"/>
                <w:sz w:val="24"/>
              </w:rPr>
              <w:t>（3）引料：通过开卷机动力把铝卷送至引料托板上，引料托板送铝卷进入铝卷热覆机。加热温度为175-185℃，恒温时间在10-20min之间。该工序产生的污染物天然气燃烧废气G3、噪声N。</w:t>
            </w:r>
          </w:p>
          <w:p>
            <w:pPr>
              <w:adjustRightInd w:val="0"/>
              <w:snapToGrid w:val="0"/>
              <w:spacing w:line="360" w:lineRule="auto"/>
              <w:ind w:firstLine="480" w:firstLineChars="200"/>
              <w:rPr>
                <w:sz w:val="24"/>
              </w:rPr>
            </w:pPr>
            <w:r>
              <w:rPr>
                <w:rFonts w:hint="eastAsia"/>
                <w:sz w:val="24"/>
              </w:rPr>
              <w:t>（4）覆膜：加热后的铝卷与高分子材料分别放置在高分子覆膜机上，一起进入覆膜机，再把温度设定在100-120℃，恒温时间在10-20min之间。该工序产生的污染物覆膜有机废气G2、噪声N、废边角料S1；覆高分子有机材料膜后的铝卷表面再利用静电附上一层透明薄膜。该工序产生的污染物噪声N。</w:t>
            </w:r>
          </w:p>
          <w:p>
            <w:pPr>
              <w:adjustRightInd w:val="0"/>
              <w:snapToGrid w:val="0"/>
              <w:spacing w:line="360" w:lineRule="auto"/>
              <w:ind w:firstLine="480" w:firstLineChars="200"/>
              <w:rPr>
                <w:sz w:val="24"/>
              </w:rPr>
            </w:pPr>
            <w:r>
              <w:rPr>
                <w:rFonts w:hint="eastAsia"/>
                <w:sz w:val="24"/>
              </w:rPr>
              <w:t>（5）收卷：将腹膜后铝卷利用牵引机收卷。</w:t>
            </w:r>
          </w:p>
          <w:p>
            <w:pPr>
              <w:adjustRightInd w:val="0"/>
              <w:snapToGrid w:val="0"/>
              <w:spacing w:line="360" w:lineRule="auto"/>
              <w:ind w:firstLine="480" w:firstLineChars="200"/>
              <w:rPr>
                <w:sz w:val="24"/>
              </w:rPr>
            </w:pPr>
            <w:r>
              <w:rPr>
                <w:rFonts w:hint="eastAsia"/>
                <w:sz w:val="24"/>
              </w:rPr>
              <w:t>（6）分条：将腹膜后的铝材放置于分条机上，分割成不同宽度的铝板，本工序产生的污染物有噪声N、废边角料S1。</w:t>
            </w:r>
          </w:p>
          <w:p>
            <w:pPr>
              <w:adjustRightInd w:val="0"/>
              <w:snapToGrid w:val="0"/>
              <w:spacing w:line="360" w:lineRule="auto"/>
              <w:ind w:firstLine="480" w:firstLineChars="200"/>
              <w:rPr>
                <w:sz w:val="24"/>
              </w:rPr>
            </w:pPr>
            <w:r>
              <w:rPr>
                <w:rFonts w:hint="eastAsia"/>
                <w:sz w:val="24"/>
              </w:rPr>
              <w:t>（7）定型：将覆膜后的铝材等通过折弯机等设备压成需要形状，本工序产生的污染物有噪声N、废边角料S1。</w:t>
            </w:r>
          </w:p>
          <w:p>
            <w:pPr>
              <w:adjustRightInd w:val="0"/>
              <w:snapToGrid w:val="0"/>
              <w:spacing w:line="360" w:lineRule="auto"/>
              <w:ind w:firstLine="480" w:firstLineChars="200"/>
              <w:rPr>
                <w:sz w:val="24"/>
              </w:rPr>
            </w:pPr>
            <w:r>
              <w:rPr>
                <w:rFonts w:hint="eastAsia"/>
                <w:sz w:val="24"/>
              </w:rPr>
              <w:t>（8）成品入库。</w:t>
            </w:r>
          </w:p>
          <w:p>
            <w:pPr>
              <w:adjustRightInd w:val="0"/>
              <w:snapToGrid w:val="0"/>
              <w:ind w:firstLine="422" w:firstLineChars="200"/>
              <w:jc w:val="center"/>
              <w:rPr>
                <w:b/>
                <w:bCs/>
                <w:szCs w:val="21"/>
              </w:rPr>
            </w:pPr>
            <w:r>
              <w:rPr>
                <w:b/>
                <w:bCs/>
                <w:szCs w:val="21"/>
              </w:rPr>
              <w:t>表2-</w:t>
            </w:r>
            <w:r>
              <w:rPr>
                <w:rFonts w:hint="eastAsia"/>
                <w:b/>
                <w:bCs/>
                <w:szCs w:val="21"/>
              </w:rPr>
              <w:t>8</w:t>
            </w:r>
            <w:r>
              <w:rPr>
                <w:b/>
                <w:bCs/>
                <w:szCs w:val="21"/>
              </w:rPr>
              <w:t>产污环节一览表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038"/>
              <w:gridCol w:w="1011"/>
              <w:gridCol w:w="1191"/>
              <w:gridCol w:w="2193"/>
              <w:gridCol w:w="24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tcBorders>
                    <w:tl2br w:val="nil"/>
                    <w:tr2bl w:val="nil"/>
                  </w:tcBorders>
                  <w:vAlign w:val="center"/>
                </w:tcPr>
                <w:p>
                  <w:pPr>
                    <w:adjustRightInd w:val="0"/>
                    <w:snapToGrid w:val="0"/>
                    <w:jc w:val="center"/>
                    <w:rPr>
                      <w:b/>
                      <w:szCs w:val="21"/>
                    </w:rPr>
                  </w:pPr>
                  <w:r>
                    <w:rPr>
                      <w:b/>
                      <w:szCs w:val="21"/>
                    </w:rPr>
                    <w:t>类别</w:t>
                  </w:r>
                </w:p>
              </w:tc>
              <w:tc>
                <w:tcPr>
                  <w:tcW w:w="4395" w:type="dxa"/>
                  <w:gridSpan w:val="3"/>
                  <w:tcBorders>
                    <w:tl2br w:val="nil"/>
                    <w:tr2bl w:val="nil"/>
                  </w:tcBorders>
                  <w:vAlign w:val="center"/>
                </w:tcPr>
                <w:p>
                  <w:pPr>
                    <w:adjustRightInd w:val="0"/>
                    <w:snapToGrid w:val="0"/>
                    <w:jc w:val="center"/>
                    <w:rPr>
                      <w:b/>
                      <w:szCs w:val="21"/>
                    </w:rPr>
                  </w:pPr>
                  <w:r>
                    <w:rPr>
                      <w:b/>
                      <w:szCs w:val="21"/>
                    </w:rPr>
                    <w:t>污染源</w:t>
                  </w:r>
                </w:p>
              </w:tc>
              <w:tc>
                <w:tcPr>
                  <w:tcW w:w="2498" w:type="dxa"/>
                  <w:tcBorders>
                    <w:tl2br w:val="nil"/>
                    <w:tr2bl w:val="nil"/>
                  </w:tcBorders>
                  <w:vAlign w:val="center"/>
                </w:tcPr>
                <w:p>
                  <w:pPr>
                    <w:adjustRightInd w:val="0"/>
                    <w:snapToGrid w:val="0"/>
                    <w:jc w:val="center"/>
                    <w:rPr>
                      <w:b/>
                      <w:szCs w:val="21"/>
                    </w:rPr>
                  </w:pPr>
                  <w:r>
                    <w:rPr>
                      <w:b/>
                      <w:szCs w:val="21"/>
                    </w:rPr>
                    <w:t>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restart"/>
                  <w:tcBorders>
                    <w:tl2br w:val="nil"/>
                    <w:tr2bl w:val="nil"/>
                  </w:tcBorders>
                  <w:vAlign w:val="center"/>
                </w:tcPr>
                <w:p>
                  <w:pPr>
                    <w:adjustRightInd w:val="0"/>
                    <w:snapToGrid w:val="0"/>
                    <w:jc w:val="center"/>
                  </w:pPr>
                  <w:r>
                    <w:rPr>
                      <w:rFonts w:hint="eastAsia"/>
                    </w:rPr>
                    <w:t>废气</w:t>
                  </w:r>
                </w:p>
              </w:tc>
              <w:tc>
                <w:tcPr>
                  <w:tcW w:w="2202" w:type="dxa"/>
                  <w:gridSpan w:val="2"/>
                  <w:tcBorders>
                    <w:tl2br w:val="nil"/>
                    <w:tr2bl w:val="nil"/>
                  </w:tcBorders>
                  <w:vAlign w:val="center"/>
                </w:tcPr>
                <w:p>
                  <w:pPr>
                    <w:adjustRightInd w:val="0"/>
                    <w:snapToGrid w:val="0"/>
                    <w:jc w:val="center"/>
                  </w:pPr>
                  <w:r>
                    <w:rPr>
                      <w:rFonts w:hint="eastAsia"/>
                      <w:kern w:val="0"/>
                      <w:szCs w:val="21"/>
                    </w:rPr>
                    <w:t>G1</w:t>
                  </w:r>
                </w:p>
              </w:tc>
              <w:tc>
                <w:tcPr>
                  <w:tcW w:w="2193" w:type="dxa"/>
                  <w:tcBorders>
                    <w:tl2br w:val="nil"/>
                    <w:tr2bl w:val="nil"/>
                  </w:tcBorders>
                  <w:vAlign w:val="center"/>
                </w:tcPr>
                <w:p>
                  <w:pPr>
                    <w:adjustRightInd w:val="0"/>
                    <w:snapToGrid w:val="0"/>
                    <w:jc w:val="center"/>
                  </w:pPr>
                  <w:r>
                    <w:rPr>
                      <w:rFonts w:hint="eastAsia"/>
                    </w:rPr>
                    <w:t>喷塑颗粒物</w:t>
                  </w:r>
                </w:p>
              </w:tc>
              <w:tc>
                <w:tcPr>
                  <w:tcW w:w="2498" w:type="dxa"/>
                  <w:tcBorders>
                    <w:tl2br w:val="nil"/>
                    <w:tr2bl w:val="nil"/>
                  </w:tcBorders>
                  <w:vAlign w:val="center"/>
                </w:tcPr>
                <w:p>
                  <w:pPr>
                    <w:adjustRightInd w:val="0"/>
                    <w:snapToGrid w:val="0"/>
                    <w:jc w:val="center"/>
                  </w:pPr>
                  <w:r>
                    <w:rPr>
                      <w:szCs w:val="21"/>
                    </w:rPr>
                    <w:t>颗粒物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2202" w:type="dxa"/>
                  <w:gridSpan w:val="2"/>
                  <w:tcBorders>
                    <w:tl2br w:val="nil"/>
                    <w:tr2bl w:val="nil"/>
                  </w:tcBorders>
                  <w:vAlign w:val="center"/>
                </w:tcPr>
                <w:p>
                  <w:pPr>
                    <w:adjustRightInd w:val="0"/>
                    <w:snapToGrid w:val="0"/>
                    <w:jc w:val="center"/>
                    <w:rPr>
                      <w:kern w:val="0"/>
                      <w:szCs w:val="21"/>
                    </w:rPr>
                  </w:pPr>
                  <w:r>
                    <w:rPr>
                      <w:rFonts w:hint="eastAsia"/>
                    </w:rPr>
                    <w:t>G2</w:t>
                  </w:r>
                </w:p>
              </w:tc>
              <w:tc>
                <w:tcPr>
                  <w:tcW w:w="2193" w:type="dxa"/>
                  <w:tcBorders>
                    <w:tl2br w:val="nil"/>
                    <w:tr2bl w:val="nil"/>
                  </w:tcBorders>
                  <w:vAlign w:val="center"/>
                </w:tcPr>
                <w:p>
                  <w:pPr>
                    <w:adjustRightInd w:val="0"/>
                    <w:snapToGrid w:val="0"/>
                    <w:jc w:val="center"/>
                    <w:rPr>
                      <w:kern w:val="0"/>
                      <w:szCs w:val="21"/>
                    </w:rPr>
                  </w:pPr>
                  <w:r>
                    <w:rPr>
                      <w:rFonts w:hint="eastAsia"/>
                      <w:kern w:val="0"/>
                      <w:szCs w:val="21"/>
                    </w:rPr>
                    <w:t>有机废气</w:t>
                  </w:r>
                </w:p>
              </w:tc>
              <w:tc>
                <w:tcPr>
                  <w:tcW w:w="2498" w:type="dxa"/>
                  <w:tcBorders>
                    <w:tl2br w:val="nil"/>
                    <w:tr2bl w:val="nil"/>
                  </w:tcBorders>
                  <w:vAlign w:val="center"/>
                </w:tcPr>
                <w:p>
                  <w:pPr>
                    <w:adjustRightInd w:val="0"/>
                    <w:snapToGrid w:val="0"/>
                    <w:jc w:val="center"/>
                    <w:rPr>
                      <w:szCs w:val="21"/>
                    </w:rPr>
                  </w:pPr>
                  <w:r>
                    <w:rPr>
                      <w:rFonts w:hint="eastAsia"/>
                      <w:szCs w:val="21"/>
                    </w:rPr>
                    <w:t>非甲烷总烃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2202" w:type="dxa"/>
                  <w:gridSpan w:val="2"/>
                  <w:tcBorders>
                    <w:tl2br w:val="nil"/>
                    <w:tr2bl w:val="nil"/>
                  </w:tcBorders>
                  <w:vAlign w:val="center"/>
                </w:tcPr>
                <w:p>
                  <w:pPr>
                    <w:adjustRightInd w:val="0"/>
                    <w:snapToGrid w:val="0"/>
                    <w:jc w:val="center"/>
                    <w:rPr>
                      <w:kern w:val="0"/>
                      <w:szCs w:val="21"/>
                    </w:rPr>
                  </w:pPr>
                  <w:r>
                    <w:rPr>
                      <w:rFonts w:hint="eastAsia"/>
                      <w:kern w:val="0"/>
                      <w:szCs w:val="21"/>
                    </w:rPr>
                    <w:t>G3</w:t>
                  </w:r>
                </w:p>
              </w:tc>
              <w:tc>
                <w:tcPr>
                  <w:tcW w:w="2193" w:type="dxa"/>
                  <w:tcBorders>
                    <w:tl2br w:val="nil"/>
                    <w:tr2bl w:val="nil"/>
                  </w:tcBorders>
                  <w:vAlign w:val="center"/>
                </w:tcPr>
                <w:p>
                  <w:pPr>
                    <w:adjustRightInd w:val="0"/>
                    <w:snapToGrid w:val="0"/>
                    <w:jc w:val="center"/>
                    <w:rPr>
                      <w:kern w:val="0"/>
                      <w:szCs w:val="21"/>
                    </w:rPr>
                  </w:pPr>
                  <w:r>
                    <w:rPr>
                      <w:rFonts w:hint="eastAsia"/>
                      <w:kern w:val="0"/>
                      <w:szCs w:val="21"/>
                    </w:rPr>
                    <w:t>天然气燃烧废气</w:t>
                  </w:r>
                </w:p>
              </w:tc>
              <w:tc>
                <w:tcPr>
                  <w:tcW w:w="2498" w:type="dxa"/>
                  <w:tcBorders>
                    <w:tl2br w:val="nil"/>
                    <w:tr2bl w:val="nil"/>
                  </w:tcBorders>
                  <w:vAlign w:val="center"/>
                </w:tcPr>
                <w:p>
                  <w:pPr>
                    <w:adjustRightInd w:val="0"/>
                    <w:snapToGrid w:val="0"/>
                    <w:jc w:val="center"/>
                    <w:rPr>
                      <w:szCs w:val="21"/>
                    </w:rPr>
                  </w:pPr>
                  <w:r>
                    <w:rPr>
                      <w:rFonts w:hint="eastAsia"/>
                      <w:szCs w:val="21"/>
                    </w:rPr>
                    <w:t>颗粒物、SO</w:t>
                  </w:r>
                  <w:r>
                    <w:rPr>
                      <w:rFonts w:hint="eastAsia"/>
                      <w:szCs w:val="21"/>
                      <w:vertAlign w:val="subscript"/>
                    </w:rPr>
                    <w:t>2</w:t>
                  </w:r>
                  <w:r>
                    <w:rPr>
                      <w:rFonts w:hint="eastAsia"/>
                      <w:szCs w:val="21"/>
                    </w:rPr>
                    <w:t>、NO</w:t>
                  </w:r>
                  <w:r>
                    <w:rPr>
                      <w:rFonts w:hint="eastAsia"/>
                      <w:szCs w:val="21"/>
                      <w:vertAlign w:val="subscript"/>
                    </w:rPr>
                    <w:t>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restart"/>
                  <w:tcBorders>
                    <w:tl2br w:val="nil"/>
                    <w:tr2bl w:val="nil"/>
                  </w:tcBorders>
                  <w:vAlign w:val="center"/>
                </w:tcPr>
                <w:p>
                  <w:pPr>
                    <w:adjustRightInd w:val="0"/>
                    <w:snapToGrid w:val="0"/>
                    <w:jc w:val="center"/>
                    <w:rPr>
                      <w:szCs w:val="21"/>
                    </w:rPr>
                  </w:pPr>
                  <w:r>
                    <w:rPr>
                      <w:szCs w:val="21"/>
                    </w:rPr>
                    <w:t>废水</w:t>
                  </w:r>
                </w:p>
              </w:tc>
              <w:tc>
                <w:tcPr>
                  <w:tcW w:w="2202" w:type="dxa"/>
                  <w:gridSpan w:val="2"/>
                  <w:tcBorders>
                    <w:tl2br w:val="nil"/>
                    <w:tr2bl w:val="nil"/>
                  </w:tcBorders>
                  <w:vAlign w:val="center"/>
                </w:tcPr>
                <w:p>
                  <w:pPr>
                    <w:adjustRightInd w:val="0"/>
                    <w:snapToGrid w:val="0"/>
                    <w:jc w:val="center"/>
                    <w:rPr>
                      <w:szCs w:val="21"/>
                    </w:rPr>
                  </w:pPr>
                  <w:r>
                    <w:rPr>
                      <w:rFonts w:hint="eastAsia"/>
                      <w:szCs w:val="21"/>
                    </w:rPr>
                    <w:t>W1</w:t>
                  </w:r>
                </w:p>
              </w:tc>
              <w:tc>
                <w:tcPr>
                  <w:tcW w:w="2193" w:type="dxa"/>
                  <w:tcBorders>
                    <w:tl2br w:val="nil"/>
                    <w:tr2bl w:val="nil"/>
                  </w:tcBorders>
                  <w:vAlign w:val="center"/>
                </w:tcPr>
                <w:p>
                  <w:pPr>
                    <w:adjustRightInd w:val="0"/>
                    <w:snapToGrid w:val="0"/>
                    <w:jc w:val="center"/>
                    <w:rPr>
                      <w:rFonts w:hint="eastAsia" w:eastAsia="宋体"/>
                      <w:szCs w:val="21"/>
                      <w:lang w:eastAsia="zh-CN"/>
                    </w:rPr>
                  </w:pPr>
                  <w:r>
                    <w:rPr>
                      <w:rFonts w:hint="eastAsia"/>
                      <w:szCs w:val="21"/>
                      <w:lang w:eastAsia="zh-CN"/>
                    </w:rPr>
                    <w:t>铝材表面处理废水</w:t>
                  </w:r>
                </w:p>
              </w:tc>
              <w:tc>
                <w:tcPr>
                  <w:tcW w:w="2498" w:type="dxa"/>
                  <w:vMerge w:val="restart"/>
                  <w:tcBorders>
                    <w:tl2br w:val="nil"/>
                    <w:tr2bl w:val="nil"/>
                  </w:tcBorders>
                  <w:vAlign w:val="center"/>
                </w:tcPr>
                <w:p>
                  <w:pPr>
                    <w:adjustRightInd w:val="0"/>
                    <w:snapToGrid w:val="0"/>
                    <w:jc w:val="center"/>
                    <w:rPr>
                      <w:szCs w:val="21"/>
                    </w:rPr>
                  </w:pPr>
                  <w:r>
                    <w:rPr>
                      <w:rFonts w:hint="eastAsia"/>
                      <w:szCs w:val="21"/>
                    </w:rPr>
                    <w:t>pH、COD、SS、石油类、氨氮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2202" w:type="dxa"/>
                  <w:gridSpan w:val="2"/>
                  <w:tcBorders>
                    <w:tl2br w:val="nil"/>
                    <w:tr2bl w:val="nil"/>
                  </w:tcBorders>
                  <w:vAlign w:val="center"/>
                </w:tcPr>
                <w:p>
                  <w:pPr>
                    <w:adjustRightInd w:val="0"/>
                    <w:snapToGrid w:val="0"/>
                    <w:jc w:val="center"/>
                    <w:rPr>
                      <w:rFonts w:hint="eastAsia" w:eastAsia="宋体"/>
                      <w:szCs w:val="21"/>
                      <w:lang w:eastAsia="zh-CN"/>
                    </w:rPr>
                  </w:pPr>
                  <w:r>
                    <w:rPr>
                      <w:rFonts w:hint="eastAsia"/>
                      <w:szCs w:val="21"/>
                    </w:rPr>
                    <w:t>W</w:t>
                  </w:r>
                  <w:r>
                    <w:rPr>
                      <w:rFonts w:hint="eastAsia"/>
                      <w:szCs w:val="21"/>
                      <w:lang w:val="en-US" w:eastAsia="zh-CN"/>
                    </w:rPr>
                    <w:t>2</w:t>
                  </w:r>
                </w:p>
              </w:tc>
              <w:tc>
                <w:tcPr>
                  <w:tcW w:w="2193" w:type="dxa"/>
                  <w:tcBorders>
                    <w:tl2br w:val="nil"/>
                    <w:tr2bl w:val="nil"/>
                  </w:tcBorders>
                  <w:vAlign w:val="center"/>
                </w:tcPr>
                <w:p>
                  <w:pPr>
                    <w:adjustRightInd w:val="0"/>
                    <w:snapToGrid w:val="0"/>
                    <w:jc w:val="center"/>
                    <w:rPr>
                      <w:szCs w:val="21"/>
                    </w:rPr>
                  </w:pPr>
                  <w:r>
                    <w:rPr>
                      <w:rFonts w:hint="eastAsia"/>
                      <w:szCs w:val="21"/>
                      <w:lang w:eastAsia="zh-CN"/>
                    </w:rPr>
                    <w:t>清洗废水</w:t>
                  </w:r>
                </w:p>
              </w:tc>
              <w:tc>
                <w:tcPr>
                  <w:tcW w:w="2498" w:type="dxa"/>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2202" w:type="dxa"/>
                  <w:gridSpan w:val="2"/>
                  <w:tcBorders>
                    <w:tl2br w:val="nil"/>
                    <w:tr2bl w:val="nil"/>
                  </w:tcBorders>
                  <w:vAlign w:val="center"/>
                </w:tcPr>
                <w:p>
                  <w:pPr>
                    <w:adjustRightInd w:val="0"/>
                    <w:snapToGrid w:val="0"/>
                    <w:jc w:val="center"/>
                    <w:rPr>
                      <w:rFonts w:hint="default" w:eastAsia="宋体"/>
                      <w:szCs w:val="21"/>
                      <w:lang w:val="en-US" w:eastAsia="zh-CN"/>
                    </w:rPr>
                  </w:pPr>
                  <w:r>
                    <w:rPr>
                      <w:rFonts w:hint="eastAsia"/>
                      <w:szCs w:val="21"/>
                      <w:lang w:val="en-US" w:eastAsia="zh-CN"/>
                    </w:rPr>
                    <w:t>W3</w:t>
                  </w:r>
                </w:p>
              </w:tc>
              <w:tc>
                <w:tcPr>
                  <w:tcW w:w="2193" w:type="dxa"/>
                  <w:tcBorders>
                    <w:tl2br w:val="nil"/>
                    <w:tr2bl w:val="nil"/>
                  </w:tcBorders>
                  <w:vAlign w:val="center"/>
                </w:tcPr>
                <w:p>
                  <w:pPr>
                    <w:adjustRightInd w:val="0"/>
                    <w:snapToGrid w:val="0"/>
                    <w:jc w:val="center"/>
                    <w:rPr>
                      <w:szCs w:val="21"/>
                    </w:rPr>
                  </w:pPr>
                  <w:r>
                    <w:rPr>
                      <w:szCs w:val="21"/>
                    </w:rPr>
                    <w:t>办公</w:t>
                  </w:r>
                </w:p>
              </w:tc>
              <w:tc>
                <w:tcPr>
                  <w:tcW w:w="2498" w:type="dxa"/>
                  <w:tcBorders>
                    <w:tl2br w:val="nil"/>
                    <w:tr2bl w:val="nil"/>
                  </w:tcBorders>
                  <w:vAlign w:val="center"/>
                </w:tcPr>
                <w:p>
                  <w:pPr>
                    <w:adjustRightInd w:val="0"/>
                    <w:snapToGrid w:val="0"/>
                    <w:jc w:val="center"/>
                    <w:rPr>
                      <w:szCs w:val="21"/>
                    </w:rPr>
                  </w:pPr>
                  <w:r>
                    <w:rPr>
                      <w:szCs w:val="21"/>
                    </w:rPr>
                    <w:t>生活污水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tcBorders>
                    <w:tl2br w:val="nil"/>
                    <w:tr2bl w:val="nil"/>
                  </w:tcBorders>
                  <w:vAlign w:val="center"/>
                </w:tcPr>
                <w:p>
                  <w:pPr>
                    <w:adjustRightInd w:val="0"/>
                    <w:snapToGrid w:val="0"/>
                    <w:jc w:val="center"/>
                    <w:rPr>
                      <w:szCs w:val="21"/>
                    </w:rPr>
                  </w:pPr>
                  <w:r>
                    <w:rPr>
                      <w:szCs w:val="21"/>
                    </w:rPr>
                    <w:t>噪声</w:t>
                  </w:r>
                </w:p>
              </w:tc>
              <w:tc>
                <w:tcPr>
                  <w:tcW w:w="2202" w:type="dxa"/>
                  <w:gridSpan w:val="2"/>
                  <w:tcBorders>
                    <w:tl2br w:val="nil"/>
                    <w:tr2bl w:val="nil"/>
                  </w:tcBorders>
                  <w:vAlign w:val="center"/>
                </w:tcPr>
                <w:p>
                  <w:pPr>
                    <w:adjustRightInd w:val="0"/>
                    <w:snapToGrid w:val="0"/>
                    <w:jc w:val="center"/>
                    <w:rPr>
                      <w:szCs w:val="21"/>
                    </w:rPr>
                  </w:pPr>
                  <w:r>
                    <w:rPr>
                      <w:rFonts w:hint="eastAsia"/>
                      <w:szCs w:val="21"/>
                    </w:rPr>
                    <w:t>N</w:t>
                  </w:r>
                </w:p>
              </w:tc>
              <w:tc>
                <w:tcPr>
                  <w:tcW w:w="2193" w:type="dxa"/>
                  <w:tcBorders>
                    <w:tl2br w:val="nil"/>
                    <w:tr2bl w:val="nil"/>
                  </w:tcBorders>
                  <w:vAlign w:val="center"/>
                </w:tcPr>
                <w:p>
                  <w:pPr>
                    <w:adjustRightInd w:val="0"/>
                    <w:snapToGrid w:val="0"/>
                    <w:jc w:val="center"/>
                    <w:rPr>
                      <w:szCs w:val="21"/>
                    </w:rPr>
                  </w:pPr>
                  <w:r>
                    <w:rPr>
                      <w:szCs w:val="21"/>
                    </w:rPr>
                    <w:t>设备噪声</w:t>
                  </w:r>
                </w:p>
              </w:tc>
              <w:tc>
                <w:tcPr>
                  <w:tcW w:w="2498" w:type="dxa"/>
                  <w:tcBorders>
                    <w:tl2br w:val="nil"/>
                    <w:tr2bl w:val="nil"/>
                  </w:tcBorders>
                  <w:vAlign w:val="center"/>
                </w:tcPr>
                <w:p>
                  <w:pPr>
                    <w:adjustRightInd w:val="0"/>
                    <w:snapToGrid w:val="0"/>
                    <w:jc w:val="center"/>
                    <w:rPr>
                      <w:szCs w:val="21"/>
                    </w:rPr>
                  </w:pPr>
                  <w:r>
                    <w:rPr>
                      <w:szCs w:val="21"/>
                    </w:rPr>
                    <w:t>噪声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restart"/>
                  <w:tcBorders>
                    <w:tl2br w:val="nil"/>
                    <w:tr2bl w:val="nil"/>
                  </w:tcBorders>
                  <w:vAlign w:val="center"/>
                </w:tcPr>
                <w:p>
                  <w:pPr>
                    <w:adjustRightInd w:val="0"/>
                    <w:snapToGrid w:val="0"/>
                    <w:jc w:val="center"/>
                    <w:rPr>
                      <w:szCs w:val="21"/>
                    </w:rPr>
                  </w:pPr>
                  <w:r>
                    <w:rPr>
                      <w:szCs w:val="21"/>
                    </w:rPr>
                    <w:t>固废</w:t>
                  </w:r>
                </w:p>
              </w:tc>
              <w:tc>
                <w:tcPr>
                  <w:tcW w:w="1011" w:type="dxa"/>
                  <w:vMerge w:val="restart"/>
                  <w:tcBorders>
                    <w:tl2br w:val="nil"/>
                    <w:tr2bl w:val="nil"/>
                  </w:tcBorders>
                  <w:vAlign w:val="center"/>
                </w:tcPr>
                <w:p>
                  <w:pPr>
                    <w:adjustRightInd w:val="0"/>
                    <w:snapToGrid w:val="0"/>
                    <w:jc w:val="center"/>
                    <w:rPr>
                      <w:szCs w:val="21"/>
                    </w:rPr>
                  </w:pPr>
                  <w:r>
                    <w:rPr>
                      <w:rFonts w:hint="eastAsia"/>
                      <w:szCs w:val="21"/>
                    </w:rPr>
                    <w:t>一般固体废物</w:t>
                  </w:r>
                </w:p>
              </w:tc>
              <w:tc>
                <w:tcPr>
                  <w:tcW w:w="1191" w:type="dxa"/>
                  <w:tcBorders>
                    <w:tl2br w:val="nil"/>
                    <w:tr2bl w:val="nil"/>
                  </w:tcBorders>
                  <w:vAlign w:val="center"/>
                </w:tcPr>
                <w:p>
                  <w:pPr>
                    <w:adjustRightInd w:val="0"/>
                    <w:snapToGrid w:val="0"/>
                    <w:jc w:val="center"/>
                  </w:pPr>
                  <w:r>
                    <w:rPr>
                      <w:rFonts w:hint="eastAsia"/>
                    </w:rPr>
                    <w:t>S1</w:t>
                  </w:r>
                </w:p>
              </w:tc>
              <w:tc>
                <w:tcPr>
                  <w:tcW w:w="2193" w:type="dxa"/>
                  <w:tcBorders>
                    <w:tl2br w:val="nil"/>
                    <w:tr2bl w:val="nil"/>
                  </w:tcBorders>
                  <w:vAlign w:val="center"/>
                </w:tcPr>
                <w:p>
                  <w:pPr>
                    <w:adjustRightInd w:val="0"/>
                    <w:snapToGrid w:val="0"/>
                    <w:jc w:val="center"/>
                    <w:rPr>
                      <w:rFonts w:hint="default" w:eastAsia="宋体"/>
                      <w:lang w:val="en-US" w:eastAsia="zh-CN"/>
                    </w:rPr>
                  </w:pPr>
                  <w:r>
                    <w:rPr>
                      <w:rFonts w:hint="eastAsia"/>
                    </w:rPr>
                    <w:t>裁切</w:t>
                  </w:r>
                  <w:r>
                    <w:rPr>
                      <w:rFonts w:hint="eastAsia"/>
                      <w:lang w:eastAsia="zh-CN"/>
                    </w:rPr>
                    <w:t>、</w:t>
                  </w:r>
                  <w:r>
                    <w:rPr>
                      <w:rFonts w:hint="eastAsia"/>
                      <w:lang w:val="en-US" w:eastAsia="zh-CN"/>
                    </w:rPr>
                    <w:t>切膜、分条、定型、覆膜</w:t>
                  </w:r>
                </w:p>
              </w:tc>
              <w:tc>
                <w:tcPr>
                  <w:tcW w:w="2498" w:type="dxa"/>
                  <w:tcBorders>
                    <w:tl2br w:val="nil"/>
                    <w:tr2bl w:val="nil"/>
                  </w:tcBorders>
                  <w:vAlign w:val="center"/>
                </w:tcPr>
                <w:p>
                  <w:pPr>
                    <w:adjustRightInd w:val="0"/>
                    <w:snapToGrid w:val="0"/>
                    <w:jc w:val="center"/>
                  </w:pPr>
                  <w:r>
                    <w:rPr>
                      <w:rFonts w:hint="eastAsia"/>
                    </w:rPr>
                    <w:t>废边角料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pPr>
                  <w:r>
                    <w:rPr>
                      <w:rFonts w:hint="eastAsia"/>
                    </w:rPr>
                    <w:t>S2</w:t>
                  </w:r>
                </w:p>
              </w:tc>
              <w:tc>
                <w:tcPr>
                  <w:tcW w:w="2193" w:type="dxa"/>
                  <w:tcBorders>
                    <w:tl2br w:val="nil"/>
                    <w:tr2bl w:val="nil"/>
                  </w:tcBorders>
                  <w:vAlign w:val="center"/>
                </w:tcPr>
                <w:p>
                  <w:pPr>
                    <w:adjustRightInd w:val="0"/>
                    <w:snapToGrid w:val="0"/>
                    <w:jc w:val="center"/>
                  </w:pPr>
                  <w:r>
                    <w:rPr>
                      <w:rFonts w:hint="eastAsia"/>
                    </w:rPr>
                    <w:t>清洗</w:t>
                  </w:r>
                </w:p>
              </w:tc>
              <w:tc>
                <w:tcPr>
                  <w:tcW w:w="2498" w:type="dxa"/>
                  <w:tcBorders>
                    <w:tl2br w:val="nil"/>
                    <w:tr2bl w:val="nil"/>
                  </w:tcBorders>
                  <w:vAlign w:val="center"/>
                </w:tcPr>
                <w:p>
                  <w:pPr>
                    <w:adjustRightInd w:val="0"/>
                    <w:snapToGrid w:val="0"/>
                    <w:jc w:val="center"/>
                  </w:pPr>
                  <w:r>
                    <w:rPr>
                      <w:rFonts w:hint="eastAsia"/>
                    </w:rPr>
                    <w:t>槽渣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pPr>
                  <w:r>
                    <w:rPr>
                      <w:rFonts w:hint="eastAsia"/>
                    </w:rPr>
                    <w:t>S3</w:t>
                  </w:r>
                </w:p>
              </w:tc>
              <w:tc>
                <w:tcPr>
                  <w:tcW w:w="2193" w:type="dxa"/>
                  <w:tcBorders>
                    <w:tl2br w:val="nil"/>
                    <w:tr2bl w:val="nil"/>
                  </w:tcBorders>
                  <w:vAlign w:val="center"/>
                </w:tcPr>
                <w:p>
                  <w:pPr>
                    <w:adjustRightInd w:val="0"/>
                    <w:snapToGrid w:val="0"/>
                    <w:jc w:val="center"/>
                  </w:pPr>
                  <w:r>
                    <w:rPr>
                      <w:rFonts w:hint="eastAsia"/>
                    </w:rPr>
                    <w:t>滤筒</w:t>
                  </w:r>
                </w:p>
              </w:tc>
              <w:tc>
                <w:tcPr>
                  <w:tcW w:w="2498" w:type="dxa"/>
                  <w:tcBorders>
                    <w:tl2br w:val="nil"/>
                    <w:tr2bl w:val="nil"/>
                  </w:tcBorders>
                  <w:vAlign w:val="center"/>
                </w:tcPr>
                <w:p>
                  <w:pPr>
                    <w:adjustRightInd w:val="0"/>
                    <w:snapToGrid w:val="0"/>
                    <w:jc w:val="center"/>
                  </w:pPr>
                  <w:r>
                    <w:rPr>
                      <w:rFonts w:hint="eastAsia"/>
                    </w:rPr>
                    <w:t>塑粉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pPr>
                </w:p>
              </w:tc>
              <w:tc>
                <w:tcPr>
                  <w:tcW w:w="1011" w:type="dxa"/>
                  <w:vMerge w:val="continue"/>
                  <w:tcBorders>
                    <w:tl2br w:val="nil"/>
                    <w:tr2bl w:val="nil"/>
                  </w:tcBorders>
                  <w:vAlign w:val="center"/>
                </w:tcPr>
                <w:p>
                  <w:pPr>
                    <w:adjustRightInd w:val="0"/>
                    <w:snapToGrid w:val="0"/>
                    <w:jc w:val="center"/>
                  </w:pPr>
                </w:p>
              </w:tc>
              <w:tc>
                <w:tcPr>
                  <w:tcW w:w="1191" w:type="dxa"/>
                  <w:tcBorders>
                    <w:tl2br w:val="nil"/>
                    <w:tr2bl w:val="nil"/>
                  </w:tcBorders>
                  <w:vAlign w:val="center"/>
                </w:tcPr>
                <w:p>
                  <w:pPr>
                    <w:adjustRightInd w:val="0"/>
                    <w:snapToGrid w:val="0"/>
                    <w:jc w:val="center"/>
                  </w:pPr>
                  <w:r>
                    <w:rPr>
                      <w:rFonts w:hint="eastAsia"/>
                    </w:rPr>
                    <w:t>S4</w:t>
                  </w:r>
                </w:p>
              </w:tc>
              <w:tc>
                <w:tcPr>
                  <w:tcW w:w="2193" w:type="dxa"/>
                  <w:tcBorders>
                    <w:tl2br w:val="nil"/>
                    <w:tr2bl w:val="nil"/>
                  </w:tcBorders>
                  <w:vAlign w:val="center"/>
                </w:tcPr>
                <w:p>
                  <w:pPr>
                    <w:adjustRightInd w:val="0"/>
                    <w:snapToGrid w:val="0"/>
                    <w:jc w:val="center"/>
                  </w:pPr>
                  <w:r>
                    <w:rPr>
                      <w:rFonts w:hint="eastAsia"/>
                    </w:rPr>
                    <w:t>旋风除尘</w:t>
                  </w:r>
                </w:p>
              </w:tc>
              <w:tc>
                <w:tcPr>
                  <w:tcW w:w="2498" w:type="dxa"/>
                  <w:tcBorders>
                    <w:tl2br w:val="nil"/>
                    <w:tr2bl w:val="nil"/>
                  </w:tcBorders>
                  <w:vAlign w:val="center"/>
                </w:tcPr>
                <w:p>
                  <w:pPr>
                    <w:adjustRightInd w:val="0"/>
                    <w:snapToGrid w:val="0"/>
                    <w:jc w:val="center"/>
                  </w:pPr>
                  <w:r>
                    <w:rPr>
                      <w:rFonts w:hint="eastAsia"/>
                    </w:rPr>
                    <w:t>废塑粉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pPr>
                </w:p>
              </w:tc>
              <w:tc>
                <w:tcPr>
                  <w:tcW w:w="1011" w:type="dxa"/>
                  <w:vMerge w:val="continue"/>
                  <w:tcBorders>
                    <w:tl2br w:val="nil"/>
                    <w:tr2bl w:val="nil"/>
                  </w:tcBorders>
                  <w:vAlign w:val="center"/>
                </w:tcPr>
                <w:p>
                  <w:pPr>
                    <w:adjustRightInd w:val="0"/>
                    <w:snapToGrid w:val="0"/>
                    <w:jc w:val="center"/>
                  </w:pPr>
                </w:p>
              </w:tc>
              <w:tc>
                <w:tcPr>
                  <w:tcW w:w="1191" w:type="dxa"/>
                  <w:tcBorders>
                    <w:tl2br w:val="nil"/>
                    <w:tr2bl w:val="nil"/>
                  </w:tcBorders>
                  <w:vAlign w:val="center"/>
                </w:tcPr>
                <w:p>
                  <w:pPr>
                    <w:adjustRightInd w:val="0"/>
                    <w:snapToGrid w:val="0"/>
                    <w:jc w:val="center"/>
                  </w:pPr>
                  <w:r>
                    <w:rPr>
                      <w:rFonts w:hint="eastAsia"/>
                    </w:rPr>
                    <w:t>S5</w:t>
                  </w:r>
                </w:p>
              </w:tc>
              <w:tc>
                <w:tcPr>
                  <w:tcW w:w="2193" w:type="dxa"/>
                  <w:tcBorders>
                    <w:tl2br w:val="nil"/>
                    <w:tr2bl w:val="nil"/>
                  </w:tcBorders>
                  <w:vAlign w:val="center"/>
                </w:tcPr>
                <w:p>
                  <w:pPr>
                    <w:adjustRightInd w:val="0"/>
                    <w:snapToGrid w:val="0"/>
                    <w:jc w:val="center"/>
                  </w:pPr>
                  <w:r>
                    <w:rPr>
                      <w:rFonts w:hint="eastAsia"/>
                    </w:rPr>
                    <w:t>包装</w:t>
                  </w:r>
                </w:p>
              </w:tc>
              <w:tc>
                <w:tcPr>
                  <w:tcW w:w="2498" w:type="dxa"/>
                  <w:tcBorders>
                    <w:tl2br w:val="nil"/>
                    <w:tr2bl w:val="nil"/>
                  </w:tcBorders>
                  <w:vAlign w:val="center"/>
                </w:tcPr>
                <w:p>
                  <w:pPr>
                    <w:adjustRightInd w:val="0"/>
                    <w:snapToGrid w:val="0"/>
                    <w:jc w:val="center"/>
                  </w:pPr>
                  <w:r>
                    <w:rPr>
                      <w:rFonts w:hint="eastAsia"/>
                    </w:rPr>
                    <w:t>废包装材料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lang w:eastAsia="zh-CN"/>
                    </w:rPr>
                  </w:pPr>
                  <w:r>
                    <w:rPr>
                      <w:rFonts w:hint="eastAsia"/>
                    </w:rPr>
                    <w:t>S</w:t>
                  </w:r>
                  <w:r>
                    <w:rPr>
                      <w:rFonts w:hint="eastAsia"/>
                      <w:lang w:val="en-US" w:eastAsia="zh-CN"/>
                    </w:rPr>
                    <w:t>6</w:t>
                  </w:r>
                </w:p>
              </w:tc>
              <w:tc>
                <w:tcPr>
                  <w:tcW w:w="2193" w:type="dxa"/>
                  <w:tcBorders>
                    <w:tl2br w:val="nil"/>
                    <w:tr2bl w:val="nil"/>
                  </w:tcBorders>
                  <w:vAlign w:val="center"/>
                </w:tcPr>
                <w:p>
                  <w:pPr>
                    <w:adjustRightInd w:val="0"/>
                    <w:snapToGrid w:val="0"/>
                    <w:jc w:val="center"/>
                  </w:pPr>
                  <w:r>
                    <w:rPr>
                      <w:rFonts w:hint="eastAsia"/>
                    </w:rPr>
                    <w:t>废水处理</w:t>
                  </w:r>
                </w:p>
              </w:tc>
              <w:tc>
                <w:tcPr>
                  <w:tcW w:w="2498" w:type="dxa"/>
                  <w:tcBorders>
                    <w:tl2br w:val="nil"/>
                    <w:tr2bl w:val="nil"/>
                  </w:tcBorders>
                  <w:vAlign w:val="center"/>
                </w:tcPr>
                <w:p>
                  <w:pPr>
                    <w:adjustRightInd w:val="0"/>
                    <w:snapToGrid w:val="0"/>
                    <w:jc w:val="center"/>
                  </w:pPr>
                  <w:r>
                    <w:rPr>
                      <w:rFonts w:hint="eastAsia"/>
                    </w:rPr>
                    <w:t>废树脂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lang w:eastAsia="zh-CN"/>
                    </w:rPr>
                  </w:pPr>
                  <w:r>
                    <w:rPr>
                      <w:rFonts w:hint="eastAsia"/>
                    </w:rPr>
                    <w:t>S</w:t>
                  </w:r>
                  <w:r>
                    <w:rPr>
                      <w:rFonts w:hint="eastAsia"/>
                      <w:lang w:val="en-US" w:eastAsia="zh-CN"/>
                    </w:rPr>
                    <w:t>7</w:t>
                  </w:r>
                </w:p>
              </w:tc>
              <w:tc>
                <w:tcPr>
                  <w:tcW w:w="2193" w:type="dxa"/>
                  <w:tcBorders>
                    <w:tl2br w:val="nil"/>
                    <w:tr2bl w:val="nil"/>
                  </w:tcBorders>
                  <w:vAlign w:val="center"/>
                </w:tcPr>
                <w:p>
                  <w:pPr>
                    <w:adjustRightInd w:val="0"/>
                    <w:snapToGrid w:val="0"/>
                    <w:jc w:val="center"/>
                  </w:pPr>
                  <w:r>
                    <w:t>制水机</w:t>
                  </w:r>
                </w:p>
              </w:tc>
              <w:tc>
                <w:tcPr>
                  <w:tcW w:w="2498" w:type="dxa"/>
                  <w:tcBorders>
                    <w:tl2br w:val="nil"/>
                    <w:tr2bl w:val="nil"/>
                  </w:tcBorders>
                  <w:vAlign w:val="center"/>
                </w:tcPr>
                <w:p>
                  <w:pPr>
                    <w:adjustRightInd w:val="0"/>
                    <w:snapToGrid w:val="0"/>
                    <w:jc w:val="center"/>
                  </w:pPr>
                  <w:r>
                    <w:rPr>
                      <w:rFonts w:hint="eastAsia"/>
                    </w:rPr>
                    <w:t>废反渗透膜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restart"/>
                  <w:tcBorders>
                    <w:tl2br w:val="nil"/>
                    <w:tr2bl w:val="nil"/>
                  </w:tcBorders>
                  <w:vAlign w:val="center"/>
                </w:tcPr>
                <w:p>
                  <w:pPr>
                    <w:adjustRightInd w:val="0"/>
                    <w:snapToGrid w:val="0"/>
                    <w:jc w:val="center"/>
                    <w:rPr>
                      <w:szCs w:val="21"/>
                    </w:rPr>
                  </w:pPr>
                  <w:r>
                    <w:rPr>
                      <w:rFonts w:hint="eastAsia"/>
                      <w:szCs w:val="21"/>
                    </w:rPr>
                    <w:t>危险</w:t>
                  </w:r>
                </w:p>
                <w:p>
                  <w:pPr>
                    <w:adjustRightInd w:val="0"/>
                    <w:snapToGrid w:val="0"/>
                    <w:jc w:val="center"/>
                    <w:rPr>
                      <w:szCs w:val="21"/>
                    </w:rPr>
                  </w:pPr>
                  <w:r>
                    <w:rPr>
                      <w:rFonts w:hint="eastAsia"/>
                      <w:szCs w:val="21"/>
                    </w:rPr>
                    <w:t>废物</w:t>
                  </w:r>
                </w:p>
              </w:tc>
              <w:tc>
                <w:tcPr>
                  <w:tcW w:w="1191" w:type="dxa"/>
                  <w:tcBorders>
                    <w:tl2br w:val="nil"/>
                    <w:tr2bl w:val="nil"/>
                  </w:tcBorders>
                  <w:vAlign w:val="center"/>
                </w:tcPr>
                <w:p>
                  <w:pPr>
                    <w:adjustRightInd w:val="0"/>
                    <w:snapToGrid w:val="0"/>
                    <w:jc w:val="center"/>
                    <w:rPr>
                      <w:rFonts w:hint="default"/>
                      <w:lang w:val="en-US" w:eastAsia="zh-CN"/>
                    </w:rPr>
                  </w:pPr>
                  <w:r>
                    <w:rPr>
                      <w:rFonts w:hint="eastAsia"/>
                      <w:lang w:val="en-US" w:eastAsia="zh-CN"/>
                    </w:rPr>
                    <w:t>S8</w:t>
                  </w:r>
                </w:p>
              </w:tc>
              <w:tc>
                <w:tcPr>
                  <w:tcW w:w="2193" w:type="dxa"/>
                  <w:tcBorders>
                    <w:tl2br w:val="nil"/>
                    <w:tr2bl w:val="nil"/>
                  </w:tcBorders>
                  <w:vAlign w:val="center"/>
                </w:tcPr>
                <w:p>
                  <w:pPr>
                    <w:adjustRightInd w:val="0"/>
                    <w:snapToGrid w:val="0"/>
                    <w:ind w:firstLine="420" w:firstLineChars="200"/>
                    <w:jc w:val="both"/>
                    <w:rPr>
                      <w:rFonts w:hint="default" w:eastAsia="宋体"/>
                      <w:szCs w:val="21"/>
                      <w:lang w:val="en-US" w:eastAsia="zh-CN"/>
                    </w:rPr>
                  </w:pPr>
                  <w:r>
                    <w:rPr>
                      <w:rFonts w:hint="eastAsia"/>
                      <w:szCs w:val="21"/>
                      <w:lang w:val="en-US" w:eastAsia="zh-CN"/>
                    </w:rPr>
                    <w:t>铝材表面处理</w:t>
                  </w:r>
                </w:p>
              </w:tc>
              <w:tc>
                <w:tcPr>
                  <w:tcW w:w="2498" w:type="dxa"/>
                  <w:tcBorders>
                    <w:tl2br w:val="nil"/>
                    <w:tr2bl w:val="nil"/>
                  </w:tcBorders>
                  <w:vAlign w:val="center"/>
                </w:tcPr>
                <w:p>
                  <w:pPr>
                    <w:adjustRightInd w:val="0"/>
                    <w:snapToGrid w:val="0"/>
                    <w:jc w:val="center"/>
                    <w:rPr>
                      <w:rFonts w:hint="default" w:eastAsia="宋体"/>
                      <w:szCs w:val="21"/>
                      <w:lang w:val="en-US" w:eastAsia="zh-CN"/>
                    </w:rPr>
                  </w:pPr>
                  <w:r>
                    <w:rPr>
                      <w:rFonts w:hint="eastAsia"/>
                      <w:szCs w:val="21"/>
                      <w:lang w:val="en-US" w:eastAsia="zh-CN"/>
                    </w:rPr>
                    <w:t>铝材表面处理废液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lang w:val="en-US" w:eastAsia="zh-CN"/>
                    </w:rPr>
                  </w:pPr>
                  <w:r>
                    <w:rPr>
                      <w:rFonts w:hint="eastAsia"/>
                    </w:rPr>
                    <w:t>S</w:t>
                  </w:r>
                  <w:r>
                    <w:rPr>
                      <w:rFonts w:hint="eastAsia"/>
                      <w:lang w:val="en-US" w:eastAsia="zh-CN"/>
                    </w:rPr>
                    <w:t>9</w:t>
                  </w:r>
                </w:p>
              </w:tc>
              <w:tc>
                <w:tcPr>
                  <w:tcW w:w="2193" w:type="dxa"/>
                  <w:vMerge w:val="restart"/>
                  <w:tcBorders>
                    <w:tl2br w:val="nil"/>
                    <w:tr2bl w:val="nil"/>
                  </w:tcBorders>
                  <w:vAlign w:val="center"/>
                </w:tcPr>
                <w:p>
                  <w:pPr>
                    <w:adjustRightInd w:val="0"/>
                    <w:snapToGrid w:val="0"/>
                    <w:jc w:val="center"/>
                    <w:rPr>
                      <w:szCs w:val="21"/>
                    </w:rPr>
                  </w:pPr>
                  <w:r>
                    <w:rPr>
                      <w:szCs w:val="21"/>
                    </w:rPr>
                    <w:t>设备维护</w:t>
                  </w:r>
                </w:p>
              </w:tc>
              <w:tc>
                <w:tcPr>
                  <w:tcW w:w="2498" w:type="dxa"/>
                  <w:tcBorders>
                    <w:tl2br w:val="nil"/>
                    <w:tr2bl w:val="nil"/>
                  </w:tcBorders>
                  <w:vAlign w:val="center"/>
                </w:tcPr>
                <w:p>
                  <w:pPr>
                    <w:adjustRightInd w:val="0"/>
                    <w:snapToGrid w:val="0"/>
                    <w:jc w:val="center"/>
                    <w:rPr>
                      <w:szCs w:val="21"/>
                    </w:rPr>
                  </w:pPr>
                  <w:r>
                    <w:rPr>
                      <w:szCs w:val="21"/>
                    </w:rPr>
                    <w:t>废</w:t>
                  </w:r>
                  <w:r>
                    <w:rPr>
                      <w:rFonts w:hint="eastAsia"/>
                      <w:szCs w:val="21"/>
                    </w:rPr>
                    <w:t>含</w:t>
                  </w:r>
                  <w:r>
                    <w:rPr>
                      <w:szCs w:val="21"/>
                    </w:rPr>
                    <w:t>油棉纱</w:t>
                  </w:r>
                  <w:r>
                    <w:rPr>
                      <w:rFonts w:hint="eastAsia"/>
                      <w:szCs w:val="21"/>
                    </w:rPr>
                    <w:t>及</w:t>
                  </w:r>
                  <w:r>
                    <w:rPr>
                      <w:szCs w:val="21"/>
                    </w:rPr>
                    <w:t>手套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default" w:eastAsia="宋体"/>
                      <w:szCs w:val="21"/>
                      <w:lang w:val="en-US" w:eastAsia="zh-CN"/>
                    </w:rPr>
                  </w:pPr>
                  <w:r>
                    <w:rPr>
                      <w:rFonts w:hint="eastAsia"/>
                      <w:szCs w:val="21"/>
                    </w:rPr>
                    <w:t>S</w:t>
                  </w:r>
                  <w:r>
                    <w:rPr>
                      <w:rFonts w:hint="eastAsia"/>
                      <w:szCs w:val="21"/>
                      <w:lang w:val="en-US" w:eastAsia="zh-CN"/>
                    </w:rPr>
                    <w:t>10</w:t>
                  </w:r>
                </w:p>
              </w:tc>
              <w:tc>
                <w:tcPr>
                  <w:tcW w:w="2193" w:type="dxa"/>
                  <w:vMerge w:val="continue"/>
                  <w:tcBorders>
                    <w:tl2br w:val="nil"/>
                    <w:tr2bl w:val="nil"/>
                  </w:tcBorders>
                  <w:vAlign w:val="center"/>
                </w:tcPr>
                <w:p>
                  <w:pPr>
                    <w:adjustRightInd w:val="0"/>
                    <w:snapToGrid w:val="0"/>
                    <w:jc w:val="center"/>
                    <w:rPr>
                      <w:szCs w:val="21"/>
                    </w:rPr>
                  </w:pPr>
                </w:p>
              </w:tc>
              <w:tc>
                <w:tcPr>
                  <w:tcW w:w="2498" w:type="dxa"/>
                  <w:tcBorders>
                    <w:tl2br w:val="nil"/>
                    <w:tr2bl w:val="nil"/>
                  </w:tcBorders>
                  <w:vAlign w:val="center"/>
                </w:tcPr>
                <w:p>
                  <w:pPr>
                    <w:adjustRightInd w:val="0"/>
                    <w:snapToGrid w:val="0"/>
                    <w:jc w:val="center"/>
                    <w:rPr>
                      <w:szCs w:val="21"/>
                    </w:rPr>
                  </w:pPr>
                  <w:r>
                    <w:rPr>
                      <w:rFonts w:hint="eastAsia"/>
                      <w:bCs/>
                      <w:szCs w:val="21"/>
                    </w:rPr>
                    <w:t>废机油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szCs w:val="21"/>
                      <w:lang w:val="en-US" w:eastAsia="zh-CN"/>
                    </w:rPr>
                  </w:pPr>
                  <w:r>
                    <w:rPr>
                      <w:rFonts w:hint="eastAsia"/>
                      <w:szCs w:val="21"/>
                    </w:rPr>
                    <w:t>S1</w:t>
                  </w:r>
                  <w:r>
                    <w:rPr>
                      <w:rFonts w:hint="eastAsia"/>
                      <w:szCs w:val="21"/>
                      <w:lang w:val="en-US" w:eastAsia="zh-CN"/>
                    </w:rPr>
                    <w:t>1</w:t>
                  </w:r>
                </w:p>
              </w:tc>
              <w:tc>
                <w:tcPr>
                  <w:tcW w:w="2193" w:type="dxa"/>
                  <w:tcBorders>
                    <w:tl2br w:val="nil"/>
                    <w:tr2bl w:val="nil"/>
                  </w:tcBorders>
                  <w:vAlign w:val="center"/>
                </w:tcPr>
                <w:p>
                  <w:pPr>
                    <w:adjustRightInd w:val="0"/>
                    <w:snapToGrid w:val="0"/>
                    <w:jc w:val="center"/>
                    <w:rPr>
                      <w:szCs w:val="21"/>
                    </w:rPr>
                  </w:pPr>
                  <w:r>
                    <w:rPr>
                      <w:rFonts w:hint="eastAsia"/>
                      <w:szCs w:val="21"/>
                    </w:rPr>
                    <w:t>设备运行</w:t>
                  </w:r>
                </w:p>
              </w:tc>
              <w:tc>
                <w:tcPr>
                  <w:tcW w:w="2498" w:type="dxa"/>
                  <w:tcBorders>
                    <w:tl2br w:val="nil"/>
                    <w:tr2bl w:val="nil"/>
                  </w:tcBorders>
                  <w:vAlign w:val="center"/>
                </w:tcPr>
                <w:p>
                  <w:pPr>
                    <w:adjustRightInd w:val="0"/>
                    <w:snapToGrid w:val="0"/>
                    <w:jc w:val="center"/>
                    <w:rPr>
                      <w:szCs w:val="21"/>
                    </w:rPr>
                  </w:pPr>
                  <w:r>
                    <w:rPr>
                      <w:rFonts w:hint="eastAsia"/>
                      <w:szCs w:val="21"/>
                    </w:rPr>
                    <w:t>废液压油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szCs w:val="21"/>
                      <w:lang w:val="en-US" w:eastAsia="zh-CN"/>
                    </w:rPr>
                  </w:pPr>
                  <w:r>
                    <w:rPr>
                      <w:rFonts w:hint="eastAsia"/>
                      <w:szCs w:val="21"/>
                    </w:rPr>
                    <w:t>S1</w:t>
                  </w:r>
                  <w:r>
                    <w:rPr>
                      <w:rFonts w:hint="eastAsia"/>
                      <w:szCs w:val="21"/>
                      <w:lang w:val="en-US" w:eastAsia="zh-CN"/>
                    </w:rPr>
                    <w:t>2</w:t>
                  </w:r>
                </w:p>
              </w:tc>
              <w:tc>
                <w:tcPr>
                  <w:tcW w:w="2193" w:type="dxa"/>
                  <w:vMerge w:val="restart"/>
                  <w:tcBorders>
                    <w:tl2br w:val="nil"/>
                    <w:tr2bl w:val="nil"/>
                  </w:tcBorders>
                  <w:vAlign w:val="center"/>
                </w:tcPr>
                <w:p>
                  <w:pPr>
                    <w:adjustRightInd w:val="0"/>
                    <w:snapToGrid w:val="0"/>
                    <w:jc w:val="center"/>
                    <w:rPr>
                      <w:szCs w:val="21"/>
                    </w:rPr>
                  </w:pPr>
                  <w:r>
                    <w:rPr>
                      <w:rFonts w:hint="eastAsia"/>
                      <w:szCs w:val="21"/>
                    </w:rPr>
                    <w:t>废气治理</w:t>
                  </w:r>
                </w:p>
              </w:tc>
              <w:tc>
                <w:tcPr>
                  <w:tcW w:w="2498" w:type="dxa"/>
                  <w:tcBorders>
                    <w:tl2br w:val="nil"/>
                    <w:tr2bl w:val="nil"/>
                  </w:tcBorders>
                  <w:vAlign w:val="center"/>
                </w:tcPr>
                <w:p>
                  <w:pPr>
                    <w:adjustRightInd w:val="0"/>
                    <w:snapToGrid w:val="0"/>
                    <w:jc w:val="center"/>
                    <w:rPr>
                      <w:szCs w:val="21"/>
                    </w:rPr>
                  </w:pPr>
                  <w:r>
                    <w:rPr>
                      <w:rFonts w:hint="eastAsia"/>
                      <w:szCs w:val="21"/>
                    </w:rPr>
                    <w:t>废吸附棉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szCs w:val="21"/>
                      <w:lang w:val="en-US" w:eastAsia="zh-CN"/>
                    </w:rPr>
                  </w:pPr>
                  <w:r>
                    <w:rPr>
                      <w:rFonts w:hint="eastAsia"/>
                      <w:szCs w:val="21"/>
                    </w:rPr>
                    <w:t>S1</w:t>
                  </w:r>
                  <w:r>
                    <w:rPr>
                      <w:rFonts w:hint="eastAsia"/>
                      <w:szCs w:val="21"/>
                      <w:lang w:val="en-US" w:eastAsia="zh-CN"/>
                    </w:rPr>
                    <w:t>3</w:t>
                  </w:r>
                </w:p>
              </w:tc>
              <w:tc>
                <w:tcPr>
                  <w:tcW w:w="2193" w:type="dxa"/>
                  <w:vMerge w:val="continue"/>
                  <w:tcBorders>
                    <w:tl2br w:val="nil"/>
                    <w:tr2bl w:val="nil"/>
                  </w:tcBorders>
                  <w:vAlign w:val="center"/>
                </w:tcPr>
                <w:p>
                  <w:pPr>
                    <w:adjustRightInd w:val="0"/>
                    <w:snapToGrid w:val="0"/>
                    <w:jc w:val="center"/>
                    <w:rPr>
                      <w:szCs w:val="21"/>
                    </w:rPr>
                  </w:pPr>
                </w:p>
              </w:tc>
              <w:tc>
                <w:tcPr>
                  <w:tcW w:w="2498" w:type="dxa"/>
                  <w:tcBorders>
                    <w:tl2br w:val="nil"/>
                    <w:tr2bl w:val="nil"/>
                  </w:tcBorders>
                  <w:vAlign w:val="center"/>
                </w:tcPr>
                <w:p>
                  <w:pPr>
                    <w:adjustRightInd w:val="0"/>
                    <w:snapToGrid w:val="0"/>
                    <w:jc w:val="center"/>
                    <w:rPr>
                      <w:szCs w:val="21"/>
                    </w:rPr>
                  </w:pPr>
                  <w:r>
                    <w:rPr>
                      <w:rFonts w:hint="eastAsia"/>
                      <w:szCs w:val="21"/>
                    </w:rPr>
                    <w:t>废活性炭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vMerge w:val="continue"/>
                  <w:tcBorders>
                    <w:tl2br w:val="nil"/>
                    <w:tr2bl w:val="nil"/>
                  </w:tcBorders>
                  <w:vAlign w:val="center"/>
                </w:tcPr>
                <w:p>
                  <w:pPr>
                    <w:adjustRightInd w:val="0"/>
                    <w:snapToGrid w:val="0"/>
                    <w:jc w:val="center"/>
                    <w:rPr>
                      <w:szCs w:val="21"/>
                    </w:rPr>
                  </w:pPr>
                </w:p>
              </w:tc>
              <w:tc>
                <w:tcPr>
                  <w:tcW w:w="1191" w:type="dxa"/>
                  <w:tcBorders>
                    <w:tl2br w:val="nil"/>
                    <w:tr2bl w:val="nil"/>
                  </w:tcBorders>
                  <w:vAlign w:val="center"/>
                </w:tcPr>
                <w:p>
                  <w:pPr>
                    <w:adjustRightInd w:val="0"/>
                    <w:snapToGrid w:val="0"/>
                    <w:jc w:val="center"/>
                    <w:rPr>
                      <w:rFonts w:hint="eastAsia" w:eastAsia="宋体"/>
                      <w:szCs w:val="21"/>
                      <w:lang w:val="en-US" w:eastAsia="zh-CN"/>
                    </w:rPr>
                  </w:pPr>
                  <w:r>
                    <w:rPr>
                      <w:rFonts w:hint="eastAsia"/>
                      <w:szCs w:val="21"/>
                    </w:rPr>
                    <w:t>S1</w:t>
                  </w:r>
                  <w:r>
                    <w:rPr>
                      <w:rFonts w:hint="eastAsia"/>
                      <w:szCs w:val="21"/>
                      <w:lang w:val="en-US" w:eastAsia="zh-CN"/>
                    </w:rPr>
                    <w:t>4</w:t>
                  </w:r>
                </w:p>
              </w:tc>
              <w:tc>
                <w:tcPr>
                  <w:tcW w:w="2193" w:type="dxa"/>
                  <w:tcBorders>
                    <w:tl2br w:val="nil"/>
                    <w:tr2bl w:val="nil"/>
                  </w:tcBorders>
                  <w:vAlign w:val="center"/>
                </w:tcPr>
                <w:p>
                  <w:pPr>
                    <w:adjustRightInd w:val="0"/>
                    <w:snapToGrid w:val="0"/>
                    <w:jc w:val="center"/>
                    <w:rPr>
                      <w:szCs w:val="21"/>
                    </w:rPr>
                  </w:pPr>
                  <w:r>
                    <w:rPr>
                      <w:rFonts w:hint="eastAsia"/>
                      <w:szCs w:val="21"/>
                    </w:rPr>
                    <w:t>污水处理</w:t>
                  </w:r>
                </w:p>
              </w:tc>
              <w:tc>
                <w:tcPr>
                  <w:tcW w:w="2498" w:type="dxa"/>
                  <w:tcBorders>
                    <w:tl2br w:val="nil"/>
                    <w:tr2bl w:val="nil"/>
                  </w:tcBorders>
                  <w:vAlign w:val="center"/>
                </w:tcPr>
                <w:p>
                  <w:pPr>
                    <w:adjustRightInd w:val="0"/>
                    <w:snapToGrid w:val="0"/>
                    <w:jc w:val="center"/>
                    <w:rPr>
                      <w:szCs w:val="21"/>
                    </w:rPr>
                  </w:pPr>
                  <w:r>
                    <w:rPr>
                      <w:rFonts w:hint="eastAsia"/>
                      <w:szCs w:val="21"/>
                    </w:rPr>
                    <w:t>泥饼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038" w:type="dxa"/>
                  <w:vMerge w:val="continue"/>
                  <w:tcBorders>
                    <w:tl2br w:val="nil"/>
                    <w:tr2bl w:val="nil"/>
                  </w:tcBorders>
                  <w:vAlign w:val="center"/>
                </w:tcPr>
                <w:p>
                  <w:pPr>
                    <w:adjustRightInd w:val="0"/>
                    <w:snapToGrid w:val="0"/>
                    <w:jc w:val="center"/>
                    <w:rPr>
                      <w:szCs w:val="21"/>
                    </w:rPr>
                  </w:pPr>
                </w:p>
              </w:tc>
              <w:tc>
                <w:tcPr>
                  <w:tcW w:w="1011" w:type="dxa"/>
                  <w:tcBorders>
                    <w:tl2br w:val="nil"/>
                    <w:tr2bl w:val="nil"/>
                  </w:tcBorders>
                  <w:vAlign w:val="center"/>
                </w:tcPr>
                <w:p>
                  <w:pPr>
                    <w:adjustRightInd w:val="0"/>
                    <w:snapToGrid w:val="0"/>
                    <w:jc w:val="center"/>
                    <w:rPr>
                      <w:szCs w:val="21"/>
                    </w:rPr>
                  </w:pPr>
                  <w:r>
                    <w:rPr>
                      <w:rFonts w:hint="eastAsia"/>
                      <w:szCs w:val="21"/>
                    </w:rPr>
                    <w:t>生活垃圾</w:t>
                  </w:r>
                </w:p>
              </w:tc>
              <w:tc>
                <w:tcPr>
                  <w:tcW w:w="1191" w:type="dxa"/>
                  <w:tcBorders>
                    <w:tl2br w:val="nil"/>
                    <w:tr2bl w:val="nil"/>
                  </w:tcBorders>
                  <w:vAlign w:val="center"/>
                </w:tcPr>
                <w:p>
                  <w:pPr>
                    <w:adjustRightInd w:val="0"/>
                    <w:snapToGrid w:val="0"/>
                    <w:jc w:val="center"/>
                    <w:rPr>
                      <w:rFonts w:hint="default" w:eastAsia="宋体"/>
                      <w:szCs w:val="21"/>
                      <w:lang w:val="en-US" w:eastAsia="zh-CN"/>
                    </w:rPr>
                  </w:pPr>
                  <w:r>
                    <w:rPr>
                      <w:rFonts w:hint="eastAsia"/>
                      <w:szCs w:val="21"/>
                    </w:rPr>
                    <w:t>S</w:t>
                  </w:r>
                  <w:r>
                    <w:rPr>
                      <w:rFonts w:hint="eastAsia"/>
                      <w:szCs w:val="21"/>
                      <w:lang w:val="en-US" w:eastAsia="zh-CN"/>
                    </w:rPr>
                    <w:t>15</w:t>
                  </w:r>
                </w:p>
              </w:tc>
              <w:tc>
                <w:tcPr>
                  <w:tcW w:w="2193" w:type="dxa"/>
                  <w:tcBorders>
                    <w:tl2br w:val="nil"/>
                    <w:tr2bl w:val="nil"/>
                  </w:tcBorders>
                  <w:vAlign w:val="center"/>
                </w:tcPr>
                <w:p>
                  <w:pPr>
                    <w:adjustRightInd w:val="0"/>
                    <w:snapToGrid w:val="0"/>
                    <w:jc w:val="center"/>
                    <w:rPr>
                      <w:rFonts w:hint="eastAsia"/>
                      <w:szCs w:val="21"/>
                    </w:rPr>
                  </w:pPr>
                  <w:r>
                    <w:rPr>
                      <w:rFonts w:hint="eastAsia"/>
                      <w:szCs w:val="21"/>
                    </w:rPr>
                    <w:t>员工生活</w:t>
                  </w:r>
                </w:p>
              </w:tc>
              <w:tc>
                <w:tcPr>
                  <w:tcW w:w="2498" w:type="dxa"/>
                  <w:tcBorders>
                    <w:tl2br w:val="nil"/>
                    <w:tr2bl w:val="nil"/>
                  </w:tcBorders>
                  <w:vAlign w:val="center"/>
                </w:tcPr>
                <w:p>
                  <w:pPr>
                    <w:adjustRightInd w:val="0"/>
                    <w:snapToGrid w:val="0"/>
                    <w:jc w:val="center"/>
                    <w:rPr>
                      <w:rFonts w:hint="eastAsia"/>
                      <w:szCs w:val="21"/>
                    </w:rPr>
                  </w:pPr>
                  <w:r>
                    <w:rPr>
                      <w:rFonts w:hint="eastAsia"/>
                      <w:szCs w:val="21"/>
                    </w:rPr>
                    <w:t>生活垃圾</w:t>
                  </w:r>
                </w:p>
              </w:tc>
            </w:tr>
          </w:tbl>
          <w:p>
            <w:pPr>
              <w:adjustRightInd w:val="0"/>
              <w:snapToGrid w:val="0"/>
              <w:spacing w:line="360" w:lineRule="auto"/>
              <w:rPr>
                <w:sz w:val="24"/>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2907" w:hRule="atLeast"/>
        </w:trPr>
        <w:tc>
          <w:tcPr>
            <w:tcW w:w="589" w:type="pct"/>
            <w:vAlign w:val="center"/>
          </w:tcPr>
          <w:p>
            <w:pPr>
              <w:jc w:val="center"/>
            </w:pPr>
            <w:r>
              <w:t>与项目有关的原有环境污染问题</w:t>
            </w:r>
          </w:p>
        </w:tc>
        <w:tc>
          <w:tcPr>
            <w:tcW w:w="4410" w:type="pct"/>
            <w:vAlign w:val="center"/>
          </w:tcPr>
          <w:p>
            <w:pPr>
              <w:tabs>
                <w:tab w:val="left" w:pos="851"/>
                <w:tab w:val="left" w:pos="1134"/>
                <w:tab w:val="left" w:pos="1276"/>
              </w:tabs>
              <w:adjustRightInd w:val="0"/>
              <w:snapToGrid w:val="0"/>
              <w:spacing w:line="360" w:lineRule="auto"/>
              <w:ind w:firstLine="480" w:firstLineChars="200"/>
              <w:rPr>
                <w:sz w:val="24"/>
              </w:rPr>
            </w:pPr>
            <w:r>
              <w:rPr>
                <w:rFonts w:hint="eastAsia" w:ascii="Times New Roman" w:hAnsi="Times New Roman" w:eastAsia="宋体" w:cs="Times New Roman"/>
                <w:color w:val="auto"/>
                <w:kern w:val="0"/>
                <w:sz w:val="24"/>
                <w:szCs w:val="24"/>
                <w:highlight w:val="none"/>
                <w:lang w:val="en-US" w:eastAsia="zh-CN" w:bidi="ar"/>
              </w:rPr>
              <w:t>泾阳县磨子桥砖厂成立于1985年，租赁泾阳县磨子桥村村委会独立工矿区用以建设砖厂建设。由于市场原因，</w:t>
            </w:r>
            <w:r>
              <w:rPr>
                <w:rFonts w:hint="eastAsia" w:cs="Times New Roman"/>
                <w:b w:val="0"/>
                <w:bCs w:val="0"/>
                <w:color w:val="auto"/>
                <w:kern w:val="0"/>
                <w:sz w:val="24"/>
                <w:szCs w:val="24"/>
                <w:highlight w:val="none"/>
                <w:lang w:val="en-US" w:eastAsia="zh-CN" w:bidi="ar"/>
              </w:rPr>
              <w:t>2010年10月</w:t>
            </w:r>
            <w:r>
              <w:rPr>
                <w:rFonts w:hint="eastAsia" w:ascii="Times New Roman" w:hAnsi="Times New Roman" w:eastAsia="宋体" w:cs="Times New Roman"/>
                <w:color w:val="auto"/>
                <w:kern w:val="0"/>
                <w:sz w:val="24"/>
                <w:szCs w:val="24"/>
                <w:highlight w:val="none"/>
                <w:lang w:val="en-US" w:eastAsia="zh-CN" w:bidi="ar"/>
              </w:rPr>
              <w:t>泾阳县磨子桥砖厂</w:t>
            </w:r>
            <w:r>
              <w:rPr>
                <w:rFonts w:hint="eastAsia" w:cs="Times New Roman"/>
                <w:b w:val="0"/>
                <w:bCs w:val="0"/>
                <w:color w:val="auto"/>
                <w:kern w:val="0"/>
                <w:sz w:val="24"/>
                <w:szCs w:val="24"/>
                <w:highlight w:val="none"/>
                <w:lang w:val="en-US" w:eastAsia="zh-CN" w:bidi="ar"/>
              </w:rPr>
              <w:t>对场内设施进行拆除</w:t>
            </w:r>
            <w:r>
              <w:rPr>
                <w:rFonts w:hint="default" w:ascii="Times New Roman" w:hAnsi="Times New Roman" w:cs="Times New Roman"/>
                <w:b w:val="0"/>
                <w:bCs w:val="0"/>
                <w:color w:val="auto"/>
                <w:kern w:val="0"/>
                <w:sz w:val="24"/>
                <w:szCs w:val="24"/>
                <w:highlight w:val="none"/>
                <w:lang w:val="en-US" w:eastAsia="zh-CN" w:bidi="ar"/>
              </w:rPr>
              <w:t>。</w:t>
            </w:r>
            <w:r>
              <w:rPr>
                <w:rFonts w:hint="eastAsia" w:ascii="Times New Roman" w:hAnsi="Times New Roman" w:cs="Times New Roman"/>
                <w:b w:val="0"/>
                <w:bCs w:val="0"/>
                <w:color w:val="auto"/>
                <w:kern w:val="0"/>
                <w:sz w:val="24"/>
                <w:szCs w:val="24"/>
                <w:highlight w:val="none"/>
                <w:lang w:val="en-US" w:eastAsia="zh-CN" w:bidi="ar"/>
              </w:rPr>
              <w:t>2012年7月</w:t>
            </w:r>
            <w:r>
              <w:rPr>
                <w:rFonts w:hint="eastAsia" w:ascii="Times New Roman" w:hAnsi="Times New Roman" w:eastAsia="宋体" w:cs="Times New Roman"/>
                <w:color w:val="auto"/>
                <w:kern w:val="0"/>
                <w:sz w:val="24"/>
                <w:szCs w:val="24"/>
                <w:highlight w:val="none"/>
                <w:lang w:val="en-US" w:eastAsia="zh-CN" w:bidi="ar"/>
              </w:rPr>
              <w:t>泾阳县磨子桥村村委会与高维先生签订租赁合同，建设厂房。</w:t>
            </w:r>
            <w:r>
              <w:rPr>
                <w:rFonts w:hint="eastAsia"/>
                <w:color w:val="auto"/>
                <w:sz w:val="24"/>
                <w:highlight w:val="none"/>
              </w:rPr>
              <w:t>2</w:t>
            </w:r>
            <w:r>
              <w:rPr>
                <w:rFonts w:hint="eastAsia"/>
                <w:sz w:val="24"/>
              </w:rPr>
              <w:t>023年7月15号陕西恩泽装饰材料有限公司永乐第一分公司与</w:t>
            </w:r>
            <w:r>
              <w:rPr>
                <w:rFonts w:hint="eastAsia"/>
                <w:sz w:val="24"/>
                <w:lang w:val="en-US" w:eastAsia="zh-CN"/>
              </w:rPr>
              <w:t>高维先生</w:t>
            </w:r>
            <w:r>
              <w:rPr>
                <w:rFonts w:hint="eastAsia"/>
                <w:sz w:val="24"/>
              </w:rPr>
              <w:t>签署租赁合同，同意将1幢厂房（6000平方米）为</w:t>
            </w:r>
            <w:r>
              <w:rPr>
                <w:rFonts w:hint="eastAsia"/>
                <w:sz w:val="24"/>
                <w:lang w:eastAsia="zh-CN"/>
              </w:rPr>
              <w:t>项目</w:t>
            </w:r>
            <w:r>
              <w:rPr>
                <w:rFonts w:hint="eastAsia"/>
                <w:sz w:val="24"/>
              </w:rPr>
              <w:t>生产基地。各级现场勘察，现场为空置厂房，无原有污染问题。</w:t>
            </w:r>
          </w:p>
        </w:tc>
      </w:tr>
    </w:tbl>
    <w:p>
      <w:pPr>
        <w:tabs>
          <w:tab w:val="left" w:pos="5240"/>
        </w:tabs>
        <w:bidi w:val="0"/>
        <w:jc w:val="left"/>
        <w:rPr>
          <w:rFonts w:hint="eastAsia" w:eastAsia="宋体"/>
          <w:lang w:eastAsia="zh-CN"/>
        </w:rPr>
        <w:sectPr>
          <w:footerReference r:id="rId3"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9" w:charSpace="0"/>
        </w:sectPr>
      </w:pPr>
    </w:p>
    <w:p>
      <w:pPr>
        <w:pStyle w:val="2"/>
        <w:spacing w:before="0" w:after="0" w:line="240" w:lineRule="auto"/>
        <w:jc w:val="center"/>
        <w:rPr>
          <w:rFonts w:ascii="宋体" w:hAnsi="宋体" w:cs="宋体"/>
          <w:bCs w:val="0"/>
          <w:sz w:val="32"/>
          <w:szCs w:val="32"/>
        </w:rPr>
      </w:pPr>
      <w:r>
        <w:rPr>
          <w:rFonts w:hint="eastAsia" w:ascii="宋体" w:hAnsi="宋体" w:cs="宋体"/>
          <w:bCs w:val="0"/>
          <w:sz w:val="32"/>
          <w:szCs w:val="32"/>
        </w:rPr>
        <w:t>三、区域环境质量现状、环境保护目标及评价标准</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229" w:type="pct"/>
            <w:vAlign w:val="center"/>
          </w:tcPr>
          <w:p>
            <w:pPr>
              <w:jc w:val="center"/>
            </w:pPr>
            <w:r>
              <w:t>区域环境质量现状</w:t>
            </w:r>
          </w:p>
        </w:tc>
        <w:tc>
          <w:tcPr>
            <w:tcW w:w="4771" w:type="pct"/>
            <w:vAlign w:val="center"/>
          </w:tcPr>
          <w:p>
            <w:pPr>
              <w:adjustRightInd w:val="0"/>
              <w:snapToGrid w:val="0"/>
              <w:spacing w:line="360" w:lineRule="auto"/>
              <w:ind w:firstLine="482" w:firstLineChars="200"/>
              <w:jc w:val="left"/>
              <w:rPr>
                <w:b/>
                <w:bCs/>
                <w:sz w:val="24"/>
              </w:rPr>
            </w:pPr>
            <w:r>
              <w:rPr>
                <w:rFonts w:hint="eastAsia"/>
                <w:b/>
                <w:bCs/>
                <w:sz w:val="24"/>
              </w:rPr>
              <w:t>一、</w:t>
            </w:r>
            <w:r>
              <w:rPr>
                <w:b/>
                <w:bCs/>
                <w:sz w:val="24"/>
              </w:rPr>
              <w:t>大气环境质量现状</w:t>
            </w:r>
          </w:p>
          <w:p>
            <w:pPr>
              <w:adjustRightInd w:val="0"/>
              <w:snapToGrid w:val="0"/>
              <w:spacing w:line="360" w:lineRule="auto"/>
              <w:ind w:firstLine="482" w:firstLineChars="200"/>
              <w:jc w:val="left"/>
              <w:rPr>
                <w:b/>
                <w:bCs/>
                <w:sz w:val="24"/>
              </w:rPr>
            </w:pPr>
            <w:r>
              <w:rPr>
                <w:rFonts w:hint="eastAsia"/>
                <w:b/>
                <w:bCs/>
                <w:sz w:val="24"/>
              </w:rPr>
              <w:t>1、常规污染物环境质量现状</w:t>
            </w:r>
          </w:p>
          <w:p>
            <w:pPr>
              <w:adjustRightInd w:val="0"/>
              <w:snapToGrid w:val="0"/>
              <w:spacing w:line="360" w:lineRule="auto"/>
              <w:ind w:firstLine="363"/>
              <w:rPr>
                <w:sz w:val="24"/>
              </w:rPr>
            </w:pPr>
            <w:r>
              <w:rPr>
                <w:sz w:val="24"/>
              </w:rPr>
              <w:t>本次评价中环境空气质量现状引用陕西省生态环境厅办公室发布的《202</w:t>
            </w:r>
            <w:r>
              <w:rPr>
                <w:rFonts w:hint="eastAsia"/>
                <w:sz w:val="24"/>
                <w:lang w:val="en-US" w:eastAsia="zh-CN"/>
              </w:rPr>
              <w:t>3</w:t>
            </w:r>
            <w:r>
              <w:rPr>
                <w:sz w:val="24"/>
              </w:rPr>
              <w:t>年12月及1~12月全省环境空气质量状况》中</w:t>
            </w:r>
            <w:r>
              <w:rPr>
                <w:rFonts w:hint="eastAsia"/>
                <w:sz w:val="24"/>
              </w:rPr>
              <w:t>西咸新区</w:t>
            </w:r>
            <w:r>
              <w:rPr>
                <w:sz w:val="24"/>
              </w:rPr>
              <w:t>数据中空气常规六项污染物监测结果，对区域环境空气质量现状进行分析，统计结果见下表。</w:t>
            </w:r>
          </w:p>
          <w:p>
            <w:pPr>
              <w:jc w:val="center"/>
              <w:rPr>
                <w:b/>
                <w:bCs/>
                <w:sz w:val="24"/>
              </w:rPr>
            </w:pPr>
            <w:r>
              <w:rPr>
                <w:b/>
                <w:bCs/>
                <w:sz w:val="24"/>
              </w:rPr>
              <w:t>表</w:t>
            </w:r>
            <w:r>
              <w:rPr>
                <w:rFonts w:hint="eastAsia"/>
                <w:b/>
                <w:bCs/>
                <w:sz w:val="24"/>
              </w:rPr>
              <w:t>3-1</w:t>
            </w:r>
            <w:r>
              <w:rPr>
                <w:b/>
                <w:bCs/>
                <w:sz w:val="24"/>
              </w:rPr>
              <w:t>202</w:t>
            </w:r>
            <w:r>
              <w:rPr>
                <w:rFonts w:hint="eastAsia"/>
                <w:b/>
                <w:bCs/>
                <w:sz w:val="24"/>
              </w:rPr>
              <w:t>2</w:t>
            </w:r>
            <w:r>
              <w:rPr>
                <w:b/>
                <w:bCs/>
                <w:sz w:val="24"/>
              </w:rPr>
              <w:t>年</w:t>
            </w:r>
            <w:r>
              <w:rPr>
                <w:rFonts w:hint="eastAsia"/>
                <w:b/>
                <w:bCs/>
                <w:sz w:val="24"/>
              </w:rPr>
              <w:t>西咸新区</w:t>
            </w:r>
            <w:r>
              <w:rPr>
                <w:b/>
                <w:bCs/>
                <w:sz w:val="24"/>
              </w:rPr>
              <w:t>空气质量状况统计结果一览表</w:t>
            </w:r>
            <w:r>
              <w:rPr>
                <w:b/>
                <w:bCs/>
              </w:rPr>
              <w:t>(</w:t>
            </w:r>
            <w:r>
              <w:rPr>
                <w:rFonts w:hint="eastAsia"/>
                <w:b/>
                <w:bCs/>
              </w:rPr>
              <w:t>单位：</w:t>
            </w:r>
            <w:r>
              <w:rPr>
                <w:b/>
                <w:bCs/>
              </w:rPr>
              <w:t>μg/m³)</w:t>
            </w:r>
          </w:p>
          <w:tbl>
            <w:tblPr>
              <w:tblStyle w:val="29"/>
              <w:tblW w:w="4999" w:type="pct"/>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7"/>
              <w:gridCol w:w="2652"/>
              <w:gridCol w:w="1355"/>
              <w:gridCol w:w="1193"/>
              <w:gridCol w:w="1435"/>
              <w:gridCol w:w="11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7" w:type="pct"/>
                  <w:tcBorders>
                    <w:tl2br w:val="nil"/>
                    <w:tr2bl w:val="nil"/>
                  </w:tcBorders>
                  <w:vAlign w:val="center"/>
                </w:tcPr>
                <w:p>
                  <w:pPr>
                    <w:adjustRightInd w:val="0"/>
                    <w:snapToGrid w:val="0"/>
                    <w:jc w:val="center"/>
                    <w:rPr>
                      <w:b/>
                      <w:bCs/>
                    </w:rPr>
                  </w:pPr>
                  <w:r>
                    <w:rPr>
                      <w:b/>
                      <w:bCs/>
                    </w:rPr>
                    <w:t>污染物</w:t>
                  </w:r>
                </w:p>
              </w:tc>
              <w:tc>
                <w:tcPr>
                  <w:tcW w:w="1534" w:type="pct"/>
                  <w:tcBorders>
                    <w:tl2br w:val="nil"/>
                    <w:tr2bl w:val="nil"/>
                  </w:tcBorders>
                  <w:vAlign w:val="center"/>
                </w:tcPr>
                <w:p>
                  <w:pPr>
                    <w:adjustRightInd w:val="0"/>
                    <w:snapToGrid w:val="0"/>
                    <w:jc w:val="center"/>
                    <w:rPr>
                      <w:b/>
                      <w:bCs/>
                    </w:rPr>
                  </w:pPr>
                  <w:r>
                    <w:rPr>
                      <w:b/>
                      <w:bCs/>
                    </w:rPr>
                    <w:t>年评价指标</w:t>
                  </w:r>
                </w:p>
              </w:tc>
              <w:tc>
                <w:tcPr>
                  <w:tcW w:w="784" w:type="pct"/>
                  <w:tcBorders>
                    <w:tl2br w:val="nil"/>
                    <w:tr2bl w:val="nil"/>
                  </w:tcBorders>
                  <w:vAlign w:val="center"/>
                </w:tcPr>
                <w:p>
                  <w:pPr>
                    <w:adjustRightInd w:val="0"/>
                    <w:snapToGrid w:val="0"/>
                    <w:jc w:val="center"/>
                    <w:rPr>
                      <w:b/>
                      <w:bCs/>
                    </w:rPr>
                  </w:pPr>
                  <w:r>
                    <w:rPr>
                      <w:b/>
                      <w:bCs/>
                    </w:rPr>
                    <w:t>现状浓度</w:t>
                  </w:r>
                </w:p>
              </w:tc>
              <w:tc>
                <w:tcPr>
                  <w:tcW w:w="690" w:type="pct"/>
                  <w:tcBorders>
                    <w:tl2br w:val="nil"/>
                    <w:tr2bl w:val="nil"/>
                  </w:tcBorders>
                  <w:vAlign w:val="center"/>
                </w:tcPr>
                <w:p>
                  <w:pPr>
                    <w:adjustRightInd w:val="0"/>
                    <w:snapToGrid w:val="0"/>
                    <w:jc w:val="center"/>
                    <w:rPr>
                      <w:b/>
                      <w:bCs/>
                    </w:rPr>
                  </w:pPr>
                  <w:r>
                    <w:rPr>
                      <w:b/>
                      <w:bCs/>
                    </w:rPr>
                    <w:t>标准值</w:t>
                  </w:r>
                </w:p>
              </w:tc>
              <w:tc>
                <w:tcPr>
                  <w:tcW w:w="830" w:type="pct"/>
                  <w:tcBorders>
                    <w:tl2br w:val="nil"/>
                    <w:tr2bl w:val="nil"/>
                  </w:tcBorders>
                  <w:vAlign w:val="center"/>
                </w:tcPr>
                <w:p>
                  <w:pPr>
                    <w:adjustRightInd w:val="0"/>
                    <w:snapToGrid w:val="0"/>
                    <w:jc w:val="center"/>
                    <w:rPr>
                      <w:b/>
                      <w:bCs/>
                    </w:rPr>
                  </w:pPr>
                  <w:r>
                    <w:rPr>
                      <w:b/>
                      <w:bCs/>
                    </w:rPr>
                    <w:t>占标率(%)</w:t>
                  </w:r>
                </w:p>
              </w:tc>
              <w:tc>
                <w:tcPr>
                  <w:tcW w:w="654" w:type="pct"/>
                  <w:tcBorders>
                    <w:tl2br w:val="nil"/>
                    <w:tr2bl w:val="nil"/>
                  </w:tcBorders>
                  <w:vAlign w:val="center"/>
                </w:tcPr>
                <w:p>
                  <w:pPr>
                    <w:adjustRightInd w:val="0"/>
                    <w:snapToGrid w:val="0"/>
                    <w:jc w:val="center"/>
                    <w:rPr>
                      <w:b/>
                      <w:bCs/>
                    </w:rPr>
                  </w:pPr>
                  <w:r>
                    <w:rPr>
                      <w:b/>
                      <w:bCs/>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507" w:type="pct"/>
                  <w:tcBorders>
                    <w:tl2br w:val="nil"/>
                    <w:tr2bl w:val="nil"/>
                  </w:tcBorders>
                  <w:vAlign w:val="center"/>
                </w:tcPr>
                <w:p>
                  <w:pPr>
                    <w:adjustRightInd w:val="0"/>
                    <w:snapToGrid w:val="0"/>
                    <w:jc w:val="center"/>
                  </w:pPr>
                  <w:r>
                    <w:t>PM</w:t>
                  </w:r>
                  <w:r>
                    <w:rPr>
                      <w:vertAlign w:val="subscript"/>
                    </w:rPr>
                    <w:t>2.5</w:t>
                  </w:r>
                </w:p>
              </w:tc>
              <w:tc>
                <w:tcPr>
                  <w:tcW w:w="1534" w:type="pct"/>
                  <w:tcBorders>
                    <w:tl2br w:val="nil"/>
                    <w:tr2bl w:val="nil"/>
                  </w:tcBorders>
                  <w:vAlign w:val="center"/>
                </w:tcPr>
                <w:p>
                  <w:pPr>
                    <w:adjustRightInd w:val="0"/>
                    <w:snapToGrid w:val="0"/>
                    <w:jc w:val="center"/>
                  </w:pPr>
                  <w:r>
                    <w:t>年平均质量浓度</w:t>
                  </w:r>
                </w:p>
              </w:tc>
              <w:tc>
                <w:tcPr>
                  <w:tcW w:w="784" w:type="pct"/>
                  <w:tcBorders>
                    <w:tl2br w:val="nil"/>
                    <w:tr2bl w:val="nil"/>
                  </w:tcBorders>
                </w:tcPr>
                <w:p>
                  <w:pPr>
                    <w:spacing w:before="124" w:line="180" w:lineRule="auto"/>
                    <w:ind w:firstLine="482"/>
                  </w:pPr>
                  <w:r>
                    <w:rPr>
                      <w:rFonts w:hint="eastAsia"/>
                    </w:rPr>
                    <w:t>48</w:t>
                  </w:r>
                </w:p>
              </w:tc>
              <w:tc>
                <w:tcPr>
                  <w:tcW w:w="690" w:type="pct"/>
                  <w:tcBorders>
                    <w:tl2br w:val="nil"/>
                    <w:tr2bl w:val="nil"/>
                  </w:tcBorders>
                </w:tcPr>
                <w:p>
                  <w:pPr>
                    <w:spacing w:before="121" w:line="180" w:lineRule="auto"/>
                    <w:ind w:firstLine="457"/>
                  </w:pPr>
                  <w:r>
                    <w:t>35</w:t>
                  </w:r>
                </w:p>
              </w:tc>
              <w:tc>
                <w:tcPr>
                  <w:tcW w:w="830" w:type="pct"/>
                  <w:tcBorders>
                    <w:tl2br w:val="nil"/>
                    <w:tr2bl w:val="nil"/>
                  </w:tcBorders>
                </w:tcPr>
                <w:p>
                  <w:pPr>
                    <w:spacing w:before="121" w:line="180" w:lineRule="auto"/>
                    <w:jc w:val="center"/>
                  </w:pPr>
                  <w:r>
                    <w:rPr>
                      <w:rFonts w:hint="eastAsia"/>
                    </w:rPr>
                    <w:t>137.1</w:t>
                  </w:r>
                </w:p>
              </w:tc>
              <w:tc>
                <w:tcPr>
                  <w:tcW w:w="654" w:type="pct"/>
                  <w:tcBorders>
                    <w:tl2br w:val="nil"/>
                    <w:tr2bl w:val="nil"/>
                  </w:tcBorders>
                  <w:vAlign w:val="center"/>
                </w:tcPr>
                <w:p>
                  <w:pPr>
                    <w:jc w:val="center"/>
                  </w:pPr>
                  <w: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07" w:type="pct"/>
                  <w:tcBorders>
                    <w:tl2br w:val="nil"/>
                    <w:tr2bl w:val="nil"/>
                  </w:tcBorders>
                  <w:vAlign w:val="center"/>
                </w:tcPr>
                <w:p>
                  <w:pPr>
                    <w:adjustRightInd w:val="0"/>
                    <w:snapToGrid w:val="0"/>
                    <w:jc w:val="center"/>
                  </w:pPr>
                  <w:r>
                    <w:t>PM</w:t>
                  </w:r>
                  <w:r>
                    <w:rPr>
                      <w:vertAlign w:val="subscript"/>
                    </w:rPr>
                    <w:t>10</w:t>
                  </w:r>
                </w:p>
              </w:tc>
              <w:tc>
                <w:tcPr>
                  <w:tcW w:w="1534" w:type="pct"/>
                  <w:tcBorders>
                    <w:tl2br w:val="nil"/>
                    <w:tr2bl w:val="nil"/>
                  </w:tcBorders>
                  <w:vAlign w:val="center"/>
                </w:tcPr>
                <w:p>
                  <w:pPr>
                    <w:adjustRightInd w:val="0"/>
                    <w:snapToGrid w:val="0"/>
                    <w:jc w:val="center"/>
                  </w:pPr>
                  <w:r>
                    <w:t>年平均质量浓度</w:t>
                  </w:r>
                </w:p>
              </w:tc>
              <w:tc>
                <w:tcPr>
                  <w:tcW w:w="784" w:type="pct"/>
                  <w:tcBorders>
                    <w:tl2br w:val="nil"/>
                    <w:tr2bl w:val="nil"/>
                  </w:tcBorders>
                </w:tcPr>
                <w:p>
                  <w:pPr>
                    <w:spacing w:before="121" w:line="180" w:lineRule="auto"/>
                    <w:ind w:firstLine="480"/>
                    <w:rPr>
                      <w:rFonts w:hint="default" w:eastAsia="宋体"/>
                      <w:lang w:val="en-US" w:eastAsia="zh-CN"/>
                    </w:rPr>
                  </w:pPr>
                  <w:r>
                    <w:rPr>
                      <w:rFonts w:hint="eastAsia"/>
                      <w:lang w:val="en-US" w:eastAsia="zh-CN"/>
                    </w:rPr>
                    <w:t>82</w:t>
                  </w:r>
                </w:p>
              </w:tc>
              <w:tc>
                <w:tcPr>
                  <w:tcW w:w="690" w:type="pct"/>
                  <w:tcBorders>
                    <w:tl2br w:val="nil"/>
                    <w:tr2bl w:val="nil"/>
                  </w:tcBorders>
                </w:tcPr>
                <w:p>
                  <w:pPr>
                    <w:spacing w:before="121" w:line="180" w:lineRule="auto"/>
                    <w:ind w:firstLine="456"/>
                  </w:pPr>
                  <w:r>
                    <w:t>70</w:t>
                  </w:r>
                </w:p>
              </w:tc>
              <w:tc>
                <w:tcPr>
                  <w:tcW w:w="830" w:type="pct"/>
                  <w:tcBorders>
                    <w:tl2br w:val="nil"/>
                    <w:tr2bl w:val="nil"/>
                  </w:tcBorders>
                </w:tcPr>
                <w:p>
                  <w:pPr>
                    <w:spacing w:before="122" w:line="180" w:lineRule="auto"/>
                    <w:jc w:val="center"/>
                    <w:rPr>
                      <w:rFonts w:hint="default" w:eastAsia="宋体"/>
                      <w:lang w:val="en-US" w:eastAsia="zh-CN"/>
                    </w:rPr>
                  </w:pPr>
                  <w:r>
                    <w:rPr>
                      <w:rFonts w:hint="eastAsia"/>
                      <w:lang w:val="en-US" w:eastAsia="zh-CN"/>
                    </w:rPr>
                    <w:t>117.1</w:t>
                  </w:r>
                </w:p>
              </w:tc>
              <w:tc>
                <w:tcPr>
                  <w:tcW w:w="654" w:type="pct"/>
                  <w:tcBorders>
                    <w:tl2br w:val="nil"/>
                    <w:tr2bl w:val="nil"/>
                  </w:tcBorders>
                  <w:vAlign w:val="center"/>
                </w:tcPr>
                <w:p>
                  <w:pPr>
                    <w:jc w:val="center"/>
                  </w:pPr>
                  <w:r>
                    <w:t>不达标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7" w:type="pct"/>
                  <w:tcBorders>
                    <w:tl2br w:val="nil"/>
                    <w:tr2bl w:val="nil"/>
                  </w:tcBorders>
                  <w:vAlign w:val="center"/>
                </w:tcPr>
                <w:p>
                  <w:pPr>
                    <w:snapToGrid w:val="0"/>
                    <w:jc w:val="center"/>
                  </w:pPr>
                  <w:r>
                    <w:t>SO</w:t>
                  </w:r>
                  <w:r>
                    <w:rPr>
                      <w:vertAlign w:val="subscript"/>
                    </w:rPr>
                    <w:t>2</w:t>
                  </w:r>
                </w:p>
              </w:tc>
              <w:tc>
                <w:tcPr>
                  <w:tcW w:w="1534" w:type="pct"/>
                  <w:tcBorders>
                    <w:tl2br w:val="nil"/>
                    <w:tr2bl w:val="nil"/>
                  </w:tcBorders>
                  <w:vAlign w:val="center"/>
                </w:tcPr>
                <w:p>
                  <w:pPr>
                    <w:adjustRightInd w:val="0"/>
                    <w:snapToGrid w:val="0"/>
                    <w:jc w:val="center"/>
                  </w:pPr>
                  <w:r>
                    <w:t>年平均质量浓度</w:t>
                  </w:r>
                </w:p>
              </w:tc>
              <w:tc>
                <w:tcPr>
                  <w:tcW w:w="784" w:type="pct"/>
                  <w:tcBorders>
                    <w:tl2br w:val="nil"/>
                    <w:tr2bl w:val="nil"/>
                  </w:tcBorders>
                </w:tcPr>
                <w:p>
                  <w:pPr>
                    <w:spacing w:before="104" w:line="180" w:lineRule="auto"/>
                    <w:ind w:firstLine="537"/>
                  </w:pPr>
                  <w:r>
                    <w:rPr>
                      <w:rFonts w:hint="eastAsia"/>
                    </w:rPr>
                    <w:t>7</w:t>
                  </w:r>
                </w:p>
              </w:tc>
              <w:tc>
                <w:tcPr>
                  <w:tcW w:w="690" w:type="pct"/>
                  <w:tcBorders>
                    <w:tl2br w:val="nil"/>
                    <w:tr2bl w:val="nil"/>
                  </w:tcBorders>
                </w:tcPr>
                <w:p>
                  <w:pPr>
                    <w:spacing w:before="104" w:line="180" w:lineRule="auto"/>
                    <w:ind w:firstLine="457"/>
                  </w:pPr>
                  <w:r>
                    <w:t>60</w:t>
                  </w:r>
                </w:p>
              </w:tc>
              <w:tc>
                <w:tcPr>
                  <w:tcW w:w="830" w:type="pct"/>
                  <w:tcBorders>
                    <w:tl2br w:val="nil"/>
                    <w:tr2bl w:val="nil"/>
                  </w:tcBorders>
                </w:tcPr>
                <w:p>
                  <w:pPr>
                    <w:spacing w:before="103" w:line="180" w:lineRule="auto"/>
                    <w:jc w:val="center"/>
                  </w:pPr>
                  <w:r>
                    <w:t>1</w:t>
                  </w:r>
                  <w:r>
                    <w:rPr>
                      <w:rFonts w:hint="eastAsia"/>
                    </w:rPr>
                    <w:t>1.67</w:t>
                  </w:r>
                </w:p>
              </w:tc>
              <w:tc>
                <w:tcPr>
                  <w:tcW w:w="654" w:type="pct"/>
                  <w:tcBorders>
                    <w:tl2br w:val="nil"/>
                    <w:tr2bl w:val="nil"/>
                  </w:tcBorders>
                  <w:vAlign w:val="center"/>
                </w:tcPr>
                <w:p>
                  <w:pPr>
                    <w:jc w:val="cente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7" w:type="pct"/>
                  <w:tcBorders>
                    <w:tl2br w:val="nil"/>
                    <w:tr2bl w:val="nil"/>
                  </w:tcBorders>
                  <w:vAlign w:val="center"/>
                </w:tcPr>
                <w:p>
                  <w:pPr>
                    <w:snapToGrid w:val="0"/>
                    <w:jc w:val="center"/>
                  </w:pPr>
                  <w:r>
                    <w:t>NO</w:t>
                  </w:r>
                  <w:r>
                    <w:rPr>
                      <w:vertAlign w:val="subscript"/>
                    </w:rPr>
                    <w:t>2</w:t>
                  </w:r>
                </w:p>
              </w:tc>
              <w:tc>
                <w:tcPr>
                  <w:tcW w:w="1534" w:type="pct"/>
                  <w:tcBorders>
                    <w:tl2br w:val="nil"/>
                    <w:tr2bl w:val="nil"/>
                  </w:tcBorders>
                  <w:vAlign w:val="center"/>
                </w:tcPr>
                <w:p>
                  <w:pPr>
                    <w:adjustRightInd w:val="0"/>
                    <w:snapToGrid w:val="0"/>
                    <w:jc w:val="center"/>
                  </w:pPr>
                  <w:r>
                    <w:t>年平均质量浓度</w:t>
                  </w:r>
                </w:p>
              </w:tc>
              <w:tc>
                <w:tcPr>
                  <w:tcW w:w="784" w:type="pct"/>
                  <w:tcBorders>
                    <w:tl2br w:val="nil"/>
                    <w:tr2bl w:val="nil"/>
                  </w:tcBorders>
                </w:tcPr>
                <w:p>
                  <w:pPr>
                    <w:spacing w:before="123" w:line="180" w:lineRule="auto"/>
                    <w:ind w:firstLine="475"/>
                    <w:rPr>
                      <w:rFonts w:hint="default" w:eastAsia="宋体"/>
                      <w:lang w:val="en-US" w:eastAsia="zh-CN"/>
                    </w:rPr>
                  </w:pPr>
                  <w:r>
                    <w:rPr>
                      <w:rFonts w:hint="eastAsia"/>
                      <w:lang w:val="en-US" w:eastAsia="zh-CN"/>
                    </w:rPr>
                    <w:t>37</w:t>
                  </w:r>
                </w:p>
              </w:tc>
              <w:tc>
                <w:tcPr>
                  <w:tcW w:w="690" w:type="pct"/>
                  <w:tcBorders>
                    <w:tl2br w:val="nil"/>
                    <w:tr2bl w:val="nil"/>
                  </w:tcBorders>
                </w:tcPr>
                <w:p>
                  <w:pPr>
                    <w:spacing w:before="123" w:line="180" w:lineRule="auto"/>
                    <w:ind w:firstLine="452"/>
                  </w:pPr>
                  <w:r>
                    <w:t>40</w:t>
                  </w:r>
                </w:p>
              </w:tc>
              <w:tc>
                <w:tcPr>
                  <w:tcW w:w="830" w:type="pct"/>
                  <w:tcBorders>
                    <w:tl2br w:val="nil"/>
                    <w:tr2bl w:val="nil"/>
                  </w:tcBorders>
                </w:tcPr>
                <w:p>
                  <w:pPr>
                    <w:spacing w:before="122" w:line="180" w:lineRule="auto"/>
                    <w:jc w:val="center"/>
                    <w:rPr>
                      <w:rFonts w:hint="default" w:eastAsia="宋体"/>
                      <w:lang w:val="en-US" w:eastAsia="zh-CN"/>
                    </w:rPr>
                  </w:pPr>
                  <w:r>
                    <w:rPr>
                      <w:rFonts w:hint="eastAsia"/>
                      <w:lang w:val="en-US" w:eastAsia="zh-CN"/>
                    </w:rPr>
                    <w:t>92.5</w:t>
                  </w:r>
                </w:p>
              </w:tc>
              <w:tc>
                <w:tcPr>
                  <w:tcW w:w="654" w:type="pct"/>
                  <w:tcBorders>
                    <w:tl2br w:val="nil"/>
                    <w:tr2bl w:val="nil"/>
                  </w:tcBorders>
                  <w:vAlign w:val="center"/>
                </w:tcPr>
                <w:p>
                  <w:pPr>
                    <w:jc w:val="cente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7" w:type="pct"/>
                  <w:tcBorders>
                    <w:tl2br w:val="nil"/>
                    <w:tr2bl w:val="nil"/>
                  </w:tcBorders>
                  <w:vAlign w:val="center"/>
                </w:tcPr>
                <w:p>
                  <w:pPr>
                    <w:snapToGrid w:val="0"/>
                    <w:jc w:val="center"/>
                  </w:pPr>
                  <w:r>
                    <w:t>CO</w:t>
                  </w:r>
                </w:p>
              </w:tc>
              <w:tc>
                <w:tcPr>
                  <w:tcW w:w="1534" w:type="pct"/>
                  <w:tcBorders>
                    <w:tl2br w:val="nil"/>
                    <w:tr2bl w:val="nil"/>
                  </w:tcBorders>
                  <w:vAlign w:val="center"/>
                </w:tcPr>
                <w:p>
                  <w:pPr>
                    <w:adjustRightInd w:val="0"/>
                    <w:snapToGrid w:val="0"/>
                    <w:jc w:val="center"/>
                  </w:pPr>
                  <w:r>
                    <w:t>95%日平均质量浓度</w:t>
                  </w:r>
                </w:p>
              </w:tc>
              <w:tc>
                <w:tcPr>
                  <w:tcW w:w="784" w:type="pct"/>
                  <w:tcBorders>
                    <w:tl2br w:val="nil"/>
                    <w:tr2bl w:val="nil"/>
                  </w:tcBorders>
                  <w:vAlign w:val="center"/>
                </w:tcPr>
                <w:p>
                  <w:pPr>
                    <w:jc w:val="center"/>
                  </w:pPr>
                  <w:r>
                    <w:rPr>
                      <w:rFonts w:hint="eastAsia"/>
                    </w:rPr>
                    <w:t>1</w:t>
                  </w:r>
                  <w:r>
                    <w:rPr>
                      <w:rFonts w:hint="eastAsia"/>
                      <w:lang w:val="en-US" w:eastAsia="zh-CN"/>
                    </w:rPr>
                    <w:t>3</w:t>
                  </w:r>
                  <w:r>
                    <w:rPr>
                      <w:rFonts w:hint="eastAsia"/>
                    </w:rPr>
                    <w:t>00</w:t>
                  </w:r>
                </w:p>
              </w:tc>
              <w:tc>
                <w:tcPr>
                  <w:tcW w:w="690" w:type="pct"/>
                  <w:tcBorders>
                    <w:tl2br w:val="nil"/>
                    <w:tr2bl w:val="nil"/>
                  </w:tcBorders>
                  <w:vAlign w:val="center"/>
                </w:tcPr>
                <w:p>
                  <w:pPr>
                    <w:jc w:val="center"/>
                  </w:pPr>
                  <w:r>
                    <w:t>4</w:t>
                  </w:r>
                  <w:r>
                    <w:rPr>
                      <w:rFonts w:hint="eastAsia"/>
                    </w:rPr>
                    <w:t>000</w:t>
                  </w:r>
                </w:p>
              </w:tc>
              <w:tc>
                <w:tcPr>
                  <w:tcW w:w="830" w:type="pct"/>
                  <w:tcBorders>
                    <w:tl2br w:val="nil"/>
                    <w:tr2bl w:val="nil"/>
                  </w:tcBorders>
                  <w:vAlign w:val="center"/>
                </w:tcPr>
                <w:p>
                  <w:pPr>
                    <w:jc w:val="center"/>
                    <w:rPr>
                      <w:rFonts w:hint="default" w:eastAsia="宋体"/>
                      <w:lang w:val="en-US" w:eastAsia="zh-CN"/>
                    </w:rPr>
                  </w:pPr>
                  <w:r>
                    <w:rPr>
                      <w:rFonts w:hint="eastAsia"/>
                      <w:lang w:val="en-US" w:eastAsia="zh-CN"/>
                    </w:rPr>
                    <w:t>32.5</w:t>
                  </w:r>
                </w:p>
              </w:tc>
              <w:tc>
                <w:tcPr>
                  <w:tcW w:w="654" w:type="pct"/>
                  <w:tcBorders>
                    <w:tl2br w:val="nil"/>
                    <w:tr2bl w:val="nil"/>
                  </w:tcBorders>
                  <w:vAlign w:val="center"/>
                </w:tcPr>
                <w:p>
                  <w:pPr>
                    <w:jc w:val="center"/>
                  </w:pPr>
                  <w: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7" w:type="pct"/>
                  <w:tcBorders>
                    <w:tl2br w:val="nil"/>
                    <w:tr2bl w:val="nil"/>
                  </w:tcBorders>
                  <w:vAlign w:val="center"/>
                </w:tcPr>
                <w:p>
                  <w:pPr>
                    <w:snapToGrid w:val="0"/>
                    <w:jc w:val="center"/>
                  </w:pPr>
                  <w:r>
                    <w:t>O</w:t>
                  </w:r>
                  <w:r>
                    <w:rPr>
                      <w:vertAlign w:val="subscript"/>
                    </w:rPr>
                    <w:t>3</w:t>
                  </w:r>
                </w:p>
              </w:tc>
              <w:tc>
                <w:tcPr>
                  <w:tcW w:w="1534" w:type="pct"/>
                  <w:tcBorders>
                    <w:tl2br w:val="nil"/>
                    <w:tr2bl w:val="nil"/>
                  </w:tcBorders>
                  <w:vAlign w:val="center"/>
                </w:tcPr>
                <w:p>
                  <w:pPr>
                    <w:snapToGrid w:val="0"/>
                    <w:jc w:val="center"/>
                  </w:pPr>
                  <w:r>
                    <w:t>90%日最大8h滑动平均值</w:t>
                  </w:r>
                </w:p>
              </w:tc>
              <w:tc>
                <w:tcPr>
                  <w:tcW w:w="784" w:type="pct"/>
                  <w:tcBorders>
                    <w:tl2br w:val="nil"/>
                    <w:tr2bl w:val="nil"/>
                  </w:tcBorders>
                  <w:vAlign w:val="center"/>
                </w:tcPr>
                <w:p>
                  <w:pPr>
                    <w:jc w:val="center"/>
                    <w:rPr>
                      <w:rFonts w:hint="eastAsia" w:eastAsia="宋体"/>
                      <w:lang w:val="en-US" w:eastAsia="zh-CN"/>
                    </w:rPr>
                  </w:pPr>
                  <w:r>
                    <w:t>1</w:t>
                  </w:r>
                  <w:r>
                    <w:rPr>
                      <w:rFonts w:hint="eastAsia"/>
                    </w:rPr>
                    <w:t>6</w:t>
                  </w:r>
                  <w:r>
                    <w:rPr>
                      <w:rFonts w:hint="eastAsia"/>
                      <w:lang w:val="en-US" w:eastAsia="zh-CN"/>
                    </w:rPr>
                    <w:t>3</w:t>
                  </w:r>
                </w:p>
              </w:tc>
              <w:tc>
                <w:tcPr>
                  <w:tcW w:w="690" w:type="pct"/>
                  <w:tcBorders>
                    <w:tl2br w:val="nil"/>
                    <w:tr2bl w:val="nil"/>
                  </w:tcBorders>
                  <w:vAlign w:val="center"/>
                </w:tcPr>
                <w:p>
                  <w:pPr>
                    <w:jc w:val="center"/>
                  </w:pPr>
                  <w:r>
                    <w:t>160</w:t>
                  </w:r>
                </w:p>
              </w:tc>
              <w:tc>
                <w:tcPr>
                  <w:tcW w:w="830" w:type="pct"/>
                  <w:tcBorders>
                    <w:tl2br w:val="nil"/>
                    <w:tr2bl w:val="nil"/>
                  </w:tcBorders>
                  <w:vAlign w:val="center"/>
                </w:tcPr>
                <w:p>
                  <w:pPr>
                    <w:jc w:val="center"/>
                    <w:rPr>
                      <w:rFonts w:hint="default" w:eastAsia="宋体"/>
                      <w:lang w:val="en-US" w:eastAsia="zh-CN"/>
                    </w:rPr>
                  </w:pPr>
                  <w:r>
                    <w:rPr>
                      <w:rFonts w:hint="eastAsia"/>
                      <w:lang w:val="en-US" w:eastAsia="zh-CN"/>
                    </w:rPr>
                    <w:t>101.9</w:t>
                  </w:r>
                </w:p>
              </w:tc>
              <w:tc>
                <w:tcPr>
                  <w:tcW w:w="654" w:type="pct"/>
                  <w:tcBorders>
                    <w:tl2br w:val="nil"/>
                    <w:tr2bl w:val="nil"/>
                  </w:tcBorders>
                  <w:vAlign w:val="center"/>
                </w:tcPr>
                <w:p>
                  <w:pPr>
                    <w:jc w:val="center"/>
                  </w:pPr>
                  <w:r>
                    <w:rPr>
                      <w:rFonts w:hint="eastAsia"/>
                    </w:rPr>
                    <w:t>不</w:t>
                  </w:r>
                  <w:r>
                    <w:t>达标</w:t>
                  </w:r>
                </w:p>
              </w:tc>
            </w:tr>
          </w:tbl>
          <w:p>
            <w:pPr>
              <w:adjustRightInd w:val="0"/>
              <w:snapToGrid w:val="0"/>
              <w:spacing w:line="360" w:lineRule="auto"/>
              <w:ind w:firstLine="363"/>
              <w:rPr>
                <w:sz w:val="24"/>
              </w:rPr>
            </w:pPr>
            <w:r>
              <w:rPr>
                <w:sz w:val="24"/>
              </w:rPr>
              <w:t>根据上表可知，项目所在区域NO</w:t>
            </w:r>
            <w:r>
              <w:rPr>
                <w:sz w:val="24"/>
                <w:vertAlign w:val="subscript"/>
              </w:rPr>
              <w:t>2</w:t>
            </w:r>
            <w:r>
              <w:rPr>
                <w:sz w:val="24"/>
              </w:rPr>
              <w:t>、SO</w:t>
            </w:r>
            <w:r>
              <w:rPr>
                <w:sz w:val="24"/>
                <w:vertAlign w:val="subscript"/>
              </w:rPr>
              <w:t>2</w:t>
            </w:r>
            <w:r>
              <w:rPr>
                <w:sz w:val="24"/>
              </w:rPr>
              <w:t>年平均质量浓度和CO第95百分位数日平均浓度满足《环境空气质量标准》（GB3095-2012）二级标准，O</w:t>
            </w:r>
            <w:r>
              <w:rPr>
                <w:sz w:val="24"/>
                <w:vertAlign w:val="subscript"/>
              </w:rPr>
              <w:t>3</w:t>
            </w:r>
            <w:r>
              <w:rPr>
                <w:sz w:val="24"/>
              </w:rPr>
              <w:t>日最大8小时平均值的第90百分位数</w:t>
            </w:r>
            <w:r>
              <w:rPr>
                <w:rFonts w:hint="eastAsia"/>
                <w:sz w:val="24"/>
              </w:rPr>
              <w:t>浓度</w:t>
            </w:r>
            <w:r>
              <w:rPr>
                <w:sz w:val="24"/>
              </w:rPr>
              <w:t>、PM</w:t>
            </w:r>
            <w:r>
              <w:rPr>
                <w:sz w:val="24"/>
                <w:vertAlign w:val="subscript"/>
              </w:rPr>
              <w:t>10</w:t>
            </w:r>
            <w:r>
              <w:rPr>
                <w:sz w:val="24"/>
              </w:rPr>
              <w:t>和PM</w:t>
            </w:r>
            <w:r>
              <w:rPr>
                <w:sz w:val="24"/>
                <w:vertAlign w:val="subscript"/>
              </w:rPr>
              <w:t>2.5</w:t>
            </w:r>
            <w:r>
              <w:rPr>
                <w:sz w:val="24"/>
              </w:rPr>
              <w:t>的年平均值均超过《环境空气质量标准》（GB3095-2012）中二级标准，说明</w:t>
            </w:r>
            <w:r>
              <w:rPr>
                <w:rFonts w:hint="eastAsia"/>
                <w:sz w:val="24"/>
                <w:lang w:eastAsia="zh-CN"/>
              </w:rPr>
              <w:t>项目</w:t>
            </w:r>
            <w:r>
              <w:rPr>
                <w:sz w:val="24"/>
              </w:rPr>
              <w:t>所在区域为不达标区域。</w:t>
            </w:r>
          </w:p>
          <w:p>
            <w:pPr>
              <w:adjustRightInd w:val="0"/>
              <w:snapToGrid w:val="0"/>
              <w:spacing w:line="360" w:lineRule="auto"/>
              <w:ind w:firstLine="482" w:firstLineChars="200"/>
              <w:jc w:val="left"/>
              <w:rPr>
                <w:b/>
                <w:bCs/>
                <w:sz w:val="24"/>
              </w:rPr>
            </w:pPr>
            <w:r>
              <w:rPr>
                <w:b/>
                <w:bCs/>
                <w:sz w:val="24"/>
              </w:rPr>
              <w:t>2、特征因子环境质量现状数据</w:t>
            </w:r>
          </w:p>
          <w:p>
            <w:pPr>
              <w:adjustRightInd w:val="0"/>
              <w:snapToGrid w:val="0"/>
              <w:spacing w:line="360" w:lineRule="auto"/>
              <w:ind w:firstLine="480" w:firstLineChars="200"/>
              <w:jc w:val="left"/>
              <w:rPr>
                <w:sz w:val="24"/>
                <w:highlight w:val="green"/>
              </w:rPr>
            </w:pPr>
            <w:r>
              <w:rPr>
                <w:sz w:val="24"/>
              </w:rPr>
              <w:t>特征因子TSP、非甲烷总烃委托陕西方清环境科技有限公司于2023年</w:t>
            </w:r>
            <w:r>
              <w:rPr>
                <w:rFonts w:hint="eastAsia"/>
                <w:sz w:val="24"/>
              </w:rPr>
              <w:t>9</w:t>
            </w:r>
            <w:r>
              <w:rPr>
                <w:sz w:val="24"/>
              </w:rPr>
              <w:t>月</w:t>
            </w:r>
            <w:r>
              <w:rPr>
                <w:rFonts w:hint="eastAsia"/>
                <w:sz w:val="24"/>
              </w:rPr>
              <w:t>14</w:t>
            </w:r>
            <w:r>
              <w:rPr>
                <w:sz w:val="24"/>
              </w:rPr>
              <w:t>日至</w:t>
            </w:r>
            <w:r>
              <w:rPr>
                <w:rFonts w:hint="eastAsia"/>
                <w:sz w:val="24"/>
              </w:rPr>
              <w:t>9</w:t>
            </w:r>
            <w:r>
              <w:rPr>
                <w:sz w:val="24"/>
              </w:rPr>
              <w:t>月</w:t>
            </w:r>
            <w:r>
              <w:rPr>
                <w:rFonts w:hint="eastAsia"/>
                <w:sz w:val="24"/>
              </w:rPr>
              <w:t>16</w:t>
            </w:r>
            <w:r>
              <w:rPr>
                <w:sz w:val="24"/>
              </w:rPr>
              <w:t>日进行监测（监测报告：陕方清监字[2023]第</w:t>
            </w:r>
            <w:r>
              <w:rPr>
                <w:rFonts w:hint="eastAsia"/>
                <w:sz w:val="24"/>
              </w:rPr>
              <w:t>09074</w:t>
            </w:r>
            <w:r>
              <w:rPr>
                <w:sz w:val="24"/>
              </w:rPr>
              <w:t>号），监测报告见附件</w:t>
            </w:r>
            <w:r>
              <w:rPr>
                <w:rFonts w:hint="eastAsia"/>
                <w:sz w:val="24"/>
              </w:rPr>
              <w:t>5</w:t>
            </w:r>
            <w:r>
              <w:rPr>
                <w:sz w:val="24"/>
              </w:rPr>
              <w:t>。</w:t>
            </w:r>
          </w:p>
          <w:p>
            <w:pPr>
              <w:pStyle w:val="35"/>
              <w:snapToGrid w:val="0"/>
              <w:spacing w:line="360" w:lineRule="auto"/>
              <w:ind w:firstLine="480" w:firstLineChars="200"/>
              <w:rPr>
                <w:rFonts w:ascii="Times New Roman"/>
              </w:rPr>
            </w:pPr>
            <w:r>
              <w:rPr>
                <w:rFonts w:hint="eastAsia" w:ascii="Times New Roman"/>
              </w:rPr>
              <w:t>1）</w:t>
            </w:r>
            <w:r>
              <w:rPr>
                <w:rFonts w:ascii="Times New Roman"/>
              </w:rPr>
              <w:t>监测因子、点位、时间及监测频次</w:t>
            </w:r>
          </w:p>
          <w:p>
            <w:pPr>
              <w:pStyle w:val="35"/>
              <w:snapToGrid w:val="0"/>
              <w:spacing w:line="360" w:lineRule="auto"/>
              <w:ind w:firstLine="480" w:firstLineChars="200"/>
              <w:rPr>
                <w:rFonts w:hint="eastAsia" w:ascii="Times New Roman" w:eastAsia="宋体"/>
                <w:lang w:eastAsia="zh-CN"/>
              </w:rPr>
            </w:pPr>
            <w:r>
              <w:rPr>
                <w:rFonts w:ascii="Times New Roman"/>
              </w:rPr>
              <w:t>项目监测因子、监测点位、监测时间及监测频次详见表3-2，监测点位图见附图6。</w:t>
            </w:r>
          </w:p>
          <w:p>
            <w:pPr>
              <w:widowControl/>
              <w:adjustRightInd w:val="0"/>
              <w:snapToGrid w:val="0"/>
              <w:jc w:val="center"/>
              <w:rPr>
                <w:b/>
                <w:bCs/>
              </w:rPr>
            </w:pPr>
            <w:r>
              <w:rPr>
                <w:b/>
                <w:bCs/>
              </w:rPr>
              <w:t>表3-2项目特征污染物监测因子、点位、时间及监测频次</w:t>
            </w:r>
          </w:p>
          <w:tbl>
            <w:tblPr>
              <w:tblStyle w:val="30"/>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89"/>
              <w:gridCol w:w="1993"/>
              <w:gridCol w:w="1616"/>
              <w:gridCol w:w="1428"/>
              <w:gridCol w:w="29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序号</w:t>
                  </w:r>
                </w:p>
              </w:tc>
              <w:tc>
                <w:tcPr>
                  <w:tcW w:w="1993"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监测因子</w:t>
                  </w:r>
                </w:p>
              </w:tc>
              <w:tc>
                <w:tcPr>
                  <w:tcW w:w="1616"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监测点位</w:t>
                  </w:r>
                </w:p>
              </w:tc>
              <w:tc>
                <w:tcPr>
                  <w:tcW w:w="1428"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监测时间</w:t>
                  </w:r>
                </w:p>
              </w:tc>
              <w:tc>
                <w:tcPr>
                  <w:tcW w:w="2931"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tcBorders>
                    <w:tl2br w:val="nil"/>
                    <w:tr2bl w:val="nil"/>
                  </w:tcBorders>
                  <w:vAlign w:val="center"/>
                </w:tcPr>
                <w:p>
                  <w:pPr>
                    <w:adjustRightInd w:val="0"/>
                    <w:snapToGrid w:val="0"/>
                    <w:jc w:val="center"/>
                    <w:rPr>
                      <w:rFonts w:ascii="Calibri" w:hAnsi="Calibri" w:cs="Calibri"/>
                    </w:rPr>
                  </w:pPr>
                  <w:r>
                    <w:rPr>
                      <w:rFonts w:ascii="Calibri" w:hAnsi="Calibri" w:cs="Calibri"/>
                    </w:rPr>
                    <w:t>1</w:t>
                  </w:r>
                </w:p>
              </w:tc>
              <w:tc>
                <w:tcPr>
                  <w:tcW w:w="1993" w:type="dxa"/>
                  <w:tcBorders>
                    <w:tl2br w:val="nil"/>
                    <w:tr2bl w:val="nil"/>
                  </w:tcBorders>
                  <w:vAlign w:val="center"/>
                </w:tcPr>
                <w:p>
                  <w:pPr>
                    <w:adjustRightInd w:val="0"/>
                    <w:snapToGrid w:val="0"/>
                    <w:jc w:val="center"/>
                    <w:rPr>
                      <w:rFonts w:ascii="Calibri" w:hAnsi="Calibri" w:cs="Calibri"/>
                    </w:rPr>
                  </w:pPr>
                  <w:r>
                    <w:rPr>
                      <w:rFonts w:ascii="Calibri" w:hAnsi="Calibri" w:cs="Calibri"/>
                    </w:rPr>
                    <w:t>TSP</w:t>
                  </w:r>
                </w:p>
              </w:tc>
              <w:tc>
                <w:tcPr>
                  <w:tcW w:w="1616" w:type="dxa"/>
                  <w:vMerge w:val="restart"/>
                  <w:tcBorders>
                    <w:tl2br w:val="nil"/>
                    <w:tr2bl w:val="nil"/>
                  </w:tcBorders>
                  <w:vAlign w:val="center"/>
                </w:tcPr>
                <w:p>
                  <w:pPr>
                    <w:adjustRightInd w:val="0"/>
                    <w:snapToGrid w:val="0"/>
                    <w:jc w:val="center"/>
                    <w:rPr>
                      <w:rFonts w:ascii="Calibri" w:hAnsi="Calibri" w:cs="Calibri"/>
                    </w:rPr>
                  </w:pPr>
                  <w:r>
                    <w:rPr>
                      <w:rFonts w:hint="eastAsia" w:ascii="Calibri" w:hAnsi="Calibri" w:cs="Calibri"/>
                    </w:rPr>
                    <w:t>项目场地厂址中区下风向</w:t>
                  </w:r>
                </w:p>
              </w:tc>
              <w:tc>
                <w:tcPr>
                  <w:tcW w:w="1428" w:type="dxa"/>
                  <w:vMerge w:val="restart"/>
                  <w:tcBorders>
                    <w:tl2br w:val="nil"/>
                    <w:tr2bl w:val="nil"/>
                  </w:tcBorders>
                  <w:vAlign w:val="center"/>
                </w:tcPr>
                <w:p>
                  <w:pPr>
                    <w:adjustRightInd w:val="0"/>
                    <w:snapToGrid w:val="0"/>
                    <w:jc w:val="center"/>
                    <w:rPr>
                      <w:rFonts w:ascii="Calibri" w:hAnsi="Calibri" w:cs="Calibri"/>
                    </w:rPr>
                  </w:pPr>
                  <w:r>
                    <w:rPr>
                      <w:rFonts w:ascii="Calibri" w:hAnsi="Calibri" w:cs="Calibri"/>
                    </w:rPr>
                    <w:t>2023.</w:t>
                  </w:r>
                  <w:r>
                    <w:rPr>
                      <w:rFonts w:hint="eastAsia" w:ascii="Calibri" w:hAnsi="Calibri" w:cs="Calibri"/>
                    </w:rPr>
                    <w:t>9</w:t>
                  </w:r>
                  <w:r>
                    <w:rPr>
                      <w:rFonts w:ascii="Calibri" w:hAnsi="Calibri" w:cs="Calibri"/>
                    </w:rPr>
                    <w:t>.</w:t>
                  </w:r>
                  <w:r>
                    <w:rPr>
                      <w:rFonts w:hint="eastAsia" w:ascii="Calibri" w:hAnsi="Calibri" w:cs="Calibri"/>
                    </w:rPr>
                    <w:t>14</w:t>
                  </w:r>
                  <w:r>
                    <w:rPr>
                      <w:rFonts w:ascii="Calibri" w:hAnsi="Calibri" w:cs="Calibri"/>
                    </w:rPr>
                    <w:t>~</w:t>
                  </w:r>
                </w:p>
                <w:p>
                  <w:pPr>
                    <w:adjustRightInd w:val="0"/>
                    <w:snapToGrid w:val="0"/>
                    <w:jc w:val="center"/>
                    <w:rPr>
                      <w:rFonts w:ascii="Calibri" w:hAnsi="Calibri" w:cs="Calibri"/>
                    </w:rPr>
                  </w:pPr>
                  <w:r>
                    <w:rPr>
                      <w:rFonts w:hint="eastAsia" w:ascii="Calibri" w:hAnsi="Calibri" w:cs="Calibri"/>
                    </w:rPr>
                    <w:t>2023.9</w:t>
                  </w:r>
                  <w:r>
                    <w:rPr>
                      <w:rFonts w:ascii="Calibri" w:hAnsi="Calibri" w:cs="Calibri"/>
                    </w:rPr>
                    <w:t>.</w:t>
                  </w:r>
                  <w:r>
                    <w:rPr>
                      <w:rFonts w:hint="eastAsia" w:ascii="Calibri" w:hAnsi="Calibri" w:cs="Calibri"/>
                    </w:rPr>
                    <w:t>16</w:t>
                  </w:r>
                </w:p>
              </w:tc>
              <w:tc>
                <w:tcPr>
                  <w:tcW w:w="2931" w:type="dxa"/>
                  <w:tcBorders>
                    <w:tl2br w:val="nil"/>
                    <w:tr2bl w:val="nil"/>
                  </w:tcBorders>
                  <w:vAlign w:val="center"/>
                </w:tcPr>
                <w:p>
                  <w:pPr>
                    <w:adjustRightInd w:val="0"/>
                    <w:snapToGrid w:val="0"/>
                    <w:jc w:val="center"/>
                    <w:rPr>
                      <w:rFonts w:ascii="Calibri" w:hAnsi="Calibri" w:cs="Calibri"/>
                    </w:rPr>
                  </w:pPr>
                  <w:r>
                    <w:rPr>
                      <w:rFonts w:ascii="Calibri" w:hAnsi="Calibri" w:cs="Calibri"/>
                    </w:rPr>
                    <w:t>监测日均值，共监测3天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689" w:type="dxa"/>
                  <w:tcBorders>
                    <w:tl2br w:val="nil"/>
                    <w:tr2bl w:val="nil"/>
                  </w:tcBorders>
                  <w:vAlign w:val="center"/>
                </w:tcPr>
                <w:p>
                  <w:pPr>
                    <w:adjustRightInd w:val="0"/>
                    <w:snapToGrid w:val="0"/>
                    <w:jc w:val="center"/>
                    <w:rPr>
                      <w:rFonts w:ascii="Calibri" w:hAnsi="Calibri" w:cs="Calibri"/>
                    </w:rPr>
                  </w:pPr>
                  <w:r>
                    <w:rPr>
                      <w:rFonts w:ascii="Calibri" w:hAnsi="Calibri" w:cs="Calibri"/>
                    </w:rPr>
                    <w:t>2</w:t>
                  </w:r>
                </w:p>
              </w:tc>
              <w:tc>
                <w:tcPr>
                  <w:tcW w:w="1993" w:type="dxa"/>
                  <w:tcBorders>
                    <w:tl2br w:val="nil"/>
                    <w:tr2bl w:val="nil"/>
                  </w:tcBorders>
                  <w:vAlign w:val="center"/>
                </w:tcPr>
                <w:p>
                  <w:pPr>
                    <w:adjustRightInd w:val="0"/>
                    <w:snapToGrid w:val="0"/>
                    <w:jc w:val="center"/>
                    <w:rPr>
                      <w:rFonts w:ascii="Calibri" w:hAnsi="Calibri" w:cs="Calibri"/>
                    </w:rPr>
                  </w:pPr>
                  <w:r>
                    <w:rPr>
                      <w:rFonts w:ascii="Calibri" w:hAnsi="Calibri" w:cs="Calibri"/>
                    </w:rPr>
                    <w:t>非甲烷总烃</w:t>
                  </w:r>
                </w:p>
              </w:tc>
              <w:tc>
                <w:tcPr>
                  <w:tcW w:w="1616" w:type="dxa"/>
                  <w:vMerge w:val="continue"/>
                  <w:tcBorders>
                    <w:tl2br w:val="nil"/>
                    <w:tr2bl w:val="nil"/>
                  </w:tcBorders>
                  <w:vAlign w:val="center"/>
                </w:tcPr>
                <w:p>
                  <w:pPr>
                    <w:adjustRightInd w:val="0"/>
                    <w:snapToGrid w:val="0"/>
                    <w:jc w:val="center"/>
                    <w:rPr>
                      <w:rFonts w:ascii="Calibri" w:hAnsi="Calibri" w:cs="Calibri"/>
                    </w:rPr>
                  </w:pPr>
                </w:p>
              </w:tc>
              <w:tc>
                <w:tcPr>
                  <w:tcW w:w="1428" w:type="dxa"/>
                  <w:vMerge w:val="continue"/>
                  <w:tcBorders>
                    <w:tl2br w:val="nil"/>
                    <w:tr2bl w:val="nil"/>
                  </w:tcBorders>
                  <w:vAlign w:val="center"/>
                </w:tcPr>
                <w:p>
                  <w:pPr>
                    <w:adjustRightInd w:val="0"/>
                    <w:snapToGrid w:val="0"/>
                    <w:jc w:val="center"/>
                    <w:rPr>
                      <w:rFonts w:ascii="Calibri" w:hAnsi="Calibri" w:cs="Calibri"/>
                    </w:rPr>
                  </w:pPr>
                </w:p>
              </w:tc>
              <w:tc>
                <w:tcPr>
                  <w:tcW w:w="2931" w:type="dxa"/>
                  <w:tcBorders>
                    <w:tl2br w:val="nil"/>
                    <w:tr2bl w:val="nil"/>
                  </w:tcBorders>
                  <w:vAlign w:val="center"/>
                </w:tcPr>
                <w:p>
                  <w:pPr>
                    <w:adjustRightInd w:val="0"/>
                    <w:snapToGrid w:val="0"/>
                    <w:jc w:val="center"/>
                    <w:rPr>
                      <w:rFonts w:ascii="Calibri" w:hAnsi="Calibri" w:cs="Calibri"/>
                    </w:rPr>
                  </w:pPr>
                  <w:r>
                    <w:rPr>
                      <w:rFonts w:ascii="Calibri" w:hAnsi="Calibri" w:cs="Calibri"/>
                    </w:rPr>
                    <w:t>1小时平均值，共监测3天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gridSpan w:val="5"/>
                  <w:tcBorders>
                    <w:tl2br w:val="nil"/>
                    <w:tr2bl w:val="nil"/>
                  </w:tcBorders>
                  <w:vAlign w:val="center"/>
                </w:tcPr>
                <w:p>
                  <w:pPr>
                    <w:adjustRightInd w:val="0"/>
                    <w:snapToGrid w:val="0"/>
                    <w:jc w:val="center"/>
                    <w:rPr>
                      <w:rFonts w:ascii="Calibri" w:hAnsi="Calibri" w:cs="Calibri"/>
                    </w:rPr>
                  </w:pPr>
                  <w:r>
                    <w:rPr>
                      <w:rFonts w:ascii="Calibri" w:hAnsi="Calibri" w:cs="Calibri"/>
                    </w:rPr>
                    <w:t>注：监测期间主导风向为</w:t>
                  </w:r>
                  <w:r>
                    <w:rPr>
                      <w:rFonts w:hint="eastAsia" w:ascii="Calibri" w:hAnsi="Calibri" w:cs="Calibri"/>
                    </w:rPr>
                    <w:t>东北，距离</w:t>
                  </w:r>
                  <w:r>
                    <w:rPr>
                      <w:rFonts w:hint="eastAsia" w:ascii="Calibri" w:hAnsi="Calibri" w:cs="Calibri"/>
                      <w:lang w:eastAsia="zh-CN"/>
                    </w:rPr>
                    <w:t>项目</w:t>
                  </w:r>
                  <w:r>
                    <w:rPr>
                      <w:rFonts w:hint="eastAsia" w:ascii="Calibri" w:hAnsi="Calibri" w:cs="Calibri"/>
                    </w:rPr>
                    <w:t>厂界为270m</w:t>
                  </w:r>
                </w:p>
              </w:tc>
            </w:tr>
          </w:tbl>
          <w:p>
            <w:pPr>
              <w:pStyle w:val="35"/>
              <w:snapToGrid w:val="0"/>
              <w:spacing w:line="360" w:lineRule="auto"/>
              <w:ind w:firstLine="480" w:firstLineChars="200"/>
              <w:rPr>
                <w:rFonts w:ascii="Times New Roman"/>
              </w:rPr>
            </w:pPr>
            <w:r>
              <w:rPr>
                <w:rFonts w:hint="eastAsia" w:ascii="Times New Roman"/>
              </w:rPr>
              <w:t>2）</w:t>
            </w:r>
            <w:r>
              <w:rPr>
                <w:rFonts w:ascii="Times New Roman"/>
              </w:rPr>
              <w:t>监测结果</w:t>
            </w:r>
          </w:p>
          <w:p>
            <w:pPr>
              <w:pStyle w:val="35"/>
              <w:snapToGrid w:val="0"/>
              <w:spacing w:line="360" w:lineRule="auto"/>
              <w:ind w:firstLine="480" w:firstLineChars="200"/>
              <w:rPr>
                <w:rFonts w:ascii="Times New Roman"/>
              </w:rPr>
            </w:pPr>
            <w:r>
              <w:rPr>
                <w:rFonts w:ascii="Times New Roman"/>
              </w:rPr>
              <w:t>项目特征污染物TSP、非甲烷总烃现状监测结果见表3-3。</w:t>
            </w:r>
          </w:p>
          <w:p>
            <w:pPr>
              <w:adjustRightInd w:val="0"/>
              <w:snapToGrid w:val="0"/>
              <w:jc w:val="center"/>
              <w:rPr>
                <w:b/>
                <w:sz w:val="22"/>
                <w:szCs w:val="22"/>
              </w:rPr>
            </w:pPr>
            <w:r>
              <w:rPr>
                <w:b/>
                <w:sz w:val="22"/>
                <w:szCs w:val="22"/>
              </w:rPr>
              <w:t>表3-3其他污染物环境质量现状表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827"/>
              <w:gridCol w:w="821"/>
              <w:gridCol w:w="1041"/>
              <w:gridCol w:w="1123"/>
              <w:gridCol w:w="1123"/>
              <w:gridCol w:w="1142"/>
              <w:gridCol w:w="669"/>
              <w:gridCol w:w="6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207"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监测点位</w:t>
                  </w:r>
                </w:p>
              </w:tc>
              <w:tc>
                <w:tcPr>
                  <w:tcW w:w="1648" w:type="dxa"/>
                  <w:gridSpan w:val="2"/>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监测点坐标</w:t>
                  </w:r>
                </w:p>
              </w:tc>
              <w:tc>
                <w:tcPr>
                  <w:tcW w:w="1041"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污染物</w:t>
                  </w:r>
                </w:p>
              </w:tc>
              <w:tc>
                <w:tcPr>
                  <w:tcW w:w="1123"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评价标准/（μg</w:t>
                  </w:r>
                  <w:r>
                    <w:rPr>
                      <w:rFonts w:ascii="Times New Roman" w:hAnsi="Times New Roman" w:cs="Times New Roman"/>
                      <w:b/>
                      <w:kern w:val="24"/>
                      <w:sz w:val="21"/>
                      <w:szCs w:val="21"/>
                    </w:rPr>
                    <w:t>/m</w:t>
                  </w:r>
                  <w:r>
                    <w:rPr>
                      <w:rFonts w:ascii="Times New Roman" w:hAnsi="Times New Roman" w:cs="Times New Roman"/>
                      <w:b/>
                      <w:kern w:val="24"/>
                      <w:sz w:val="21"/>
                      <w:szCs w:val="21"/>
                      <w:vertAlign w:val="superscript"/>
                    </w:rPr>
                    <w:t>3</w:t>
                  </w:r>
                  <w:r>
                    <w:rPr>
                      <w:rFonts w:ascii="Times New Roman" w:hAnsi="Times New Roman" w:cs="Times New Roman"/>
                      <w:b/>
                      <w:sz w:val="21"/>
                      <w:szCs w:val="21"/>
                    </w:rPr>
                    <w:t>）</w:t>
                  </w:r>
                </w:p>
              </w:tc>
              <w:tc>
                <w:tcPr>
                  <w:tcW w:w="1123"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监测浓度范围（μg</w:t>
                  </w:r>
                  <w:r>
                    <w:rPr>
                      <w:rFonts w:ascii="Times New Roman" w:hAnsi="Times New Roman" w:cs="Times New Roman"/>
                      <w:b/>
                      <w:kern w:val="24"/>
                      <w:sz w:val="21"/>
                      <w:szCs w:val="21"/>
                    </w:rPr>
                    <w:t>/m</w:t>
                  </w:r>
                  <w:r>
                    <w:rPr>
                      <w:rFonts w:ascii="Times New Roman" w:hAnsi="Times New Roman" w:cs="Times New Roman"/>
                      <w:b/>
                      <w:kern w:val="24"/>
                      <w:sz w:val="21"/>
                      <w:szCs w:val="21"/>
                      <w:vertAlign w:val="superscript"/>
                    </w:rPr>
                    <w:t>3</w:t>
                  </w:r>
                  <w:r>
                    <w:rPr>
                      <w:rFonts w:ascii="Times New Roman" w:hAnsi="Times New Roman" w:cs="Times New Roman"/>
                      <w:b/>
                      <w:sz w:val="21"/>
                      <w:szCs w:val="21"/>
                    </w:rPr>
                    <w:t>）</w:t>
                  </w:r>
                </w:p>
              </w:tc>
              <w:tc>
                <w:tcPr>
                  <w:tcW w:w="1142"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最大浓度占标率/%</w:t>
                  </w:r>
                </w:p>
              </w:tc>
              <w:tc>
                <w:tcPr>
                  <w:tcW w:w="669"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超标率/%</w:t>
                  </w:r>
                </w:p>
              </w:tc>
              <w:tc>
                <w:tcPr>
                  <w:tcW w:w="683" w:type="dxa"/>
                  <w:vMerge w:val="restart"/>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07"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c>
                <w:tcPr>
                  <w:tcW w:w="827"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X</w:t>
                  </w:r>
                </w:p>
              </w:tc>
              <w:tc>
                <w:tcPr>
                  <w:tcW w:w="821"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b/>
                      <w:sz w:val="21"/>
                      <w:szCs w:val="21"/>
                    </w:rPr>
                  </w:pPr>
                  <w:r>
                    <w:rPr>
                      <w:rFonts w:ascii="Times New Roman" w:hAnsi="Times New Roman" w:cs="Times New Roman"/>
                      <w:b/>
                      <w:sz w:val="21"/>
                      <w:szCs w:val="21"/>
                    </w:rPr>
                    <w:t>Y</w:t>
                  </w:r>
                </w:p>
              </w:tc>
              <w:tc>
                <w:tcPr>
                  <w:tcW w:w="1041"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c>
                <w:tcPr>
                  <w:tcW w:w="1123"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c>
                <w:tcPr>
                  <w:tcW w:w="1123"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c>
                <w:tcPr>
                  <w:tcW w:w="1142"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c>
                <w:tcPr>
                  <w:tcW w:w="669"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c>
                <w:tcPr>
                  <w:tcW w:w="683" w:type="dxa"/>
                  <w:vMerge w:val="continue"/>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07" w:type="dxa"/>
                  <w:vMerge w:val="restart"/>
                  <w:tcBorders>
                    <w:tl2br w:val="nil"/>
                    <w:tr2bl w:val="nil"/>
                  </w:tcBorders>
                  <w:vAlign w:val="center"/>
                </w:tcPr>
                <w:p>
                  <w:pPr>
                    <w:pStyle w:val="9"/>
                    <w:adjustRightInd w:val="0"/>
                    <w:snapToGrid w:val="0"/>
                    <w:ind w:firstLine="0"/>
                    <w:jc w:val="center"/>
                    <w:rPr>
                      <w:rFonts w:ascii="Times New Roman" w:hAnsi="Times New Roman"/>
                      <w:sz w:val="21"/>
                      <w:szCs w:val="21"/>
                    </w:rPr>
                  </w:pPr>
                  <w:r>
                    <w:rPr>
                      <w:rFonts w:ascii="Times New Roman" w:hAnsi="Times New Roman"/>
                      <w:sz w:val="21"/>
                      <w:szCs w:val="21"/>
                    </w:rPr>
                    <w:t>项目地下风向</w:t>
                  </w:r>
                </w:p>
              </w:tc>
              <w:tc>
                <w:tcPr>
                  <w:tcW w:w="827" w:type="dxa"/>
                  <w:vMerge w:val="restart"/>
                  <w:tcBorders>
                    <w:tl2br w:val="nil"/>
                    <w:tr2bl w:val="nil"/>
                  </w:tcBorders>
                  <w:vAlign w:val="center"/>
                </w:tcPr>
                <w:p>
                  <w:pPr>
                    <w:pStyle w:val="9"/>
                    <w:adjustRightInd w:val="0"/>
                    <w:snapToGrid w:val="0"/>
                    <w:ind w:firstLine="0"/>
                    <w:jc w:val="left"/>
                    <w:rPr>
                      <w:rFonts w:hint="eastAsia" w:ascii="Times New Roman" w:hAnsi="Times New Roman" w:eastAsia="宋体"/>
                      <w:kern w:val="0"/>
                      <w:sz w:val="21"/>
                      <w:szCs w:val="21"/>
                      <w:lang w:eastAsia="zh-CN"/>
                    </w:rPr>
                  </w:pPr>
                  <w:r>
                    <w:rPr>
                      <w:rFonts w:ascii="Times New Roman" w:hAnsi="Times New Roman"/>
                      <w:kern w:val="0"/>
                      <w:sz w:val="21"/>
                      <w:szCs w:val="21"/>
                    </w:rPr>
                    <w:t>108°57′22.34″</w:t>
                  </w:r>
                </w:p>
              </w:tc>
              <w:tc>
                <w:tcPr>
                  <w:tcW w:w="821" w:type="dxa"/>
                  <w:vMerge w:val="restart"/>
                  <w:tcBorders>
                    <w:tl2br w:val="nil"/>
                    <w:tr2bl w:val="nil"/>
                  </w:tcBorders>
                  <w:vAlign w:val="center"/>
                </w:tcPr>
                <w:p>
                  <w:pPr>
                    <w:pStyle w:val="9"/>
                    <w:adjustRightInd w:val="0"/>
                    <w:snapToGrid w:val="0"/>
                    <w:ind w:firstLine="0"/>
                    <w:rPr>
                      <w:rFonts w:ascii="Times New Roman" w:hAnsi="Times New Roman"/>
                      <w:kern w:val="0"/>
                      <w:sz w:val="21"/>
                      <w:szCs w:val="21"/>
                    </w:rPr>
                  </w:pPr>
                  <w:r>
                    <w:rPr>
                      <w:rFonts w:ascii="Times New Roman" w:hAnsi="Times New Roman"/>
                      <w:kern w:val="0"/>
                      <w:sz w:val="21"/>
                      <w:szCs w:val="21"/>
                    </w:rPr>
                    <w:t>34°32′45.34″</w:t>
                  </w:r>
                </w:p>
              </w:tc>
              <w:tc>
                <w:tcPr>
                  <w:tcW w:w="1041"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kern w:val="2"/>
                      <w:sz w:val="21"/>
                      <w:szCs w:val="21"/>
                    </w:rPr>
                  </w:pPr>
                  <w:r>
                    <w:rPr>
                      <w:rFonts w:ascii="Times New Roman" w:hAnsi="Times New Roman" w:cs="Times New Roman"/>
                      <w:sz w:val="21"/>
                      <w:szCs w:val="21"/>
                    </w:rPr>
                    <w:t>非甲烷总烃</w:t>
                  </w:r>
                </w:p>
              </w:tc>
              <w:tc>
                <w:tcPr>
                  <w:tcW w:w="1123"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2000.0</w:t>
                  </w:r>
                </w:p>
              </w:tc>
              <w:tc>
                <w:tcPr>
                  <w:tcW w:w="1123" w:type="dxa"/>
                  <w:tcBorders>
                    <w:tl2br w:val="nil"/>
                    <w:tr2bl w:val="nil"/>
                  </w:tcBorders>
                  <w:vAlign w:val="center"/>
                </w:tcPr>
                <w:p>
                  <w:pPr>
                    <w:adjustRightInd w:val="0"/>
                    <w:snapToGrid w:val="0"/>
                    <w:jc w:val="center"/>
                    <w:rPr>
                      <w:szCs w:val="21"/>
                    </w:rPr>
                  </w:pPr>
                  <w:r>
                    <w:rPr>
                      <w:szCs w:val="21"/>
                    </w:rPr>
                    <w:t>640~740</w:t>
                  </w:r>
                </w:p>
              </w:tc>
              <w:tc>
                <w:tcPr>
                  <w:tcW w:w="1142"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37</w:t>
                  </w:r>
                </w:p>
              </w:tc>
              <w:tc>
                <w:tcPr>
                  <w:tcW w:w="669"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w:t>
                  </w:r>
                </w:p>
              </w:tc>
              <w:tc>
                <w:tcPr>
                  <w:tcW w:w="683"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207" w:type="dxa"/>
                  <w:vMerge w:val="continue"/>
                  <w:tcBorders>
                    <w:tl2br w:val="nil"/>
                    <w:tr2bl w:val="nil"/>
                  </w:tcBorders>
                  <w:vAlign w:val="center"/>
                </w:tcPr>
                <w:p>
                  <w:pPr>
                    <w:pStyle w:val="9"/>
                    <w:adjustRightInd w:val="0"/>
                    <w:snapToGrid w:val="0"/>
                    <w:ind w:firstLine="0"/>
                    <w:jc w:val="center"/>
                    <w:rPr>
                      <w:rFonts w:ascii="Times New Roman" w:hAnsi="Times New Roman"/>
                      <w:sz w:val="21"/>
                      <w:szCs w:val="21"/>
                    </w:rPr>
                  </w:pPr>
                </w:p>
              </w:tc>
              <w:tc>
                <w:tcPr>
                  <w:tcW w:w="827" w:type="dxa"/>
                  <w:vMerge w:val="continue"/>
                  <w:tcBorders>
                    <w:tl2br w:val="nil"/>
                    <w:tr2bl w:val="nil"/>
                  </w:tcBorders>
                  <w:vAlign w:val="center"/>
                </w:tcPr>
                <w:p>
                  <w:pPr>
                    <w:pStyle w:val="9"/>
                    <w:adjustRightInd w:val="0"/>
                    <w:snapToGrid w:val="0"/>
                    <w:ind w:firstLine="0"/>
                    <w:jc w:val="left"/>
                    <w:rPr>
                      <w:rFonts w:ascii="Times New Roman" w:hAnsi="Times New Roman"/>
                      <w:bCs/>
                      <w:sz w:val="21"/>
                      <w:szCs w:val="21"/>
                    </w:rPr>
                  </w:pPr>
                </w:p>
              </w:tc>
              <w:tc>
                <w:tcPr>
                  <w:tcW w:w="821" w:type="dxa"/>
                  <w:vMerge w:val="continue"/>
                  <w:tcBorders>
                    <w:tl2br w:val="nil"/>
                    <w:tr2bl w:val="nil"/>
                  </w:tcBorders>
                  <w:vAlign w:val="center"/>
                </w:tcPr>
                <w:p>
                  <w:pPr>
                    <w:pStyle w:val="9"/>
                    <w:adjustRightInd w:val="0"/>
                    <w:snapToGrid w:val="0"/>
                    <w:ind w:firstLine="0"/>
                    <w:rPr>
                      <w:rFonts w:ascii="Times New Roman" w:hAnsi="Times New Roman"/>
                      <w:bCs/>
                      <w:sz w:val="21"/>
                      <w:szCs w:val="21"/>
                    </w:rPr>
                  </w:pPr>
                </w:p>
              </w:tc>
              <w:tc>
                <w:tcPr>
                  <w:tcW w:w="1041"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TSP</w:t>
                  </w:r>
                </w:p>
              </w:tc>
              <w:tc>
                <w:tcPr>
                  <w:tcW w:w="1123"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300.0</w:t>
                  </w:r>
                </w:p>
              </w:tc>
              <w:tc>
                <w:tcPr>
                  <w:tcW w:w="1123" w:type="dxa"/>
                  <w:tcBorders>
                    <w:tl2br w:val="nil"/>
                    <w:tr2bl w:val="nil"/>
                  </w:tcBorders>
                  <w:vAlign w:val="center"/>
                </w:tcPr>
                <w:p>
                  <w:pPr>
                    <w:adjustRightInd w:val="0"/>
                    <w:snapToGrid w:val="0"/>
                    <w:jc w:val="center"/>
                    <w:rPr>
                      <w:szCs w:val="21"/>
                    </w:rPr>
                  </w:pPr>
                  <w:r>
                    <w:rPr>
                      <w:szCs w:val="21"/>
                    </w:rPr>
                    <w:t>253~263</w:t>
                  </w:r>
                </w:p>
              </w:tc>
              <w:tc>
                <w:tcPr>
                  <w:tcW w:w="1142"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88</w:t>
                  </w:r>
                </w:p>
              </w:tc>
              <w:tc>
                <w:tcPr>
                  <w:tcW w:w="669"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w:t>
                  </w:r>
                </w:p>
              </w:tc>
              <w:tc>
                <w:tcPr>
                  <w:tcW w:w="683" w:type="dxa"/>
                  <w:tcBorders>
                    <w:tl2br w:val="nil"/>
                    <w:tr2bl w:val="nil"/>
                  </w:tcBorders>
                  <w:vAlign w:val="center"/>
                </w:tcPr>
                <w:p>
                  <w:pPr>
                    <w:pStyle w:val="48"/>
                    <w:widowControl w:val="0"/>
                    <w:adjustRightInd w:val="0"/>
                    <w:snapToGrid w:val="0"/>
                    <w:spacing w:line="240" w:lineRule="auto"/>
                    <w:ind w:firstLine="0" w:firstLineChars="0"/>
                    <w:jc w:val="center"/>
                    <w:textAlignment w:val="baseline"/>
                    <w:rPr>
                      <w:rFonts w:ascii="Times New Roman" w:hAnsi="Times New Roman" w:cs="Times New Roman"/>
                      <w:sz w:val="21"/>
                      <w:szCs w:val="21"/>
                    </w:rPr>
                  </w:pPr>
                  <w:r>
                    <w:rPr>
                      <w:rFonts w:ascii="Times New Roman" w:hAnsi="Times New Roman" w:cs="Times New Roman"/>
                      <w:sz w:val="21"/>
                      <w:szCs w:val="21"/>
                    </w:rPr>
                    <w:t>达标</w:t>
                  </w:r>
                </w:p>
              </w:tc>
            </w:tr>
          </w:tbl>
          <w:p>
            <w:pPr>
              <w:adjustRightInd w:val="0"/>
              <w:snapToGrid w:val="0"/>
              <w:spacing w:line="360" w:lineRule="auto"/>
              <w:ind w:firstLine="480" w:firstLineChars="200"/>
              <w:rPr>
                <w:sz w:val="24"/>
              </w:rPr>
            </w:pPr>
            <w:r>
              <w:rPr>
                <w:sz w:val="24"/>
              </w:rPr>
              <w:t>由上表数据可知，区域TSP24小时均值满足《环境空气质量标准》（GB3095-2012）中的</w:t>
            </w:r>
            <w:r>
              <w:rPr>
                <w:rFonts w:hint="eastAsia"/>
                <w:sz w:val="24"/>
              </w:rPr>
              <w:t>300</w:t>
            </w:r>
            <w:r>
              <w:rPr>
                <w:szCs w:val="21"/>
              </w:rPr>
              <w:t>μg/m</w:t>
            </w:r>
            <w:r>
              <w:rPr>
                <w:szCs w:val="21"/>
                <w:vertAlign w:val="superscript"/>
              </w:rPr>
              <w:t>3</w:t>
            </w:r>
            <w:r>
              <w:rPr>
                <w:sz w:val="24"/>
              </w:rPr>
              <w:t>标准要求；非甲烷总烃1小时均值满足《大气污染物综合排放标准详解》中2.0mg/m</w:t>
            </w:r>
            <w:r>
              <w:rPr>
                <w:sz w:val="24"/>
                <w:vertAlign w:val="superscript"/>
              </w:rPr>
              <w:t>3</w:t>
            </w:r>
            <w:r>
              <w:rPr>
                <w:sz w:val="24"/>
              </w:rPr>
              <w:t>的限值要求</w:t>
            </w:r>
            <w:r>
              <w:rPr>
                <w:rFonts w:hint="eastAsia"/>
                <w:sz w:val="24"/>
              </w:rPr>
              <w:t>。</w:t>
            </w:r>
          </w:p>
          <w:p>
            <w:pPr>
              <w:adjustRightInd w:val="0"/>
              <w:snapToGrid w:val="0"/>
              <w:spacing w:line="360" w:lineRule="auto"/>
              <w:ind w:firstLine="482" w:firstLineChars="200"/>
              <w:rPr>
                <w:b/>
                <w:bCs/>
                <w:sz w:val="24"/>
                <w:szCs w:val="32"/>
              </w:rPr>
            </w:pPr>
            <w:r>
              <w:rPr>
                <w:b/>
                <w:bCs/>
                <w:sz w:val="24"/>
                <w:szCs w:val="32"/>
              </w:rPr>
              <w:t>二、声环境质量现状</w:t>
            </w:r>
          </w:p>
          <w:p>
            <w:pPr>
              <w:pStyle w:val="62"/>
              <w:snapToGrid w:val="0"/>
              <w:spacing w:line="360" w:lineRule="auto"/>
              <w:ind w:firstLine="496" w:firstLineChars="200"/>
              <w:rPr>
                <w:rFonts w:ascii="Times New Roman" w:eastAsia="宋体" w:cs="Times New Roman"/>
                <w:bCs/>
                <w:color w:val="auto"/>
                <w:spacing w:val="4"/>
                <w:szCs w:val="21"/>
              </w:rPr>
            </w:pPr>
            <w:r>
              <w:rPr>
                <w:rFonts w:hint="eastAsia" w:ascii="Times New Roman" w:eastAsia="宋体" w:cs="Times New Roman"/>
                <w:bCs/>
                <w:color w:val="auto"/>
                <w:spacing w:val="4"/>
                <w:szCs w:val="21"/>
                <w:lang w:eastAsia="zh-CN"/>
              </w:rPr>
              <w:t>项目</w:t>
            </w:r>
            <w:r>
              <w:rPr>
                <w:rFonts w:ascii="Times New Roman" w:eastAsia="宋体" w:cs="Times New Roman"/>
                <w:bCs/>
                <w:color w:val="auto"/>
                <w:spacing w:val="4"/>
                <w:szCs w:val="21"/>
              </w:rPr>
              <w:t>50m范围内无声环境保护目标，未开展声环境质量现状监测。</w:t>
            </w:r>
          </w:p>
          <w:p>
            <w:pPr>
              <w:adjustRightInd w:val="0"/>
              <w:snapToGrid w:val="0"/>
              <w:spacing w:line="360" w:lineRule="auto"/>
              <w:ind w:firstLine="482" w:firstLineChars="200"/>
              <w:rPr>
                <w:b/>
                <w:bCs/>
                <w:sz w:val="24"/>
                <w:szCs w:val="32"/>
              </w:rPr>
            </w:pPr>
            <w:r>
              <w:rPr>
                <w:b/>
                <w:bCs/>
                <w:sz w:val="24"/>
                <w:szCs w:val="32"/>
              </w:rPr>
              <w:t>三、地表水环境质量现状</w:t>
            </w:r>
          </w:p>
          <w:p>
            <w:pPr>
              <w:adjustRightInd w:val="0"/>
              <w:snapToGrid w:val="0"/>
              <w:spacing w:line="360" w:lineRule="auto"/>
              <w:ind w:firstLine="480" w:firstLineChars="200"/>
              <w:rPr>
                <w:rFonts w:hint="eastAsia" w:eastAsia="宋体"/>
                <w:kern w:val="0"/>
                <w:sz w:val="24"/>
                <w:lang w:val="en-US" w:eastAsia="zh-CN" w:bidi="ar"/>
              </w:rPr>
            </w:pPr>
            <w:r>
              <w:rPr>
                <w:rFonts w:hint="eastAsia"/>
                <w:sz w:val="24"/>
              </w:rPr>
              <w:t>项目生活污水依托租</w:t>
            </w:r>
            <w:r>
              <w:rPr>
                <w:rFonts w:hint="eastAsia"/>
                <w:sz w:val="24"/>
                <w:lang w:eastAsia="zh-CN"/>
              </w:rPr>
              <w:t>租赁方化粪池</w:t>
            </w:r>
            <w:r>
              <w:rPr>
                <w:rFonts w:hint="eastAsia"/>
                <w:sz w:val="24"/>
              </w:rPr>
              <w:t>处理后定期清掏外运肥田；1#、3#</w:t>
            </w:r>
            <w:r>
              <w:rPr>
                <w:rFonts w:hint="eastAsia"/>
                <w:sz w:val="24"/>
                <w:lang w:eastAsia="zh-CN"/>
              </w:rPr>
              <w:t>清洗废水</w:t>
            </w:r>
            <w:r>
              <w:rPr>
                <w:rFonts w:hint="eastAsia"/>
                <w:sz w:val="24"/>
              </w:rPr>
              <w:t>每月更换一次，2#半年更换一次，</w:t>
            </w:r>
            <w:r>
              <w:rPr>
                <w:rFonts w:hint="eastAsia"/>
                <w:sz w:val="24"/>
                <w:szCs w:val="32"/>
                <w:lang w:eastAsia="zh-CN"/>
              </w:rPr>
              <w:t>铝材表面处理废水</w:t>
            </w:r>
            <w:r>
              <w:rPr>
                <w:rFonts w:hint="eastAsia"/>
                <w:sz w:val="24"/>
                <w:szCs w:val="32"/>
                <w:lang w:val="en-US" w:eastAsia="zh-CN"/>
              </w:rPr>
              <w:t>每年更换一次，</w:t>
            </w:r>
            <w:r>
              <w:rPr>
                <w:rFonts w:hint="eastAsia"/>
                <w:sz w:val="24"/>
                <w:szCs w:val="32"/>
                <w:lang w:eastAsia="zh-CN"/>
              </w:rPr>
              <w:t>铝材表面处理废水和清洗废水</w:t>
            </w:r>
            <w:r>
              <w:rPr>
                <w:rFonts w:hint="eastAsia"/>
                <w:sz w:val="24"/>
              </w:rPr>
              <w:t>经污水处理站处理后循环使用；喷淋废水经沉淀后循环使用不外排，</w:t>
            </w:r>
            <w:r>
              <w:rPr>
                <w:sz w:val="24"/>
              </w:rPr>
              <w:t>对地表水环境质量无影响</w:t>
            </w:r>
            <w:r>
              <w:rPr>
                <w:rFonts w:hint="eastAsia"/>
                <w:sz w:val="24"/>
                <w:lang w:eastAsia="zh-CN"/>
              </w:rPr>
              <w:t>。</w:t>
            </w:r>
          </w:p>
          <w:p>
            <w:pPr>
              <w:adjustRightInd w:val="0"/>
              <w:snapToGrid w:val="0"/>
              <w:spacing w:line="360" w:lineRule="auto"/>
              <w:ind w:firstLine="482" w:firstLineChars="200"/>
              <w:rPr>
                <w:b/>
                <w:bCs/>
                <w:sz w:val="24"/>
                <w:szCs w:val="32"/>
              </w:rPr>
            </w:pPr>
            <w:r>
              <w:rPr>
                <w:b/>
                <w:bCs/>
                <w:sz w:val="24"/>
                <w:szCs w:val="32"/>
              </w:rPr>
              <w:t>四、生态环境</w:t>
            </w:r>
          </w:p>
          <w:p>
            <w:pPr>
              <w:tabs>
                <w:tab w:val="left" w:pos="9345"/>
              </w:tabs>
              <w:adjustRightInd w:val="0"/>
              <w:snapToGrid w:val="0"/>
              <w:spacing w:line="360" w:lineRule="auto"/>
              <w:ind w:firstLine="480" w:firstLineChars="200"/>
              <w:rPr>
                <w:sz w:val="24"/>
              </w:rPr>
            </w:pPr>
            <w:r>
              <w:rPr>
                <w:rFonts w:hint="eastAsia"/>
                <w:sz w:val="24"/>
                <w:lang w:eastAsia="zh-CN"/>
              </w:rPr>
              <w:t>项目</w:t>
            </w:r>
            <w:r>
              <w:rPr>
                <w:sz w:val="24"/>
              </w:rPr>
              <w:t>用地范围内不涉及生态环境保护目标，无需进行生态现状调查。</w:t>
            </w:r>
          </w:p>
          <w:p>
            <w:pPr>
              <w:adjustRightInd w:val="0"/>
              <w:snapToGrid w:val="0"/>
              <w:spacing w:line="360" w:lineRule="auto"/>
              <w:ind w:firstLine="482" w:firstLineChars="200"/>
              <w:rPr>
                <w:b/>
                <w:bCs/>
                <w:sz w:val="24"/>
                <w:szCs w:val="32"/>
              </w:rPr>
            </w:pPr>
            <w:r>
              <w:rPr>
                <w:b/>
                <w:bCs/>
                <w:sz w:val="24"/>
                <w:szCs w:val="32"/>
              </w:rPr>
              <w:t>五、电磁辐射</w:t>
            </w:r>
          </w:p>
          <w:p>
            <w:pPr>
              <w:tabs>
                <w:tab w:val="left" w:pos="9345"/>
              </w:tabs>
              <w:adjustRightInd w:val="0"/>
              <w:snapToGrid w:val="0"/>
              <w:spacing w:line="360" w:lineRule="auto"/>
              <w:ind w:firstLine="480" w:firstLineChars="200"/>
              <w:rPr>
                <w:sz w:val="24"/>
              </w:rPr>
            </w:pPr>
            <w:r>
              <w:rPr>
                <w:rFonts w:hint="eastAsia"/>
                <w:sz w:val="24"/>
                <w:lang w:eastAsia="zh-CN"/>
              </w:rPr>
              <w:t>项目</w:t>
            </w:r>
            <w:r>
              <w:rPr>
                <w:sz w:val="24"/>
              </w:rPr>
              <w:t>不属于广播电台、差转台、电视塔台、卫星地球上行站、雷达等电磁辐射类项目，无需开展电磁辐射现状开展监测与评价。</w:t>
            </w:r>
          </w:p>
          <w:p>
            <w:pPr>
              <w:adjustRightInd w:val="0"/>
              <w:snapToGrid w:val="0"/>
              <w:spacing w:line="360" w:lineRule="auto"/>
              <w:ind w:firstLine="482" w:firstLineChars="200"/>
              <w:rPr>
                <w:rFonts w:hint="eastAsia" w:eastAsia="宋体"/>
                <w:b/>
                <w:bCs/>
                <w:sz w:val="24"/>
                <w:szCs w:val="32"/>
                <w:lang w:eastAsia="zh-CN"/>
              </w:rPr>
            </w:pPr>
            <w:r>
              <w:rPr>
                <w:b/>
                <w:bCs/>
                <w:sz w:val="24"/>
                <w:szCs w:val="32"/>
              </w:rPr>
              <w:t>六、地下水、土壤环境</w:t>
            </w:r>
          </w:p>
          <w:p>
            <w:pPr>
              <w:adjustRightInd w:val="0"/>
              <w:snapToGrid w:val="0"/>
              <w:spacing w:line="360" w:lineRule="auto"/>
              <w:ind w:firstLine="480" w:firstLineChars="200"/>
              <w:rPr>
                <w:szCs w:val="21"/>
              </w:rPr>
            </w:pPr>
            <w:r>
              <w:rPr>
                <w:sz w:val="24"/>
              </w:rPr>
              <w:t>本</w:t>
            </w:r>
            <w:r>
              <w:rPr>
                <w:kern w:val="0"/>
                <w:sz w:val="24"/>
                <w:lang w:bidi="ar"/>
              </w:rPr>
              <w:t>根据《建设项目环境影响报告表编制技术指南》（污染影响类）中原则上不开展环境质量现状调查。</w:t>
            </w:r>
            <w:r>
              <w:rPr>
                <w:rFonts w:hint="eastAsia"/>
                <w:kern w:val="0"/>
                <w:sz w:val="24"/>
                <w:lang w:eastAsia="zh-CN" w:bidi="ar"/>
              </w:rPr>
              <w:t>项目</w:t>
            </w:r>
            <w:r>
              <w:rPr>
                <w:kern w:val="0"/>
                <w:sz w:val="24"/>
                <w:lang w:bidi="ar"/>
              </w:rPr>
              <w:t>租赁现有厂房，</w:t>
            </w:r>
            <w:r>
              <w:rPr>
                <w:rFonts w:hint="eastAsia"/>
                <w:kern w:val="0"/>
                <w:sz w:val="24"/>
                <w:lang w:bidi="ar"/>
              </w:rPr>
              <w:t>根据现场勘察</w:t>
            </w:r>
            <w:r>
              <w:rPr>
                <w:kern w:val="0"/>
                <w:sz w:val="24"/>
                <w:lang w:bidi="ar"/>
              </w:rPr>
              <w:t>地面已进行硬化处理，不存在土壤、地下水环境污染途径，</w:t>
            </w:r>
            <w:r>
              <w:rPr>
                <w:rFonts w:hint="eastAsia"/>
                <w:sz w:val="24"/>
                <w:lang w:eastAsia="zh-CN"/>
              </w:rPr>
              <w:t>项目</w:t>
            </w:r>
            <w:r>
              <w:rPr>
                <w:sz w:val="24"/>
              </w:rPr>
              <w:t>不进行地下水环境</w:t>
            </w:r>
            <w:r>
              <w:rPr>
                <w:rFonts w:hint="eastAsia"/>
                <w:sz w:val="24"/>
              </w:rPr>
              <w:t>、土壤环境</w:t>
            </w:r>
            <w:r>
              <w:rPr>
                <w:sz w:val="24"/>
              </w:rPr>
              <w:t>质量现状调查</w:t>
            </w:r>
            <w:r>
              <w:rPr>
                <w:rFonts w:hint="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29" w:type="pct"/>
            <w:vAlign w:val="center"/>
          </w:tcPr>
          <w:p>
            <w:pPr>
              <w:jc w:val="center"/>
            </w:pPr>
            <w:r>
              <w:t>环境保护目标</w:t>
            </w:r>
          </w:p>
        </w:tc>
        <w:tc>
          <w:tcPr>
            <w:tcW w:w="4771" w:type="pct"/>
            <w:vAlign w:val="center"/>
          </w:tcPr>
          <w:p>
            <w:pPr>
              <w:pStyle w:val="62"/>
              <w:snapToGrid w:val="0"/>
              <w:spacing w:line="360" w:lineRule="auto"/>
              <w:ind w:firstLine="480" w:firstLineChars="200"/>
              <w:rPr>
                <w:rFonts w:hAnsi="宋体" w:eastAsia="宋体"/>
                <w:color w:val="auto"/>
              </w:rPr>
            </w:pPr>
            <w:r>
              <w:rPr>
                <w:rFonts w:ascii="Times New Roman" w:eastAsia="宋体" w:cs="Times New Roman"/>
                <w:color w:val="auto"/>
                <w:shd w:val="clear" w:color="auto" w:fill="FFFFFF"/>
              </w:rPr>
              <w:t>经调查</w:t>
            </w:r>
            <w:r>
              <w:rPr>
                <w:rFonts w:hAnsi="宋体" w:eastAsia="宋体"/>
                <w:color w:val="auto"/>
              </w:rPr>
              <w:t>，项目所在地不属于特殊保护区、生态脆弱区和特殊地貌景观区，评价区内无重点保护文物、古迹、植物、动物及人文景观等。项目厂界外500m范围内无地下水集中式饮用水水源等地下水环境保护目标；根据现场勘查，厂界外50m范围内无声环境保护目标</w:t>
            </w:r>
            <w:r>
              <w:rPr>
                <w:rFonts w:hint="eastAsia" w:hAnsi="宋体" w:eastAsia="宋体"/>
                <w:color w:val="auto"/>
              </w:rPr>
              <w:t>，</w:t>
            </w:r>
            <w:r>
              <w:rPr>
                <w:rFonts w:hAnsi="宋体" w:eastAsia="宋体"/>
                <w:color w:val="auto"/>
              </w:rPr>
              <w:t>厂界500m范围内存在大气环境保护目标</w:t>
            </w:r>
            <w:r>
              <w:rPr>
                <w:rFonts w:hint="eastAsia" w:hAnsi="宋体" w:eastAsia="宋体"/>
                <w:color w:val="auto"/>
              </w:rPr>
              <w:t>（大气环境敏感保护目标图见附图4）</w:t>
            </w:r>
            <w:r>
              <w:rPr>
                <w:rFonts w:hAnsi="宋体" w:eastAsia="宋体"/>
                <w:color w:val="auto"/>
              </w:rPr>
              <w:t>，环境保护目标</w:t>
            </w:r>
            <w:r>
              <w:rPr>
                <w:rFonts w:hint="eastAsia" w:hAnsi="宋体" w:eastAsia="宋体"/>
                <w:color w:val="auto"/>
              </w:rPr>
              <w:t>范围以厂界周围500m为界</w:t>
            </w:r>
            <w:r>
              <w:rPr>
                <w:rFonts w:hAnsi="宋体" w:eastAsia="宋体"/>
                <w:color w:val="auto"/>
              </w:rPr>
              <w:t>，结合工程建设规模，主要保护对象及目标见表</w:t>
            </w:r>
            <w:r>
              <w:rPr>
                <w:rFonts w:hint="eastAsia" w:hAnsi="宋体" w:eastAsia="宋体"/>
                <w:color w:val="auto"/>
              </w:rPr>
              <w:t>3-4。</w:t>
            </w:r>
          </w:p>
          <w:p>
            <w:pPr>
              <w:adjustRightInd w:val="0"/>
              <w:snapToGrid w:val="0"/>
              <w:spacing w:line="480" w:lineRule="exact"/>
              <w:jc w:val="center"/>
              <w:rPr>
                <w:b/>
                <w:szCs w:val="21"/>
              </w:rPr>
            </w:pPr>
            <w:r>
              <w:rPr>
                <w:rFonts w:hint="eastAsia"/>
                <w:b/>
                <w:szCs w:val="21"/>
              </w:rPr>
              <w:t>表3-4主要环境保护目标表</w:t>
            </w:r>
          </w:p>
          <w:tbl>
            <w:tblPr>
              <w:tblStyle w:val="29"/>
              <w:tblW w:w="872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452"/>
              <w:gridCol w:w="1380"/>
              <w:gridCol w:w="1356"/>
              <w:gridCol w:w="672"/>
              <w:gridCol w:w="852"/>
              <w:gridCol w:w="936"/>
              <w:gridCol w:w="110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tcBorders>
                    <w:tl2br w:val="nil"/>
                    <w:tr2bl w:val="nil"/>
                  </w:tcBorders>
                  <w:vAlign w:val="center"/>
                </w:tcPr>
                <w:p>
                  <w:pPr>
                    <w:adjustRightInd w:val="0"/>
                    <w:snapToGrid w:val="0"/>
                    <w:jc w:val="center"/>
                    <w:rPr>
                      <w:b/>
                      <w:bCs/>
                      <w:szCs w:val="21"/>
                    </w:rPr>
                  </w:pPr>
                  <w:r>
                    <w:rPr>
                      <w:rFonts w:hint="eastAsia"/>
                      <w:b/>
                      <w:bCs/>
                      <w:szCs w:val="21"/>
                    </w:rPr>
                    <w:t>环境类别</w:t>
                  </w:r>
                </w:p>
              </w:tc>
              <w:tc>
                <w:tcPr>
                  <w:tcW w:w="2832" w:type="dxa"/>
                  <w:gridSpan w:val="2"/>
                  <w:tcBorders>
                    <w:tl2br w:val="nil"/>
                    <w:tr2bl w:val="nil"/>
                  </w:tcBorders>
                  <w:vAlign w:val="center"/>
                </w:tcPr>
                <w:p>
                  <w:pPr>
                    <w:adjustRightInd w:val="0"/>
                    <w:snapToGrid w:val="0"/>
                    <w:jc w:val="center"/>
                    <w:rPr>
                      <w:b/>
                      <w:bCs/>
                      <w:szCs w:val="21"/>
                    </w:rPr>
                  </w:pPr>
                  <w:r>
                    <w:rPr>
                      <w:b/>
                      <w:bCs/>
                      <w:szCs w:val="21"/>
                    </w:rPr>
                    <w:t>坐标</w:t>
                  </w:r>
                </w:p>
              </w:tc>
              <w:tc>
                <w:tcPr>
                  <w:tcW w:w="1356" w:type="dxa"/>
                  <w:vMerge w:val="restart"/>
                  <w:tcBorders>
                    <w:tl2br w:val="nil"/>
                    <w:tr2bl w:val="nil"/>
                  </w:tcBorders>
                  <w:vAlign w:val="center"/>
                </w:tcPr>
                <w:p>
                  <w:pPr>
                    <w:adjustRightInd w:val="0"/>
                    <w:snapToGrid w:val="0"/>
                    <w:jc w:val="center"/>
                    <w:rPr>
                      <w:b/>
                      <w:bCs/>
                      <w:szCs w:val="21"/>
                    </w:rPr>
                  </w:pPr>
                  <w:r>
                    <w:rPr>
                      <w:b/>
                      <w:bCs/>
                      <w:szCs w:val="21"/>
                    </w:rPr>
                    <w:t>保护</w:t>
                  </w:r>
                </w:p>
                <w:p>
                  <w:pPr>
                    <w:adjustRightInd w:val="0"/>
                    <w:snapToGrid w:val="0"/>
                    <w:jc w:val="center"/>
                    <w:rPr>
                      <w:b/>
                      <w:bCs/>
                      <w:szCs w:val="21"/>
                    </w:rPr>
                  </w:pPr>
                  <w:r>
                    <w:rPr>
                      <w:b/>
                      <w:bCs/>
                      <w:szCs w:val="21"/>
                    </w:rPr>
                    <w:t>对象</w:t>
                  </w:r>
                </w:p>
              </w:tc>
              <w:tc>
                <w:tcPr>
                  <w:tcW w:w="672" w:type="dxa"/>
                  <w:vMerge w:val="restart"/>
                  <w:tcBorders>
                    <w:tl2br w:val="nil"/>
                    <w:tr2bl w:val="nil"/>
                  </w:tcBorders>
                  <w:vAlign w:val="center"/>
                </w:tcPr>
                <w:p>
                  <w:pPr>
                    <w:adjustRightInd w:val="0"/>
                    <w:snapToGrid w:val="0"/>
                    <w:jc w:val="center"/>
                    <w:rPr>
                      <w:b/>
                      <w:bCs/>
                      <w:szCs w:val="21"/>
                    </w:rPr>
                  </w:pPr>
                  <w:r>
                    <w:rPr>
                      <w:b/>
                      <w:bCs/>
                      <w:szCs w:val="21"/>
                    </w:rPr>
                    <w:t>保护</w:t>
                  </w:r>
                </w:p>
                <w:p>
                  <w:pPr>
                    <w:adjustRightInd w:val="0"/>
                    <w:snapToGrid w:val="0"/>
                    <w:jc w:val="center"/>
                    <w:rPr>
                      <w:b/>
                      <w:bCs/>
                      <w:szCs w:val="21"/>
                    </w:rPr>
                  </w:pPr>
                  <w:r>
                    <w:rPr>
                      <w:b/>
                      <w:bCs/>
                      <w:szCs w:val="21"/>
                    </w:rPr>
                    <w:t>内容</w:t>
                  </w:r>
                </w:p>
              </w:tc>
              <w:tc>
                <w:tcPr>
                  <w:tcW w:w="852" w:type="dxa"/>
                  <w:vMerge w:val="restart"/>
                  <w:tcBorders>
                    <w:tl2br w:val="nil"/>
                    <w:tr2bl w:val="nil"/>
                  </w:tcBorders>
                  <w:vAlign w:val="center"/>
                </w:tcPr>
                <w:p>
                  <w:pPr>
                    <w:adjustRightInd w:val="0"/>
                    <w:snapToGrid w:val="0"/>
                    <w:jc w:val="center"/>
                    <w:rPr>
                      <w:b/>
                      <w:bCs/>
                      <w:szCs w:val="21"/>
                    </w:rPr>
                  </w:pPr>
                  <w:r>
                    <w:rPr>
                      <w:b/>
                      <w:bCs/>
                      <w:szCs w:val="21"/>
                    </w:rPr>
                    <w:t>环境功能区</w:t>
                  </w:r>
                </w:p>
              </w:tc>
              <w:tc>
                <w:tcPr>
                  <w:tcW w:w="936" w:type="dxa"/>
                  <w:vMerge w:val="restart"/>
                  <w:tcBorders>
                    <w:tl2br w:val="nil"/>
                    <w:tr2bl w:val="nil"/>
                  </w:tcBorders>
                  <w:vAlign w:val="center"/>
                </w:tcPr>
                <w:p>
                  <w:pPr>
                    <w:adjustRightInd w:val="0"/>
                    <w:snapToGrid w:val="0"/>
                    <w:jc w:val="center"/>
                    <w:rPr>
                      <w:b/>
                      <w:bCs/>
                      <w:szCs w:val="21"/>
                    </w:rPr>
                  </w:pPr>
                  <w:r>
                    <w:rPr>
                      <w:b/>
                      <w:bCs/>
                      <w:szCs w:val="21"/>
                    </w:rPr>
                    <w:t>相对厂址方位</w:t>
                  </w:r>
                </w:p>
              </w:tc>
              <w:tc>
                <w:tcPr>
                  <w:tcW w:w="1104" w:type="dxa"/>
                  <w:vMerge w:val="restart"/>
                  <w:tcBorders>
                    <w:tl2br w:val="nil"/>
                    <w:tr2bl w:val="nil"/>
                  </w:tcBorders>
                  <w:vAlign w:val="center"/>
                </w:tcPr>
                <w:p>
                  <w:pPr>
                    <w:adjustRightInd w:val="0"/>
                    <w:snapToGrid w:val="0"/>
                    <w:jc w:val="center"/>
                    <w:rPr>
                      <w:b/>
                      <w:bCs/>
                      <w:szCs w:val="21"/>
                    </w:rPr>
                  </w:pPr>
                  <w:r>
                    <w:rPr>
                      <w:b/>
                      <w:bCs/>
                      <w:szCs w:val="21"/>
                    </w:rPr>
                    <w:t>相对厂界距离/m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l2br w:val="nil"/>
                    <w:tr2bl w:val="nil"/>
                  </w:tcBorders>
                  <w:vAlign w:val="center"/>
                </w:tcPr>
                <w:p>
                  <w:pPr>
                    <w:adjustRightInd w:val="0"/>
                    <w:snapToGrid w:val="0"/>
                    <w:jc w:val="center"/>
                    <w:rPr>
                      <w:b/>
                      <w:bCs/>
                      <w:szCs w:val="21"/>
                    </w:rPr>
                  </w:pPr>
                </w:p>
              </w:tc>
              <w:tc>
                <w:tcPr>
                  <w:tcW w:w="1452" w:type="dxa"/>
                  <w:tcBorders>
                    <w:tl2br w:val="nil"/>
                    <w:tr2bl w:val="nil"/>
                  </w:tcBorders>
                  <w:vAlign w:val="center"/>
                </w:tcPr>
                <w:p>
                  <w:pPr>
                    <w:adjustRightInd w:val="0"/>
                    <w:snapToGrid w:val="0"/>
                    <w:jc w:val="center"/>
                    <w:rPr>
                      <w:b/>
                      <w:bCs/>
                      <w:szCs w:val="21"/>
                    </w:rPr>
                  </w:pPr>
                  <w:r>
                    <w:rPr>
                      <w:b/>
                      <w:bCs/>
                      <w:szCs w:val="21"/>
                    </w:rPr>
                    <w:t>经度/°</w:t>
                  </w:r>
                </w:p>
              </w:tc>
              <w:tc>
                <w:tcPr>
                  <w:tcW w:w="1380" w:type="dxa"/>
                  <w:tcBorders>
                    <w:tl2br w:val="nil"/>
                    <w:tr2bl w:val="nil"/>
                  </w:tcBorders>
                  <w:vAlign w:val="center"/>
                </w:tcPr>
                <w:p>
                  <w:pPr>
                    <w:adjustRightInd w:val="0"/>
                    <w:snapToGrid w:val="0"/>
                    <w:jc w:val="center"/>
                    <w:rPr>
                      <w:b/>
                      <w:bCs/>
                      <w:szCs w:val="21"/>
                    </w:rPr>
                  </w:pPr>
                  <w:r>
                    <w:rPr>
                      <w:b/>
                      <w:bCs/>
                      <w:szCs w:val="21"/>
                    </w:rPr>
                    <w:t>纬度/°</w:t>
                  </w:r>
                </w:p>
              </w:tc>
              <w:tc>
                <w:tcPr>
                  <w:tcW w:w="1356" w:type="dxa"/>
                  <w:vMerge w:val="continue"/>
                  <w:tcBorders>
                    <w:tl2br w:val="nil"/>
                    <w:tr2bl w:val="nil"/>
                  </w:tcBorders>
                  <w:vAlign w:val="center"/>
                </w:tcPr>
                <w:p>
                  <w:pPr>
                    <w:adjustRightInd w:val="0"/>
                    <w:snapToGrid w:val="0"/>
                    <w:jc w:val="center"/>
                    <w:rPr>
                      <w:szCs w:val="21"/>
                    </w:rPr>
                  </w:pPr>
                </w:p>
              </w:tc>
              <w:tc>
                <w:tcPr>
                  <w:tcW w:w="672" w:type="dxa"/>
                  <w:vMerge w:val="continue"/>
                  <w:tcBorders>
                    <w:tl2br w:val="nil"/>
                    <w:tr2bl w:val="nil"/>
                  </w:tcBorders>
                  <w:vAlign w:val="center"/>
                </w:tcPr>
                <w:p>
                  <w:pPr>
                    <w:adjustRightInd w:val="0"/>
                    <w:snapToGrid w:val="0"/>
                    <w:jc w:val="center"/>
                    <w:rPr>
                      <w:szCs w:val="21"/>
                    </w:rPr>
                  </w:pPr>
                </w:p>
              </w:tc>
              <w:tc>
                <w:tcPr>
                  <w:tcW w:w="852" w:type="dxa"/>
                  <w:vMerge w:val="continue"/>
                  <w:tcBorders>
                    <w:tl2br w:val="nil"/>
                    <w:tr2bl w:val="nil"/>
                  </w:tcBorders>
                  <w:vAlign w:val="center"/>
                </w:tcPr>
                <w:p>
                  <w:pPr>
                    <w:adjustRightInd w:val="0"/>
                    <w:snapToGrid w:val="0"/>
                    <w:jc w:val="center"/>
                    <w:rPr>
                      <w:szCs w:val="21"/>
                    </w:rPr>
                  </w:pPr>
                </w:p>
              </w:tc>
              <w:tc>
                <w:tcPr>
                  <w:tcW w:w="936" w:type="dxa"/>
                  <w:vMerge w:val="continue"/>
                  <w:tcBorders>
                    <w:tl2br w:val="nil"/>
                    <w:tr2bl w:val="nil"/>
                  </w:tcBorders>
                  <w:vAlign w:val="center"/>
                </w:tcPr>
                <w:p>
                  <w:pPr>
                    <w:adjustRightInd w:val="0"/>
                    <w:snapToGrid w:val="0"/>
                    <w:jc w:val="center"/>
                    <w:rPr>
                      <w:szCs w:val="21"/>
                    </w:rPr>
                  </w:pPr>
                </w:p>
              </w:tc>
              <w:tc>
                <w:tcPr>
                  <w:tcW w:w="1104" w:type="dxa"/>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tcBorders>
                    <w:tl2br w:val="nil"/>
                    <w:tr2bl w:val="nil"/>
                  </w:tcBorders>
                  <w:vAlign w:val="center"/>
                </w:tcPr>
                <w:p>
                  <w:pPr>
                    <w:adjustRightInd w:val="0"/>
                    <w:snapToGrid w:val="0"/>
                    <w:jc w:val="center"/>
                    <w:rPr>
                      <w:szCs w:val="21"/>
                    </w:rPr>
                  </w:pPr>
                  <w:r>
                    <w:rPr>
                      <w:rFonts w:hint="eastAsia"/>
                      <w:szCs w:val="21"/>
                    </w:rPr>
                    <w:t>大气环境</w:t>
                  </w:r>
                </w:p>
              </w:tc>
              <w:tc>
                <w:tcPr>
                  <w:tcW w:w="1452"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108°57'38.90"</w:t>
                  </w:r>
                </w:p>
              </w:tc>
              <w:tc>
                <w:tcPr>
                  <w:tcW w:w="1380"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34°32'51.16"</w:t>
                  </w:r>
                </w:p>
              </w:tc>
              <w:tc>
                <w:tcPr>
                  <w:tcW w:w="1356" w:type="dxa"/>
                  <w:tcBorders>
                    <w:tl2br w:val="nil"/>
                    <w:tr2bl w:val="nil"/>
                  </w:tcBorders>
                  <w:vAlign w:val="center"/>
                </w:tcPr>
                <w:p>
                  <w:pPr>
                    <w:adjustRightInd w:val="0"/>
                    <w:snapToGrid w:val="0"/>
                    <w:jc w:val="center"/>
                    <w:rPr>
                      <w:szCs w:val="21"/>
                    </w:rPr>
                  </w:pPr>
                  <w:r>
                    <w:rPr>
                      <w:rFonts w:hint="eastAsia"/>
                      <w:szCs w:val="21"/>
                    </w:rPr>
                    <w:t>北程村</w:t>
                  </w:r>
                </w:p>
              </w:tc>
              <w:tc>
                <w:tcPr>
                  <w:tcW w:w="672" w:type="dxa"/>
                  <w:vMerge w:val="restart"/>
                  <w:tcBorders>
                    <w:tl2br w:val="nil"/>
                    <w:tr2bl w:val="nil"/>
                  </w:tcBorders>
                  <w:vAlign w:val="center"/>
                </w:tcPr>
                <w:p>
                  <w:pPr>
                    <w:adjustRightInd w:val="0"/>
                    <w:snapToGrid w:val="0"/>
                    <w:jc w:val="center"/>
                    <w:rPr>
                      <w:szCs w:val="21"/>
                    </w:rPr>
                  </w:pPr>
                  <w:r>
                    <w:rPr>
                      <w:rFonts w:hint="eastAsia"/>
                      <w:szCs w:val="21"/>
                    </w:rPr>
                    <w:t>居民</w:t>
                  </w:r>
                </w:p>
              </w:tc>
              <w:tc>
                <w:tcPr>
                  <w:tcW w:w="852" w:type="dxa"/>
                  <w:vMerge w:val="restart"/>
                  <w:tcBorders>
                    <w:tl2br w:val="nil"/>
                    <w:tr2bl w:val="nil"/>
                  </w:tcBorders>
                  <w:vAlign w:val="center"/>
                </w:tcPr>
                <w:p>
                  <w:pPr>
                    <w:adjustRightInd w:val="0"/>
                    <w:snapToGrid w:val="0"/>
                    <w:jc w:val="center"/>
                    <w:rPr>
                      <w:szCs w:val="21"/>
                    </w:rPr>
                  </w:pPr>
                  <w:r>
                    <w:rPr>
                      <w:szCs w:val="21"/>
                    </w:rPr>
                    <w:t>二类功能区</w:t>
                  </w:r>
                </w:p>
                <w:p>
                  <w:pPr>
                    <w:adjustRightInd w:val="0"/>
                    <w:snapToGrid w:val="0"/>
                    <w:jc w:val="center"/>
                    <w:rPr>
                      <w:szCs w:val="21"/>
                    </w:rPr>
                  </w:pPr>
                </w:p>
              </w:tc>
              <w:tc>
                <w:tcPr>
                  <w:tcW w:w="936" w:type="dxa"/>
                  <w:tcBorders>
                    <w:tl2br w:val="nil"/>
                    <w:tr2bl w:val="nil"/>
                  </w:tcBorders>
                  <w:vAlign w:val="center"/>
                </w:tcPr>
                <w:p>
                  <w:pPr>
                    <w:adjustRightInd w:val="0"/>
                    <w:snapToGrid w:val="0"/>
                    <w:jc w:val="center"/>
                    <w:rPr>
                      <w:szCs w:val="21"/>
                    </w:rPr>
                  </w:pPr>
                  <w:r>
                    <w:rPr>
                      <w:rFonts w:hint="eastAsia"/>
                      <w:szCs w:val="21"/>
                    </w:rPr>
                    <w:t>东北</w:t>
                  </w:r>
                </w:p>
              </w:tc>
              <w:tc>
                <w:tcPr>
                  <w:tcW w:w="1104" w:type="dxa"/>
                  <w:tcBorders>
                    <w:tl2br w:val="nil"/>
                    <w:tr2bl w:val="nil"/>
                  </w:tcBorders>
                  <w:vAlign w:val="center"/>
                </w:tcPr>
                <w:p>
                  <w:pPr>
                    <w:adjustRightInd w:val="0"/>
                    <w:snapToGrid w:val="0"/>
                    <w:jc w:val="center"/>
                    <w:rPr>
                      <w:szCs w:val="21"/>
                    </w:rPr>
                  </w:pPr>
                  <w:r>
                    <w:rPr>
                      <w:rFonts w:hint="eastAsia"/>
                      <w:szCs w:val="21"/>
                    </w:rPr>
                    <w:t>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l2br w:val="nil"/>
                    <w:tr2bl w:val="nil"/>
                  </w:tcBorders>
                  <w:vAlign w:val="center"/>
                </w:tcPr>
                <w:p>
                  <w:pPr>
                    <w:adjustRightInd w:val="0"/>
                    <w:snapToGrid w:val="0"/>
                    <w:jc w:val="center"/>
                    <w:rPr>
                      <w:szCs w:val="21"/>
                    </w:rPr>
                  </w:pPr>
                </w:p>
              </w:tc>
              <w:tc>
                <w:tcPr>
                  <w:tcW w:w="1452"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108°57'43.29"</w:t>
                  </w:r>
                </w:p>
              </w:tc>
              <w:tc>
                <w:tcPr>
                  <w:tcW w:w="1380" w:type="dxa"/>
                  <w:tcBorders>
                    <w:tl2br w:val="nil"/>
                    <w:tr2bl w:val="nil"/>
                  </w:tcBorders>
                  <w:tcMar>
                    <w:top w:w="0" w:type="dxa"/>
                    <w:left w:w="108" w:type="dxa"/>
                    <w:bottom w:w="0" w:type="dxa"/>
                    <w:right w:w="108" w:type="dxa"/>
                  </w:tcMar>
                  <w:vAlign w:val="center"/>
                </w:tcPr>
                <w:p>
                  <w:pPr>
                    <w:adjustRightInd w:val="0"/>
                    <w:snapToGrid w:val="0"/>
                    <w:rPr>
                      <w:szCs w:val="21"/>
                    </w:rPr>
                  </w:pPr>
                  <w:r>
                    <w:rPr>
                      <w:szCs w:val="21"/>
                    </w:rPr>
                    <w:t>34°32'33.86"</w:t>
                  </w:r>
                </w:p>
              </w:tc>
              <w:tc>
                <w:tcPr>
                  <w:tcW w:w="1356" w:type="dxa"/>
                  <w:tcBorders>
                    <w:tl2br w:val="nil"/>
                    <w:tr2bl w:val="nil"/>
                  </w:tcBorders>
                  <w:vAlign w:val="center"/>
                </w:tcPr>
                <w:p>
                  <w:pPr>
                    <w:adjustRightInd w:val="0"/>
                    <w:snapToGrid w:val="0"/>
                    <w:jc w:val="center"/>
                    <w:rPr>
                      <w:szCs w:val="21"/>
                    </w:rPr>
                  </w:pPr>
                  <w:r>
                    <w:rPr>
                      <w:rFonts w:hint="eastAsia"/>
                      <w:szCs w:val="21"/>
                    </w:rPr>
                    <w:t>磨子桥村1#</w:t>
                  </w:r>
                </w:p>
              </w:tc>
              <w:tc>
                <w:tcPr>
                  <w:tcW w:w="672" w:type="dxa"/>
                  <w:vMerge w:val="continue"/>
                  <w:tcBorders>
                    <w:tl2br w:val="nil"/>
                    <w:tr2bl w:val="nil"/>
                  </w:tcBorders>
                  <w:vAlign w:val="center"/>
                </w:tcPr>
                <w:p>
                  <w:pPr>
                    <w:adjustRightInd w:val="0"/>
                    <w:snapToGrid w:val="0"/>
                    <w:jc w:val="center"/>
                    <w:rPr>
                      <w:szCs w:val="21"/>
                    </w:rPr>
                  </w:pPr>
                </w:p>
              </w:tc>
              <w:tc>
                <w:tcPr>
                  <w:tcW w:w="852" w:type="dxa"/>
                  <w:vMerge w:val="continue"/>
                  <w:tcBorders>
                    <w:tl2br w:val="nil"/>
                    <w:tr2bl w:val="nil"/>
                  </w:tcBorders>
                  <w:vAlign w:val="center"/>
                </w:tcPr>
                <w:p>
                  <w:pPr>
                    <w:adjustRightInd w:val="0"/>
                    <w:snapToGrid w:val="0"/>
                    <w:jc w:val="center"/>
                    <w:rPr>
                      <w:szCs w:val="21"/>
                    </w:rPr>
                  </w:pPr>
                </w:p>
              </w:tc>
              <w:tc>
                <w:tcPr>
                  <w:tcW w:w="936" w:type="dxa"/>
                  <w:tcBorders>
                    <w:tl2br w:val="nil"/>
                    <w:tr2bl w:val="nil"/>
                  </w:tcBorders>
                  <w:vAlign w:val="center"/>
                </w:tcPr>
                <w:p>
                  <w:pPr>
                    <w:adjustRightInd w:val="0"/>
                    <w:snapToGrid w:val="0"/>
                    <w:jc w:val="center"/>
                    <w:rPr>
                      <w:szCs w:val="21"/>
                    </w:rPr>
                  </w:pPr>
                  <w:r>
                    <w:rPr>
                      <w:rFonts w:hint="eastAsia"/>
                      <w:szCs w:val="21"/>
                    </w:rPr>
                    <w:t>东南</w:t>
                  </w:r>
                </w:p>
              </w:tc>
              <w:tc>
                <w:tcPr>
                  <w:tcW w:w="1104" w:type="dxa"/>
                  <w:tcBorders>
                    <w:tl2br w:val="nil"/>
                    <w:tr2bl w:val="nil"/>
                  </w:tcBorders>
                  <w:vAlign w:val="center"/>
                </w:tcPr>
                <w:p>
                  <w:pPr>
                    <w:adjustRightInd w:val="0"/>
                    <w:snapToGrid w:val="0"/>
                    <w:jc w:val="center"/>
                    <w:rPr>
                      <w:szCs w:val="21"/>
                    </w:rPr>
                  </w:pPr>
                  <w:r>
                    <w:rPr>
                      <w:rFonts w:hint="eastAsia"/>
                      <w:szCs w:val="21"/>
                    </w:rPr>
                    <w:t>470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l2br w:val="nil"/>
                    <w:tr2bl w:val="nil"/>
                  </w:tcBorders>
                  <w:vAlign w:val="center"/>
                </w:tcPr>
                <w:p>
                  <w:pPr>
                    <w:adjustRightInd w:val="0"/>
                    <w:snapToGrid w:val="0"/>
                    <w:jc w:val="center"/>
                    <w:rPr>
                      <w:szCs w:val="21"/>
                    </w:rPr>
                  </w:pPr>
                </w:p>
              </w:tc>
              <w:tc>
                <w:tcPr>
                  <w:tcW w:w="1452"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108°57'28.79"</w:t>
                  </w:r>
                </w:p>
              </w:tc>
              <w:tc>
                <w:tcPr>
                  <w:tcW w:w="1380"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34°32'42.18"</w:t>
                  </w:r>
                </w:p>
              </w:tc>
              <w:tc>
                <w:tcPr>
                  <w:tcW w:w="1356" w:type="dxa"/>
                  <w:tcBorders>
                    <w:tl2br w:val="nil"/>
                    <w:tr2bl w:val="nil"/>
                  </w:tcBorders>
                  <w:vAlign w:val="center"/>
                </w:tcPr>
                <w:p>
                  <w:pPr>
                    <w:adjustRightInd w:val="0"/>
                    <w:snapToGrid w:val="0"/>
                    <w:jc w:val="center"/>
                    <w:rPr>
                      <w:szCs w:val="21"/>
                    </w:rPr>
                  </w:pPr>
                  <w:r>
                    <w:rPr>
                      <w:rFonts w:hint="eastAsia"/>
                      <w:szCs w:val="21"/>
                    </w:rPr>
                    <w:t>磨子桥村2#</w:t>
                  </w:r>
                </w:p>
              </w:tc>
              <w:tc>
                <w:tcPr>
                  <w:tcW w:w="672" w:type="dxa"/>
                  <w:vMerge w:val="continue"/>
                  <w:tcBorders>
                    <w:tl2br w:val="nil"/>
                    <w:tr2bl w:val="nil"/>
                  </w:tcBorders>
                  <w:vAlign w:val="center"/>
                </w:tcPr>
                <w:p>
                  <w:pPr>
                    <w:adjustRightInd w:val="0"/>
                    <w:snapToGrid w:val="0"/>
                    <w:jc w:val="center"/>
                    <w:rPr>
                      <w:szCs w:val="21"/>
                    </w:rPr>
                  </w:pPr>
                </w:p>
              </w:tc>
              <w:tc>
                <w:tcPr>
                  <w:tcW w:w="852" w:type="dxa"/>
                  <w:vMerge w:val="continue"/>
                  <w:tcBorders>
                    <w:tl2br w:val="nil"/>
                    <w:tr2bl w:val="nil"/>
                  </w:tcBorders>
                  <w:vAlign w:val="center"/>
                </w:tcPr>
                <w:p>
                  <w:pPr>
                    <w:adjustRightInd w:val="0"/>
                    <w:snapToGrid w:val="0"/>
                    <w:jc w:val="center"/>
                    <w:rPr>
                      <w:szCs w:val="21"/>
                    </w:rPr>
                  </w:pPr>
                </w:p>
              </w:tc>
              <w:tc>
                <w:tcPr>
                  <w:tcW w:w="936" w:type="dxa"/>
                  <w:tcBorders>
                    <w:tl2br w:val="nil"/>
                    <w:tr2bl w:val="nil"/>
                  </w:tcBorders>
                  <w:vAlign w:val="center"/>
                </w:tcPr>
                <w:p>
                  <w:pPr>
                    <w:adjustRightInd w:val="0"/>
                    <w:snapToGrid w:val="0"/>
                    <w:jc w:val="center"/>
                    <w:rPr>
                      <w:szCs w:val="21"/>
                    </w:rPr>
                  </w:pPr>
                  <w:r>
                    <w:rPr>
                      <w:rFonts w:hint="eastAsia"/>
                      <w:szCs w:val="21"/>
                    </w:rPr>
                    <w:t>西南</w:t>
                  </w:r>
                </w:p>
              </w:tc>
              <w:tc>
                <w:tcPr>
                  <w:tcW w:w="1104" w:type="dxa"/>
                  <w:tcBorders>
                    <w:tl2br w:val="nil"/>
                    <w:tr2bl w:val="nil"/>
                  </w:tcBorders>
                  <w:vAlign w:val="center"/>
                </w:tcPr>
                <w:p>
                  <w:pPr>
                    <w:adjustRightInd w:val="0"/>
                    <w:snapToGrid w:val="0"/>
                    <w:jc w:val="center"/>
                    <w:rPr>
                      <w:szCs w:val="21"/>
                    </w:rPr>
                  </w:pPr>
                  <w:r>
                    <w:rPr>
                      <w:rFonts w:hint="eastAsia"/>
                      <w:szCs w:val="21"/>
                    </w:rPr>
                    <w:t>172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tcBorders>
                    <w:tl2br w:val="nil"/>
                    <w:tr2bl w:val="nil"/>
                  </w:tcBorders>
                  <w:vAlign w:val="center"/>
                </w:tcPr>
                <w:p>
                  <w:pPr>
                    <w:adjustRightInd w:val="0"/>
                    <w:snapToGrid w:val="0"/>
                    <w:jc w:val="center"/>
                    <w:rPr>
                      <w:szCs w:val="21"/>
                    </w:rPr>
                  </w:pPr>
                </w:p>
              </w:tc>
              <w:tc>
                <w:tcPr>
                  <w:tcW w:w="1452"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108°57'24.86"</w:t>
                  </w:r>
                </w:p>
              </w:tc>
              <w:tc>
                <w:tcPr>
                  <w:tcW w:w="1380" w:type="dxa"/>
                  <w:tcBorders>
                    <w:tl2br w:val="nil"/>
                    <w:tr2bl w:val="nil"/>
                  </w:tcBorders>
                  <w:tcMar>
                    <w:top w:w="0" w:type="dxa"/>
                    <w:left w:w="108" w:type="dxa"/>
                    <w:bottom w:w="0" w:type="dxa"/>
                    <w:right w:w="108" w:type="dxa"/>
                  </w:tcMar>
                  <w:vAlign w:val="center"/>
                </w:tcPr>
                <w:p>
                  <w:pPr>
                    <w:adjustRightInd w:val="0"/>
                    <w:snapToGrid w:val="0"/>
                    <w:jc w:val="center"/>
                    <w:rPr>
                      <w:szCs w:val="21"/>
                    </w:rPr>
                  </w:pPr>
                  <w:r>
                    <w:rPr>
                      <w:szCs w:val="21"/>
                    </w:rPr>
                    <w:t>34°32'57.29"</w:t>
                  </w:r>
                </w:p>
              </w:tc>
              <w:tc>
                <w:tcPr>
                  <w:tcW w:w="1356" w:type="dxa"/>
                  <w:tcBorders>
                    <w:tl2br w:val="nil"/>
                    <w:tr2bl w:val="nil"/>
                  </w:tcBorders>
                  <w:vAlign w:val="center"/>
                </w:tcPr>
                <w:p>
                  <w:pPr>
                    <w:adjustRightInd w:val="0"/>
                    <w:snapToGrid w:val="0"/>
                    <w:jc w:val="center"/>
                    <w:rPr>
                      <w:szCs w:val="21"/>
                    </w:rPr>
                  </w:pPr>
                  <w:r>
                    <w:rPr>
                      <w:rFonts w:hint="eastAsia"/>
                      <w:szCs w:val="21"/>
                    </w:rPr>
                    <w:t>北史村</w:t>
                  </w:r>
                </w:p>
              </w:tc>
              <w:tc>
                <w:tcPr>
                  <w:tcW w:w="672" w:type="dxa"/>
                  <w:vMerge w:val="continue"/>
                  <w:tcBorders>
                    <w:tl2br w:val="nil"/>
                    <w:tr2bl w:val="nil"/>
                  </w:tcBorders>
                  <w:vAlign w:val="center"/>
                </w:tcPr>
                <w:p>
                  <w:pPr>
                    <w:adjustRightInd w:val="0"/>
                    <w:snapToGrid w:val="0"/>
                    <w:jc w:val="center"/>
                    <w:rPr>
                      <w:szCs w:val="21"/>
                    </w:rPr>
                  </w:pPr>
                </w:p>
              </w:tc>
              <w:tc>
                <w:tcPr>
                  <w:tcW w:w="852" w:type="dxa"/>
                  <w:vMerge w:val="continue"/>
                  <w:tcBorders>
                    <w:tl2br w:val="nil"/>
                    <w:tr2bl w:val="nil"/>
                  </w:tcBorders>
                  <w:vAlign w:val="center"/>
                </w:tcPr>
                <w:p>
                  <w:pPr>
                    <w:adjustRightInd w:val="0"/>
                    <w:snapToGrid w:val="0"/>
                    <w:jc w:val="center"/>
                    <w:rPr>
                      <w:szCs w:val="21"/>
                    </w:rPr>
                  </w:pPr>
                </w:p>
              </w:tc>
              <w:tc>
                <w:tcPr>
                  <w:tcW w:w="936" w:type="dxa"/>
                  <w:tcBorders>
                    <w:tl2br w:val="nil"/>
                    <w:tr2bl w:val="nil"/>
                  </w:tcBorders>
                  <w:vAlign w:val="center"/>
                </w:tcPr>
                <w:p>
                  <w:pPr>
                    <w:adjustRightInd w:val="0"/>
                    <w:snapToGrid w:val="0"/>
                    <w:jc w:val="center"/>
                    <w:rPr>
                      <w:szCs w:val="21"/>
                    </w:rPr>
                  </w:pPr>
                  <w:r>
                    <w:rPr>
                      <w:rFonts w:hint="eastAsia"/>
                      <w:szCs w:val="21"/>
                    </w:rPr>
                    <w:t>西北</w:t>
                  </w:r>
                </w:p>
              </w:tc>
              <w:tc>
                <w:tcPr>
                  <w:tcW w:w="1104" w:type="dxa"/>
                  <w:tcBorders>
                    <w:tl2br w:val="nil"/>
                    <w:tr2bl w:val="nil"/>
                  </w:tcBorders>
                  <w:vAlign w:val="center"/>
                </w:tcPr>
                <w:p>
                  <w:pPr>
                    <w:adjustRightInd w:val="0"/>
                    <w:snapToGrid w:val="0"/>
                    <w:jc w:val="center"/>
                    <w:rPr>
                      <w:szCs w:val="21"/>
                    </w:rPr>
                  </w:pPr>
                  <w:r>
                    <w:rPr>
                      <w:rFonts w:hint="eastAsia"/>
                      <w:szCs w:val="21"/>
                    </w:rP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l2br w:val="nil"/>
                    <w:tr2bl w:val="nil"/>
                  </w:tcBorders>
                  <w:vAlign w:val="center"/>
                </w:tcPr>
                <w:p>
                  <w:pPr>
                    <w:adjustRightInd w:val="0"/>
                    <w:snapToGrid w:val="0"/>
                    <w:jc w:val="center"/>
                    <w:rPr>
                      <w:szCs w:val="21"/>
                    </w:rPr>
                  </w:pPr>
                  <w:r>
                    <w:rPr>
                      <w:rFonts w:hint="eastAsia"/>
                      <w:szCs w:val="21"/>
                    </w:rPr>
                    <w:t>地表水</w:t>
                  </w:r>
                </w:p>
              </w:tc>
              <w:tc>
                <w:tcPr>
                  <w:tcW w:w="4188" w:type="dxa"/>
                  <w:gridSpan w:val="3"/>
                  <w:tcBorders>
                    <w:tl2br w:val="nil"/>
                    <w:tr2bl w:val="nil"/>
                  </w:tcBorders>
                  <w:tcMar>
                    <w:top w:w="0" w:type="dxa"/>
                    <w:left w:w="108" w:type="dxa"/>
                    <w:bottom w:w="0" w:type="dxa"/>
                    <w:right w:w="108" w:type="dxa"/>
                  </w:tcMar>
                  <w:vAlign w:val="center"/>
                </w:tcPr>
                <w:p>
                  <w:pPr>
                    <w:adjustRightInd w:val="0"/>
                    <w:snapToGrid w:val="0"/>
                    <w:jc w:val="center"/>
                    <w:rPr>
                      <w:szCs w:val="21"/>
                    </w:rPr>
                  </w:pPr>
                  <w:r>
                    <w:rPr>
                      <w:rFonts w:hint="eastAsia"/>
                      <w:szCs w:val="21"/>
                    </w:rPr>
                    <w:t>泾惠渠（南二干渠，灌溉渠）</w:t>
                  </w:r>
                </w:p>
              </w:tc>
              <w:tc>
                <w:tcPr>
                  <w:tcW w:w="672" w:type="dxa"/>
                  <w:tcBorders>
                    <w:tl2br w:val="nil"/>
                    <w:tr2bl w:val="nil"/>
                  </w:tcBorders>
                  <w:vAlign w:val="center"/>
                </w:tcPr>
                <w:p>
                  <w:pPr>
                    <w:adjustRightInd w:val="0"/>
                    <w:snapToGrid w:val="0"/>
                    <w:jc w:val="center"/>
                    <w:rPr>
                      <w:szCs w:val="21"/>
                    </w:rPr>
                  </w:pPr>
                  <w:r>
                    <w:rPr>
                      <w:rFonts w:hint="eastAsia"/>
                      <w:szCs w:val="21"/>
                    </w:rPr>
                    <w:t>水质</w:t>
                  </w:r>
                </w:p>
              </w:tc>
              <w:tc>
                <w:tcPr>
                  <w:tcW w:w="852" w:type="dxa"/>
                  <w:tcBorders>
                    <w:tl2br w:val="nil"/>
                    <w:tr2bl w:val="nil"/>
                  </w:tcBorders>
                  <w:vAlign w:val="center"/>
                </w:tcPr>
                <w:p>
                  <w:pPr>
                    <w:adjustRightInd w:val="0"/>
                    <w:snapToGrid w:val="0"/>
                    <w:jc w:val="center"/>
                    <w:rPr>
                      <w:szCs w:val="21"/>
                    </w:rPr>
                  </w:pPr>
                  <w:r>
                    <w:rPr>
                      <w:rFonts w:hint="eastAsia"/>
                      <w:szCs w:val="21"/>
                    </w:rPr>
                    <w:t>Ⅲ类</w:t>
                  </w:r>
                </w:p>
              </w:tc>
              <w:tc>
                <w:tcPr>
                  <w:tcW w:w="936" w:type="dxa"/>
                  <w:tcBorders>
                    <w:tl2br w:val="nil"/>
                    <w:tr2bl w:val="nil"/>
                  </w:tcBorders>
                  <w:vAlign w:val="center"/>
                </w:tcPr>
                <w:p>
                  <w:pPr>
                    <w:adjustRightInd w:val="0"/>
                    <w:snapToGrid w:val="0"/>
                    <w:jc w:val="center"/>
                    <w:rPr>
                      <w:szCs w:val="21"/>
                    </w:rPr>
                  </w:pPr>
                  <w:r>
                    <w:rPr>
                      <w:rFonts w:hint="eastAsia"/>
                      <w:szCs w:val="21"/>
                    </w:rPr>
                    <w:t>东南</w:t>
                  </w:r>
                </w:p>
              </w:tc>
              <w:tc>
                <w:tcPr>
                  <w:tcW w:w="1104" w:type="dxa"/>
                  <w:tcBorders>
                    <w:tl2br w:val="nil"/>
                    <w:tr2bl w:val="nil"/>
                  </w:tcBorders>
                  <w:vAlign w:val="center"/>
                </w:tcPr>
                <w:p>
                  <w:pPr>
                    <w:adjustRightInd w:val="0"/>
                    <w:snapToGrid w:val="0"/>
                    <w:jc w:val="center"/>
                    <w:rPr>
                      <w:szCs w:val="21"/>
                    </w:rPr>
                  </w:pPr>
                  <w:r>
                    <w:rPr>
                      <w:rFonts w:hint="eastAsia"/>
                      <w:szCs w:val="21"/>
                    </w:rPr>
                    <w:t>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l2br w:val="nil"/>
                    <w:tr2bl w:val="nil"/>
                  </w:tcBorders>
                  <w:vAlign w:val="center"/>
                </w:tcPr>
                <w:p>
                  <w:pPr>
                    <w:adjustRightInd w:val="0"/>
                    <w:snapToGrid w:val="0"/>
                    <w:jc w:val="center"/>
                    <w:rPr>
                      <w:szCs w:val="21"/>
                    </w:rPr>
                  </w:pPr>
                  <w:r>
                    <w:rPr>
                      <w:rFonts w:hint="eastAsia"/>
                      <w:szCs w:val="21"/>
                    </w:rPr>
                    <w:t>地下水</w:t>
                  </w:r>
                </w:p>
              </w:tc>
              <w:tc>
                <w:tcPr>
                  <w:tcW w:w="4188" w:type="dxa"/>
                  <w:gridSpan w:val="3"/>
                  <w:tcBorders>
                    <w:tl2br w:val="nil"/>
                    <w:tr2bl w:val="nil"/>
                  </w:tcBorders>
                  <w:tcMar>
                    <w:top w:w="0" w:type="dxa"/>
                    <w:left w:w="108" w:type="dxa"/>
                    <w:bottom w:w="0" w:type="dxa"/>
                    <w:right w:w="108" w:type="dxa"/>
                  </w:tcMar>
                  <w:vAlign w:val="center"/>
                </w:tcPr>
                <w:p>
                  <w:pPr>
                    <w:adjustRightInd w:val="0"/>
                    <w:snapToGrid w:val="0"/>
                    <w:jc w:val="center"/>
                    <w:rPr>
                      <w:szCs w:val="21"/>
                    </w:rPr>
                  </w:pPr>
                  <w:r>
                    <w:rPr>
                      <w:rFonts w:hint="eastAsia"/>
                      <w:szCs w:val="21"/>
                    </w:rPr>
                    <w:t>项目厂界外500m范围内无地下水集中式引用水水源和热水、矿泉水、温泉水等特殊地下水资料</w:t>
                  </w:r>
                </w:p>
              </w:tc>
              <w:tc>
                <w:tcPr>
                  <w:tcW w:w="672" w:type="dxa"/>
                  <w:tcBorders>
                    <w:tl2br w:val="nil"/>
                    <w:tr2bl w:val="nil"/>
                  </w:tcBorders>
                  <w:vAlign w:val="center"/>
                </w:tcPr>
                <w:p>
                  <w:pPr>
                    <w:adjustRightInd w:val="0"/>
                    <w:snapToGrid w:val="0"/>
                    <w:jc w:val="center"/>
                    <w:rPr>
                      <w:szCs w:val="21"/>
                    </w:rPr>
                  </w:pPr>
                  <w:r>
                    <w:rPr>
                      <w:rFonts w:hint="eastAsia"/>
                      <w:szCs w:val="21"/>
                    </w:rPr>
                    <w:t>水质</w:t>
                  </w:r>
                </w:p>
              </w:tc>
              <w:tc>
                <w:tcPr>
                  <w:tcW w:w="2892" w:type="dxa"/>
                  <w:gridSpan w:val="3"/>
                  <w:tcBorders>
                    <w:tl2br w:val="nil"/>
                    <w:tr2bl w:val="nil"/>
                  </w:tcBorders>
                  <w:vAlign w:val="center"/>
                </w:tcPr>
                <w:p>
                  <w:pPr>
                    <w:adjustRightInd w:val="0"/>
                    <w:snapToGrid w:val="0"/>
                    <w:jc w:val="center"/>
                    <w:rPr>
                      <w:szCs w:val="21"/>
                    </w:rPr>
                  </w:pPr>
                  <w:r>
                    <w:rPr>
                      <w:rFonts w:hint="eastAsia"/>
                      <w:szCs w:val="21"/>
                    </w:rPr>
                    <w:t>《地下水质量标准》（GB/T14848-2017）Ⅲ类标准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Borders>
                    <w:tl2br w:val="nil"/>
                    <w:tr2bl w:val="nil"/>
                  </w:tcBorders>
                  <w:vAlign w:val="center"/>
                </w:tcPr>
                <w:p>
                  <w:pPr>
                    <w:adjustRightInd w:val="0"/>
                    <w:snapToGrid w:val="0"/>
                    <w:jc w:val="center"/>
                    <w:rPr>
                      <w:szCs w:val="21"/>
                    </w:rPr>
                  </w:pPr>
                  <w:r>
                    <w:rPr>
                      <w:rFonts w:hint="eastAsia"/>
                      <w:szCs w:val="21"/>
                    </w:rPr>
                    <w:t>声环境</w:t>
                  </w:r>
                </w:p>
              </w:tc>
              <w:tc>
                <w:tcPr>
                  <w:tcW w:w="7752" w:type="dxa"/>
                  <w:gridSpan w:val="7"/>
                  <w:tcBorders>
                    <w:tl2br w:val="nil"/>
                    <w:tr2bl w:val="nil"/>
                  </w:tcBorders>
                  <w:tcMar>
                    <w:top w:w="0" w:type="dxa"/>
                    <w:left w:w="108" w:type="dxa"/>
                    <w:bottom w:w="0" w:type="dxa"/>
                    <w:right w:w="108" w:type="dxa"/>
                  </w:tcMar>
                  <w:vAlign w:val="center"/>
                </w:tcPr>
                <w:p>
                  <w:pPr>
                    <w:adjustRightInd w:val="0"/>
                    <w:snapToGrid w:val="0"/>
                    <w:jc w:val="center"/>
                    <w:rPr>
                      <w:szCs w:val="21"/>
                    </w:rPr>
                  </w:pPr>
                  <w:r>
                    <w:rPr>
                      <w:rFonts w:hint="eastAsia"/>
                      <w:szCs w:val="21"/>
                    </w:rPr>
                    <w:t>厂界外50m范围无声环境敏感目标</w:t>
                  </w:r>
                </w:p>
              </w:tc>
            </w:tr>
          </w:tbl>
          <w:p>
            <w:pPr>
              <w:pStyle w:val="9"/>
              <w:adjustRightInd w:val="0"/>
              <w:snapToGrid w:val="0"/>
              <w:ind w:firstLine="0"/>
              <w:rPr>
                <w:rFonts w:ascii="Times New Roman" w:hAnsi="Times New Roman"/>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4" w:hRule="atLeast"/>
        </w:trPr>
        <w:tc>
          <w:tcPr>
            <w:tcW w:w="229" w:type="pct"/>
            <w:vAlign w:val="center"/>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污染物排放控制标准</w:t>
            </w:r>
          </w:p>
          <w:p>
            <w:pPr>
              <w:pStyle w:val="3"/>
            </w:pPr>
          </w:p>
          <w:p/>
          <w:p>
            <w:pPr>
              <w:pStyle w:val="3"/>
            </w:pPr>
          </w:p>
          <w:p/>
          <w:p>
            <w:pPr>
              <w:pStyle w:val="3"/>
            </w:pPr>
          </w:p>
          <w:p/>
          <w:p>
            <w:pPr>
              <w:pStyle w:val="3"/>
            </w:pPr>
          </w:p>
          <w:p/>
          <w:p>
            <w:pPr>
              <w:pStyle w:val="3"/>
            </w:pPr>
          </w:p>
          <w:p/>
          <w:p>
            <w:pPr>
              <w:pStyle w:val="3"/>
            </w:pPr>
          </w:p>
          <w:p/>
          <w:p>
            <w:pPr>
              <w:jc w:val="center"/>
            </w:pPr>
            <w:r>
              <w:t>污染物排放控制标准</w:t>
            </w:r>
          </w:p>
        </w:tc>
        <w:tc>
          <w:tcPr>
            <w:tcW w:w="4771" w:type="pct"/>
            <w:vAlign w:val="center"/>
          </w:tcPr>
          <w:p>
            <w:pPr>
              <w:adjustRightInd w:val="0"/>
              <w:snapToGrid w:val="0"/>
              <w:spacing w:line="360" w:lineRule="auto"/>
              <w:rPr>
                <w:b/>
                <w:bCs/>
                <w:sz w:val="24"/>
              </w:rPr>
            </w:pPr>
            <w:r>
              <w:rPr>
                <w:b/>
                <w:bCs/>
                <w:sz w:val="24"/>
              </w:rPr>
              <w:t>1、废气</w:t>
            </w:r>
          </w:p>
          <w:p>
            <w:pPr>
              <w:adjustRightInd w:val="0"/>
              <w:snapToGrid w:val="0"/>
              <w:spacing w:line="360" w:lineRule="auto"/>
              <w:ind w:firstLine="480" w:firstLineChars="200"/>
              <w:rPr>
                <w:sz w:val="24"/>
              </w:rPr>
            </w:pPr>
            <w:r>
              <w:rPr>
                <w:sz w:val="24"/>
              </w:rPr>
              <w:t>施工期：施工扬尘执行《施工场界扬尘排放限值》（DB61/1078-2017）中表1限值，见表</w:t>
            </w:r>
            <w:r>
              <w:rPr>
                <w:rFonts w:hint="eastAsia"/>
                <w:sz w:val="24"/>
              </w:rPr>
              <w:t>3-5；</w:t>
            </w:r>
            <w:r>
              <w:rPr>
                <w:sz w:val="24"/>
              </w:rPr>
              <w:t>运营期颗粒物执行《大气污染物</w:t>
            </w:r>
            <w:r>
              <w:rPr>
                <w:rFonts w:hint="eastAsia"/>
                <w:sz w:val="24"/>
              </w:rPr>
              <w:t>综合</w:t>
            </w:r>
            <w:r>
              <w:rPr>
                <w:sz w:val="24"/>
              </w:rPr>
              <w:t>排放标准》（GB</w:t>
            </w:r>
            <w:r>
              <w:rPr>
                <w:rFonts w:hint="eastAsia"/>
                <w:sz w:val="24"/>
              </w:rPr>
              <w:t>16297-1996</w:t>
            </w:r>
            <w:r>
              <w:rPr>
                <w:sz w:val="24"/>
              </w:rPr>
              <w:t>）中</w:t>
            </w:r>
            <w:r>
              <w:rPr>
                <w:rFonts w:hint="eastAsia"/>
                <w:sz w:val="24"/>
              </w:rPr>
              <w:t>的浓度限值要求；运营期非甲烷总烃有组织排放及厂界排放执行《挥发性有机物排放控制标准》（DB61/T1061-2017）中的浓度限值，厂区内无组织排放执行《挥发性有机物无组织排放控制标准》（GB37822—2019）中的表A</w:t>
            </w:r>
            <w:r>
              <w:rPr>
                <w:sz w:val="24"/>
              </w:rPr>
              <w:t>.1</w:t>
            </w:r>
            <w:r>
              <w:rPr>
                <w:rFonts w:hint="eastAsia"/>
                <w:sz w:val="24"/>
              </w:rPr>
              <w:t>中的特别排放限值。运营期天然气燃烧提供热风，产生的废气执行《工业炉窑大气污染综合治理方案》（环大气[2019]56号）中重点区域相关标准，烟气黑度执行《锅炉大气污染物排放标准》（GB13271-2014）。</w:t>
            </w:r>
          </w:p>
          <w:p>
            <w:pPr>
              <w:pStyle w:val="49"/>
              <w:widowControl w:val="0"/>
              <w:adjustRightInd w:val="0"/>
              <w:snapToGrid w:val="0"/>
              <w:spacing w:before="120"/>
              <w:rPr>
                <w:rFonts w:ascii="宋体" w:hAnsi="宋体" w:eastAsia="宋体" w:cs="宋体"/>
                <w:b/>
                <w:bCs/>
                <w:shd w:val="clear" w:color="auto" w:fill="FFFFFF"/>
              </w:rPr>
            </w:pPr>
            <w:r>
              <w:rPr>
                <w:rFonts w:hint="eastAsia" w:ascii="宋体" w:hAnsi="宋体" w:eastAsia="宋体" w:cs="宋体"/>
                <w:b/>
                <w:bCs/>
                <w:shd w:val="clear" w:color="auto" w:fill="FFFFFF"/>
              </w:rPr>
              <w:t>表3-5</w:t>
            </w:r>
            <w:r>
              <w:rPr>
                <w:rFonts w:hint="eastAsia" w:ascii="宋体" w:hAnsi="宋体" w:eastAsia="宋体" w:cs="宋体"/>
                <w:b/>
                <w:bCs/>
              </w:rPr>
              <w:t>大气污染物排放标准</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1726"/>
              <w:gridCol w:w="1195"/>
              <w:gridCol w:w="1486"/>
              <w:gridCol w:w="853"/>
              <w:gridCol w:w="9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restart"/>
                  <w:tcBorders>
                    <w:tl2br w:val="nil"/>
                    <w:tr2bl w:val="nil"/>
                  </w:tcBorders>
                  <w:vAlign w:val="center"/>
                </w:tcPr>
                <w:p>
                  <w:pPr>
                    <w:adjustRightInd w:val="0"/>
                    <w:snapToGrid w:val="0"/>
                    <w:jc w:val="center"/>
                    <w:rPr>
                      <w:b/>
                    </w:rPr>
                  </w:pPr>
                  <w:r>
                    <w:rPr>
                      <w:b/>
                    </w:rPr>
                    <w:t>执行标准</w:t>
                  </w:r>
                </w:p>
              </w:tc>
              <w:tc>
                <w:tcPr>
                  <w:tcW w:w="1726" w:type="dxa"/>
                  <w:vMerge w:val="restart"/>
                  <w:tcBorders>
                    <w:tl2br w:val="nil"/>
                    <w:tr2bl w:val="nil"/>
                  </w:tcBorders>
                  <w:vAlign w:val="center"/>
                </w:tcPr>
                <w:p>
                  <w:pPr>
                    <w:adjustRightInd w:val="0"/>
                    <w:snapToGrid w:val="0"/>
                    <w:jc w:val="center"/>
                    <w:rPr>
                      <w:b/>
                    </w:rPr>
                  </w:pPr>
                  <w:r>
                    <w:rPr>
                      <w:b/>
                    </w:rPr>
                    <w:t>污染物</w:t>
                  </w:r>
                </w:p>
              </w:tc>
              <w:tc>
                <w:tcPr>
                  <w:tcW w:w="1195" w:type="dxa"/>
                  <w:vMerge w:val="restart"/>
                  <w:tcBorders>
                    <w:tl2br w:val="nil"/>
                    <w:tr2bl w:val="nil"/>
                  </w:tcBorders>
                  <w:vAlign w:val="center"/>
                </w:tcPr>
                <w:p>
                  <w:pPr>
                    <w:adjustRightInd w:val="0"/>
                    <w:snapToGrid w:val="0"/>
                    <w:jc w:val="center"/>
                    <w:rPr>
                      <w:b/>
                    </w:rPr>
                  </w:pPr>
                  <w:r>
                    <w:rPr>
                      <w:b/>
                    </w:rPr>
                    <w:t>最高允许排放浓度</w:t>
                  </w:r>
                </w:p>
                <w:p>
                  <w:pPr>
                    <w:adjustRightInd w:val="0"/>
                    <w:snapToGrid w:val="0"/>
                    <w:jc w:val="center"/>
                    <w:rPr>
                      <w:b/>
                    </w:rPr>
                  </w:pPr>
                  <w:r>
                    <w:rPr>
                      <w:b/>
                    </w:rPr>
                    <w:t>（mg/m</w:t>
                  </w:r>
                  <w:r>
                    <w:rPr>
                      <w:rFonts w:hint="eastAsia"/>
                      <w:b/>
                      <w:vertAlign w:val="superscript"/>
                    </w:rPr>
                    <w:t>3</w:t>
                  </w:r>
                  <w:r>
                    <w:rPr>
                      <w:b/>
                    </w:rPr>
                    <w:t>）</w:t>
                  </w:r>
                </w:p>
              </w:tc>
              <w:tc>
                <w:tcPr>
                  <w:tcW w:w="3299" w:type="dxa"/>
                  <w:gridSpan w:val="3"/>
                  <w:tcBorders>
                    <w:tl2br w:val="nil"/>
                    <w:tr2bl w:val="nil"/>
                  </w:tcBorders>
                  <w:vAlign w:val="center"/>
                </w:tcPr>
                <w:p>
                  <w:pPr>
                    <w:adjustRightInd w:val="0"/>
                    <w:snapToGrid w:val="0"/>
                    <w:jc w:val="center"/>
                    <w:rPr>
                      <w:b/>
                    </w:rPr>
                  </w:pPr>
                  <w:r>
                    <w:rPr>
                      <w:b/>
                    </w:rPr>
                    <w:t>无组织排放限值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continue"/>
                  <w:tcBorders>
                    <w:tl2br w:val="nil"/>
                    <w:tr2bl w:val="nil"/>
                  </w:tcBorders>
                  <w:vAlign w:val="center"/>
                </w:tcPr>
                <w:p>
                  <w:pPr>
                    <w:widowControl/>
                    <w:adjustRightInd w:val="0"/>
                    <w:snapToGrid w:val="0"/>
                    <w:jc w:val="center"/>
                    <w:rPr>
                      <w:b/>
                    </w:rPr>
                  </w:pPr>
                </w:p>
              </w:tc>
              <w:tc>
                <w:tcPr>
                  <w:tcW w:w="1726" w:type="dxa"/>
                  <w:vMerge w:val="continue"/>
                  <w:tcBorders>
                    <w:tl2br w:val="nil"/>
                    <w:tr2bl w:val="nil"/>
                  </w:tcBorders>
                  <w:vAlign w:val="center"/>
                </w:tcPr>
                <w:p>
                  <w:pPr>
                    <w:widowControl/>
                    <w:adjustRightInd w:val="0"/>
                    <w:snapToGrid w:val="0"/>
                    <w:jc w:val="center"/>
                    <w:rPr>
                      <w:b/>
                    </w:rPr>
                  </w:pPr>
                </w:p>
              </w:tc>
              <w:tc>
                <w:tcPr>
                  <w:tcW w:w="1195" w:type="dxa"/>
                  <w:vMerge w:val="continue"/>
                  <w:tcBorders>
                    <w:tl2br w:val="nil"/>
                    <w:tr2bl w:val="nil"/>
                  </w:tcBorders>
                  <w:vAlign w:val="center"/>
                </w:tcPr>
                <w:p>
                  <w:pPr>
                    <w:adjustRightInd w:val="0"/>
                    <w:snapToGrid w:val="0"/>
                    <w:jc w:val="center"/>
                    <w:rPr>
                      <w:b/>
                    </w:rPr>
                  </w:pPr>
                </w:p>
              </w:tc>
              <w:tc>
                <w:tcPr>
                  <w:tcW w:w="2339" w:type="dxa"/>
                  <w:gridSpan w:val="2"/>
                  <w:tcBorders>
                    <w:tl2br w:val="nil"/>
                    <w:tr2bl w:val="nil"/>
                  </w:tcBorders>
                  <w:vAlign w:val="center"/>
                </w:tcPr>
                <w:p>
                  <w:pPr>
                    <w:adjustRightInd w:val="0"/>
                    <w:snapToGrid w:val="0"/>
                    <w:jc w:val="center"/>
                    <w:rPr>
                      <w:b/>
                    </w:rPr>
                  </w:pPr>
                  <w:r>
                    <w:rPr>
                      <w:rFonts w:hint="eastAsia"/>
                      <w:b/>
                    </w:rPr>
                    <w:t>浓度最高点</w:t>
                  </w:r>
                  <w:r>
                    <w:rPr>
                      <w:b/>
                    </w:rPr>
                    <w:t>（mg/m</w:t>
                  </w:r>
                  <w:r>
                    <w:rPr>
                      <w:rFonts w:hint="eastAsia"/>
                      <w:b/>
                      <w:vertAlign w:val="superscript"/>
                    </w:rPr>
                    <w:t>3</w:t>
                  </w:r>
                  <w:r>
                    <w:rPr>
                      <w:b/>
                    </w:rPr>
                    <w:t>）</w:t>
                  </w:r>
                </w:p>
              </w:tc>
              <w:tc>
                <w:tcPr>
                  <w:tcW w:w="960" w:type="dxa"/>
                  <w:tcBorders>
                    <w:tl2br w:val="nil"/>
                    <w:tr2bl w:val="nil"/>
                  </w:tcBorders>
                  <w:vAlign w:val="center"/>
                </w:tcPr>
                <w:p>
                  <w:pPr>
                    <w:adjustRightInd w:val="0"/>
                    <w:snapToGrid w:val="0"/>
                    <w:jc w:val="center"/>
                    <w:rPr>
                      <w:b/>
                    </w:rPr>
                  </w:pPr>
                  <w:r>
                    <w:rPr>
                      <w:rFonts w:hint="eastAsia"/>
                      <w:b/>
                    </w:rPr>
                    <w:t>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restart"/>
                  <w:tcBorders>
                    <w:tl2br w:val="nil"/>
                    <w:tr2bl w:val="nil"/>
                  </w:tcBorders>
                  <w:vAlign w:val="center"/>
                </w:tcPr>
                <w:p>
                  <w:pPr>
                    <w:widowControl/>
                    <w:adjustRightInd w:val="0"/>
                    <w:snapToGrid w:val="0"/>
                    <w:jc w:val="center"/>
                  </w:pPr>
                  <w:r>
                    <w:t>《施工场界扬尘排放限值》（DB61/1078-2017）</w:t>
                  </w:r>
                </w:p>
              </w:tc>
              <w:tc>
                <w:tcPr>
                  <w:tcW w:w="1726" w:type="dxa"/>
                  <w:vMerge w:val="restart"/>
                  <w:tcBorders>
                    <w:tl2br w:val="nil"/>
                    <w:tr2bl w:val="nil"/>
                  </w:tcBorders>
                  <w:vAlign w:val="center"/>
                </w:tcPr>
                <w:p>
                  <w:pPr>
                    <w:widowControl/>
                    <w:adjustRightInd w:val="0"/>
                    <w:snapToGrid w:val="0"/>
                    <w:jc w:val="center"/>
                  </w:pPr>
                  <w:r>
                    <w:rPr>
                      <w:rFonts w:hint="eastAsia"/>
                    </w:rPr>
                    <w:t>颗粒物</w:t>
                  </w:r>
                </w:p>
              </w:tc>
              <w:tc>
                <w:tcPr>
                  <w:tcW w:w="1195" w:type="dxa"/>
                  <w:vMerge w:val="restart"/>
                  <w:tcBorders>
                    <w:tl2br w:val="nil"/>
                    <w:tr2bl w:val="nil"/>
                  </w:tcBorders>
                  <w:vAlign w:val="center"/>
                </w:tcPr>
                <w:p>
                  <w:pPr>
                    <w:adjustRightInd w:val="0"/>
                    <w:snapToGrid w:val="0"/>
                    <w:jc w:val="center"/>
                    <w:rPr>
                      <w:b/>
                    </w:rPr>
                  </w:pPr>
                  <w:r>
                    <w:rPr>
                      <w:rFonts w:hint="eastAsia"/>
                      <w:b/>
                    </w:rPr>
                    <w:t>/</w:t>
                  </w:r>
                </w:p>
              </w:tc>
              <w:tc>
                <w:tcPr>
                  <w:tcW w:w="1486" w:type="dxa"/>
                  <w:tcBorders>
                    <w:tl2br w:val="nil"/>
                    <w:tr2bl w:val="nil"/>
                  </w:tcBorders>
                  <w:vAlign w:val="center"/>
                </w:tcPr>
                <w:p>
                  <w:pPr>
                    <w:pStyle w:val="74"/>
                    <w:adjustRightInd w:val="0"/>
                    <w:snapToGrid w:val="0"/>
                    <w:ind w:firstLine="0" w:firstLineChars="0"/>
                    <w:jc w:val="center"/>
                    <w:rPr>
                      <w:rFonts w:ascii="Times New Roman" w:hAnsi="Times New Roman"/>
                      <w:szCs w:val="21"/>
                    </w:rPr>
                  </w:pPr>
                  <w:r>
                    <w:rPr>
                      <w:rFonts w:ascii="Times New Roman" w:hAnsi="Times New Roman"/>
                      <w:szCs w:val="21"/>
                    </w:rPr>
                    <w:t>土方及地基处理工程</w:t>
                  </w:r>
                </w:p>
              </w:tc>
              <w:tc>
                <w:tcPr>
                  <w:tcW w:w="853" w:type="dxa"/>
                  <w:tcBorders>
                    <w:tl2br w:val="nil"/>
                    <w:tr2bl w:val="nil"/>
                  </w:tcBorders>
                  <w:vAlign w:val="center"/>
                </w:tcPr>
                <w:p>
                  <w:pPr>
                    <w:pStyle w:val="74"/>
                    <w:adjustRightInd w:val="0"/>
                    <w:snapToGrid w:val="0"/>
                    <w:ind w:firstLine="0" w:firstLineChars="0"/>
                    <w:jc w:val="center"/>
                    <w:rPr>
                      <w:rFonts w:ascii="Times New Roman" w:hAnsi="Times New Roman"/>
                      <w:szCs w:val="21"/>
                    </w:rPr>
                  </w:pPr>
                  <w:r>
                    <w:rPr>
                      <w:rFonts w:ascii="Times New Roman" w:hAnsi="Times New Roman"/>
                      <w:szCs w:val="21"/>
                    </w:rPr>
                    <w:t>≤0.8</w:t>
                  </w:r>
                </w:p>
              </w:tc>
              <w:tc>
                <w:tcPr>
                  <w:tcW w:w="960" w:type="dxa"/>
                  <w:vMerge w:val="restart"/>
                  <w:tcBorders>
                    <w:tl2br w:val="nil"/>
                    <w:tr2bl w:val="nil"/>
                  </w:tcBorders>
                  <w:vAlign w:val="center"/>
                </w:tcPr>
                <w:p>
                  <w:pPr>
                    <w:adjustRightInd w:val="0"/>
                    <w:snapToGrid w:val="0"/>
                    <w:jc w:val="center"/>
                    <w:rPr>
                      <w:b/>
                    </w:rPr>
                  </w:pPr>
                  <w:r>
                    <w:rPr>
                      <w:szCs w:val="21"/>
                    </w:rPr>
                    <w:t>周界外浓度最高点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continue"/>
                  <w:tcBorders>
                    <w:tl2br w:val="nil"/>
                    <w:tr2bl w:val="nil"/>
                  </w:tcBorders>
                  <w:vAlign w:val="center"/>
                </w:tcPr>
                <w:p>
                  <w:pPr>
                    <w:widowControl/>
                    <w:adjustRightInd w:val="0"/>
                    <w:snapToGrid w:val="0"/>
                    <w:jc w:val="center"/>
                    <w:rPr>
                      <w:b/>
                    </w:rPr>
                  </w:pPr>
                </w:p>
              </w:tc>
              <w:tc>
                <w:tcPr>
                  <w:tcW w:w="1726" w:type="dxa"/>
                  <w:vMerge w:val="continue"/>
                  <w:tcBorders>
                    <w:tl2br w:val="nil"/>
                    <w:tr2bl w:val="nil"/>
                  </w:tcBorders>
                  <w:vAlign w:val="center"/>
                </w:tcPr>
                <w:p>
                  <w:pPr>
                    <w:widowControl/>
                    <w:adjustRightInd w:val="0"/>
                    <w:snapToGrid w:val="0"/>
                    <w:jc w:val="center"/>
                  </w:pPr>
                </w:p>
              </w:tc>
              <w:tc>
                <w:tcPr>
                  <w:tcW w:w="1195" w:type="dxa"/>
                  <w:vMerge w:val="continue"/>
                  <w:tcBorders>
                    <w:tl2br w:val="nil"/>
                    <w:tr2bl w:val="nil"/>
                  </w:tcBorders>
                  <w:vAlign w:val="center"/>
                </w:tcPr>
                <w:p>
                  <w:pPr>
                    <w:adjustRightInd w:val="0"/>
                    <w:snapToGrid w:val="0"/>
                    <w:jc w:val="center"/>
                    <w:rPr>
                      <w:b/>
                    </w:rPr>
                  </w:pPr>
                </w:p>
              </w:tc>
              <w:tc>
                <w:tcPr>
                  <w:tcW w:w="1486" w:type="dxa"/>
                  <w:tcBorders>
                    <w:tl2br w:val="nil"/>
                    <w:tr2bl w:val="nil"/>
                  </w:tcBorders>
                  <w:vAlign w:val="center"/>
                </w:tcPr>
                <w:p>
                  <w:pPr>
                    <w:pStyle w:val="74"/>
                    <w:adjustRightInd w:val="0"/>
                    <w:snapToGrid w:val="0"/>
                    <w:ind w:firstLine="0" w:firstLineChars="0"/>
                    <w:jc w:val="center"/>
                    <w:rPr>
                      <w:rFonts w:ascii="Times New Roman" w:hAnsi="Times New Roman"/>
                      <w:szCs w:val="21"/>
                    </w:rPr>
                  </w:pPr>
                  <w:r>
                    <w:rPr>
                      <w:rFonts w:ascii="Times New Roman" w:hAnsi="Times New Roman"/>
                      <w:szCs w:val="21"/>
                    </w:rPr>
                    <w:t>基础、主体结构及装饰工程</w:t>
                  </w:r>
                </w:p>
              </w:tc>
              <w:tc>
                <w:tcPr>
                  <w:tcW w:w="853" w:type="dxa"/>
                  <w:tcBorders>
                    <w:tl2br w:val="nil"/>
                    <w:tr2bl w:val="nil"/>
                  </w:tcBorders>
                  <w:vAlign w:val="center"/>
                </w:tcPr>
                <w:p>
                  <w:pPr>
                    <w:pStyle w:val="74"/>
                    <w:adjustRightInd w:val="0"/>
                    <w:snapToGrid w:val="0"/>
                    <w:ind w:firstLine="0" w:firstLineChars="0"/>
                    <w:jc w:val="center"/>
                    <w:rPr>
                      <w:rFonts w:ascii="Times New Roman" w:hAnsi="Times New Roman"/>
                      <w:szCs w:val="21"/>
                    </w:rPr>
                  </w:pPr>
                  <w:r>
                    <w:rPr>
                      <w:rFonts w:ascii="Times New Roman" w:hAnsi="Times New Roman"/>
                      <w:szCs w:val="21"/>
                    </w:rPr>
                    <w:t>≤0.7</w:t>
                  </w:r>
                </w:p>
              </w:tc>
              <w:tc>
                <w:tcPr>
                  <w:tcW w:w="960" w:type="dxa"/>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tcBorders>
                    <w:tl2br w:val="nil"/>
                    <w:tr2bl w:val="nil"/>
                  </w:tcBorders>
                  <w:vAlign w:val="center"/>
                </w:tcPr>
                <w:p>
                  <w:pPr>
                    <w:adjustRightInd w:val="0"/>
                    <w:snapToGrid w:val="0"/>
                    <w:jc w:val="center"/>
                  </w:pPr>
                  <w:r>
                    <w:rPr>
                      <w:rFonts w:hint="eastAsia"/>
                    </w:rPr>
                    <w:t>《大气污染物综合排放标准》（GB16297-1996）的表2标准</w:t>
                  </w:r>
                </w:p>
              </w:tc>
              <w:tc>
                <w:tcPr>
                  <w:tcW w:w="1726" w:type="dxa"/>
                  <w:tcBorders>
                    <w:tl2br w:val="nil"/>
                    <w:tr2bl w:val="nil"/>
                  </w:tcBorders>
                  <w:vAlign w:val="center"/>
                </w:tcPr>
                <w:p>
                  <w:pPr>
                    <w:adjustRightInd w:val="0"/>
                    <w:snapToGrid w:val="0"/>
                    <w:jc w:val="center"/>
                    <w:rPr>
                      <w:szCs w:val="21"/>
                    </w:rPr>
                  </w:pPr>
                  <w:r>
                    <w:rPr>
                      <w:rFonts w:hint="eastAsia"/>
                    </w:rPr>
                    <w:t>颗粒物</w:t>
                  </w:r>
                </w:p>
              </w:tc>
              <w:tc>
                <w:tcPr>
                  <w:tcW w:w="1195" w:type="dxa"/>
                  <w:tcBorders>
                    <w:tl2br w:val="nil"/>
                    <w:tr2bl w:val="nil"/>
                  </w:tcBorders>
                  <w:vAlign w:val="center"/>
                </w:tcPr>
                <w:p>
                  <w:pPr>
                    <w:adjustRightInd w:val="0"/>
                    <w:snapToGrid w:val="0"/>
                    <w:jc w:val="center"/>
                  </w:pPr>
                  <w:r>
                    <w:rPr>
                      <w:rFonts w:hint="eastAsia"/>
                    </w:rPr>
                    <w:t>1</w:t>
                  </w:r>
                  <w:r>
                    <w:t>20</w:t>
                  </w:r>
                </w:p>
              </w:tc>
              <w:tc>
                <w:tcPr>
                  <w:tcW w:w="2339" w:type="dxa"/>
                  <w:gridSpan w:val="2"/>
                  <w:tcBorders>
                    <w:tl2br w:val="nil"/>
                    <w:tr2bl w:val="nil"/>
                  </w:tcBorders>
                  <w:vAlign w:val="center"/>
                </w:tcPr>
                <w:p>
                  <w:pPr>
                    <w:adjustRightInd w:val="0"/>
                    <w:snapToGrid w:val="0"/>
                    <w:jc w:val="center"/>
                  </w:pPr>
                  <w:r>
                    <w:rPr>
                      <w:rFonts w:hint="eastAsia"/>
                    </w:rPr>
                    <w:t>1.0</w:t>
                  </w:r>
                </w:p>
              </w:tc>
              <w:tc>
                <w:tcPr>
                  <w:tcW w:w="960" w:type="dxa"/>
                  <w:tcBorders>
                    <w:tl2br w:val="nil"/>
                    <w:tr2bl w:val="nil"/>
                  </w:tcBorders>
                  <w:vAlign w:val="center"/>
                </w:tcPr>
                <w:p>
                  <w:pPr>
                    <w:adjustRightInd w:val="0"/>
                    <w:snapToGrid w:val="0"/>
                    <w:jc w:val="center"/>
                  </w:pPr>
                  <w:r>
                    <w:rPr>
                      <w:rFonts w:hint="eastAsia"/>
                    </w:rPr>
                    <w:t>周界外浓度最高点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tcBorders>
                    <w:tl2br w:val="nil"/>
                    <w:tr2bl w:val="nil"/>
                  </w:tcBorders>
                  <w:vAlign w:val="center"/>
                </w:tcPr>
                <w:p>
                  <w:pPr>
                    <w:adjustRightInd w:val="0"/>
                    <w:snapToGrid w:val="0"/>
                    <w:jc w:val="center"/>
                  </w:pPr>
                  <w:r>
                    <w:rPr>
                      <w:rFonts w:hint="eastAsia"/>
                    </w:rPr>
                    <w:t>《挥发性有机物排放控制标准》（DB61/T1061-2017）表面涂装</w:t>
                  </w:r>
                </w:p>
              </w:tc>
              <w:tc>
                <w:tcPr>
                  <w:tcW w:w="1726" w:type="dxa"/>
                  <w:tcBorders>
                    <w:tl2br w:val="nil"/>
                    <w:tr2bl w:val="nil"/>
                  </w:tcBorders>
                  <w:vAlign w:val="center"/>
                </w:tcPr>
                <w:p>
                  <w:pPr>
                    <w:adjustRightInd w:val="0"/>
                    <w:snapToGrid w:val="0"/>
                    <w:jc w:val="center"/>
                  </w:pPr>
                  <w:r>
                    <w:rPr>
                      <w:rFonts w:hint="eastAsia"/>
                    </w:rPr>
                    <w:t>非甲烷总烃</w:t>
                  </w:r>
                </w:p>
              </w:tc>
              <w:tc>
                <w:tcPr>
                  <w:tcW w:w="1195" w:type="dxa"/>
                  <w:tcBorders>
                    <w:tl2br w:val="nil"/>
                    <w:tr2bl w:val="nil"/>
                  </w:tcBorders>
                  <w:vAlign w:val="center"/>
                </w:tcPr>
                <w:p>
                  <w:pPr>
                    <w:adjustRightInd w:val="0"/>
                    <w:snapToGrid w:val="0"/>
                    <w:jc w:val="center"/>
                  </w:pPr>
                  <w:r>
                    <w:rPr>
                      <w:rFonts w:hint="eastAsia"/>
                    </w:rPr>
                    <w:t>5</w:t>
                  </w:r>
                  <w:r>
                    <w:t>0</w:t>
                  </w:r>
                </w:p>
              </w:tc>
              <w:tc>
                <w:tcPr>
                  <w:tcW w:w="2339" w:type="dxa"/>
                  <w:gridSpan w:val="2"/>
                  <w:tcBorders>
                    <w:tl2br w:val="nil"/>
                    <w:tr2bl w:val="nil"/>
                  </w:tcBorders>
                  <w:vAlign w:val="center"/>
                </w:tcPr>
                <w:p>
                  <w:pPr>
                    <w:adjustRightInd w:val="0"/>
                    <w:snapToGrid w:val="0"/>
                    <w:jc w:val="center"/>
                  </w:pPr>
                  <w:r>
                    <w:t>3</w:t>
                  </w:r>
                </w:p>
              </w:tc>
              <w:tc>
                <w:tcPr>
                  <w:tcW w:w="960" w:type="dxa"/>
                  <w:tcBorders>
                    <w:tl2br w:val="nil"/>
                    <w:tr2bl w:val="nil"/>
                  </w:tcBorders>
                  <w:vAlign w:val="center"/>
                </w:tcPr>
                <w:p>
                  <w:pPr>
                    <w:adjustRightInd w:val="0"/>
                    <w:snapToGrid w:val="0"/>
                    <w:jc w:val="center"/>
                  </w:pPr>
                  <w:r>
                    <w:t>企业边界监控点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tcBorders>
                    <w:tl2br w:val="nil"/>
                    <w:tr2bl w:val="nil"/>
                  </w:tcBorders>
                  <w:vAlign w:val="center"/>
                </w:tcPr>
                <w:p>
                  <w:pPr>
                    <w:adjustRightInd w:val="0"/>
                    <w:snapToGrid w:val="0"/>
                    <w:jc w:val="center"/>
                  </w:pPr>
                  <w:r>
                    <w:rPr>
                      <w:rFonts w:hint="eastAsia"/>
                    </w:rPr>
                    <w:t>《挥发性有机物无组织排放控制标准》（GB37822-2019）</w:t>
                  </w:r>
                </w:p>
              </w:tc>
              <w:tc>
                <w:tcPr>
                  <w:tcW w:w="1726" w:type="dxa"/>
                  <w:tcBorders>
                    <w:tl2br w:val="nil"/>
                    <w:tr2bl w:val="nil"/>
                  </w:tcBorders>
                  <w:vAlign w:val="center"/>
                </w:tcPr>
                <w:p>
                  <w:pPr>
                    <w:adjustRightInd w:val="0"/>
                    <w:snapToGrid w:val="0"/>
                    <w:jc w:val="center"/>
                  </w:pPr>
                  <w:r>
                    <w:rPr>
                      <w:rFonts w:hint="eastAsia"/>
                    </w:rPr>
                    <w:t>非甲烷总烃</w:t>
                  </w:r>
                </w:p>
              </w:tc>
              <w:tc>
                <w:tcPr>
                  <w:tcW w:w="1195" w:type="dxa"/>
                  <w:tcBorders>
                    <w:tl2br w:val="nil"/>
                    <w:tr2bl w:val="nil"/>
                  </w:tcBorders>
                  <w:vAlign w:val="center"/>
                </w:tcPr>
                <w:p>
                  <w:pPr>
                    <w:adjustRightInd w:val="0"/>
                    <w:snapToGrid w:val="0"/>
                    <w:jc w:val="center"/>
                  </w:pPr>
                  <w:r>
                    <w:rPr>
                      <w:rFonts w:hint="eastAsia"/>
                    </w:rPr>
                    <w:t>/</w:t>
                  </w:r>
                </w:p>
              </w:tc>
              <w:tc>
                <w:tcPr>
                  <w:tcW w:w="2339" w:type="dxa"/>
                  <w:gridSpan w:val="2"/>
                  <w:tcBorders>
                    <w:tl2br w:val="nil"/>
                    <w:tr2bl w:val="nil"/>
                  </w:tcBorders>
                  <w:vAlign w:val="center"/>
                </w:tcPr>
                <w:p>
                  <w:pPr>
                    <w:adjustRightInd w:val="0"/>
                    <w:snapToGrid w:val="0"/>
                    <w:jc w:val="center"/>
                  </w:pPr>
                  <w:r>
                    <w:rPr>
                      <w:rFonts w:hint="eastAsia"/>
                    </w:rPr>
                    <w:t>6</w:t>
                  </w:r>
                </w:p>
              </w:tc>
              <w:tc>
                <w:tcPr>
                  <w:tcW w:w="960" w:type="dxa"/>
                  <w:tcBorders>
                    <w:tl2br w:val="nil"/>
                    <w:tr2bl w:val="nil"/>
                  </w:tcBorders>
                  <w:vAlign w:val="center"/>
                </w:tcPr>
                <w:p>
                  <w:pPr>
                    <w:adjustRightInd w:val="0"/>
                    <w:snapToGrid w:val="0"/>
                    <w:jc w:val="center"/>
                  </w:pPr>
                  <w:r>
                    <w:rPr>
                      <w:bCs/>
                      <w:szCs w:val="21"/>
                    </w:rPr>
                    <w:t>厂区内监控点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restart"/>
                  <w:tcBorders>
                    <w:tl2br w:val="nil"/>
                    <w:tr2bl w:val="nil"/>
                  </w:tcBorders>
                  <w:vAlign w:val="center"/>
                </w:tcPr>
                <w:p>
                  <w:pPr>
                    <w:adjustRightInd w:val="0"/>
                    <w:snapToGrid w:val="0"/>
                    <w:jc w:val="center"/>
                  </w:pPr>
                  <w:r>
                    <w:rPr>
                      <w:rFonts w:hint="eastAsia"/>
                    </w:rPr>
                    <w:t>《工业炉窑大气污染综合治理方案》（环大气[2019]56号）</w:t>
                  </w:r>
                </w:p>
              </w:tc>
              <w:tc>
                <w:tcPr>
                  <w:tcW w:w="1726" w:type="dxa"/>
                  <w:tcBorders>
                    <w:tl2br w:val="nil"/>
                    <w:tr2bl w:val="nil"/>
                  </w:tcBorders>
                  <w:vAlign w:val="center"/>
                </w:tcPr>
                <w:p>
                  <w:pPr>
                    <w:adjustRightInd w:val="0"/>
                    <w:snapToGrid w:val="0"/>
                    <w:jc w:val="center"/>
                    <w:rPr>
                      <w:szCs w:val="21"/>
                    </w:rPr>
                  </w:pPr>
                  <w:r>
                    <w:rPr>
                      <w:rFonts w:hint="eastAsia"/>
                      <w:szCs w:val="21"/>
                    </w:rPr>
                    <w:t>S</w:t>
                  </w:r>
                  <w:r>
                    <w:rPr>
                      <w:szCs w:val="21"/>
                    </w:rPr>
                    <w:t>O</w:t>
                  </w:r>
                  <w:r>
                    <w:rPr>
                      <w:szCs w:val="21"/>
                      <w:vertAlign w:val="subscript"/>
                    </w:rPr>
                    <w:t>2</w:t>
                  </w:r>
                </w:p>
              </w:tc>
              <w:tc>
                <w:tcPr>
                  <w:tcW w:w="1195" w:type="dxa"/>
                  <w:tcBorders>
                    <w:tl2br w:val="nil"/>
                    <w:tr2bl w:val="nil"/>
                  </w:tcBorders>
                  <w:vAlign w:val="center"/>
                </w:tcPr>
                <w:p>
                  <w:pPr>
                    <w:adjustRightInd w:val="0"/>
                    <w:snapToGrid w:val="0"/>
                    <w:jc w:val="center"/>
                    <w:rPr>
                      <w:szCs w:val="21"/>
                    </w:rPr>
                  </w:pPr>
                  <w:r>
                    <w:rPr>
                      <w:szCs w:val="21"/>
                    </w:rPr>
                    <w:t>200</w:t>
                  </w:r>
                </w:p>
              </w:tc>
              <w:tc>
                <w:tcPr>
                  <w:tcW w:w="2339" w:type="dxa"/>
                  <w:gridSpan w:val="2"/>
                  <w:tcBorders>
                    <w:tl2br w:val="nil"/>
                    <w:tr2bl w:val="nil"/>
                  </w:tcBorders>
                  <w:vAlign w:val="center"/>
                </w:tcPr>
                <w:p>
                  <w:pPr>
                    <w:adjustRightInd w:val="0"/>
                    <w:snapToGrid w:val="0"/>
                    <w:jc w:val="center"/>
                  </w:pPr>
                  <w:r>
                    <w:t>/</w:t>
                  </w:r>
                </w:p>
              </w:tc>
              <w:tc>
                <w:tcPr>
                  <w:tcW w:w="960" w:type="dxa"/>
                  <w:tcBorders>
                    <w:tl2br w:val="nil"/>
                    <w:tr2bl w:val="nil"/>
                  </w:tcBorders>
                  <w:vAlign w:val="center"/>
                </w:tcPr>
                <w:p>
                  <w:pPr>
                    <w:adjustRightInd w:val="0"/>
                    <w:snapToGrid w:val="0"/>
                    <w:jc w:val="center"/>
                    <w:rPr>
                      <w:bCs/>
                      <w:szCs w:val="21"/>
                    </w:rPr>
                  </w:pPr>
                  <w:r>
                    <w:rPr>
                      <w:rFonts w:hint="eastAsia"/>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continue"/>
                  <w:tcBorders>
                    <w:tl2br w:val="nil"/>
                    <w:tr2bl w:val="nil"/>
                  </w:tcBorders>
                  <w:vAlign w:val="center"/>
                </w:tcPr>
                <w:p>
                  <w:pPr>
                    <w:pStyle w:val="43"/>
                    <w:spacing w:line="240" w:lineRule="auto"/>
                    <w:ind w:firstLine="420"/>
                  </w:pPr>
                </w:p>
              </w:tc>
              <w:tc>
                <w:tcPr>
                  <w:tcW w:w="1726" w:type="dxa"/>
                  <w:tcBorders>
                    <w:tl2br w:val="nil"/>
                    <w:tr2bl w:val="nil"/>
                  </w:tcBorders>
                  <w:vAlign w:val="center"/>
                </w:tcPr>
                <w:p>
                  <w:pPr>
                    <w:adjustRightInd w:val="0"/>
                    <w:snapToGrid w:val="0"/>
                    <w:jc w:val="center"/>
                    <w:rPr>
                      <w:szCs w:val="21"/>
                    </w:rPr>
                  </w:pPr>
                  <w:r>
                    <w:rPr>
                      <w:rFonts w:hint="eastAsia"/>
                      <w:szCs w:val="21"/>
                    </w:rPr>
                    <w:t>N</w:t>
                  </w:r>
                  <w:r>
                    <w:rPr>
                      <w:szCs w:val="21"/>
                    </w:rPr>
                    <w:t>O</w:t>
                  </w:r>
                  <w:r>
                    <w:rPr>
                      <w:szCs w:val="21"/>
                      <w:vertAlign w:val="subscript"/>
                    </w:rPr>
                    <w:t>X</w:t>
                  </w:r>
                  <w:r>
                    <w:rPr>
                      <w:szCs w:val="21"/>
                    </w:rPr>
                    <w:t>（以</w:t>
                  </w:r>
                  <w:r>
                    <w:rPr>
                      <w:rFonts w:hint="eastAsia"/>
                      <w:szCs w:val="21"/>
                    </w:rPr>
                    <w:t>N</w:t>
                  </w:r>
                  <w:r>
                    <w:rPr>
                      <w:szCs w:val="21"/>
                    </w:rPr>
                    <w:t>O</w:t>
                  </w:r>
                  <w:r>
                    <w:rPr>
                      <w:szCs w:val="21"/>
                      <w:vertAlign w:val="subscript"/>
                    </w:rPr>
                    <w:t>2</w:t>
                  </w:r>
                  <w:r>
                    <w:rPr>
                      <w:szCs w:val="21"/>
                    </w:rPr>
                    <w:t>计）</w:t>
                  </w:r>
                </w:p>
              </w:tc>
              <w:tc>
                <w:tcPr>
                  <w:tcW w:w="1195" w:type="dxa"/>
                  <w:tcBorders>
                    <w:tl2br w:val="nil"/>
                    <w:tr2bl w:val="nil"/>
                  </w:tcBorders>
                  <w:vAlign w:val="center"/>
                </w:tcPr>
                <w:p>
                  <w:pPr>
                    <w:adjustRightInd w:val="0"/>
                    <w:snapToGrid w:val="0"/>
                    <w:jc w:val="center"/>
                    <w:rPr>
                      <w:szCs w:val="21"/>
                    </w:rPr>
                  </w:pPr>
                  <w:r>
                    <w:rPr>
                      <w:rFonts w:hint="eastAsia"/>
                      <w:szCs w:val="21"/>
                    </w:rPr>
                    <w:t>3</w:t>
                  </w:r>
                  <w:r>
                    <w:rPr>
                      <w:szCs w:val="21"/>
                    </w:rPr>
                    <w:t>00</w:t>
                  </w:r>
                </w:p>
              </w:tc>
              <w:tc>
                <w:tcPr>
                  <w:tcW w:w="2339" w:type="dxa"/>
                  <w:gridSpan w:val="2"/>
                  <w:tcBorders>
                    <w:tl2br w:val="nil"/>
                    <w:tr2bl w:val="nil"/>
                  </w:tcBorders>
                  <w:vAlign w:val="center"/>
                </w:tcPr>
                <w:p>
                  <w:pPr>
                    <w:adjustRightInd w:val="0"/>
                    <w:snapToGrid w:val="0"/>
                    <w:jc w:val="center"/>
                  </w:pPr>
                  <w:r>
                    <w:rPr>
                      <w:rFonts w:hint="eastAsia"/>
                    </w:rPr>
                    <w:t>/</w:t>
                  </w:r>
                </w:p>
              </w:tc>
              <w:tc>
                <w:tcPr>
                  <w:tcW w:w="960" w:type="dxa"/>
                  <w:tcBorders>
                    <w:tl2br w:val="nil"/>
                    <w:tr2bl w:val="nil"/>
                  </w:tcBorders>
                  <w:vAlign w:val="center"/>
                </w:tcPr>
                <w:p>
                  <w:pPr>
                    <w:adjustRightInd w:val="0"/>
                    <w:snapToGrid w:val="0"/>
                    <w:jc w:val="center"/>
                    <w:rPr>
                      <w:bCs/>
                      <w:szCs w:val="21"/>
                    </w:rPr>
                  </w:pPr>
                  <w:r>
                    <w:rPr>
                      <w:rFonts w:hint="eastAsia"/>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vMerge w:val="continue"/>
                  <w:tcBorders>
                    <w:tl2br w:val="nil"/>
                    <w:tr2bl w:val="nil"/>
                  </w:tcBorders>
                  <w:vAlign w:val="center"/>
                </w:tcPr>
                <w:p>
                  <w:pPr>
                    <w:pStyle w:val="43"/>
                    <w:spacing w:line="240" w:lineRule="auto"/>
                    <w:ind w:firstLine="420"/>
                  </w:pPr>
                </w:p>
              </w:tc>
              <w:tc>
                <w:tcPr>
                  <w:tcW w:w="1726" w:type="dxa"/>
                  <w:tcBorders>
                    <w:tl2br w:val="nil"/>
                    <w:tr2bl w:val="nil"/>
                  </w:tcBorders>
                  <w:vAlign w:val="center"/>
                </w:tcPr>
                <w:p>
                  <w:pPr>
                    <w:adjustRightInd w:val="0"/>
                    <w:snapToGrid w:val="0"/>
                    <w:jc w:val="center"/>
                    <w:rPr>
                      <w:szCs w:val="21"/>
                    </w:rPr>
                  </w:pPr>
                  <w:r>
                    <w:rPr>
                      <w:szCs w:val="21"/>
                    </w:rPr>
                    <w:t>颗粒物</w:t>
                  </w:r>
                </w:p>
              </w:tc>
              <w:tc>
                <w:tcPr>
                  <w:tcW w:w="1195" w:type="dxa"/>
                  <w:tcBorders>
                    <w:tl2br w:val="nil"/>
                    <w:tr2bl w:val="nil"/>
                  </w:tcBorders>
                  <w:vAlign w:val="center"/>
                </w:tcPr>
                <w:p>
                  <w:pPr>
                    <w:adjustRightInd w:val="0"/>
                    <w:snapToGrid w:val="0"/>
                    <w:jc w:val="center"/>
                    <w:rPr>
                      <w:szCs w:val="21"/>
                    </w:rPr>
                  </w:pPr>
                  <w:r>
                    <w:rPr>
                      <w:szCs w:val="21"/>
                    </w:rPr>
                    <w:t>30</w:t>
                  </w:r>
                </w:p>
              </w:tc>
              <w:tc>
                <w:tcPr>
                  <w:tcW w:w="2339" w:type="dxa"/>
                  <w:gridSpan w:val="2"/>
                  <w:tcBorders>
                    <w:tl2br w:val="nil"/>
                    <w:tr2bl w:val="nil"/>
                  </w:tcBorders>
                  <w:vAlign w:val="center"/>
                </w:tcPr>
                <w:p>
                  <w:pPr>
                    <w:adjustRightInd w:val="0"/>
                    <w:snapToGrid w:val="0"/>
                    <w:jc w:val="center"/>
                  </w:pPr>
                  <w:r>
                    <w:rPr>
                      <w:rFonts w:hint="eastAsia"/>
                    </w:rPr>
                    <w:t>/</w:t>
                  </w:r>
                </w:p>
              </w:tc>
              <w:tc>
                <w:tcPr>
                  <w:tcW w:w="960" w:type="dxa"/>
                  <w:tcBorders>
                    <w:tl2br w:val="nil"/>
                    <w:tr2bl w:val="nil"/>
                  </w:tcBorders>
                  <w:vAlign w:val="center"/>
                </w:tcPr>
                <w:p>
                  <w:pPr>
                    <w:adjustRightInd w:val="0"/>
                    <w:snapToGrid w:val="0"/>
                    <w:jc w:val="center"/>
                    <w:rPr>
                      <w:bCs/>
                      <w:szCs w:val="21"/>
                    </w:rPr>
                  </w:pPr>
                  <w:r>
                    <w:rPr>
                      <w:rFonts w:hint="eastAsia"/>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25" w:type="dxa"/>
                  <w:tcBorders>
                    <w:tl2br w:val="nil"/>
                    <w:tr2bl w:val="nil"/>
                  </w:tcBorders>
                  <w:vAlign w:val="center"/>
                </w:tcPr>
                <w:p>
                  <w:pPr>
                    <w:pStyle w:val="75"/>
                    <w:snapToGrid w:val="0"/>
                  </w:pPr>
                  <w:r>
                    <w:rPr>
                      <w:rFonts w:hint="eastAsia"/>
                      <w:szCs w:val="21"/>
                    </w:rPr>
                    <w:t>《工业炉窑大气污染物排放标准》（GB9078-1996</w:t>
                  </w:r>
                </w:p>
              </w:tc>
              <w:tc>
                <w:tcPr>
                  <w:tcW w:w="1726" w:type="dxa"/>
                  <w:tcBorders>
                    <w:tl2br w:val="nil"/>
                    <w:tr2bl w:val="nil"/>
                  </w:tcBorders>
                  <w:vAlign w:val="center"/>
                </w:tcPr>
                <w:p>
                  <w:pPr>
                    <w:adjustRightInd w:val="0"/>
                    <w:snapToGrid w:val="0"/>
                    <w:jc w:val="center"/>
                    <w:rPr>
                      <w:szCs w:val="21"/>
                    </w:rPr>
                  </w:pPr>
                  <w:r>
                    <w:rPr>
                      <w:rFonts w:hint="eastAsia"/>
                      <w:szCs w:val="21"/>
                    </w:rPr>
                    <w:t>林格曼黑度</w:t>
                  </w:r>
                </w:p>
              </w:tc>
              <w:tc>
                <w:tcPr>
                  <w:tcW w:w="1195" w:type="dxa"/>
                  <w:tcBorders>
                    <w:tl2br w:val="nil"/>
                    <w:tr2bl w:val="nil"/>
                  </w:tcBorders>
                  <w:vAlign w:val="center"/>
                </w:tcPr>
                <w:p>
                  <w:pPr>
                    <w:adjustRightInd w:val="0"/>
                    <w:snapToGrid w:val="0"/>
                    <w:jc w:val="center"/>
                    <w:rPr>
                      <w:szCs w:val="21"/>
                    </w:rPr>
                  </w:pPr>
                  <w:r>
                    <w:rPr>
                      <w:rFonts w:hint="eastAsia"/>
                      <w:szCs w:val="21"/>
                    </w:rPr>
                    <w:t>≤1级</w:t>
                  </w:r>
                </w:p>
              </w:tc>
              <w:tc>
                <w:tcPr>
                  <w:tcW w:w="2339" w:type="dxa"/>
                  <w:gridSpan w:val="2"/>
                  <w:tcBorders>
                    <w:tl2br w:val="nil"/>
                    <w:tr2bl w:val="nil"/>
                  </w:tcBorders>
                  <w:vAlign w:val="center"/>
                </w:tcPr>
                <w:p>
                  <w:pPr>
                    <w:pStyle w:val="75"/>
                    <w:snapToGrid w:val="0"/>
                  </w:pPr>
                  <w:r>
                    <w:rPr>
                      <w:rFonts w:hint="eastAsia"/>
                      <w:szCs w:val="21"/>
                    </w:rPr>
                    <w:t>/</w:t>
                  </w:r>
                </w:p>
              </w:tc>
              <w:tc>
                <w:tcPr>
                  <w:tcW w:w="960" w:type="dxa"/>
                  <w:tcBorders>
                    <w:tl2br w:val="nil"/>
                    <w:tr2bl w:val="nil"/>
                  </w:tcBorders>
                  <w:vAlign w:val="center"/>
                </w:tcPr>
                <w:p>
                  <w:pPr>
                    <w:adjustRightInd w:val="0"/>
                    <w:snapToGrid w:val="0"/>
                    <w:jc w:val="center"/>
                    <w:rPr>
                      <w:bCs/>
                      <w:szCs w:val="21"/>
                    </w:rPr>
                  </w:pPr>
                  <w:r>
                    <w:rPr>
                      <w:rFonts w:hint="eastAsia"/>
                      <w:bCs/>
                      <w:szCs w:val="21"/>
                    </w:rPr>
                    <w:t>/</w:t>
                  </w:r>
                </w:p>
              </w:tc>
            </w:tr>
          </w:tbl>
          <w:p>
            <w:pPr>
              <w:widowControl/>
              <w:jc w:val="left"/>
              <w:rPr>
                <w:szCs w:val="21"/>
              </w:rPr>
            </w:pPr>
            <w:r>
              <w:rPr>
                <w:rFonts w:hint="eastAsia" w:ascii="宋体" w:hAnsi="宋体" w:cs="宋体"/>
                <w:b/>
                <w:bCs/>
                <w:color w:val="000000"/>
                <w:kern w:val="0"/>
                <w:szCs w:val="21"/>
                <w:lang w:bidi="ar"/>
              </w:rPr>
              <w:t>注：根据《重污染天气重点行业应急减排措施制定技术指南》（</w:t>
            </w:r>
            <w:r>
              <w:rPr>
                <w:b/>
                <w:bCs/>
                <w:color w:val="000000"/>
                <w:kern w:val="0"/>
                <w:szCs w:val="21"/>
                <w:lang w:bidi="ar"/>
              </w:rPr>
              <w:t>2020</w:t>
            </w:r>
            <w:r>
              <w:rPr>
                <w:rFonts w:hint="eastAsia" w:ascii="宋体" w:hAnsi="宋体" w:cs="宋体"/>
                <w:b/>
                <w:bCs/>
                <w:color w:val="000000"/>
                <w:kern w:val="0"/>
                <w:szCs w:val="21"/>
                <w:lang w:bidi="ar"/>
              </w:rPr>
              <w:t>年修订版）》人工业涂装行业绩效分级A级企业指标排放限值要求：有组织非甲烷总烃排放浓度不高于20-30</w:t>
            </w:r>
            <w:r>
              <w:rPr>
                <w:b/>
                <w:bCs/>
                <w:color w:val="000000"/>
                <w:kern w:val="0"/>
                <w:szCs w:val="21"/>
                <w:lang w:bidi="ar"/>
              </w:rPr>
              <w:t>mg/m³</w:t>
            </w:r>
            <w:r>
              <w:rPr>
                <w:rFonts w:hint="eastAsia" w:ascii="宋体" w:hAnsi="宋体" w:cs="宋体"/>
                <w:b/>
                <w:bCs/>
                <w:color w:val="000000"/>
                <w:kern w:val="0"/>
                <w:szCs w:val="21"/>
                <w:lang w:bidi="ar"/>
              </w:rPr>
              <w:t>，非甲烷总烃有织排放浓度限值执行30</w:t>
            </w:r>
            <w:r>
              <w:rPr>
                <w:b/>
                <w:bCs/>
                <w:color w:val="000000"/>
                <w:kern w:val="0"/>
                <w:szCs w:val="21"/>
                <w:lang w:bidi="ar"/>
              </w:rPr>
              <w:t>mg/m³</w:t>
            </w:r>
            <w:r>
              <w:rPr>
                <w:rFonts w:hint="eastAsia" w:ascii="宋体" w:hAnsi="宋体" w:cs="宋体"/>
                <w:b/>
                <w:bCs/>
                <w:color w:val="000000"/>
                <w:kern w:val="0"/>
                <w:szCs w:val="21"/>
                <w:lang w:bidi="ar"/>
              </w:rPr>
              <w:t>。</w:t>
            </w:r>
          </w:p>
          <w:p>
            <w:pPr>
              <w:adjustRightInd w:val="0"/>
              <w:snapToGrid w:val="0"/>
              <w:spacing w:line="360" w:lineRule="auto"/>
              <w:rPr>
                <w:b/>
                <w:bCs/>
                <w:sz w:val="24"/>
              </w:rPr>
            </w:pPr>
            <w:r>
              <w:rPr>
                <w:rFonts w:hint="eastAsia"/>
                <w:b/>
                <w:bCs/>
                <w:sz w:val="24"/>
              </w:rPr>
              <w:t>2、废水</w:t>
            </w:r>
          </w:p>
          <w:p>
            <w:pPr>
              <w:adjustRightInd w:val="0"/>
              <w:snapToGrid w:val="0"/>
              <w:spacing w:line="360" w:lineRule="auto"/>
              <w:ind w:firstLine="480" w:firstLineChars="200"/>
              <w:rPr>
                <w:kern w:val="0"/>
                <w:sz w:val="24"/>
                <w:lang w:bidi="ar"/>
              </w:rPr>
            </w:pPr>
            <w:r>
              <w:rPr>
                <w:rFonts w:hint="eastAsia"/>
                <w:sz w:val="24"/>
              </w:rPr>
              <w:t>项目生活污水依托</w:t>
            </w:r>
            <w:r>
              <w:rPr>
                <w:rFonts w:hint="eastAsia"/>
                <w:sz w:val="24"/>
                <w:lang w:eastAsia="zh-CN"/>
              </w:rPr>
              <w:t>租赁方化粪池</w:t>
            </w:r>
            <w:r>
              <w:rPr>
                <w:rFonts w:hint="eastAsia"/>
                <w:sz w:val="24"/>
              </w:rPr>
              <w:t>处理后定期清掏外运肥田，不外排；1#、3#</w:t>
            </w:r>
            <w:r>
              <w:rPr>
                <w:rFonts w:hint="eastAsia"/>
                <w:sz w:val="24"/>
                <w:lang w:eastAsia="zh-CN"/>
              </w:rPr>
              <w:t>清洗废水</w:t>
            </w:r>
            <w:r>
              <w:rPr>
                <w:rFonts w:hint="eastAsia"/>
                <w:sz w:val="24"/>
              </w:rPr>
              <w:t>每月更换一次，2#半年更换一次，</w:t>
            </w:r>
            <w:r>
              <w:rPr>
                <w:rFonts w:hint="eastAsia"/>
                <w:sz w:val="24"/>
                <w:szCs w:val="32"/>
                <w:lang w:eastAsia="zh-CN"/>
              </w:rPr>
              <w:t>铝材表面处理废水</w:t>
            </w:r>
            <w:r>
              <w:rPr>
                <w:rFonts w:hint="eastAsia"/>
                <w:sz w:val="24"/>
                <w:szCs w:val="32"/>
                <w:lang w:val="en-US" w:eastAsia="zh-CN"/>
              </w:rPr>
              <w:t>每年更换一次，</w:t>
            </w:r>
            <w:r>
              <w:rPr>
                <w:rFonts w:hint="eastAsia"/>
                <w:sz w:val="24"/>
                <w:szCs w:val="32"/>
                <w:lang w:eastAsia="zh-CN"/>
              </w:rPr>
              <w:t>铝材表面处理废水和清洗废水</w:t>
            </w:r>
            <w:r>
              <w:rPr>
                <w:rFonts w:hint="eastAsia"/>
                <w:sz w:val="24"/>
              </w:rPr>
              <w:t>经污水处理站处理后循环使用；喷淋废水经沉淀后循环使用不外排。</w:t>
            </w:r>
          </w:p>
          <w:p>
            <w:pPr>
              <w:adjustRightInd w:val="0"/>
              <w:snapToGrid w:val="0"/>
              <w:spacing w:line="360" w:lineRule="auto"/>
              <w:rPr>
                <w:b/>
                <w:sz w:val="24"/>
              </w:rPr>
            </w:pPr>
            <w:r>
              <w:rPr>
                <w:b/>
                <w:sz w:val="24"/>
              </w:rPr>
              <w:t>3、噪声</w:t>
            </w:r>
          </w:p>
          <w:p>
            <w:pPr>
              <w:adjustRightInd w:val="0"/>
              <w:snapToGrid w:val="0"/>
              <w:spacing w:line="360" w:lineRule="auto"/>
              <w:ind w:firstLine="480" w:firstLineChars="200"/>
              <w:rPr>
                <w:sz w:val="24"/>
              </w:rPr>
            </w:pPr>
            <w:r>
              <w:rPr>
                <w:sz w:val="24"/>
              </w:rPr>
              <w:t>施工期噪声执行《建筑施工场界环境噪声排放标准》（GB12523-2011）</w:t>
            </w:r>
            <w:r>
              <w:rPr>
                <w:rFonts w:hint="eastAsia"/>
                <w:sz w:val="24"/>
              </w:rPr>
              <w:t>中相关要求</w:t>
            </w:r>
            <w:r>
              <w:rPr>
                <w:sz w:val="24"/>
              </w:rPr>
              <w:t>；运营期噪声排放执行《工业企业厂界环境噪声排放标准》（GB12348-2008）</w:t>
            </w:r>
            <w:r>
              <w:rPr>
                <w:rFonts w:hint="eastAsia"/>
                <w:sz w:val="24"/>
              </w:rPr>
              <w:t>2</w:t>
            </w:r>
            <w:r>
              <w:rPr>
                <w:sz w:val="24"/>
              </w:rPr>
              <w:t>类标准。</w:t>
            </w:r>
          </w:p>
          <w:p>
            <w:pPr>
              <w:spacing w:line="480" w:lineRule="exact"/>
              <w:ind w:firstLine="422" w:firstLineChars="200"/>
              <w:jc w:val="center"/>
              <w:rPr>
                <w:szCs w:val="21"/>
              </w:rPr>
            </w:pPr>
            <w:r>
              <w:rPr>
                <w:b/>
                <w:bCs/>
                <w:kern w:val="0"/>
                <w:szCs w:val="21"/>
              </w:rPr>
              <w:t>表3</w:t>
            </w:r>
            <w:r>
              <w:rPr>
                <w:rFonts w:hint="eastAsia"/>
                <w:b/>
                <w:bCs/>
                <w:kern w:val="0"/>
                <w:szCs w:val="21"/>
              </w:rPr>
              <w:t>-6</w:t>
            </w:r>
            <w:r>
              <w:rPr>
                <w:b/>
                <w:bCs/>
                <w:kern w:val="0"/>
                <w:szCs w:val="21"/>
              </w:rPr>
              <w:t>噪声执行标准</w:t>
            </w:r>
          </w:p>
          <w:tbl>
            <w:tblPr>
              <w:tblStyle w:val="29"/>
              <w:tblW w:w="86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623"/>
              <w:gridCol w:w="1515"/>
              <w:gridCol w:w="15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23" w:type="dxa"/>
                  <w:tcBorders>
                    <w:tl2br w:val="nil"/>
                    <w:tr2bl w:val="nil"/>
                  </w:tcBorders>
                  <w:vAlign w:val="center"/>
                </w:tcPr>
                <w:p>
                  <w:pPr>
                    <w:adjustRightInd w:val="0"/>
                    <w:snapToGrid w:val="0"/>
                    <w:jc w:val="center"/>
                    <w:rPr>
                      <w:b/>
                      <w:szCs w:val="21"/>
                    </w:rPr>
                  </w:pPr>
                  <w:r>
                    <w:rPr>
                      <w:b/>
                      <w:szCs w:val="21"/>
                    </w:rPr>
                    <w:t>执行标准</w:t>
                  </w:r>
                </w:p>
              </w:tc>
              <w:tc>
                <w:tcPr>
                  <w:tcW w:w="1515" w:type="dxa"/>
                  <w:tcBorders>
                    <w:tl2br w:val="nil"/>
                    <w:tr2bl w:val="nil"/>
                  </w:tcBorders>
                  <w:vAlign w:val="center"/>
                </w:tcPr>
                <w:p>
                  <w:pPr>
                    <w:adjustRightInd w:val="0"/>
                    <w:snapToGrid w:val="0"/>
                    <w:jc w:val="center"/>
                    <w:rPr>
                      <w:b/>
                      <w:szCs w:val="21"/>
                    </w:rPr>
                  </w:pPr>
                  <w:r>
                    <w:rPr>
                      <w:b/>
                      <w:szCs w:val="21"/>
                    </w:rPr>
                    <w:t>昼间</w:t>
                  </w:r>
                  <w:r>
                    <w:rPr>
                      <w:rFonts w:hint="eastAsia"/>
                      <w:b/>
                      <w:szCs w:val="21"/>
                    </w:rPr>
                    <w:t>/dB(A)</w:t>
                  </w:r>
                </w:p>
              </w:tc>
              <w:tc>
                <w:tcPr>
                  <w:tcW w:w="1521" w:type="dxa"/>
                  <w:tcBorders>
                    <w:tl2br w:val="nil"/>
                    <w:tr2bl w:val="nil"/>
                  </w:tcBorders>
                  <w:vAlign w:val="center"/>
                </w:tcPr>
                <w:p>
                  <w:pPr>
                    <w:adjustRightInd w:val="0"/>
                    <w:snapToGrid w:val="0"/>
                    <w:jc w:val="center"/>
                    <w:rPr>
                      <w:b/>
                      <w:szCs w:val="21"/>
                    </w:rPr>
                  </w:pPr>
                  <w:r>
                    <w:rPr>
                      <w:b/>
                      <w:szCs w:val="21"/>
                    </w:rPr>
                    <w:t>夜间</w:t>
                  </w:r>
                  <w:r>
                    <w:rPr>
                      <w:rFonts w:hint="eastAsia"/>
                      <w:b/>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23" w:type="dxa"/>
                  <w:tcBorders>
                    <w:tl2br w:val="nil"/>
                    <w:tr2bl w:val="nil"/>
                  </w:tcBorders>
                  <w:vAlign w:val="center"/>
                </w:tcPr>
                <w:p>
                  <w:pPr>
                    <w:adjustRightInd w:val="0"/>
                    <w:snapToGrid w:val="0"/>
                    <w:jc w:val="center"/>
                    <w:rPr>
                      <w:szCs w:val="21"/>
                    </w:rPr>
                  </w:pPr>
                  <w:r>
                    <w:rPr>
                      <w:szCs w:val="21"/>
                    </w:rPr>
                    <w:t>《建筑施工场界环境噪声排放标准》(GB12523-2011)</w:t>
                  </w:r>
                </w:p>
              </w:tc>
              <w:tc>
                <w:tcPr>
                  <w:tcW w:w="1515" w:type="dxa"/>
                  <w:tcBorders>
                    <w:tl2br w:val="nil"/>
                    <w:tr2bl w:val="nil"/>
                  </w:tcBorders>
                  <w:vAlign w:val="center"/>
                </w:tcPr>
                <w:p>
                  <w:pPr>
                    <w:adjustRightInd w:val="0"/>
                    <w:snapToGrid w:val="0"/>
                    <w:jc w:val="center"/>
                    <w:rPr>
                      <w:szCs w:val="21"/>
                    </w:rPr>
                  </w:pPr>
                  <w:r>
                    <w:rPr>
                      <w:szCs w:val="21"/>
                    </w:rPr>
                    <w:t>70</w:t>
                  </w:r>
                </w:p>
              </w:tc>
              <w:tc>
                <w:tcPr>
                  <w:tcW w:w="1521" w:type="dxa"/>
                  <w:tcBorders>
                    <w:tl2br w:val="nil"/>
                    <w:tr2bl w:val="nil"/>
                  </w:tcBorders>
                  <w:vAlign w:val="center"/>
                </w:tcPr>
                <w:p>
                  <w:pPr>
                    <w:adjustRightInd w:val="0"/>
                    <w:snapToGrid w:val="0"/>
                    <w:jc w:val="center"/>
                    <w:rPr>
                      <w:szCs w:val="21"/>
                    </w:rPr>
                  </w:pPr>
                  <w:r>
                    <w:rPr>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5623" w:type="dxa"/>
                  <w:tcBorders>
                    <w:tl2br w:val="nil"/>
                    <w:tr2bl w:val="nil"/>
                  </w:tcBorders>
                  <w:vAlign w:val="center"/>
                </w:tcPr>
                <w:p>
                  <w:pPr>
                    <w:adjustRightInd w:val="0"/>
                    <w:snapToGrid w:val="0"/>
                    <w:jc w:val="center"/>
                    <w:rPr>
                      <w:szCs w:val="21"/>
                    </w:rPr>
                  </w:pPr>
                  <w:r>
                    <w:rPr>
                      <w:szCs w:val="21"/>
                    </w:rPr>
                    <w:t>《工业企业厂界环境噪声排放标准》（GB12348-2008）</w:t>
                  </w:r>
                </w:p>
              </w:tc>
              <w:tc>
                <w:tcPr>
                  <w:tcW w:w="1515" w:type="dxa"/>
                  <w:tcBorders>
                    <w:tl2br w:val="nil"/>
                    <w:tr2bl w:val="nil"/>
                  </w:tcBorders>
                  <w:vAlign w:val="center"/>
                </w:tcPr>
                <w:p>
                  <w:pPr>
                    <w:adjustRightInd w:val="0"/>
                    <w:snapToGrid w:val="0"/>
                    <w:jc w:val="center"/>
                    <w:rPr>
                      <w:szCs w:val="21"/>
                    </w:rPr>
                  </w:pPr>
                  <w:r>
                    <w:rPr>
                      <w:rFonts w:hint="eastAsia"/>
                      <w:szCs w:val="21"/>
                    </w:rPr>
                    <w:t>60</w:t>
                  </w:r>
                </w:p>
              </w:tc>
              <w:tc>
                <w:tcPr>
                  <w:tcW w:w="1521" w:type="dxa"/>
                  <w:tcBorders>
                    <w:tl2br w:val="nil"/>
                    <w:tr2bl w:val="nil"/>
                  </w:tcBorders>
                  <w:vAlign w:val="center"/>
                </w:tcPr>
                <w:p>
                  <w:pPr>
                    <w:adjustRightInd w:val="0"/>
                    <w:snapToGrid w:val="0"/>
                    <w:jc w:val="center"/>
                    <w:rPr>
                      <w:szCs w:val="21"/>
                    </w:rPr>
                  </w:pPr>
                  <w:r>
                    <w:rPr>
                      <w:rFonts w:hint="eastAsia"/>
                      <w:szCs w:val="21"/>
                    </w:rPr>
                    <w:t>50</w:t>
                  </w:r>
                </w:p>
              </w:tc>
            </w:tr>
          </w:tbl>
          <w:p>
            <w:pPr>
              <w:keepNext/>
              <w:adjustRightInd w:val="0"/>
              <w:snapToGrid w:val="0"/>
              <w:spacing w:line="360" w:lineRule="auto"/>
              <w:rPr>
                <w:b/>
                <w:sz w:val="24"/>
              </w:rPr>
            </w:pPr>
            <w:r>
              <w:rPr>
                <w:b/>
                <w:sz w:val="24"/>
              </w:rPr>
              <w:t>4、固体废物排放标准</w:t>
            </w:r>
          </w:p>
          <w:p>
            <w:pPr>
              <w:adjustRightInd w:val="0"/>
              <w:snapToGrid w:val="0"/>
              <w:spacing w:line="360" w:lineRule="auto"/>
              <w:ind w:firstLine="480" w:firstLineChars="200"/>
              <w:rPr>
                <w:kern w:val="0"/>
                <w:sz w:val="24"/>
              </w:rPr>
            </w:pPr>
            <w:r>
              <w:rPr>
                <w:rFonts w:hint="eastAsia"/>
                <w:kern w:val="0"/>
                <w:sz w:val="24"/>
              </w:rPr>
              <w:t>一般固体废物排放执行</w:t>
            </w:r>
            <w:r>
              <w:rPr>
                <w:sz w:val="24"/>
              </w:rPr>
              <w:t>《一般工业固体废物贮存</w:t>
            </w:r>
            <w:r>
              <w:rPr>
                <w:rFonts w:hint="eastAsia"/>
                <w:sz w:val="24"/>
              </w:rPr>
              <w:t>和填埋</w:t>
            </w:r>
            <w:r>
              <w:rPr>
                <w:sz w:val="24"/>
              </w:rPr>
              <w:t>污染控制标准》（GB18599-</w:t>
            </w:r>
            <w:r>
              <w:rPr>
                <w:rFonts w:hint="eastAsia"/>
                <w:sz w:val="24"/>
              </w:rPr>
              <w:t>2020</w:t>
            </w:r>
            <w:r>
              <w:rPr>
                <w:sz w:val="24"/>
              </w:rPr>
              <w:t>）</w:t>
            </w:r>
            <w:r>
              <w:rPr>
                <w:rFonts w:hint="eastAsia"/>
                <w:sz w:val="24"/>
              </w:rPr>
              <w:t>、</w:t>
            </w:r>
            <w:r>
              <w:rPr>
                <w:sz w:val="24"/>
              </w:rPr>
              <w:t>《一般固体废物</w:t>
            </w:r>
            <w:r>
              <w:rPr>
                <w:rFonts w:hint="eastAsia"/>
                <w:sz w:val="24"/>
              </w:rPr>
              <w:t>分类与代码</w:t>
            </w:r>
            <w:r>
              <w:rPr>
                <w:sz w:val="24"/>
              </w:rPr>
              <w:t>》（GB</w:t>
            </w:r>
            <w:r>
              <w:rPr>
                <w:rFonts w:hint="eastAsia"/>
                <w:sz w:val="24"/>
              </w:rPr>
              <w:t>/T39198</w:t>
            </w:r>
            <w:r>
              <w:rPr>
                <w:sz w:val="24"/>
              </w:rPr>
              <w:t>-20</w:t>
            </w:r>
            <w:r>
              <w:rPr>
                <w:rFonts w:hint="eastAsia"/>
                <w:sz w:val="24"/>
              </w:rPr>
              <w:t>20</w:t>
            </w:r>
            <w:r>
              <w:rPr>
                <w:sz w:val="24"/>
              </w:rPr>
              <w:t>）中的相关规定</w:t>
            </w:r>
            <w:r>
              <w:rPr>
                <w:rFonts w:hint="eastAsia"/>
                <w:sz w:val="24"/>
              </w:rPr>
              <w:t>；</w:t>
            </w:r>
            <w:r>
              <w:rPr>
                <w:kern w:val="0"/>
                <w:sz w:val="24"/>
              </w:rPr>
              <w:t>危险废物执行《危险废物贮存污染控制标准》（GB18597-20</w:t>
            </w:r>
            <w:r>
              <w:rPr>
                <w:rFonts w:hint="eastAsia"/>
                <w:kern w:val="0"/>
                <w:sz w:val="24"/>
              </w:rPr>
              <w:t>23</w:t>
            </w:r>
            <w:r>
              <w:rPr>
                <w:kern w:val="0"/>
                <w:sz w:val="24"/>
              </w:rPr>
              <w:t>）</w:t>
            </w:r>
            <w:r>
              <w:rPr>
                <w:rFonts w:hint="eastAsia"/>
                <w:kern w:val="0"/>
                <w:sz w:val="24"/>
              </w:rPr>
              <w:t>及修改单中</w:t>
            </w:r>
            <w:r>
              <w:rPr>
                <w:kern w:val="0"/>
                <w:sz w:val="24"/>
              </w:rPr>
              <w:t>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8" w:hRule="atLeast"/>
        </w:trPr>
        <w:tc>
          <w:tcPr>
            <w:tcW w:w="229" w:type="pct"/>
            <w:vAlign w:val="center"/>
          </w:tcPr>
          <w:p>
            <w:pPr>
              <w:jc w:val="center"/>
            </w:pPr>
            <w:r>
              <w:t>总量控制指标</w:t>
            </w:r>
          </w:p>
        </w:tc>
        <w:tc>
          <w:tcPr>
            <w:tcW w:w="4771" w:type="pct"/>
            <w:vAlign w:val="center"/>
          </w:tcPr>
          <w:p>
            <w:pPr>
              <w:pStyle w:val="35"/>
              <w:tabs>
                <w:tab w:val="left" w:pos="3713"/>
              </w:tabs>
              <w:snapToGrid w:val="0"/>
              <w:spacing w:line="360" w:lineRule="auto"/>
              <w:ind w:firstLine="480" w:firstLineChars="200"/>
              <w:rPr>
                <w:color w:val="auto"/>
              </w:rPr>
            </w:pPr>
            <w:r>
              <w:rPr>
                <w:rFonts w:hint="eastAsia"/>
                <w:color w:val="auto"/>
              </w:rPr>
              <w:t>按照陕西省十四五生态环境规划，污染物排放总量指标为：化学需氧量、氨氮及氮氧化物，实施重点行业挥发性有机物（VOCs）总量控制。</w:t>
            </w:r>
          </w:p>
          <w:p>
            <w:pPr>
              <w:adjustRightInd w:val="0"/>
              <w:snapToGrid w:val="0"/>
              <w:spacing w:line="360" w:lineRule="auto"/>
              <w:ind w:firstLine="480" w:firstLineChars="200"/>
              <w:rPr>
                <w:sz w:val="24"/>
              </w:rPr>
            </w:pPr>
            <w:r>
              <w:rPr>
                <w:rFonts w:hint="eastAsia"/>
                <w:sz w:val="24"/>
              </w:rPr>
              <w:t>项目生活污水依托</w:t>
            </w:r>
            <w:r>
              <w:rPr>
                <w:rFonts w:hint="eastAsia"/>
                <w:sz w:val="24"/>
                <w:lang w:eastAsia="zh-CN"/>
              </w:rPr>
              <w:t>租赁方化粪池</w:t>
            </w:r>
            <w:r>
              <w:rPr>
                <w:rFonts w:hint="eastAsia"/>
                <w:sz w:val="24"/>
              </w:rPr>
              <w:t>处理后定期清掏外运肥田，</w:t>
            </w:r>
            <w:r>
              <w:rPr>
                <w:rFonts w:hint="eastAsia"/>
                <w:sz w:val="24"/>
                <w:lang w:eastAsia="zh-CN"/>
              </w:rPr>
              <w:t>铝材表面处理废水和清洗废水</w:t>
            </w:r>
            <w:r>
              <w:rPr>
                <w:rFonts w:hint="eastAsia"/>
                <w:sz w:val="24"/>
              </w:rPr>
              <w:t>经污水处理站处理后循环使用，喷淋废水经沉淀后循环使用不外排。</w:t>
            </w:r>
            <w:r>
              <w:rPr>
                <w:sz w:val="24"/>
              </w:rPr>
              <w:t>本次无需单独申请总量控制指标；</w:t>
            </w:r>
            <w:r>
              <w:rPr>
                <w:rFonts w:hint="eastAsia"/>
                <w:sz w:val="24"/>
              </w:rPr>
              <w:t>主要涉及总量控制指标为废气中的氮氧化物0.306t/a、有组织挥发性有机物0.072t/a，具体以西咸新区生态环境分局泾河新城工作部审批总量意见为准。</w:t>
            </w:r>
          </w:p>
          <w:p>
            <w:pPr>
              <w:pStyle w:val="35"/>
              <w:tabs>
                <w:tab w:val="left" w:pos="3713"/>
              </w:tabs>
              <w:adjustRightInd/>
              <w:spacing w:line="480" w:lineRule="exact"/>
              <w:ind w:firstLine="480" w:firstLineChars="200"/>
              <w:rPr>
                <w:color w:val="auto"/>
              </w:rPr>
            </w:pPr>
          </w:p>
          <w:p>
            <w:pPr>
              <w:pStyle w:val="38"/>
              <w:ind w:left="0"/>
            </w:pPr>
          </w:p>
        </w:tc>
      </w:tr>
    </w:tbl>
    <w:p>
      <w:pPr>
        <w:pStyle w:val="2"/>
        <w:spacing w:before="0" w:after="0" w:line="240" w:lineRule="auto"/>
        <w:jc w:val="center"/>
        <w:rPr>
          <w:rFonts w:ascii="宋体" w:hAnsi="宋体" w:cs="宋体"/>
          <w:bCs w:val="0"/>
          <w:sz w:val="32"/>
          <w:szCs w:val="32"/>
        </w:rPr>
      </w:pPr>
      <w:r>
        <w:rPr>
          <w:rFonts w:hint="eastAsia" w:ascii="宋体" w:hAnsi="宋体" w:cs="宋体"/>
          <w:bCs w:val="0"/>
          <w:sz w:val="32"/>
          <w:szCs w:val="32"/>
        </w:rPr>
        <w:br w:type="page"/>
      </w:r>
      <w:r>
        <w:rPr>
          <w:rFonts w:hint="eastAsia" w:ascii="宋体" w:hAnsi="宋体" w:cs="宋体"/>
          <w:bCs w:val="0"/>
          <w:sz w:val="32"/>
          <w:szCs w:val="32"/>
        </w:rPr>
        <w:t>四、主要环境影响和保护措施</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88" w:hRule="atLeast"/>
        </w:trPr>
        <w:tc>
          <w:tcPr>
            <w:tcW w:w="403" w:type="dxa"/>
            <w:vAlign w:val="center"/>
          </w:tcPr>
          <w:p>
            <w:pPr>
              <w:jc w:val="center"/>
            </w:pPr>
            <w:r>
              <w:t>施工期环境保护措施</w:t>
            </w:r>
          </w:p>
        </w:tc>
        <w:tc>
          <w:tcPr>
            <w:tcW w:w="8883" w:type="dxa"/>
            <w:vAlign w:val="center"/>
          </w:tcPr>
          <w:p>
            <w:pPr>
              <w:adjustRightInd w:val="0"/>
              <w:snapToGrid w:val="0"/>
              <w:spacing w:line="360" w:lineRule="auto"/>
              <w:ind w:firstLine="480" w:firstLineChars="200"/>
              <w:rPr>
                <w:sz w:val="24"/>
              </w:rPr>
            </w:pPr>
            <w:r>
              <w:rPr>
                <w:rFonts w:hint="eastAsia"/>
                <w:sz w:val="24"/>
                <w:lang w:eastAsia="zh-CN"/>
              </w:rPr>
              <w:t>项目</w:t>
            </w:r>
            <w:r>
              <w:rPr>
                <w:rFonts w:hint="eastAsia"/>
                <w:sz w:val="24"/>
              </w:rPr>
              <w:t>租赁已建成钢构厂房，</w:t>
            </w:r>
            <w:r>
              <w:rPr>
                <w:sz w:val="24"/>
              </w:rPr>
              <w:t>场地</w:t>
            </w:r>
            <w:r>
              <w:rPr>
                <w:rFonts w:hint="eastAsia"/>
                <w:sz w:val="24"/>
              </w:rPr>
              <w:t>已</w:t>
            </w:r>
            <w:r>
              <w:rPr>
                <w:sz w:val="24"/>
              </w:rPr>
              <w:t>进行硬化，</w:t>
            </w:r>
            <w:r>
              <w:rPr>
                <w:rFonts w:hint="eastAsia"/>
                <w:sz w:val="24"/>
                <w:lang w:eastAsia="zh-CN"/>
              </w:rPr>
              <w:t>项目</w:t>
            </w:r>
            <w:r>
              <w:rPr>
                <w:rFonts w:hint="eastAsia"/>
                <w:sz w:val="24"/>
              </w:rPr>
              <w:t>施工期主要进行厂房建设及设备安装等，主要污染物为施工过程中产生的施工扬尘、施工人员生活污水、设备噪声、废弃物包装等，施工期对环境的影响随施工期而逐渐消失</w:t>
            </w:r>
            <w:r>
              <w:rPr>
                <w:sz w:val="24"/>
              </w:rPr>
              <w:t>。</w:t>
            </w:r>
          </w:p>
          <w:p>
            <w:pPr>
              <w:spacing w:line="360" w:lineRule="auto"/>
              <w:ind w:firstLine="480" w:firstLineChars="200"/>
              <w:rPr>
                <w:sz w:val="24"/>
              </w:rPr>
            </w:pPr>
            <w:r>
              <w:rPr>
                <w:rFonts w:hint="eastAsia"/>
                <w:sz w:val="24"/>
                <w:lang w:eastAsia="zh-CN"/>
              </w:rPr>
              <w:t>项目</w:t>
            </w:r>
            <w:r>
              <w:rPr>
                <w:rFonts w:hint="eastAsia"/>
                <w:sz w:val="24"/>
              </w:rPr>
              <w:t>租赁空置厂房进行建设生产，无土建工程，施工期主要为车间设备安装，施工过程中主要产生少量的施工垃圾、生活污水及设备安装噪声。项目均在白天进行，避免夜间工作，减少对周围环境噪声的影响。</w:t>
            </w:r>
          </w:p>
          <w:p>
            <w:pPr>
              <w:numPr>
                <w:ilvl w:val="0"/>
                <w:numId w:val="9"/>
              </w:numPr>
              <w:spacing w:line="360" w:lineRule="auto"/>
              <w:ind w:firstLine="480" w:firstLineChars="200"/>
              <w:rPr>
                <w:sz w:val="24"/>
              </w:rPr>
            </w:pPr>
            <w:r>
              <w:rPr>
                <w:rFonts w:hint="eastAsia"/>
                <w:sz w:val="24"/>
              </w:rPr>
              <w:t>噪声</w:t>
            </w:r>
            <w:r>
              <w:rPr>
                <w:rFonts w:hint="eastAsia"/>
                <w:sz w:val="24"/>
                <w:lang w:eastAsia="zh-CN"/>
              </w:rPr>
              <w:t>项目</w:t>
            </w:r>
            <w:r>
              <w:rPr>
                <w:rFonts w:hint="eastAsia"/>
                <w:sz w:val="24"/>
              </w:rPr>
              <w:t>施工期主要噪声源为设备安装噪声。为了减轻</w:t>
            </w:r>
            <w:r>
              <w:rPr>
                <w:rFonts w:hint="eastAsia"/>
                <w:sz w:val="24"/>
                <w:lang w:eastAsia="zh-CN"/>
              </w:rPr>
              <w:t>项目</w:t>
            </w:r>
            <w:r>
              <w:rPr>
                <w:rFonts w:hint="eastAsia"/>
                <w:sz w:val="24"/>
              </w:rPr>
              <w:t>施工期噪声的环境影响，施工方应做好相应防噪措施，确保施工场界噪声符合《建筑施工场界环境噪声排放标准》（GB12523-2011)要求，本评价建议项目施工时可采用如下控制措施：</w:t>
            </w:r>
          </w:p>
          <w:p>
            <w:pPr>
              <w:spacing w:line="360" w:lineRule="auto"/>
              <w:ind w:firstLine="480" w:firstLineChars="200"/>
              <w:rPr>
                <w:sz w:val="24"/>
              </w:rPr>
            </w:pPr>
            <w:r>
              <w:rPr>
                <w:rFonts w:hint="eastAsia"/>
                <w:sz w:val="24"/>
              </w:rPr>
              <w:t>①采取降噪措施。在施工设备的选型上尽量采用低噪音设备，可通过消音器和隔离发动机振动部件的方法降低噪声固定设备噪声；</w:t>
            </w:r>
          </w:p>
          <w:p>
            <w:pPr>
              <w:spacing w:line="360" w:lineRule="auto"/>
              <w:ind w:firstLine="480" w:firstLineChars="200"/>
              <w:rPr>
                <w:sz w:val="24"/>
              </w:rPr>
            </w:pPr>
            <w:r>
              <w:rPr>
                <w:rFonts w:hint="eastAsia"/>
                <w:sz w:val="24"/>
              </w:rPr>
              <w:t>②降低人为噪声影响。按操作规范操作机械设备等过程中减少碰撞噪声，并对工人进行环保方面的教育。在装卸过程中，禁止野蛮作业，减少作业噪声；</w:t>
            </w:r>
          </w:p>
          <w:p>
            <w:pPr>
              <w:spacing w:line="360" w:lineRule="auto"/>
              <w:ind w:firstLine="480" w:firstLineChars="200"/>
              <w:rPr>
                <w:sz w:val="24"/>
              </w:rPr>
            </w:pPr>
            <w:r>
              <w:rPr>
                <w:rFonts w:hint="eastAsia"/>
                <w:sz w:val="24"/>
              </w:rPr>
              <w:t>③合理安排施工时间。禁止在中午（12:00-14:00）和夜间（22:00-8:00）施工，建设单位应加强协调，规范施工行为，制定施工计划。应尽可能避免大量噪声设备。</w:t>
            </w:r>
          </w:p>
          <w:p>
            <w:pPr>
              <w:numPr>
                <w:ilvl w:val="0"/>
                <w:numId w:val="9"/>
              </w:numPr>
              <w:spacing w:line="360" w:lineRule="auto"/>
              <w:ind w:firstLine="480" w:firstLineChars="200"/>
              <w:rPr>
                <w:sz w:val="24"/>
              </w:rPr>
            </w:pPr>
            <w:r>
              <w:rPr>
                <w:rFonts w:hint="eastAsia"/>
                <w:sz w:val="24"/>
              </w:rPr>
              <w:t>废水施工期的废水主要为生活污水，生活污水经</w:t>
            </w:r>
            <w:r>
              <w:rPr>
                <w:rFonts w:hint="eastAsia"/>
                <w:sz w:val="24"/>
                <w:lang w:eastAsia="zh-CN"/>
              </w:rPr>
              <w:t>租赁方化粪池</w:t>
            </w:r>
            <w:r>
              <w:rPr>
                <w:rFonts w:hint="eastAsia"/>
                <w:sz w:val="24"/>
              </w:rPr>
              <w:t>收集后定期清掏用作农肥，不外排。</w:t>
            </w:r>
          </w:p>
          <w:p>
            <w:pPr>
              <w:adjustRightInd w:val="0"/>
              <w:snapToGrid w:val="0"/>
              <w:spacing w:line="360" w:lineRule="auto"/>
              <w:ind w:firstLine="480" w:firstLineChars="200"/>
            </w:pPr>
            <w:r>
              <w:rPr>
                <w:rFonts w:hint="eastAsia"/>
                <w:sz w:val="24"/>
              </w:rPr>
              <w:t>三、固体废物本次施工期较短，期间产生的固体废物主要为废旧包装材料及生活垃圾。废旧包装材料品集中收集后外售至废品回收站，施工人员生活垃圾统一收集后由环卫部门定期清运。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03" w:type="dxa"/>
            <w:vAlign w:val="center"/>
          </w:tcPr>
          <w:p>
            <w:pPr>
              <w:jc w:val="center"/>
            </w:pPr>
          </w:p>
          <w:p>
            <w:pPr>
              <w:jc w:val="center"/>
            </w:pPr>
          </w:p>
          <w:p>
            <w:pPr>
              <w:jc w:val="center"/>
            </w:pPr>
          </w:p>
          <w:p>
            <w:pPr>
              <w:jc w:val="center"/>
            </w:pPr>
          </w:p>
          <w:p>
            <w:pPr>
              <w:jc w:val="center"/>
            </w:pPr>
          </w:p>
          <w:p>
            <w:pPr>
              <w:jc w:val="center"/>
            </w:pPr>
          </w:p>
          <w:p>
            <w:pPr>
              <w:jc w:val="center"/>
            </w:pPr>
          </w:p>
          <w:p/>
          <w:p>
            <w:pPr>
              <w:jc w:val="center"/>
            </w:pPr>
          </w:p>
          <w:p>
            <w:pPr>
              <w:jc w:val="center"/>
            </w:pPr>
          </w:p>
          <w:p>
            <w:pPr>
              <w:jc w:val="center"/>
            </w:pPr>
          </w:p>
          <w:p>
            <w:pPr>
              <w:jc w:val="center"/>
            </w:pPr>
            <w:r>
              <w:t>运营期环境影响和保护措施</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rPr>
                <w:rFonts w:ascii="Times New Roman" w:hAnsi="Times New Roman"/>
              </w:rPr>
            </w:pPr>
          </w:p>
          <w:p>
            <w:pPr>
              <w:jc w:val="center"/>
            </w:pPr>
          </w:p>
          <w:p>
            <w:pPr>
              <w:jc w:val="center"/>
            </w:pPr>
          </w:p>
          <w:p>
            <w:pPr>
              <w:jc w:val="center"/>
            </w:pPr>
          </w:p>
          <w:p>
            <w:pPr>
              <w:jc w:val="center"/>
            </w:pPr>
            <w:r>
              <w:t>运营期环境影响和保护措施</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rPr>
                <w:rFonts w:ascii="Times New Roman" w:hAnsi="Times New Roman"/>
              </w:rPr>
            </w:pPr>
          </w:p>
          <w:p/>
          <w:p>
            <w:pPr>
              <w:pStyle w:val="3"/>
              <w:rPr>
                <w:rFonts w:ascii="Times New Roman" w:hAnsi="Times New Roman"/>
              </w:rPr>
            </w:pPr>
          </w:p>
          <w:p/>
          <w:p>
            <w:pPr>
              <w:pStyle w:val="3"/>
              <w:rPr>
                <w:rFonts w:ascii="Times New Roman" w:hAnsi="Times New Roman"/>
              </w:rPr>
            </w:pPr>
          </w:p>
          <w:p>
            <w:pPr>
              <w:jc w:val="center"/>
            </w:pPr>
          </w:p>
          <w:p>
            <w:pPr>
              <w:jc w:val="center"/>
            </w:pPr>
            <w:r>
              <w:t>运营期环境影响和保护措施</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rPr>
                <w:rFonts w:ascii="Times New Roman" w:hAnsi="Times New Roman"/>
              </w:rPr>
            </w:pPr>
          </w:p>
          <w:p/>
          <w:p>
            <w:pPr>
              <w:pStyle w:val="28"/>
              <w:ind w:firstLine="480"/>
            </w:pPr>
          </w:p>
          <w:p/>
          <w:p>
            <w:pPr>
              <w:pStyle w:val="28"/>
              <w:ind w:firstLine="480"/>
            </w:pPr>
          </w:p>
          <w:p/>
          <w:p>
            <w:pPr>
              <w:pStyle w:val="28"/>
              <w:ind w:firstLine="480"/>
            </w:pPr>
          </w:p>
          <w:p/>
          <w:p>
            <w:pPr>
              <w:jc w:val="center"/>
            </w:pPr>
          </w:p>
          <w:p>
            <w:pPr>
              <w:jc w:val="center"/>
            </w:pPr>
          </w:p>
          <w:p>
            <w:pPr>
              <w:jc w:val="center"/>
            </w:pPr>
            <w:r>
              <w:t>运营期环境影响和保护措施</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rPr>
                <w:rFonts w:ascii="Times New Roman" w:hAnsi="Times New Roman"/>
              </w:rPr>
            </w:pPr>
          </w:p>
          <w:p/>
          <w:p>
            <w:pPr>
              <w:pStyle w:val="28"/>
              <w:ind w:firstLine="480"/>
            </w:pPr>
          </w:p>
          <w:p/>
          <w:p>
            <w:pPr>
              <w:pStyle w:val="28"/>
              <w:ind w:firstLine="480"/>
            </w:pPr>
          </w:p>
          <w:p/>
          <w:p/>
          <w:p>
            <w:pPr>
              <w:jc w:val="center"/>
            </w:pPr>
          </w:p>
          <w:p>
            <w:pPr>
              <w:jc w:val="center"/>
            </w:pPr>
          </w:p>
          <w:p>
            <w:pPr>
              <w:pStyle w:val="28"/>
              <w:ind w:firstLine="480"/>
            </w:pPr>
          </w:p>
          <w:p/>
          <w:p>
            <w:pPr>
              <w:pStyle w:val="28"/>
              <w:ind w:firstLine="480"/>
            </w:pPr>
          </w:p>
          <w:p/>
          <w:p>
            <w:pPr>
              <w:pStyle w:val="28"/>
              <w:ind w:firstLine="480"/>
            </w:pPr>
          </w:p>
          <w:p/>
          <w:p>
            <w:pPr>
              <w:pStyle w:val="28"/>
              <w:ind w:firstLine="480"/>
            </w:pPr>
          </w:p>
          <w:p/>
          <w:p>
            <w:pPr>
              <w:pStyle w:val="28"/>
              <w:ind w:firstLine="480"/>
            </w:pPr>
          </w:p>
          <w:p>
            <w:pPr>
              <w:jc w:val="center"/>
            </w:pPr>
          </w:p>
          <w:p>
            <w:pPr>
              <w:jc w:val="center"/>
            </w:pPr>
            <w:r>
              <w:t>运营期环境影响和保护措施</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rPr>
                <w:rFonts w:ascii="Times New Roman" w:hAnsi="Times New Roman"/>
              </w:rPr>
            </w:pPr>
          </w:p>
          <w:p/>
          <w:p>
            <w:pPr>
              <w:pStyle w:val="28"/>
              <w:ind w:firstLine="480"/>
            </w:pPr>
          </w:p>
          <w:p>
            <w:pPr>
              <w:jc w:val="center"/>
            </w:pPr>
          </w:p>
          <w:p>
            <w:pPr>
              <w:jc w:val="center"/>
            </w:pPr>
          </w:p>
          <w:p>
            <w:pPr>
              <w:jc w:val="center"/>
            </w:pPr>
          </w:p>
          <w:p>
            <w:pPr>
              <w:jc w:val="center"/>
            </w:pPr>
            <w:r>
              <w:t>运营期环境影响和保护措施</w:t>
            </w:r>
          </w:p>
          <w:p>
            <w:pPr>
              <w:pStyle w:val="28"/>
              <w:ind w:firstLine="480"/>
            </w:pPr>
          </w:p>
          <w:p>
            <w:pPr>
              <w:pStyle w:val="28"/>
              <w:ind w:firstLine="480"/>
            </w:pPr>
          </w:p>
          <w:p>
            <w:pPr>
              <w:pStyle w:val="28"/>
              <w:ind w:firstLine="480"/>
            </w:pPr>
          </w:p>
          <w:p/>
          <w:p>
            <w:pPr>
              <w:pStyle w:val="28"/>
              <w:ind w:firstLine="480"/>
            </w:pPr>
          </w:p>
          <w:p>
            <w:pPr>
              <w:jc w:val="center"/>
            </w:pPr>
          </w:p>
          <w:p/>
          <w:p>
            <w:pPr>
              <w:pStyle w:val="3"/>
              <w:rPr>
                <w:rFonts w:ascii="Times New Roman" w:hAnsi="Times New Roman"/>
              </w:rPr>
            </w:pPr>
          </w:p>
          <w:p/>
          <w:p>
            <w:pPr>
              <w:pStyle w:val="3"/>
              <w:rPr>
                <w:rFonts w:ascii="Times New Roman" w:hAnsi="Times New Roman"/>
              </w:rPr>
            </w:pPr>
          </w:p>
          <w:p/>
          <w:p>
            <w:pPr>
              <w:pStyle w:val="3"/>
              <w:rPr>
                <w:rFonts w:ascii="Times New Roman" w:hAnsi="Times New Roman"/>
              </w:rPr>
            </w:pPr>
          </w:p>
          <w:p>
            <w:pPr>
              <w:jc w:val="center"/>
            </w:pPr>
          </w:p>
          <w:p>
            <w:pPr>
              <w:pStyle w:val="28"/>
              <w:ind w:firstLine="480"/>
            </w:pPr>
          </w:p>
          <w:p/>
          <w:p>
            <w:pPr>
              <w:pStyle w:val="28"/>
              <w:ind w:firstLine="480"/>
            </w:pPr>
          </w:p>
        </w:tc>
        <w:tc>
          <w:tcPr>
            <w:tcW w:w="8883" w:type="dxa"/>
            <w:vAlign w:val="center"/>
          </w:tcPr>
          <w:p>
            <w:pPr>
              <w:spacing w:line="480" w:lineRule="exact"/>
              <w:rPr>
                <w:b/>
                <w:bCs/>
                <w:sz w:val="24"/>
              </w:rPr>
            </w:pPr>
            <w:r>
              <w:rPr>
                <w:rFonts w:hint="eastAsia"/>
                <w:b/>
                <w:bCs/>
                <w:sz w:val="24"/>
              </w:rPr>
              <w:t>一、</w:t>
            </w:r>
            <w:r>
              <w:rPr>
                <w:b/>
                <w:bCs/>
                <w:sz w:val="24"/>
              </w:rPr>
              <w:t>废气</w:t>
            </w:r>
          </w:p>
          <w:p>
            <w:pPr>
              <w:pStyle w:val="4"/>
              <w:adjustRightInd w:val="0"/>
              <w:snapToGrid w:val="0"/>
              <w:spacing w:before="0" w:after="0" w:line="360" w:lineRule="auto"/>
              <w:rPr>
                <w:bCs/>
                <w:kern w:val="21"/>
                <w:sz w:val="24"/>
              </w:rPr>
            </w:pPr>
            <w:r>
              <w:rPr>
                <w:bCs/>
                <w:kern w:val="21"/>
                <w:sz w:val="24"/>
              </w:rPr>
              <w:t>1、废气产排情况</w:t>
            </w:r>
          </w:p>
          <w:p>
            <w:pPr>
              <w:tabs>
                <w:tab w:val="left" w:pos="0"/>
              </w:tabs>
              <w:adjustRightInd w:val="0"/>
              <w:snapToGrid w:val="0"/>
              <w:jc w:val="center"/>
              <w:rPr>
                <w:b/>
                <w:bCs/>
              </w:rPr>
            </w:pPr>
            <w:r>
              <w:rPr>
                <w:b/>
                <w:bCs/>
              </w:rPr>
              <w:t>表</w:t>
            </w:r>
            <w:r>
              <w:rPr>
                <w:rFonts w:hint="eastAsia"/>
                <w:b/>
                <w:bCs/>
              </w:rPr>
              <w:t>4-1</w:t>
            </w:r>
            <w:r>
              <w:rPr>
                <w:b/>
                <w:bCs/>
              </w:rPr>
              <w:t>生产车间有组织废气产生和排放情况一览表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439"/>
              <w:gridCol w:w="580"/>
              <w:gridCol w:w="736"/>
              <w:gridCol w:w="720"/>
              <w:gridCol w:w="576"/>
              <w:gridCol w:w="732"/>
              <w:gridCol w:w="2028"/>
              <w:gridCol w:w="696"/>
              <w:gridCol w:w="720"/>
              <w:gridCol w:w="696"/>
              <w:gridCol w:w="7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019" w:type="dxa"/>
                  <w:gridSpan w:val="2"/>
                  <w:vMerge w:val="restart"/>
                  <w:vAlign w:val="center"/>
                </w:tcPr>
                <w:p>
                  <w:pPr>
                    <w:adjustRightInd w:val="0"/>
                    <w:snapToGrid w:val="0"/>
                    <w:spacing w:line="240" w:lineRule="atLeast"/>
                    <w:jc w:val="center"/>
                    <w:rPr>
                      <w:b/>
                      <w:bCs/>
                      <w:szCs w:val="21"/>
                    </w:rPr>
                  </w:pPr>
                  <w:r>
                    <w:rPr>
                      <w:b/>
                      <w:bCs/>
                      <w:szCs w:val="21"/>
                    </w:rPr>
                    <w:t>污染源</w:t>
                  </w:r>
                </w:p>
              </w:tc>
              <w:tc>
                <w:tcPr>
                  <w:tcW w:w="736" w:type="dxa"/>
                  <w:vMerge w:val="restart"/>
                  <w:vAlign w:val="center"/>
                </w:tcPr>
                <w:p>
                  <w:pPr>
                    <w:adjustRightInd w:val="0"/>
                    <w:snapToGrid w:val="0"/>
                    <w:spacing w:line="240" w:lineRule="atLeast"/>
                    <w:jc w:val="center"/>
                    <w:rPr>
                      <w:b/>
                      <w:bCs/>
                      <w:szCs w:val="21"/>
                    </w:rPr>
                  </w:pPr>
                  <w:r>
                    <w:rPr>
                      <w:b/>
                      <w:bCs/>
                      <w:szCs w:val="21"/>
                    </w:rPr>
                    <w:t>污染物名称</w:t>
                  </w:r>
                </w:p>
              </w:tc>
              <w:tc>
                <w:tcPr>
                  <w:tcW w:w="2028" w:type="dxa"/>
                  <w:gridSpan w:val="3"/>
                  <w:vAlign w:val="center"/>
                </w:tcPr>
                <w:p>
                  <w:pPr>
                    <w:adjustRightInd w:val="0"/>
                    <w:snapToGrid w:val="0"/>
                    <w:spacing w:line="240" w:lineRule="atLeast"/>
                    <w:jc w:val="center"/>
                    <w:rPr>
                      <w:b/>
                      <w:bCs/>
                      <w:szCs w:val="21"/>
                    </w:rPr>
                  </w:pPr>
                  <w:r>
                    <w:rPr>
                      <w:b/>
                      <w:bCs/>
                      <w:szCs w:val="21"/>
                    </w:rPr>
                    <w:t>污染物产生情况</w:t>
                  </w:r>
                </w:p>
              </w:tc>
              <w:tc>
                <w:tcPr>
                  <w:tcW w:w="2028" w:type="dxa"/>
                  <w:vMerge w:val="restart"/>
                  <w:vAlign w:val="center"/>
                </w:tcPr>
                <w:p>
                  <w:pPr>
                    <w:adjustRightInd w:val="0"/>
                    <w:snapToGrid w:val="0"/>
                    <w:spacing w:line="240" w:lineRule="atLeast"/>
                    <w:jc w:val="center"/>
                    <w:rPr>
                      <w:b/>
                      <w:bCs/>
                      <w:szCs w:val="21"/>
                    </w:rPr>
                  </w:pPr>
                  <w:r>
                    <w:rPr>
                      <w:b/>
                      <w:bCs/>
                      <w:szCs w:val="21"/>
                    </w:rPr>
                    <w:t>采取处理措施</w:t>
                  </w:r>
                </w:p>
                <w:p>
                  <w:pPr>
                    <w:adjustRightInd w:val="0"/>
                    <w:snapToGrid w:val="0"/>
                    <w:spacing w:line="240" w:lineRule="atLeast"/>
                    <w:jc w:val="center"/>
                    <w:rPr>
                      <w:b/>
                      <w:bCs/>
                      <w:szCs w:val="21"/>
                    </w:rPr>
                  </w:pPr>
                </w:p>
              </w:tc>
              <w:tc>
                <w:tcPr>
                  <w:tcW w:w="2112" w:type="dxa"/>
                  <w:gridSpan w:val="3"/>
                  <w:vAlign w:val="center"/>
                </w:tcPr>
                <w:p>
                  <w:pPr>
                    <w:adjustRightInd w:val="0"/>
                    <w:snapToGrid w:val="0"/>
                    <w:spacing w:line="240" w:lineRule="atLeast"/>
                    <w:jc w:val="center"/>
                    <w:rPr>
                      <w:b/>
                      <w:bCs/>
                      <w:szCs w:val="21"/>
                    </w:rPr>
                  </w:pPr>
                  <w:r>
                    <w:rPr>
                      <w:b/>
                      <w:bCs/>
                      <w:szCs w:val="21"/>
                    </w:rPr>
                    <w:t>污染物排放情况</w:t>
                  </w:r>
                </w:p>
              </w:tc>
              <w:tc>
                <w:tcPr>
                  <w:tcW w:w="729" w:type="dxa"/>
                  <w:vMerge w:val="restart"/>
                  <w:vAlign w:val="center"/>
                </w:tcPr>
                <w:p>
                  <w:pPr>
                    <w:spacing w:line="240" w:lineRule="atLeast"/>
                    <w:jc w:val="center"/>
                    <w:rPr>
                      <w:b/>
                      <w:bCs/>
                      <w:szCs w:val="21"/>
                    </w:rPr>
                  </w:pPr>
                  <w:r>
                    <w:rPr>
                      <w:b/>
                      <w:szCs w:val="21"/>
                      <w:lang w:bidi="ar-BH"/>
                    </w:rPr>
                    <w:t>是否可行性技术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590" w:hRule="atLeast"/>
                <w:jc w:val="center"/>
              </w:trPr>
              <w:tc>
                <w:tcPr>
                  <w:tcW w:w="1019" w:type="dxa"/>
                  <w:gridSpan w:val="2"/>
                  <w:vMerge w:val="continue"/>
                  <w:vAlign w:val="center"/>
                </w:tcPr>
                <w:p>
                  <w:pPr>
                    <w:adjustRightInd w:val="0"/>
                    <w:snapToGrid w:val="0"/>
                    <w:spacing w:line="240" w:lineRule="atLeast"/>
                    <w:jc w:val="center"/>
                    <w:rPr>
                      <w:b/>
                      <w:bCs/>
                      <w:szCs w:val="21"/>
                    </w:rPr>
                  </w:pPr>
                </w:p>
              </w:tc>
              <w:tc>
                <w:tcPr>
                  <w:tcW w:w="736" w:type="dxa"/>
                  <w:vMerge w:val="continue"/>
                  <w:vAlign w:val="center"/>
                </w:tcPr>
                <w:p>
                  <w:pPr>
                    <w:adjustRightInd w:val="0"/>
                    <w:snapToGrid w:val="0"/>
                    <w:spacing w:line="240" w:lineRule="atLeast"/>
                    <w:jc w:val="center"/>
                    <w:rPr>
                      <w:b/>
                      <w:bCs/>
                      <w:szCs w:val="21"/>
                    </w:rPr>
                  </w:pPr>
                </w:p>
              </w:tc>
              <w:tc>
                <w:tcPr>
                  <w:tcW w:w="720" w:type="dxa"/>
                  <w:vAlign w:val="center"/>
                </w:tcPr>
                <w:p>
                  <w:pPr>
                    <w:adjustRightInd w:val="0"/>
                    <w:snapToGrid w:val="0"/>
                    <w:spacing w:line="240" w:lineRule="atLeast"/>
                    <w:jc w:val="center"/>
                    <w:rPr>
                      <w:b/>
                      <w:bCs/>
                      <w:szCs w:val="21"/>
                    </w:rPr>
                  </w:pPr>
                  <w:r>
                    <w:rPr>
                      <w:rFonts w:hint="eastAsia"/>
                      <w:b/>
                      <w:bCs/>
                      <w:szCs w:val="21"/>
                    </w:rPr>
                    <w:t>收集</w:t>
                  </w:r>
                  <w:r>
                    <w:rPr>
                      <w:b/>
                      <w:bCs/>
                      <w:szCs w:val="21"/>
                    </w:rPr>
                    <w:t>量</w:t>
                  </w:r>
                </w:p>
                <w:p>
                  <w:pPr>
                    <w:adjustRightInd w:val="0"/>
                    <w:snapToGrid w:val="0"/>
                    <w:spacing w:line="240" w:lineRule="atLeast"/>
                    <w:jc w:val="center"/>
                    <w:rPr>
                      <w:b/>
                      <w:bCs/>
                      <w:szCs w:val="21"/>
                    </w:rPr>
                  </w:pPr>
                  <w:r>
                    <w:rPr>
                      <w:b/>
                      <w:bCs/>
                      <w:szCs w:val="21"/>
                    </w:rPr>
                    <w:t>t/a</w:t>
                  </w:r>
                </w:p>
              </w:tc>
              <w:tc>
                <w:tcPr>
                  <w:tcW w:w="576" w:type="dxa"/>
                  <w:vAlign w:val="center"/>
                </w:tcPr>
                <w:p>
                  <w:pPr>
                    <w:adjustRightInd w:val="0"/>
                    <w:snapToGrid w:val="0"/>
                    <w:spacing w:line="240" w:lineRule="atLeast"/>
                    <w:jc w:val="center"/>
                    <w:rPr>
                      <w:b/>
                      <w:bCs/>
                      <w:szCs w:val="21"/>
                    </w:rPr>
                  </w:pPr>
                  <w:r>
                    <w:rPr>
                      <w:b/>
                      <w:bCs/>
                      <w:szCs w:val="21"/>
                    </w:rPr>
                    <w:t>速率</w:t>
                  </w:r>
                </w:p>
                <w:p>
                  <w:pPr>
                    <w:adjustRightInd w:val="0"/>
                    <w:snapToGrid w:val="0"/>
                    <w:spacing w:line="240" w:lineRule="atLeast"/>
                    <w:jc w:val="center"/>
                    <w:rPr>
                      <w:b/>
                      <w:bCs/>
                      <w:szCs w:val="21"/>
                    </w:rPr>
                  </w:pPr>
                  <w:r>
                    <w:rPr>
                      <w:b/>
                      <w:bCs/>
                      <w:szCs w:val="21"/>
                    </w:rPr>
                    <w:t>kg/h</w:t>
                  </w:r>
                </w:p>
              </w:tc>
              <w:tc>
                <w:tcPr>
                  <w:tcW w:w="732" w:type="dxa"/>
                  <w:vAlign w:val="center"/>
                </w:tcPr>
                <w:p>
                  <w:pPr>
                    <w:adjustRightInd w:val="0"/>
                    <w:snapToGrid w:val="0"/>
                    <w:spacing w:line="240" w:lineRule="atLeast"/>
                    <w:jc w:val="center"/>
                    <w:rPr>
                      <w:b/>
                      <w:bCs/>
                      <w:szCs w:val="21"/>
                    </w:rPr>
                  </w:pPr>
                  <w:r>
                    <w:rPr>
                      <w:b/>
                      <w:bCs/>
                      <w:szCs w:val="21"/>
                    </w:rPr>
                    <w:t>浓度</w:t>
                  </w:r>
                </w:p>
                <w:p>
                  <w:pPr>
                    <w:adjustRightInd w:val="0"/>
                    <w:snapToGrid w:val="0"/>
                    <w:spacing w:line="240" w:lineRule="atLeast"/>
                    <w:jc w:val="center"/>
                    <w:rPr>
                      <w:b/>
                      <w:bCs/>
                      <w:szCs w:val="21"/>
                    </w:rPr>
                  </w:pPr>
                  <w:r>
                    <w:rPr>
                      <w:b/>
                      <w:bCs/>
                      <w:szCs w:val="21"/>
                    </w:rPr>
                    <w:t>mg/m</w:t>
                  </w:r>
                  <w:r>
                    <w:rPr>
                      <w:b/>
                      <w:bCs/>
                      <w:szCs w:val="21"/>
                      <w:vertAlign w:val="superscript"/>
                    </w:rPr>
                    <w:t>3</w:t>
                  </w:r>
                </w:p>
              </w:tc>
              <w:tc>
                <w:tcPr>
                  <w:tcW w:w="2028" w:type="dxa"/>
                  <w:vMerge w:val="continue"/>
                  <w:vAlign w:val="center"/>
                </w:tcPr>
                <w:p>
                  <w:pPr>
                    <w:adjustRightInd w:val="0"/>
                    <w:snapToGrid w:val="0"/>
                    <w:spacing w:line="240" w:lineRule="atLeast"/>
                    <w:jc w:val="center"/>
                    <w:rPr>
                      <w:b/>
                      <w:bCs/>
                      <w:szCs w:val="21"/>
                    </w:rPr>
                  </w:pPr>
                </w:p>
              </w:tc>
              <w:tc>
                <w:tcPr>
                  <w:tcW w:w="696" w:type="dxa"/>
                  <w:vAlign w:val="center"/>
                </w:tcPr>
                <w:p>
                  <w:pPr>
                    <w:adjustRightInd w:val="0"/>
                    <w:snapToGrid w:val="0"/>
                    <w:spacing w:line="240" w:lineRule="atLeast"/>
                    <w:jc w:val="center"/>
                    <w:rPr>
                      <w:b/>
                      <w:bCs/>
                      <w:szCs w:val="21"/>
                    </w:rPr>
                  </w:pPr>
                  <w:r>
                    <w:rPr>
                      <w:b/>
                      <w:bCs/>
                      <w:szCs w:val="21"/>
                    </w:rPr>
                    <w:t>排放量</w:t>
                  </w:r>
                </w:p>
                <w:p>
                  <w:pPr>
                    <w:adjustRightInd w:val="0"/>
                    <w:snapToGrid w:val="0"/>
                    <w:spacing w:line="240" w:lineRule="atLeast"/>
                    <w:jc w:val="center"/>
                    <w:rPr>
                      <w:b/>
                      <w:bCs/>
                      <w:szCs w:val="21"/>
                    </w:rPr>
                  </w:pPr>
                  <w:r>
                    <w:rPr>
                      <w:b/>
                      <w:bCs/>
                      <w:szCs w:val="21"/>
                    </w:rPr>
                    <w:t>t/a</w:t>
                  </w:r>
                </w:p>
              </w:tc>
              <w:tc>
                <w:tcPr>
                  <w:tcW w:w="720" w:type="dxa"/>
                  <w:vAlign w:val="center"/>
                </w:tcPr>
                <w:p>
                  <w:pPr>
                    <w:adjustRightInd w:val="0"/>
                    <w:snapToGrid w:val="0"/>
                    <w:spacing w:line="240" w:lineRule="atLeast"/>
                    <w:jc w:val="center"/>
                    <w:rPr>
                      <w:b/>
                      <w:bCs/>
                      <w:szCs w:val="21"/>
                    </w:rPr>
                  </w:pPr>
                  <w:r>
                    <w:rPr>
                      <w:b/>
                      <w:bCs/>
                      <w:szCs w:val="21"/>
                    </w:rPr>
                    <w:t>速率</w:t>
                  </w:r>
                </w:p>
                <w:p>
                  <w:pPr>
                    <w:adjustRightInd w:val="0"/>
                    <w:snapToGrid w:val="0"/>
                    <w:spacing w:line="240" w:lineRule="atLeast"/>
                    <w:jc w:val="center"/>
                    <w:rPr>
                      <w:b/>
                      <w:bCs/>
                      <w:szCs w:val="21"/>
                    </w:rPr>
                  </w:pPr>
                  <w:r>
                    <w:rPr>
                      <w:b/>
                      <w:bCs/>
                      <w:szCs w:val="21"/>
                    </w:rPr>
                    <w:t>kg/h</w:t>
                  </w:r>
                </w:p>
              </w:tc>
              <w:tc>
                <w:tcPr>
                  <w:tcW w:w="696" w:type="dxa"/>
                  <w:vAlign w:val="center"/>
                </w:tcPr>
                <w:p>
                  <w:pPr>
                    <w:adjustRightInd w:val="0"/>
                    <w:snapToGrid w:val="0"/>
                    <w:spacing w:line="240" w:lineRule="atLeast"/>
                    <w:jc w:val="center"/>
                    <w:rPr>
                      <w:b/>
                      <w:bCs/>
                      <w:szCs w:val="21"/>
                    </w:rPr>
                  </w:pPr>
                  <w:r>
                    <w:rPr>
                      <w:b/>
                      <w:bCs/>
                      <w:szCs w:val="21"/>
                    </w:rPr>
                    <w:t>浓度mg/m</w:t>
                  </w:r>
                  <w:r>
                    <w:rPr>
                      <w:b/>
                      <w:bCs/>
                      <w:szCs w:val="21"/>
                      <w:vertAlign w:val="superscript"/>
                    </w:rPr>
                    <w:t>3</w:t>
                  </w:r>
                </w:p>
              </w:tc>
              <w:tc>
                <w:tcPr>
                  <w:tcW w:w="729" w:type="dxa"/>
                  <w:vMerge w:val="continue"/>
                  <w:vAlign w:val="center"/>
                </w:tcPr>
                <w:p>
                  <w:pPr>
                    <w:adjustRightInd w:val="0"/>
                    <w:snapToGrid w:val="0"/>
                    <w:spacing w:line="240" w:lineRule="atLeast"/>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39" w:type="dxa"/>
                  <w:vAlign w:val="center"/>
                </w:tcPr>
                <w:p>
                  <w:pPr>
                    <w:adjustRightInd w:val="0"/>
                    <w:snapToGrid w:val="0"/>
                    <w:spacing w:line="240" w:lineRule="atLeast"/>
                    <w:jc w:val="center"/>
                    <w:rPr>
                      <w:kern w:val="21"/>
                      <w:szCs w:val="21"/>
                    </w:rPr>
                  </w:pPr>
                  <w:r>
                    <w:rPr>
                      <w:rFonts w:hint="eastAsia"/>
                      <w:szCs w:val="21"/>
                    </w:rPr>
                    <w:t>DA001</w:t>
                  </w:r>
                </w:p>
              </w:tc>
              <w:tc>
                <w:tcPr>
                  <w:tcW w:w="580" w:type="dxa"/>
                  <w:vAlign w:val="center"/>
                </w:tcPr>
                <w:p>
                  <w:pPr>
                    <w:widowControl/>
                    <w:spacing w:line="240" w:lineRule="atLeast"/>
                    <w:jc w:val="center"/>
                    <w:rPr>
                      <w:bCs/>
                      <w:kern w:val="21"/>
                      <w:szCs w:val="21"/>
                    </w:rPr>
                  </w:pPr>
                  <w:r>
                    <w:rPr>
                      <w:rFonts w:hint="eastAsia"/>
                      <w:kern w:val="21"/>
                      <w:szCs w:val="21"/>
                    </w:rPr>
                    <w:t>喷塑</w:t>
                  </w:r>
                </w:p>
              </w:tc>
              <w:tc>
                <w:tcPr>
                  <w:tcW w:w="736" w:type="dxa"/>
                  <w:vAlign w:val="center"/>
                </w:tcPr>
                <w:p>
                  <w:pPr>
                    <w:widowControl/>
                    <w:spacing w:line="240" w:lineRule="atLeast"/>
                    <w:jc w:val="center"/>
                    <w:rPr>
                      <w:bCs/>
                      <w:kern w:val="21"/>
                      <w:szCs w:val="21"/>
                    </w:rPr>
                  </w:pPr>
                  <w:r>
                    <w:rPr>
                      <w:bCs/>
                      <w:kern w:val="21"/>
                      <w:szCs w:val="21"/>
                    </w:rPr>
                    <w:t>颗粒物</w:t>
                  </w:r>
                </w:p>
              </w:tc>
              <w:tc>
                <w:tcPr>
                  <w:tcW w:w="720" w:type="dxa"/>
                  <w:vAlign w:val="center"/>
                </w:tcPr>
                <w:p>
                  <w:pPr>
                    <w:widowControl/>
                    <w:jc w:val="center"/>
                    <w:textAlignment w:val="center"/>
                    <w:rPr>
                      <w:kern w:val="0"/>
                      <w:szCs w:val="21"/>
                      <w:lang w:bidi="ar"/>
                    </w:rPr>
                  </w:pPr>
                  <w:r>
                    <w:rPr>
                      <w:rFonts w:hint="eastAsia"/>
                      <w:kern w:val="0"/>
                      <w:szCs w:val="21"/>
                      <w:lang w:bidi="ar"/>
                    </w:rPr>
                    <w:t>4.56</w:t>
                  </w:r>
                </w:p>
              </w:tc>
              <w:tc>
                <w:tcPr>
                  <w:tcW w:w="576" w:type="dxa"/>
                  <w:vAlign w:val="center"/>
                </w:tcPr>
                <w:p>
                  <w:pPr>
                    <w:widowControl/>
                    <w:jc w:val="center"/>
                    <w:textAlignment w:val="center"/>
                    <w:rPr>
                      <w:kern w:val="0"/>
                      <w:szCs w:val="21"/>
                      <w:lang w:bidi="ar"/>
                    </w:rPr>
                  </w:pPr>
                  <w:r>
                    <w:rPr>
                      <w:rFonts w:hint="eastAsia"/>
                      <w:kern w:val="0"/>
                      <w:szCs w:val="21"/>
                      <w:lang w:bidi="ar"/>
                    </w:rPr>
                    <w:t>2.533</w:t>
                  </w:r>
                </w:p>
              </w:tc>
              <w:tc>
                <w:tcPr>
                  <w:tcW w:w="732" w:type="dxa"/>
                  <w:vAlign w:val="center"/>
                </w:tcPr>
                <w:p>
                  <w:pPr>
                    <w:widowControl/>
                    <w:jc w:val="center"/>
                    <w:textAlignment w:val="center"/>
                    <w:rPr>
                      <w:rFonts w:hint="eastAsia" w:eastAsia="宋体"/>
                      <w:kern w:val="0"/>
                      <w:szCs w:val="21"/>
                      <w:lang w:eastAsia="zh-CN" w:bidi="ar"/>
                    </w:rPr>
                  </w:pPr>
                  <w:r>
                    <w:rPr>
                      <w:rFonts w:hint="eastAsia"/>
                      <w:kern w:val="0"/>
                      <w:szCs w:val="21"/>
                      <w:lang w:bidi="ar"/>
                    </w:rPr>
                    <w:t>153.3</w:t>
                  </w:r>
                </w:p>
              </w:tc>
              <w:tc>
                <w:tcPr>
                  <w:tcW w:w="2028" w:type="dxa"/>
                  <w:vAlign w:val="center"/>
                </w:tcPr>
                <w:p>
                  <w:pPr>
                    <w:adjustRightInd w:val="0"/>
                    <w:snapToGrid w:val="0"/>
                    <w:spacing w:line="240" w:lineRule="atLeast"/>
                    <w:jc w:val="center"/>
                    <w:rPr>
                      <w:bCs/>
                      <w:kern w:val="21"/>
                      <w:szCs w:val="21"/>
                    </w:rPr>
                  </w:pPr>
                  <w:r>
                    <w:rPr>
                      <w:szCs w:val="21"/>
                      <w:lang w:bidi="zh-CN"/>
                    </w:rPr>
                    <w:t>喷</w:t>
                  </w:r>
                  <w:r>
                    <w:rPr>
                      <w:rFonts w:hint="eastAsia"/>
                      <w:szCs w:val="21"/>
                      <w:lang w:bidi="zh-CN"/>
                    </w:rPr>
                    <w:t>塑</w:t>
                  </w:r>
                  <w:r>
                    <w:rPr>
                      <w:szCs w:val="21"/>
                      <w:lang w:bidi="zh-CN"/>
                    </w:rPr>
                    <w:t>房大旋风回收系统（滤筒</w:t>
                  </w:r>
                  <w:r>
                    <w:rPr>
                      <w:rFonts w:hint="eastAsia"/>
                      <w:szCs w:val="21"/>
                      <w:lang w:val="en-US" w:bidi="zh-CN"/>
                    </w:rPr>
                    <w:t>+</w:t>
                  </w:r>
                  <w:r>
                    <w:rPr>
                      <w:szCs w:val="21"/>
                      <w:lang w:bidi="zh-CN"/>
                    </w:rPr>
                    <w:t>大旋风分离器）</w:t>
                  </w:r>
                  <w:r>
                    <w:rPr>
                      <w:kern w:val="21"/>
                      <w:szCs w:val="21"/>
                    </w:rPr>
                    <w:t>+15m排气筒</w:t>
                  </w:r>
                  <w:r>
                    <w:rPr>
                      <w:rFonts w:hint="eastAsia"/>
                      <w:kern w:val="21"/>
                      <w:szCs w:val="21"/>
                    </w:rPr>
                    <w:t>；</w:t>
                  </w:r>
                  <w:r>
                    <w:rPr>
                      <w:kern w:val="21"/>
                      <w:szCs w:val="21"/>
                    </w:rPr>
                    <w:t>风量：</w:t>
                  </w:r>
                  <w:r>
                    <w:rPr>
                      <w:rFonts w:hint="eastAsia"/>
                      <w:kern w:val="21"/>
                      <w:szCs w:val="21"/>
                    </w:rPr>
                    <w:t>10</w:t>
                  </w:r>
                  <w:r>
                    <w:rPr>
                      <w:kern w:val="21"/>
                      <w:szCs w:val="21"/>
                    </w:rPr>
                    <w:t>000m</w:t>
                  </w:r>
                  <w:r>
                    <w:rPr>
                      <w:kern w:val="21"/>
                      <w:szCs w:val="21"/>
                      <w:vertAlign w:val="superscript"/>
                    </w:rPr>
                    <w:t>3</w:t>
                  </w:r>
                  <w:r>
                    <w:rPr>
                      <w:kern w:val="21"/>
                      <w:szCs w:val="21"/>
                    </w:rPr>
                    <w:t>/h</w:t>
                  </w:r>
                </w:p>
              </w:tc>
              <w:tc>
                <w:tcPr>
                  <w:tcW w:w="696" w:type="dxa"/>
                  <w:vAlign w:val="center"/>
                </w:tcPr>
                <w:p>
                  <w:pPr>
                    <w:widowControl/>
                    <w:jc w:val="center"/>
                    <w:textAlignment w:val="center"/>
                    <w:rPr>
                      <w:kern w:val="0"/>
                      <w:szCs w:val="21"/>
                      <w:lang w:bidi="ar"/>
                    </w:rPr>
                  </w:pPr>
                  <w:r>
                    <w:rPr>
                      <w:rFonts w:hint="eastAsia"/>
                      <w:kern w:val="0"/>
                      <w:szCs w:val="21"/>
                      <w:lang w:bidi="ar"/>
                    </w:rPr>
                    <w:t>0.046</w:t>
                  </w:r>
                </w:p>
              </w:tc>
              <w:tc>
                <w:tcPr>
                  <w:tcW w:w="720" w:type="dxa"/>
                  <w:vAlign w:val="center"/>
                </w:tcPr>
                <w:p>
                  <w:pPr>
                    <w:widowControl/>
                    <w:jc w:val="center"/>
                    <w:textAlignment w:val="center"/>
                    <w:rPr>
                      <w:kern w:val="0"/>
                      <w:szCs w:val="21"/>
                      <w:lang w:bidi="ar"/>
                    </w:rPr>
                  </w:pPr>
                  <w:r>
                    <w:rPr>
                      <w:rFonts w:hint="eastAsia"/>
                      <w:kern w:val="0"/>
                      <w:szCs w:val="21"/>
                      <w:lang w:bidi="ar"/>
                    </w:rPr>
                    <w:t>0.025</w:t>
                  </w:r>
                </w:p>
              </w:tc>
              <w:tc>
                <w:tcPr>
                  <w:tcW w:w="696" w:type="dxa"/>
                  <w:vAlign w:val="center"/>
                </w:tcPr>
                <w:p>
                  <w:pPr>
                    <w:widowControl/>
                    <w:jc w:val="center"/>
                    <w:textAlignment w:val="center"/>
                    <w:rPr>
                      <w:rFonts w:hint="eastAsia" w:eastAsia="宋体"/>
                      <w:kern w:val="0"/>
                      <w:szCs w:val="21"/>
                      <w:lang w:eastAsia="zh-CN" w:bidi="ar"/>
                    </w:rPr>
                  </w:pPr>
                  <w:r>
                    <w:rPr>
                      <w:rFonts w:hint="eastAsia"/>
                      <w:kern w:val="0"/>
                      <w:szCs w:val="21"/>
                      <w:lang w:bidi="ar"/>
                    </w:rPr>
                    <w:t>2.533</w:t>
                  </w:r>
                </w:p>
              </w:tc>
              <w:tc>
                <w:tcPr>
                  <w:tcW w:w="729" w:type="dxa"/>
                  <w:vAlign w:val="center"/>
                </w:tcPr>
                <w:p>
                  <w:pPr>
                    <w:widowControl/>
                    <w:spacing w:line="240" w:lineRule="atLeast"/>
                    <w:jc w:val="center"/>
                    <w:textAlignment w:val="center"/>
                    <w:rPr>
                      <w:bCs/>
                      <w:szCs w:val="21"/>
                      <w:lang w:bidi="ar-BH"/>
                    </w:rPr>
                  </w:pPr>
                  <w:r>
                    <w:rPr>
                      <w:bCs/>
                      <w:szCs w:val="21"/>
                      <w:lang w:bidi="ar-BH"/>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39" w:type="dxa"/>
                  <w:vMerge w:val="restart"/>
                  <w:vAlign w:val="center"/>
                </w:tcPr>
                <w:p>
                  <w:pPr>
                    <w:adjustRightInd w:val="0"/>
                    <w:snapToGrid w:val="0"/>
                    <w:spacing w:line="240" w:lineRule="atLeast"/>
                    <w:jc w:val="center"/>
                    <w:rPr>
                      <w:szCs w:val="21"/>
                    </w:rPr>
                  </w:pPr>
                  <w:r>
                    <w:rPr>
                      <w:rFonts w:hint="eastAsia"/>
                      <w:szCs w:val="21"/>
                    </w:rPr>
                    <w:t>DA002</w:t>
                  </w:r>
                </w:p>
                <w:p>
                  <w:pPr>
                    <w:adjustRightInd w:val="0"/>
                    <w:snapToGrid w:val="0"/>
                    <w:spacing w:line="240" w:lineRule="atLeast"/>
                    <w:jc w:val="center"/>
                    <w:rPr>
                      <w:szCs w:val="21"/>
                    </w:rPr>
                  </w:pPr>
                </w:p>
              </w:tc>
              <w:tc>
                <w:tcPr>
                  <w:tcW w:w="580" w:type="dxa"/>
                  <w:vAlign w:val="center"/>
                </w:tcPr>
                <w:p>
                  <w:pPr>
                    <w:widowControl/>
                    <w:spacing w:line="240" w:lineRule="atLeast"/>
                    <w:jc w:val="center"/>
                    <w:rPr>
                      <w:kern w:val="21"/>
                      <w:szCs w:val="21"/>
                    </w:rPr>
                  </w:pPr>
                  <w:r>
                    <w:rPr>
                      <w:rFonts w:hint="eastAsia"/>
                      <w:kern w:val="21"/>
                      <w:szCs w:val="21"/>
                    </w:rPr>
                    <w:t>热固化</w:t>
                  </w:r>
                </w:p>
              </w:tc>
              <w:tc>
                <w:tcPr>
                  <w:tcW w:w="736" w:type="dxa"/>
                  <w:vMerge w:val="restart"/>
                  <w:vAlign w:val="center"/>
                </w:tcPr>
                <w:p>
                  <w:pPr>
                    <w:widowControl/>
                    <w:spacing w:line="240" w:lineRule="atLeast"/>
                    <w:jc w:val="center"/>
                    <w:rPr>
                      <w:bCs/>
                      <w:kern w:val="21"/>
                      <w:szCs w:val="21"/>
                    </w:rPr>
                  </w:pPr>
                  <w:r>
                    <w:rPr>
                      <w:rFonts w:hint="eastAsia"/>
                      <w:bCs/>
                      <w:kern w:val="21"/>
                      <w:szCs w:val="21"/>
                    </w:rPr>
                    <w:t>非甲烷总烃</w:t>
                  </w:r>
                </w:p>
              </w:tc>
              <w:tc>
                <w:tcPr>
                  <w:tcW w:w="720" w:type="dxa"/>
                  <w:vAlign w:val="center"/>
                </w:tcPr>
                <w:p>
                  <w:pPr>
                    <w:widowControl/>
                    <w:jc w:val="center"/>
                    <w:textAlignment w:val="center"/>
                    <w:rPr>
                      <w:kern w:val="0"/>
                      <w:szCs w:val="21"/>
                      <w:lang w:bidi="ar"/>
                    </w:rPr>
                  </w:pPr>
                  <w:r>
                    <w:rPr>
                      <w:rFonts w:hint="eastAsia"/>
                      <w:kern w:val="0"/>
                      <w:szCs w:val="21"/>
                      <w:lang w:bidi="ar"/>
                    </w:rPr>
                    <w:t>0.012</w:t>
                  </w:r>
                </w:p>
              </w:tc>
              <w:tc>
                <w:tcPr>
                  <w:tcW w:w="576" w:type="dxa"/>
                  <w:vAlign w:val="center"/>
                </w:tcPr>
                <w:p>
                  <w:pPr>
                    <w:widowControl/>
                    <w:jc w:val="center"/>
                    <w:textAlignment w:val="center"/>
                    <w:rPr>
                      <w:kern w:val="0"/>
                      <w:szCs w:val="21"/>
                      <w:lang w:bidi="ar"/>
                    </w:rPr>
                  </w:pPr>
                  <w:r>
                    <w:rPr>
                      <w:rFonts w:hint="eastAsia"/>
                      <w:kern w:val="0"/>
                      <w:szCs w:val="21"/>
                      <w:lang w:bidi="ar"/>
                    </w:rPr>
                    <w:t>0.007</w:t>
                  </w:r>
                </w:p>
              </w:tc>
              <w:tc>
                <w:tcPr>
                  <w:tcW w:w="732" w:type="dxa"/>
                  <w:vAlign w:val="center"/>
                </w:tcPr>
                <w:p>
                  <w:pPr>
                    <w:widowControl/>
                    <w:jc w:val="center"/>
                    <w:textAlignment w:val="center"/>
                    <w:rPr>
                      <w:kern w:val="0"/>
                      <w:szCs w:val="21"/>
                      <w:lang w:bidi="ar"/>
                    </w:rPr>
                  </w:pPr>
                  <w:r>
                    <w:rPr>
                      <w:rFonts w:hint="eastAsia"/>
                      <w:kern w:val="0"/>
                      <w:szCs w:val="21"/>
                      <w:lang w:bidi="ar"/>
                    </w:rPr>
                    <w:t>0.667</w:t>
                  </w:r>
                </w:p>
              </w:tc>
              <w:tc>
                <w:tcPr>
                  <w:tcW w:w="2028" w:type="dxa"/>
                  <w:vMerge w:val="restart"/>
                  <w:vAlign w:val="center"/>
                </w:tcPr>
                <w:p>
                  <w:pPr>
                    <w:adjustRightInd w:val="0"/>
                    <w:snapToGrid w:val="0"/>
                    <w:spacing w:line="240" w:lineRule="atLeast"/>
                    <w:jc w:val="center"/>
                    <w:rPr>
                      <w:kern w:val="21"/>
                      <w:szCs w:val="21"/>
                    </w:rPr>
                  </w:pPr>
                  <w:r>
                    <w:rPr>
                      <w:rFonts w:hint="eastAsia"/>
                      <w:kern w:val="21"/>
                      <w:szCs w:val="21"/>
                    </w:rPr>
                    <w:t>5个集气罩+喷淋塔+过滤棉+二级活性炭吸附+15m排气筒；</w:t>
                  </w:r>
                  <w:r>
                    <w:rPr>
                      <w:kern w:val="21"/>
                      <w:szCs w:val="21"/>
                    </w:rPr>
                    <w:t>风量：</w:t>
                  </w:r>
                  <w:r>
                    <w:rPr>
                      <w:rFonts w:hint="eastAsia"/>
                      <w:kern w:val="21"/>
                      <w:szCs w:val="21"/>
                    </w:rPr>
                    <w:t>10</w:t>
                  </w:r>
                  <w:r>
                    <w:rPr>
                      <w:kern w:val="21"/>
                      <w:szCs w:val="21"/>
                    </w:rPr>
                    <w:t>000m</w:t>
                  </w:r>
                  <w:r>
                    <w:rPr>
                      <w:kern w:val="21"/>
                      <w:szCs w:val="21"/>
                      <w:vertAlign w:val="superscript"/>
                    </w:rPr>
                    <w:t>3</w:t>
                  </w:r>
                  <w:r>
                    <w:rPr>
                      <w:kern w:val="21"/>
                      <w:szCs w:val="21"/>
                    </w:rPr>
                    <w:t>/h</w:t>
                  </w:r>
                </w:p>
                <w:p>
                  <w:pPr>
                    <w:adjustRightInd w:val="0"/>
                    <w:snapToGrid w:val="0"/>
                    <w:spacing w:line="240" w:lineRule="atLeast"/>
                    <w:jc w:val="center"/>
                    <w:rPr>
                      <w:szCs w:val="21"/>
                    </w:rPr>
                  </w:pPr>
                  <w:r>
                    <w:rPr>
                      <w:rFonts w:hint="eastAsia"/>
                      <w:szCs w:val="21"/>
                    </w:rPr>
                    <w:t>（各燃烧器自带低氮燃烧器，共5台）</w:t>
                  </w:r>
                </w:p>
              </w:tc>
              <w:tc>
                <w:tcPr>
                  <w:tcW w:w="696" w:type="dxa"/>
                  <w:vAlign w:val="center"/>
                </w:tcPr>
                <w:p>
                  <w:pPr>
                    <w:widowControl/>
                    <w:jc w:val="center"/>
                    <w:textAlignment w:val="center"/>
                    <w:rPr>
                      <w:kern w:val="0"/>
                      <w:szCs w:val="21"/>
                      <w:lang w:bidi="ar"/>
                    </w:rPr>
                  </w:pPr>
                  <w:r>
                    <w:rPr>
                      <w:rFonts w:hint="eastAsia"/>
                      <w:kern w:val="0"/>
                      <w:szCs w:val="21"/>
                      <w:lang w:bidi="ar"/>
                    </w:rPr>
                    <w:t>0.005</w:t>
                  </w:r>
                </w:p>
              </w:tc>
              <w:tc>
                <w:tcPr>
                  <w:tcW w:w="720" w:type="dxa"/>
                  <w:vAlign w:val="center"/>
                </w:tcPr>
                <w:p>
                  <w:pPr>
                    <w:widowControl/>
                    <w:jc w:val="center"/>
                    <w:textAlignment w:val="center"/>
                    <w:rPr>
                      <w:kern w:val="0"/>
                      <w:szCs w:val="21"/>
                      <w:lang w:bidi="ar"/>
                    </w:rPr>
                  </w:pPr>
                  <w:r>
                    <w:rPr>
                      <w:rFonts w:hint="eastAsia"/>
                      <w:kern w:val="0"/>
                      <w:szCs w:val="21"/>
                      <w:lang w:bidi="ar"/>
                    </w:rPr>
                    <w:t>0.003</w:t>
                  </w:r>
                </w:p>
              </w:tc>
              <w:tc>
                <w:tcPr>
                  <w:tcW w:w="696" w:type="dxa"/>
                  <w:vAlign w:val="center"/>
                </w:tcPr>
                <w:p>
                  <w:pPr>
                    <w:widowControl/>
                    <w:jc w:val="center"/>
                    <w:textAlignment w:val="center"/>
                    <w:rPr>
                      <w:kern w:val="0"/>
                      <w:szCs w:val="21"/>
                      <w:lang w:bidi="ar"/>
                    </w:rPr>
                  </w:pPr>
                  <w:r>
                    <w:rPr>
                      <w:rFonts w:hint="eastAsia"/>
                      <w:kern w:val="0"/>
                      <w:szCs w:val="21"/>
                      <w:lang w:bidi="ar"/>
                    </w:rPr>
                    <w:t>0.3</w:t>
                  </w:r>
                </w:p>
              </w:tc>
              <w:tc>
                <w:tcPr>
                  <w:tcW w:w="729" w:type="dxa"/>
                  <w:vAlign w:val="center"/>
                </w:tcPr>
                <w:p>
                  <w:pPr>
                    <w:widowControl/>
                    <w:spacing w:line="240" w:lineRule="atLeast"/>
                    <w:ind w:firstLine="210" w:firstLineChars="100"/>
                    <w:textAlignment w:val="center"/>
                    <w:rPr>
                      <w:bCs/>
                      <w:szCs w:val="21"/>
                      <w:lang w:bidi="ar-BH"/>
                    </w:rPr>
                  </w:pPr>
                  <w:r>
                    <w:rPr>
                      <w:rFonts w:hint="eastAsia"/>
                      <w:bCs/>
                      <w:szCs w:val="21"/>
                      <w:lang w:bidi="ar-BH"/>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39" w:type="dxa"/>
                  <w:vMerge w:val="continue"/>
                  <w:vAlign w:val="center"/>
                </w:tcPr>
                <w:p>
                  <w:pPr>
                    <w:adjustRightInd w:val="0"/>
                    <w:snapToGrid w:val="0"/>
                    <w:spacing w:line="240" w:lineRule="atLeast"/>
                    <w:jc w:val="center"/>
                    <w:rPr>
                      <w:szCs w:val="21"/>
                    </w:rPr>
                  </w:pPr>
                </w:p>
              </w:tc>
              <w:tc>
                <w:tcPr>
                  <w:tcW w:w="580" w:type="dxa"/>
                  <w:vAlign w:val="center"/>
                </w:tcPr>
                <w:p>
                  <w:pPr>
                    <w:widowControl/>
                    <w:spacing w:line="240" w:lineRule="atLeast"/>
                    <w:jc w:val="center"/>
                    <w:rPr>
                      <w:kern w:val="21"/>
                      <w:szCs w:val="21"/>
                    </w:rPr>
                  </w:pPr>
                  <w:r>
                    <w:rPr>
                      <w:rFonts w:hint="eastAsia"/>
                      <w:szCs w:val="21"/>
                    </w:rPr>
                    <w:t>入炉转印</w:t>
                  </w:r>
                </w:p>
              </w:tc>
              <w:tc>
                <w:tcPr>
                  <w:tcW w:w="736" w:type="dxa"/>
                  <w:vMerge w:val="continue"/>
                  <w:vAlign w:val="center"/>
                </w:tcPr>
                <w:p>
                  <w:pPr>
                    <w:widowControl/>
                    <w:spacing w:line="240" w:lineRule="atLeast"/>
                    <w:jc w:val="center"/>
                    <w:rPr>
                      <w:bCs/>
                      <w:kern w:val="21"/>
                      <w:szCs w:val="21"/>
                    </w:rPr>
                  </w:pPr>
                </w:p>
              </w:tc>
              <w:tc>
                <w:tcPr>
                  <w:tcW w:w="720" w:type="dxa"/>
                  <w:vAlign w:val="center"/>
                </w:tcPr>
                <w:p>
                  <w:pPr>
                    <w:widowControl/>
                    <w:jc w:val="center"/>
                    <w:textAlignment w:val="center"/>
                    <w:rPr>
                      <w:kern w:val="0"/>
                      <w:szCs w:val="21"/>
                      <w:lang w:bidi="ar"/>
                    </w:rPr>
                  </w:pPr>
                  <w:r>
                    <w:rPr>
                      <w:rFonts w:hint="eastAsia"/>
                      <w:kern w:val="0"/>
                      <w:szCs w:val="21"/>
                      <w:lang w:bidi="ar"/>
                    </w:rPr>
                    <w:t>0.06</w:t>
                  </w:r>
                </w:p>
              </w:tc>
              <w:tc>
                <w:tcPr>
                  <w:tcW w:w="576" w:type="dxa"/>
                  <w:vAlign w:val="center"/>
                </w:tcPr>
                <w:p>
                  <w:pPr>
                    <w:widowControl/>
                    <w:jc w:val="center"/>
                    <w:textAlignment w:val="center"/>
                    <w:rPr>
                      <w:kern w:val="0"/>
                      <w:szCs w:val="21"/>
                      <w:lang w:bidi="ar"/>
                    </w:rPr>
                  </w:pPr>
                  <w:r>
                    <w:rPr>
                      <w:rFonts w:hint="eastAsia"/>
                      <w:kern w:val="0"/>
                      <w:szCs w:val="21"/>
                      <w:lang w:bidi="ar"/>
                    </w:rPr>
                    <w:t>0.034</w:t>
                  </w:r>
                </w:p>
              </w:tc>
              <w:tc>
                <w:tcPr>
                  <w:tcW w:w="732" w:type="dxa"/>
                  <w:vAlign w:val="center"/>
                </w:tcPr>
                <w:p>
                  <w:pPr>
                    <w:widowControl/>
                    <w:jc w:val="center"/>
                    <w:textAlignment w:val="center"/>
                    <w:rPr>
                      <w:kern w:val="0"/>
                      <w:szCs w:val="21"/>
                      <w:lang w:bidi="ar"/>
                    </w:rPr>
                  </w:pPr>
                  <w:r>
                    <w:rPr>
                      <w:rFonts w:hint="eastAsia"/>
                      <w:kern w:val="0"/>
                      <w:szCs w:val="21"/>
                      <w:lang w:bidi="ar"/>
                    </w:rPr>
                    <w:t>3.4</w:t>
                  </w:r>
                </w:p>
              </w:tc>
              <w:tc>
                <w:tcPr>
                  <w:tcW w:w="2028" w:type="dxa"/>
                  <w:vMerge w:val="continue"/>
                  <w:vAlign w:val="center"/>
                </w:tcPr>
                <w:p>
                  <w:pPr>
                    <w:adjustRightInd w:val="0"/>
                    <w:snapToGrid w:val="0"/>
                    <w:spacing w:line="240" w:lineRule="atLeast"/>
                    <w:jc w:val="center"/>
                    <w:rPr>
                      <w:kern w:val="21"/>
                      <w:szCs w:val="21"/>
                    </w:rPr>
                  </w:pPr>
                </w:p>
              </w:tc>
              <w:tc>
                <w:tcPr>
                  <w:tcW w:w="696" w:type="dxa"/>
                  <w:vAlign w:val="center"/>
                </w:tcPr>
                <w:p>
                  <w:pPr>
                    <w:widowControl/>
                    <w:jc w:val="center"/>
                    <w:textAlignment w:val="center"/>
                    <w:rPr>
                      <w:kern w:val="0"/>
                      <w:szCs w:val="21"/>
                      <w:lang w:bidi="ar"/>
                    </w:rPr>
                  </w:pPr>
                  <w:r>
                    <w:rPr>
                      <w:rFonts w:hint="eastAsia"/>
                      <w:kern w:val="0"/>
                      <w:szCs w:val="21"/>
                      <w:lang w:bidi="ar"/>
                    </w:rPr>
                    <w:t>0.024</w:t>
                  </w:r>
                </w:p>
              </w:tc>
              <w:tc>
                <w:tcPr>
                  <w:tcW w:w="720" w:type="dxa"/>
                  <w:vAlign w:val="center"/>
                </w:tcPr>
                <w:p>
                  <w:pPr>
                    <w:widowControl/>
                    <w:jc w:val="center"/>
                    <w:textAlignment w:val="center"/>
                    <w:rPr>
                      <w:kern w:val="0"/>
                      <w:szCs w:val="21"/>
                      <w:lang w:bidi="ar"/>
                    </w:rPr>
                  </w:pPr>
                  <w:r>
                    <w:rPr>
                      <w:rFonts w:hint="eastAsia"/>
                      <w:kern w:val="0"/>
                      <w:szCs w:val="21"/>
                      <w:lang w:bidi="ar"/>
                    </w:rPr>
                    <w:t>0.013</w:t>
                  </w:r>
                </w:p>
              </w:tc>
              <w:tc>
                <w:tcPr>
                  <w:tcW w:w="696" w:type="dxa"/>
                  <w:vAlign w:val="center"/>
                </w:tcPr>
                <w:p>
                  <w:pPr>
                    <w:widowControl/>
                    <w:jc w:val="center"/>
                    <w:textAlignment w:val="center"/>
                    <w:rPr>
                      <w:kern w:val="0"/>
                      <w:szCs w:val="21"/>
                      <w:lang w:bidi="ar"/>
                    </w:rPr>
                  </w:pPr>
                  <w:r>
                    <w:rPr>
                      <w:rFonts w:hint="eastAsia"/>
                      <w:kern w:val="0"/>
                      <w:szCs w:val="21"/>
                      <w:lang w:bidi="ar"/>
                    </w:rPr>
                    <w:t>1.3</w:t>
                  </w:r>
                </w:p>
              </w:tc>
              <w:tc>
                <w:tcPr>
                  <w:tcW w:w="729" w:type="dxa"/>
                  <w:vMerge w:val="restart"/>
                  <w:vAlign w:val="center"/>
                </w:tcPr>
                <w:p>
                  <w:pPr>
                    <w:widowControl/>
                    <w:spacing w:line="240" w:lineRule="atLeast"/>
                    <w:jc w:val="center"/>
                    <w:textAlignment w:val="center"/>
                    <w:rPr>
                      <w:bCs/>
                      <w:szCs w:val="21"/>
                      <w:lang w:bidi="ar-BH"/>
                    </w:rPr>
                  </w:pPr>
                  <w:r>
                    <w:rPr>
                      <w:rFonts w:hint="eastAsia"/>
                      <w:bCs/>
                      <w:szCs w:val="21"/>
                      <w:lang w:bidi="ar-BH"/>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39" w:type="dxa"/>
                  <w:vMerge w:val="continue"/>
                  <w:vAlign w:val="center"/>
                </w:tcPr>
                <w:p>
                  <w:pPr>
                    <w:adjustRightInd w:val="0"/>
                    <w:snapToGrid w:val="0"/>
                    <w:spacing w:line="240" w:lineRule="atLeast"/>
                    <w:jc w:val="center"/>
                    <w:rPr>
                      <w:szCs w:val="21"/>
                    </w:rPr>
                  </w:pPr>
                </w:p>
              </w:tc>
              <w:tc>
                <w:tcPr>
                  <w:tcW w:w="580" w:type="dxa"/>
                  <w:vAlign w:val="center"/>
                </w:tcPr>
                <w:p>
                  <w:pPr>
                    <w:widowControl/>
                    <w:spacing w:line="240" w:lineRule="atLeast"/>
                    <w:jc w:val="center"/>
                    <w:rPr>
                      <w:kern w:val="21"/>
                      <w:szCs w:val="21"/>
                    </w:rPr>
                  </w:pPr>
                  <w:r>
                    <w:rPr>
                      <w:rFonts w:hint="eastAsia"/>
                      <w:szCs w:val="21"/>
                    </w:rPr>
                    <w:t>覆膜</w:t>
                  </w:r>
                </w:p>
              </w:tc>
              <w:tc>
                <w:tcPr>
                  <w:tcW w:w="736" w:type="dxa"/>
                  <w:vMerge w:val="continue"/>
                  <w:vAlign w:val="center"/>
                </w:tcPr>
                <w:p>
                  <w:pPr>
                    <w:widowControl/>
                    <w:spacing w:line="240" w:lineRule="atLeast"/>
                    <w:jc w:val="center"/>
                    <w:rPr>
                      <w:bCs/>
                      <w:kern w:val="21"/>
                      <w:szCs w:val="21"/>
                    </w:rPr>
                  </w:pPr>
                </w:p>
              </w:tc>
              <w:tc>
                <w:tcPr>
                  <w:tcW w:w="720" w:type="dxa"/>
                  <w:vAlign w:val="center"/>
                </w:tcPr>
                <w:p>
                  <w:pPr>
                    <w:widowControl/>
                    <w:jc w:val="center"/>
                    <w:textAlignment w:val="center"/>
                    <w:rPr>
                      <w:kern w:val="0"/>
                      <w:szCs w:val="21"/>
                      <w:lang w:bidi="ar"/>
                    </w:rPr>
                  </w:pPr>
                  <w:r>
                    <w:rPr>
                      <w:rFonts w:hint="eastAsia"/>
                      <w:kern w:val="0"/>
                      <w:szCs w:val="21"/>
                      <w:lang w:bidi="ar"/>
                    </w:rPr>
                    <w:t>0.108</w:t>
                  </w:r>
                </w:p>
              </w:tc>
              <w:tc>
                <w:tcPr>
                  <w:tcW w:w="576" w:type="dxa"/>
                  <w:vAlign w:val="center"/>
                </w:tcPr>
                <w:p>
                  <w:pPr>
                    <w:widowControl/>
                    <w:jc w:val="center"/>
                    <w:textAlignment w:val="center"/>
                    <w:rPr>
                      <w:kern w:val="0"/>
                      <w:szCs w:val="21"/>
                      <w:lang w:bidi="ar"/>
                    </w:rPr>
                  </w:pPr>
                  <w:r>
                    <w:rPr>
                      <w:rFonts w:hint="eastAsia"/>
                      <w:kern w:val="0"/>
                      <w:szCs w:val="21"/>
                      <w:lang w:bidi="ar"/>
                    </w:rPr>
                    <w:t>0.06</w:t>
                  </w:r>
                </w:p>
              </w:tc>
              <w:tc>
                <w:tcPr>
                  <w:tcW w:w="732" w:type="dxa"/>
                  <w:vAlign w:val="center"/>
                </w:tcPr>
                <w:p>
                  <w:pPr>
                    <w:widowControl/>
                    <w:jc w:val="center"/>
                    <w:textAlignment w:val="center"/>
                    <w:rPr>
                      <w:kern w:val="0"/>
                      <w:szCs w:val="21"/>
                      <w:lang w:bidi="ar"/>
                    </w:rPr>
                  </w:pPr>
                  <w:r>
                    <w:rPr>
                      <w:rFonts w:hint="eastAsia"/>
                      <w:kern w:val="0"/>
                      <w:szCs w:val="21"/>
                      <w:lang w:bidi="ar"/>
                    </w:rPr>
                    <w:t>6</w:t>
                  </w:r>
                </w:p>
              </w:tc>
              <w:tc>
                <w:tcPr>
                  <w:tcW w:w="2028" w:type="dxa"/>
                  <w:vMerge w:val="continue"/>
                  <w:vAlign w:val="center"/>
                </w:tcPr>
                <w:p>
                  <w:pPr>
                    <w:adjustRightInd w:val="0"/>
                    <w:snapToGrid w:val="0"/>
                    <w:spacing w:line="240" w:lineRule="atLeast"/>
                    <w:jc w:val="center"/>
                    <w:rPr>
                      <w:kern w:val="21"/>
                      <w:szCs w:val="21"/>
                    </w:rPr>
                  </w:pPr>
                </w:p>
              </w:tc>
              <w:tc>
                <w:tcPr>
                  <w:tcW w:w="696" w:type="dxa"/>
                  <w:vAlign w:val="center"/>
                </w:tcPr>
                <w:p>
                  <w:pPr>
                    <w:widowControl/>
                    <w:jc w:val="center"/>
                    <w:textAlignment w:val="center"/>
                    <w:rPr>
                      <w:kern w:val="0"/>
                      <w:szCs w:val="21"/>
                      <w:lang w:bidi="ar"/>
                    </w:rPr>
                  </w:pPr>
                  <w:r>
                    <w:rPr>
                      <w:rFonts w:hint="eastAsia"/>
                      <w:kern w:val="0"/>
                      <w:szCs w:val="21"/>
                      <w:lang w:bidi="ar"/>
                    </w:rPr>
                    <w:t>0.043</w:t>
                  </w:r>
                </w:p>
              </w:tc>
              <w:tc>
                <w:tcPr>
                  <w:tcW w:w="720" w:type="dxa"/>
                  <w:vAlign w:val="center"/>
                </w:tcPr>
                <w:p>
                  <w:pPr>
                    <w:widowControl/>
                    <w:jc w:val="center"/>
                    <w:textAlignment w:val="center"/>
                    <w:rPr>
                      <w:kern w:val="0"/>
                      <w:szCs w:val="21"/>
                      <w:lang w:bidi="ar"/>
                    </w:rPr>
                  </w:pPr>
                  <w:r>
                    <w:rPr>
                      <w:rFonts w:hint="eastAsia"/>
                      <w:kern w:val="0"/>
                      <w:szCs w:val="21"/>
                      <w:lang w:bidi="ar"/>
                    </w:rPr>
                    <w:t>0.024</w:t>
                  </w:r>
                </w:p>
              </w:tc>
              <w:tc>
                <w:tcPr>
                  <w:tcW w:w="696" w:type="dxa"/>
                  <w:vAlign w:val="center"/>
                </w:tcPr>
                <w:p>
                  <w:pPr>
                    <w:widowControl/>
                    <w:jc w:val="center"/>
                    <w:textAlignment w:val="center"/>
                    <w:rPr>
                      <w:kern w:val="0"/>
                      <w:szCs w:val="21"/>
                      <w:lang w:bidi="ar"/>
                    </w:rPr>
                  </w:pPr>
                  <w:r>
                    <w:rPr>
                      <w:rFonts w:hint="eastAsia"/>
                      <w:kern w:val="0"/>
                      <w:szCs w:val="21"/>
                      <w:lang w:bidi="ar"/>
                    </w:rPr>
                    <w:t>2.4</w:t>
                  </w:r>
                </w:p>
              </w:tc>
              <w:tc>
                <w:tcPr>
                  <w:tcW w:w="729" w:type="dxa"/>
                  <w:vMerge w:val="continue"/>
                  <w:vAlign w:val="center"/>
                </w:tcPr>
                <w:p>
                  <w:pPr>
                    <w:widowControl/>
                    <w:spacing w:line="240" w:lineRule="atLeast"/>
                    <w:jc w:val="center"/>
                    <w:textAlignment w:val="center"/>
                    <w:rPr>
                      <w:bCs/>
                      <w:szCs w:val="21"/>
                      <w:lang w:bidi="ar-BH"/>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416" w:hRule="atLeast"/>
                <w:jc w:val="center"/>
              </w:trPr>
              <w:tc>
                <w:tcPr>
                  <w:tcW w:w="439" w:type="dxa"/>
                  <w:vMerge w:val="continue"/>
                  <w:vAlign w:val="center"/>
                </w:tcPr>
                <w:p>
                  <w:pPr>
                    <w:adjustRightInd w:val="0"/>
                    <w:snapToGrid w:val="0"/>
                    <w:spacing w:line="240" w:lineRule="atLeast"/>
                    <w:jc w:val="center"/>
                    <w:rPr>
                      <w:szCs w:val="21"/>
                    </w:rPr>
                  </w:pPr>
                </w:p>
              </w:tc>
              <w:tc>
                <w:tcPr>
                  <w:tcW w:w="580" w:type="dxa"/>
                  <w:vMerge w:val="restart"/>
                  <w:vAlign w:val="center"/>
                </w:tcPr>
                <w:p>
                  <w:pPr>
                    <w:widowControl/>
                    <w:spacing w:line="240" w:lineRule="atLeast"/>
                    <w:jc w:val="center"/>
                    <w:rPr>
                      <w:szCs w:val="21"/>
                    </w:rPr>
                  </w:pPr>
                  <w:r>
                    <w:rPr>
                      <w:rFonts w:hint="eastAsia"/>
                      <w:szCs w:val="21"/>
                    </w:rPr>
                    <w:t>天然气燃烧废气</w:t>
                  </w:r>
                </w:p>
              </w:tc>
              <w:tc>
                <w:tcPr>
                  <w:tcW w:w="736" w:type="dxa"/>
                  <w:vAlign w:val="center"/>
                </w:tcPr>
                <w:p>
                  <w:pPr>
                    <w:widowControl/>
                    <w:spacing w:line="240" w:lineRule="atLeast"/>
                    <w:jc w:val="center"/>
                    <w:rPr>
                      <w:bCs/>
                      <w:kern w:val="21"/>
                      <w:szCs w:val="21"/>
                    </w:rPr>
                  </w:pPr>
                  <w:r>
                    <w:rPr>
                      <w:rFonts w:hint="eastAsia"/>
                      <w:bCs/>
                      <w:kern w:val="21"/>
                      <w:szCs w:val="21"/>
                    </w:rPr>
                    <w:t>颗粒物</w:t>
                  </w:r>
                </w:p>
              </w:tc>
              <w:tc>
                <w:tcPr>
                  <w:tcW w:w="720" w:type="dxa"/>
                  <w:vAlign w:val="center"/>
                </w:tcPr>
                <w:p>
                  <w:pPr>
                    <w:widowControl/>
                    <w:jc w:val="center"/>
                    <w:textAlignment w:val="center"/>
                    <w:rPr>
                      <w:kern w:val="0"/>
                      <w:szCs w:val="21"/>
                      <w:lang w:bidi="ar"/>
                    </w:rPr>
                  </w:pPr>
                  <w:r>
                    <w:rPr>
                      <w:rFonts w:hint="eastAsia"/>
                      <w:kern w:val="0"/>
                      <w:szCs w:val="21"/>
                      <w:lang w:bidi="ar"/>
                    </w:rPr>
                    <w:t>0.047</w:t>
                  </w:r>
                </w:p>
              </w:tc>
              <w:tc>
                <w:tcPr>
                  <w:tcW w:w="576" w:type="dxa"/>
                  <w:vAlign w:val="center"/>
                </w:tcPr>
                <w:p>
                  <w:pPr>
                    <w:widowControl/>
                    <w:jc w:val="center"/>
                    <w:textAlignment w:val="center"/>
                    <w:rPr>
                      <w:kern w:val="0"/>
                      <w:szCs w:val="21"/>
                      <w:lang w:bidi="ar"/>
                    </w:rPr>
                  </w:pPr>
                  <w:r>
                    <w:rPr>
                      <w:rFonts w:hint="eastAsia"/>
                      <w:kern w:val="0"/>
                      <w:szCs w:val="21"/>
                      <w:lang w:bidi="ar"/>
                    </w:rPr>
                    <w:t>0.026</w:t>
                  </w:r>
                </w:p>
              </w:tc>
              <w:tc>
                <w:tcPr>
                  <w:tcW w:w="732" w:type="dxa"/>
                  <w:vAlign w:val="center"/>
                </w:tcPr>
                <w:p>
                  <w:pPr>
                    <w:widowControl/>
                    <w:jc w:val="center"/>
                    <w:textAlignment w:val="center"/>
                    <w:rPr>
                      <w:kern w:val="0"/>
                      <w:szCs w:val="21"/>
                      <w:lang w:bidi="ar"/>
                    </w:rPr>
                  </w:pPr>
                  <w:r>
                    <w:rPr>
                      <w:rFonts w:hint="eastAsia"/>
                      <w:kern w:val="0"/>
                      <w:szCs w:val="21"/>
                      <w:lang w:bidi="ar"/>
                    </w:rPr>
                    <w:t>2.6</w:t>
                  </w:r>
                </w:p>
              </w:tc>
              <w:tc>
                <w:tcPr>
                  <w:tcW w:w="2028" w:type="dxa"/>
                  <w:vMerge w:val="continue"/>
                  <w:vAlign w:val="center"/>
                </w:tcPr>
                <w:p>
                  <w:pPr>
                    <w:adjustRightInd w:val="0"/>
                    <w:snapToGrid w:val="0"/>
                    <w:spacing w:line="240" w:lineRule="atLeast"/>
                    <w:jc w:val="center"/>
                    <w:rPr>
                      <w:szCs w:val="21"/>
                    </w:rPr>
                  </w:pPr>
                </w:p>
              </w:tc>
              <w:tc>
                <w:tcPr>
                  <w:tcW w:w="696" w:type="dxa"/>
                  <w:vAlign w:val="center"/>
                </w:tcPr>
                <w:p>
                  <w:pPr>
                    <w:widowControl/>
                    <w:jc w:val="center"/>
                    <w:textAlignment w:val="center"/>
                    <w:rPr>
                      <w:kern w:val="0"/>
                      <w:szCs w:val="21"/>
                      <w:lang w:bidi="ar"/>
                    </w:rPr>
                  </w:pPr>
                  <w:r>
                    <w:rPr>
                      <w:rFonts w:hint="eastAsia"/>
                      <w:kern w:val="0"/>
                      <w:szCs w:val="21"/>
                      <w:lang w:bidi="ar"/>
                    </w:rPr>
                    <w:t>0.047</w:t>
                  </w:r>
                </w:p>
              </w:tc>
              <w:tc>
                <w:tcPr>
                  <w:tcW w:w="720" w:type="dxa"/>
                  <w:vAlign w:val="center"/>
                </w:tcPr>
                <w:p>
                  <w:pPr>
                    <w:widowControl/>
                    <w:jc w:val="center"/>
                    <w:textAlignment w:val="center"/>
                    <w:rPr>
                      <w:kern w:val="0"/>
                      <w:szCs w:val="21"/>
                      <w:lang w:bidi="ar"/>
                    </w:rPr>
                  </w:pPr>
                  <w:r>
                    <w:rPr>
                      <w:rFonts w:hint="eastAsia"/>
                      <w:kern w:val="0"/>
                      <w:szCs w:val="21"/>
                      <w:lang w:bidi="ar"/>
                    </w:rPr>
                    <w:t>0.026</w:t>
                  </w:r>
                </w:p>
              </w:tc>
              <w:tc>
                <w:tcPr>
                  <w:tcW w:w="696" w:type="dxa"/>
                  <w:vAlign w:val="center"/>
                </w:tcPr>
                <w:p>
                  <w:pPr>
                    <w:widowControl/>
                    <w:jc w:val="center"/>
                    <w:textAlignment w:val="center"/>
                    <w:rPr>
                      <w:kern w:val="0"/>
                      <w:szCs w:val="21"/>
                      <w:lang w:bidi="ar"/>
                    </w:rPr>
                  </w:pPr>
                  <w:r>
                    <w:rPr>
                      <w:rFonts w:hint="eastAsia"/>
                      <w:kern w:val="0"/>
                      <w:szCs w:val="21"/>
                      <w:lang w:bidi="ar"/>
                    </w:rPr>
                    <w:t>2.6</w:t>
                  </w:r>
                </w:p>
              </w:tc>
              <w:tc>
                <w:tcPr>
                  <w:tcW w:w="729" w:type="dxa"/>
                  <w:vMerge w:val="restart"/>
                  <w:vAlign w:val="center"/>
                </w:tcPr>
                <w:p>
                  <w:pPr>
                    <w:widowControl/>
                    <w:spacing w:line="240" w:lineRule="atLeast"/>
                    <w:jc w:val="center"/>
                    <w:textAlignment w:val="center"/>
                    <w:rPr>
                      <w:bCs/>
                      <w:szCs w:val="21"/>
                      <w:lang w:bidi="ar-BH"/>
                    </w:rPr>
                  </w:pPr>
                  <w:r>
                    <w:rPr>
                      <w:rFonts w:hint="eastAsia"/>
                      <w:bCs/>
                      <w:szCs w:val="21"/>
                      <w:lang w:bidi="ar-BH"/>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39" w:type="dxa"/>
                  <w:vMerge w:val="continue"/>
                  <w:vAlign w:val="center"/>
                </w:tcPr>
                <w:p>
                  <w:pPr>
                    <w:adjustRightInd w:val="0"/>
                    <w:snapToGrid w:val="0"/>
                    <w:spacing w:line="240" w:lineRule="atLeast"/>
                    <w:jc w:val="center"/>
                    <w:rPr>
                      <w:szCs w:val="21"/>
                    </w:rPr>
                  </w:pPr>
                </w:p>
              </w:tc>
              <w:tc>
                <w:tcPr>
                  <w:tcW w:w="580" w:type="dxa"/>
                  <w:vMerge w:val="continue"/>
                  <w:vAlign w:val="center"/>
                </w:tcPr>
                <w:p>
                  <w:pPr>
                    <w:widowControl/>
                    <w:spacing w:line="240" w:lineRule="atLeast"/>
                    <w:jc w:val="center"/>
                    <w:rPr>
                      <w:szCs w:val="21"/>
                    </w:rPr>
                  </w:pPr>
                </w:p>
              </w:tc>
              <w:tc>
                <w:tcPr>
                  <w:tcW w:w="736" w:type="dxa"/>
                  <w:vAlign w:val="center"/>
                </w:tcPr>
                <w:p>
                  <w:pPr>
                    <w:widowControl/>
                    <w:spacing w:line="240" w:lineRule="atLeast"/>
                    <w:jc w:val="center"/>
                    <w:rPr>
                      <w:bCs/>
                      <w:kern w:val="21"/>
                      <w:szCs w:val="21"/>
                    </w:rPr>
                  </w:pPr>
                  <w:r>
                    <w:rPr>
                      <w:rFonts w:hint="eastAsia"/>
                      <w:bCs/>
                      <w:kern w:val="21"/>
                      <w:szCs w:val="21"/>
                    </w:rPr>
                    <w:t>二氧</w:t>
                  </w:r>
                </w:p>
                <w:p>
                  <w:pPr>
                    <w:widowControl/>
                    <w:spacing w:line="240" w:lineRule="atLeast"/>
                    <w:jc w:val="center"/>
                    <w:rPr>
                      <w:bCs/>
                      <w:kern w:val="21"/>
                      <w:szCs w:val="21"/>
                    </w:rPr>
                  </w:pPr>
                  <w:r>
                    <w:rPr>
                      <w:rFonts w:hint="eastAsia"/>
                      <w:bCs/>
                      <w:kern w:val="21"/>
                      <w:szCs w:val="21"/>
                    </w:rPr>
                    <w:t>化硫</w:t>
                  </w:r>
                </w:p>
              </w:tc>
              <w:tc>
                <w:tcPr>
                  <w:tcW w:w="720" w:type="dxa"/>
                  <w:vAlign w:val="center"/>
                </w:tcPr>
                <w:p>
                  <w:pPr>
                    <w:widowControl/>
                    <w:jc w:val="center"/>
                    <w:textAlignment w:val="center"/>
                    <w:rPr>
                      <w:kern w:val="0"/>
                      <w:szCs w:val="21"/>
                      <w:lang w:bidi="ar"/>
                    </w:rPr>
                  </w:pPr>
                  <w:r>
                    <w:rPr>
                      <w:rFonts w:hint="eastAsia"/>
                      <w:kern w:val="0"/>
                      <w:szCs w:val="21"/>
                      <w:lang w:bidi="ar"/>
                    </w:rPr>
                    <w:t>0.0003</w:t>
                  </w:r>
                </w:p>
              </w:tc>
              <w:tc>
                <w:tcPr>
                  <w:tcW w:w="576" w:type="dxa"/>
                  <w:vAlign w:val="center"/>
                </w:tcPr>
                <w:p>
                  <w:pPr>
                    <w:widowControl/>
                    <w:jc w:val="center"/>
                    <w:textAlignment w:val="center"/>
                    <w:rPr>
                      <w:kern w:val="0"/>
                      <w:szCs w:val="21"/>
                      <w:lang w:bidi="ar"/>
                    </w:rPr>
                  </w:pPr>
                  <w:r>
                    <w:rPr>
                      <w:rFonts w:hint="eastAsia"/>
                      <w:kern w:val="0"/>
                      <w:szCs w:val="21"/>
                      <w:lang w:bidi="ar"/>
                    </w:rPr>
                    <w:t>0.00017</w:t>
                  </w:r>
                </w:p>
              </w:tc>
              <w:tc>
                <w:tcPr>
                  <w:tcW w:w="732" w:type="dxa"/>
                  <w:vAlign w:val="center"/>
                </w:tcPr>
                <w:p>
                  <w:pPr>
                    <w:widowControl/>
                    <w:jc w:val="center"/>
                    <w:textAlignment w:val="center"/>
                    <w:rPr>
                      <w:kern w:val="0"/>
                      <w:szCs w:val="21"/>
                      <w:lang w:bidi="ar"/>
                    </w:rPr>
                  </w:pPr>
                  <w:r>
                    <w:rPr>
                      <w:rFonts w:hint="eastAsia"/>
                      <w:kern w:val="0"/>
                      <w:szCs w:val="21"/>
                      <w:lang w:bidi="ar"/>
                    </w:rPr>
                    <w:t>0.017</w:t>
                  </w:r>
                </w:p>
              </w:tc>
              <w:tc>
                <w:tcPr>
                  <w:tcW w:w="2028" w:type="dxa"/>
                  <w:vMerge w:val="continue"/>
                  <w:vAlign w:val="center"/>
                </w:tcPr>
                <w:p>
                  <w:pPr>
                    <w:adjustRightInd w:val="0"/>
                    <w:snapToGrid w:val="0"/>
                    <w:spacing w:line="240" w:lineRule="atLeast"/>
                    <w:jc w:val="center"/>
                    <w:rPr>
                      <w:szCs w:val="21"/>
                    </w:rPr>
                  </w:pPr>
                </w:p>
              </w:tc>
              <w:tc>
                <w:tcPr>
                  <w:tcW w:w="696" w:type="dxa"/>
                  <w:vAlign w:val="center"/>
                </w:tcPr>
                <w:p>
                  <w:pPr>
                    <w:widowControl/>
                    <w:jc w:val="center"/>
                    <w:textAlignment w:val="center"/>
                    <w:rPr>
                      <w:kern w:val="0"/>
                      <w:szCs w:val="21"/>
                      <w:lang w:bidi="ar"/>
                    </w:rPr>
                  </w:pPr>
                  <w:r>
                    <w:rPr>
                      <w:rFonts w:hint="eastAsia"/>
                      <w:kern w:val="0"/>
                      <w:szCs w:val="21"/>
                      <w:lang w:bidi="ar"/>
                    </w:rPr>
                    <w:t>0.0003</w:t>
                  </w:r>
                </w:p>
              </w:tc>
              <w:tc>
                <w:tcPr>
                  <w:tcW w:w="720" w:type="dxa"/>
                  <w:vAlign w:val="center"/>
                </w:tcPr>
                <w:p>
                  <w:pPr>
                    <w:widowControl/>
                    <w:jc w:val="center"/>
                    <w:textAlignment w:val="center"/>
                    <w:rPr>
                      <w:kern w:val="0"/>
                      <w:szCs w:val="21"/>
                      <w:lang w:bidi="ar"/>
                    </w:rPr>
                  </w:pPr>
                  <w:r>
                    <w:rPr>
                      <w:rFonts w:hint="eastAsia"/>
                      <w:kern w:val="0"/>
                      <w:szCs w:val="21"/>
                      <w:lang w:bidi="ar"/>
                    </w:rPr>
                    <w:t>0.00017</w:t>
                  </w:r>
                </w:p>
              </w:tc>
              <w:tc>
                <w:tcPr>
                  <w:tcW w:w="696" w:type="dxa"/>
                  <w:vAlign w:val="center"/>
                </w:tcPr>
                <w:p>
                  <w:pPr>
                    <w:widowControl/>
                    <w:jc w:val="center"/>
                    <w:textAlignment w:val="center"/>
                    <w:rPr>
                      <w:kern w:val="0"/>
                      <w:szCs w:val="21"/>
                      <w:lang w:bidi="ar"/>
                    </w:rPr>
                  </w:pPr>
                  <w:r>
                    <w:rPr>
                      <w:rFonts w:hint="eastAsia"/>
                      <w:kern w:val="0"/>
                      <w:szCs w:val="21"/>
                      <w:lang w:bidi="ar"/>
                    </w:rPr>
                    <w:t>0.017</w:t>
                  </w:r>
                </w:p>
              </w:tc>
              <w:tc>
                <w:tcPr>
                  <w:tcW w:w="729" w:type="dxa"/>
                  <w:vMerge w:val="continue"/>
                  <w:vAlign w:val="center"/>
                </w:tcPr>
                <w:p>
                  <w:pPr>
                    <w:widowControl/>
                    <w:spacing w:line="240" w:lineRule="atLeast"/>
                    <w:jc w:val="center"/>
                    <w:textAlignment w:val="center"/>
                    <w:rPr>
                      <w:bCs/>
                      <w:szCs w:val="21"/>
                      <w:lang w:bidi="ar-BH"/>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439" w:type="dxa"/>
                  <w:vMerge w:val="continue"/>
                  <w:vAlign w:val="center"/>
                </w:tcPr>
                <w:p>
                  <w:pPr>
                    <w:adjustRightInd w:val="0"/>
                    <w:snapToGrid w:val="0"/>
                    <w:spacing w:line="240" w:lineRule="atLeast"/>
                    <w:jc w:val="center"/>
                    <w:rPr>
                      <w:szCs w:val="21"/>
                    </w:rPr>
                  </w:pPr>
                </w:p>
              </w:tc>
              <w:tc>
                <w:tcPr>
                  <w:tcW w:w="580" w:type="dxa"/>
                  <w:vMerge w:val="continue"/>
                  <w:vAlign w:val="center"/>
                </w:tcPr>
                <w:p>
                  <w:pPr>
                    <w:widowControl/>
                    <w:spacing w:line="240" w:lineRule="atLeast"/>
                    <w:jc w:val="center"/>
                    <w:rPr>
                      <w:szCs w:val="21"/>
                    </w:rPr>
                  </w:pPr>
                </w:p>
              </w:tc>
              <w:tc>
                <w:tcPr>
                  <w:tcW w:w="736" w:type="dxa"/>
                  <w:vAlign w:val="center"/>
                </w:tcPr>
                <w:p>
                  <w:pPr>
                    <w:widowControl/>
                    <w:spacing w:line="240" w:lineRule="atLeast"/>
                    <w:jc w:val="center"/>
                    <w:rPr>
                      <w:bCs/>
                      <w:kern w:val="21"/>
                      <w:szCs w:val="21"/>
                    </w:rPr>
                  </w:pPr>
                  <w:r>
                    <w:rPr>
                      <w:rFonts w:hint="eastAsia"/>
                      <w:bCs/>
                      <w:kern w:val="21"/>
                      <w:szCs w:val="21"/>
                    </w:rPr>
                    <w:t>氮氧</w:t>
                  </w:r>
                </w:p>
                <w:p>
                  <w:pPr>
                    <w:widowControl/>
                    <w:spacing w:line="240" w:lineRule="atLeast"/>
                    <w:jc w:val="center"/>
                    <w:rPr>
                      <w:bCs/>
                      <w:kern w:val="21"/>
                      <w:szCs w:val="21"/>
                    </w:rPr>
                  </w:pPr>
                  <w:r>
                    <w:rPr>
                      <w:rFonts w:hint="eastAsia"/>
                      <w:bCs/>
                      <w:kern w:val="21"/>
                      <w:szCs w:val="21"/>
                    </w:rPr>
                    <w:t>化物</w:t>
                  </w:r>
                </w:p>
              </w:tc>
              <w:tc>
                <w:tcPr>
                  <w:tcW w:w="720" w:type="dxa"/>
                  <w:vAlign w:val="center"/>
                </w:tcPr>
                <w:p>
                  <w:pPr>
                    <w:widowControl/>
                    <w:jc w:val="center"/>
                    <w:textAlignment w:val="center"/>
                    <w:rPr>
                      <w:kern w:val="0"/>
                      <w:szCs w:val="21"/>
                      <w:lang w:bidi="ar"/>
                    </w:rPr>
                  </w:pPr>
                  <w:r>
                    <w:rPr>
                      <w:rFonts w:hint="eastAsia"/>
                      <w:kern w:val="0"/>
                      <w:szCs w:val="21"/>
                      <w:lang w:bidi="ar"/>
                    </w:rPr>
                    <w:t>0.306</w:t>
                  </w:r>
                </w:p>
              </w:tc>
              <w:tc>
                <w:tcPr>
                  <w:tcW w:w="576" w:type="dxa"/>
                  <w:vAlign w:val="center"/>
                </w:tcPr>
                <w:p>
                  <w:pPr>
                    <w:widowControl/>
                    <w:jc w:val="center"/>
                    <w:textAlignment w:val="center"/>
                    <w:rPr>
                      <w:kern w:val="0"/>
                      <w:szCs w:val="21"/>
                      <w:lang w:bidi="ar"/>
                    </w:rPr>
                  </w:pPr>
                  <w:r>
                    <w:rPr>
                      <w:rFonts w:hint="eastAsia"/>
                      <w:kern w:val="0"/>
                      <w:szCs w:val="21"/>
                      <w:lang w:bidi="ar"/>
                    </w:rPr>
                    <w:t>0.17</w:t>
                  </w:r>
                </w:p>
              </w:tc>
              <w:tc>
                <w:tcPr>
                  <w:tcW w:w="732" w:type="dxa"/>
                  <w:vAlign w:val="center"/>
                </w:tcPr>
                <w:p>
                  <w:pPr>
                    <w:widowControl/>
                    <w:jc w:val="center"/>
                    <w:textAlignment w:val="center"/>
                    <w:rPr>
                      <w:kern w:val="0"/>
                      <w:szCs w:val="21"/>
                      <w:lang w:bidi="ar"/>
                    </w:rPr>
                  </w:pPr>
                  <w:r>
                    <w:rPr>
                      <w:rFonts w:hint="eastAsia"/>
                      <w:kern w:val="0"/>
                      <w:szCs w:val="21"/>
                      <w:lang w:bidi="ar"/>
                    </w:rPr>
                    <w:t>17</w:t>
                  </w:r>
                </w:p>
              </w:tc>
              <w:tc>
                <w:tcPr>
                  <w:tcW w:w="2028" w:type="dxa"/>
                  <w:vMerge w:val="continue"/>
                  <w:vAlign w:val="center"/>
                </w:tcPr>
                <w:p>
                  <w:pPr>
                    <w:adjustRightInd w:val="0"/>
                    <w:snapToGrid w:val="0"/>
                    <w:spacing w:line="240" w:lineRule="atLeast"/>
                    <w:jc w:val="center"/>
                    <w:rPr>
                      <w:szCs w:val="21"/>
                    </w:rPr>
                  </w:pPr>
                </w:p>
              </w:tc>
              <w:tc>
                <w:tcPr>
                  <w:tcW w:w="696" w:type="dxa"/>
                  <w:vAlign w:val="center"/>
                </w:tcPr>
                <w:p>
                  <w:pPr>
                    <w:widowControl/>
                    <w:jc w:val="center"/>
                    <w:textAlignment w:val="center"/>
                    <w:rPr>
                      <w:kern w:val="0"/>
                      <w:szCs w:val="21"/>
                      <w:lang w:bidi="ar"/>
                    </w:rPr>
                  </w:pPr>
                  <w:r>
                    <w:rPr>
                      <w:rFonts w:hint="eastAsia"/>
                      <w:kern w:val="0"/>
                      <w:szCs w:val="21"/>
                      <w:lang w:bidi="ar"/>
                    </w:rPr>
                    <w:t>0.306</w:t>
                  </w:r>
                </w:p>
              </w:tc>
              <w:tc>
                <w:tcPr>
                  <w:tcW w:w="720" w:type="dxa"/>
                  <w:vAlign w:val="center"/>
                </w:tcPr>
                <w:p>
                  <w:pPr>
                    <w:widowControl/>
                    <w:jc w:val="center"/>
                    <w:textAlignment w:val="center"/>
                    <w:rPr>
                      <w:kern w:val="0"/>
                      <w:szCs w:val="21"/>
                      <w:lang w:bidi="ar"/>
                    </w:rPr>
                  </w:pPr>
                  <w:r>
                    <w:rPr>
                      <w:rFonts w:hint="eastAsia"/>
                      <w:kern w:val="0"/>
                      <w:szCs w:val="21"/>
                      <w:lang w:bidi="ar"/>
                    </w:rPr>
                    <w:t>0.17</w:t>
                  </w:r>
                </w:p>
              </w:tc>
              <w:tc>
                <w:tcPr>
                  <w:tcW w:w="696" w:type="dxa"/>
                  <w:vAlign w:val="center"/>
                </w:tcPr>
                <w:p>
                  <w:pPr>
                    <w:widowControl/>
                    <w:jc w:val="center"/>
                    <w:textAlignment w:val="center"/>
                    <w:rPr>
                      <w:kern w:val="0"/>
                      <w:szCs w:val="21"/>
                      <w:lang w:bidi="ar"/>
                    </w:rPr>
                  </w:pPr>
                  <w:r>
                    <w:rPr>
                      <w:rFonts w:hint="eastAsia"/>
                      <w:kern w:val="0"/>
                      <w:szCs w:val="21"/>
                      <w:lang w:bidi="ar"/>
                    </w:rPr>
                    <w:t>17</w:t>
                  </w:r>
                </w:p>
              </w:tc>
              <w:tc>
                <w:tcPr>
                  <w:tcW w:w="729" w:type="dxa"/>
                  <w:vMerge w:val="continue"/>
                  <w:vAlign w:val="center"/>
                </w:tcPr>
                <w:p>
                  <w:pPr>
                    <w:widowControl/>
                    <w:spacing w:line="240" w:lineRule="atLeast"/>
                    <w:jc w:val="center"/>
                    <w:textAlignment w:val="center"/>
                    <w:rPr>
                      <w:bCs/>
                      <w:szCs w:val="21"/>
                      <w:lang w:bidi="ar-BH"/>
                    </w:rPr>
                  </w:pPr>
                </w:p>
              </w:tc>
            </w:tr>
          </w:tbl>
          <w:p>
            <w:pPr>
              <w:tabs>
                <w:tab w:val="left" w:pos="0"/>
              </w:tabs>
              <w:adjustRightInd w:val="0"/>
              <w:snapToGrid w:val="0"/>
              <w:jc w:val="center"/>
              <w:rPr>
                <w:b/>
                <w:bCs/>
              </w:rPr>
            </w:pPr>
            <w:r>
              <w:rPr>
                <w:b/>
                <w:bCs/>
              </w:rPr>
              <w:t>表</w:t>
            </w:r>
            <w:r>
              <w:rPr>
                <w:rFonts w:hint="eastAsia"/>
                <w:b/>
                <w:bCs/>
              </w:rPr>
              <w:t>4-2</w:t>
            </w:r>
            <w:r>
              <w:rPr>
                <w:b/>
                <w:bCs/>
              </w:rPr>
              <w:t>生产车间无组织废气产生和排放情况一览表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559"/>
              <w:gridCol w:w="740"/>
              <w:gridCol w:w="612"/>
              <w:gridCol w:w="756"/>
              <w:gridCol w:w="654"/>
              <w:gridCol w:w="673"/>
              <w:gridCol w:w="927"/>
              <w:gridCol w:w="1070"/>
              <w:gridCol w:w="517"/>
              <w:gridCol w:w="506"/>
              <w:gridCol w:w="587"/>
              <w:gridCol w:w="548"/>
              <w:gridCol w:w="46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452" w:hRule="atLeast"/>
                <w:jc w:val="center"/>
              </w:trPr>
              <w:tc>
                <w:tcPr>
                  <w:tcW w:w="559" w:type="dxa"/>
                  <w:vMerge w:val="restart"/>
                  <w:vAlign w:val="center"/>
                </w:tcPr>
                <w:p>
                  <w:pPr>
                    <w:adjustRightInd w:val="0"/>
                    <w:snapToGrid w:val="0"/>
                    <w:spacing w:line="240" w:lineRule="atLeast"/>
                    <w:jc w:val="center"/>
                    <w:rPr>
                      <w:b/>
                      <w:bCs/>
                      <w:szCs w:val="21"/>
                    </w:rPr>
                  </w:pPr>
                  <w:r>
                    <w:rPr>
                      <w:b/>
                      <w:bCs/>
                      <w:szCs w:val="21"/>
                    </w:rPr>
                    <w:t>污染源</w:t>
                  </w:r>
                </w:p>
              </w:tc>
              <w:tc>
                <w:tcPr>
                  <w:tcW w:w="740" w:type="dxa"/>
                  <w:vMerge w:val="restart"/>
                  <w:vAlign w:val="center"/>
                </w:tcPr>
                <w:p>
                  <w:pPr>
                    <w:adjustRightInd w:val="0"/>
                    <w:snapToGrid w:val="0"/>
                    <w:spacing w:line="240" w:lineRule="atLeast"/>
                    <w:jc w:val="center"/>
                    <w:rPr>
                      <w:b/>
                      <w:bCs/>
                      <w:szCs w:val="21"/>
                    </w:rPr>
                  </w:pPr>
                  <w:r>
                    <w:rPr>
                      <w:b/>
                      <w:bCs/>
                      <w:szCs w:val="21"/>
                    </w:rPr>
                    <w:t>污染工序</w:t>
                  </w:r>
                </w:p>
              </w:tc>
              <w:tc>
                <w:tcPr>
                  <w:tcW w:w="612" w:type="dxa"/>
                  <w:vMerge w:val="restart"/>
                  <w:vAlign w:val="center"/>
                </w:tcPr>
                <w:p>
                  <w:pPr>
                    <w:adjustRightInd w:val="0"/>
                    <w:snapToGrid w:val="0"/>
                    <w:spacing w:line="240" w:lineRule="atLeast"/>
                    <w:jc w:val="center"/>
                    <w:rPr>
                      <w:b/>
                      <w:bCs/>
                      <w:szCs w:val="21"/>
                    </w:rPr>
                  </w:pPr>
                  <w:r>
                    <w:rPr>
                      <w:b/>
                      <w:bCs/>
                      <w:szCs w:val="21"/>
                    </w:rPr>
                    <w:t>污染物名称</w:t>
                  </w:r>
                </w:p>
              </w:tc>
              <w:tc>
                <w:tcPr>
                  <w:tcW w:w="756" w:type="dxa"/>
                  <w:vMerge w:val="restart"/>
                  <w:vAlign w:val="center"/>
                </w:tcPr>
                <w:p>
                  <w:pPr>
                    <w:adjustRightInd w:val="0"/>
                    <w:snapToGrid w:val="0"/>
                    <w:spacing w:line="240" w:lineRule="atLeast"/>
                    <w:jc w:val="center"/>
                    <w:rPr>
                      <w:b/>
                      <w:bCs/>
                      <w:szCs w:val="21"/>
                    </w:rPr>
                  </w:pPr>
                  <w:r>
                    <w:rPr>
                      <w:b/>
                      <w:bCs/>
                      <w:szCs w:val="21"/>
                    </w:rPr>
                    <w:t>采取处理措施</w:t>
                  </w:r>
                </w:p>
              </w:tc>
              <w:tc>
                <w:tcPr>
                  <w:tcW w:w="654" w:type="dxa"/>
                  <w:vMerge w:val="restart"/>
                  <w:vAlign w:val="center"/>
                </w:tcPr>
                <w:p>
                  <w:pPr>
                    <w:adjustRightInd w:val="0"/>
                    <w:snapToGrid w:val="0"/>
                    <w:spacing w:line="240" w:lineRule="atLeast"/>
                    <w:jc w:val="center"/>
                    <w:rPr>
                      <w:b/>
                      <w:bCs/>
                      <w:szCs w:val="21"/>
                    </w:rPr>
                  </w:pPr>
                  <w:r>
                    <w:rPr>
                      <w:b/>
                      <w:bCs/>
                      <w:szCs w:val="21"/>
                    </w:rPr>
                    <w:t>排放量</w:t>
                  </w:r>
                </w:p>
                <w:p>
                  <w:pPr>
                    <w:adjustRightInd w:val="0"/>
                    <w:snapToGrid w:val="0"/>
                    <w:spacing w:line="240" w:lineRule="atLeast"/>
                    <w:jc w:val="center"/>
                    <w:rPr>
                      <w:b/>
                      <w:bCs/>
                      <w:kern w:val="0"/>
                      <w:szCs w:val="21"/>
                      <w:lang w:bidi="ar"/>
                    </w:rPr>
                  </w:pPr>
                  <w:r>
                    <w:rPr>
                      <w:b/>
                      <w:bCs/>
                      <w:szCs w:val="21"/>
                    </w:rPr>
                    <w:t>（t/a）</w:t>
                  </w:r>
                </w:p>
              </w:tc>
              <w:tc>
                <w:tcPr>
                  <w:tcW w:w="673" w:type="dxa"/>
                  <w:vMerge w:val="restart"/>
                  <w:vAlign w:val="center"/>
                </w:tcPr>
                <w:p>
                  <w:pPr>
                    <w:adjustRightInd w:val="0"/>
                    <w:snapToGrid w:val="0"/>
                    <w:spacing w:line="240" w:lineRule="atLeast"/>
                    <w:jc w:val="center"/>
                    <w:rPr>
                      <w:b/>
                      <w:bCs/>
                      <w:szCs w:val="21"/>
                    </w:rPr>
                  </w:pPr>
                  <w:r>
                    <w:rPr>
                      <w:b/>
                      <w:bCs/>
                      <w:szCs w:val="21"/>
                    </w:rPr>
                    <w:t>速率</w:t>
                  </w:r>
                </w:p>
                <w:p>
                  <w:pPr>
                    <w:adjustRightInd w:val="0"/>
                    <w:snapToGrid w:val="0"/>
                    <w:spacing w:line="240" w:lineRule="atLeast"/>
                    <w:jc w:val="center"/>
                    <w:rPr>
                      <w:b/>
                      <w:bCs/>
                      <w:kern w:val="0"/>
                      <w:szCs w:val="21"/>
                      <w:lang w:bidi="ar"/>
                    </w:rPr>
                  </w:pPr>
                  <w:r>
                    <w:rPr>
                      <w:b/>
                      <w:bCs/>
                      <w:szCs w:val="21"/>
                    </w:rPr>
                    <w:t>（kg/h）</w:t>
                  </w:r>
                </w:p>
              </w:tc>
              <w:tc>
                <w:tcPr>
                  <w:tcW w:w="1997" w:type="dxa"/>
                  <w:gridSpan w:val="2"/>
                  <w:vAlign w:val="center"/>
                </w:tcPr>
                <w:p>
                  <w:pPr>
                    <w:spacing w:line="240" w:lineRule="atLeast"/>
                    <w:jc w:val="center"/>
                    <w:rPr>
                      <w:b/>
                      <w:bCs/>
                      <w:szCs w:val="21"/>
                    </w:rPr>
                  </w:pPr>
                  <w:r>
                    <w:rPr>
                      <w:b/>
                      <w:szCs w:val="21"/>
                    </w:rPr>
                    <w:t>面源起点坐标/m</w:t>
                  </w:r>
                </w:p>
              </w:tc>
              <w:tc>
                <w:tcPr>
                  <w:tcW w:w="517" w:type="dxa"/>
                  <w:vMerge w:val="restart"/>
                  <w:vAlign w:val="center"/>
                </w:tcPr>
                <w:p>
                  <w:pPr>
                    <w:spacing w:line="240" w:lineRule="atLeast"/>
                    <w:jc w:val="center"/>
                    <w:rPr>
                      <w:b/>
                      <w:bCs/>
                      <w:szCs w:val="21"/>
                    </w:rPr>
                  </w:pPr>
                  <w:r>
                    <w:rPr>
                      <w:b/>
                      <w:szCs w:val="21"/>
                    </w:rPr>
                    <w:t>面源长度/m</w:t>
                  </w:r>
                </w:p>
              </w:tc>
              <w:tc>
                <w:tcPr>
                  <w:tcW w:w="506" w:type="dxa"/>
                  <w:vMerge w:val="restart"/>
                  <w:vAlign w:val="center"/>
                </w:tcPr>
                <w:p>
                  <w:pPr>
                    <w:spacing w:line="240" w:lineRule="atLeast"/>
                    <w:jc w:val="center"/>
                    <w:rPr>
                      <w:b/>
                      <w:bCs/>
                      <w:szCs w:val="21"/>
                    </w:rPr>
                  </w:pPr>
                  <w:r>
                    <w:rPr>
                      <w:b/>
                      <w:szCs w:val="21"/>
                    </w:rPr>
                    <w:t>面源宽度/m</w:t>
                  </w:r>
                </w:p>
              </w:tc>
              <w:tc>
                <w:tcPr>
                  <w:tcW w:w="587" w:type="dxa"/>
                  <w:vMerge w:val="restart"/>
                  <w:vAlign w:val="center"/>
                </w:tcPr>
                <w:p>
                  <w:pPr>
                    <w:spacing w:line="240" w:lineRule="atLeast"/>
                    <w:jc w:val="center"/>
                    <w:rPr>
                      <w:b/>
                      <w:bCs/>
                      <w:szCs w:val="21"/>
                    </w:rPr>
                  </w:pPr>
                  <w:r>
                    <w:rPr>
                      <w:b/>
                      <w:szCs w:val="21"/>
                    </w:rPr>
                    <w:t>年排放小时数/h</w:t>
                  </w:r>
                </w:p>
              </w:tc>
              <w:tc>
                <w:tcPr>
                  <w:tcW w:w="548" w:type="dxa"/>
                  <w:vMerge w:val="restart"/>
                  <w:vAlign w:val="center"/>
                </w:tcPr>
                <w:p>
                  <w:pPr>
                    <w:spacing w:line="240" w:lineRule="atLeast"/>
                    <w:jc w:val="center"/>
                    <w:rPr>
                      <w:b/>
                      <w:bCs/>
                      <w:szCs w:val="21"/>
                    </w:rPr>
                  </w:pPr>
                  <w:r>
                    <w:rPr>
                      <w:b/>
                      <w:szCs w:val="21"/>
                    </w:rPr>
                    <w:t>排放工况</w:t>
                  </w:r>
                </w:p>
              </w:tc>
              <w:tc>
                <w:tcPr>
                  <w:tcW w:w="465" w:type="dxa"/>
                  <w:vMerge w:val="restart"/>
                  <w:vAlign w:val="center"/>
                </w:tcPr>
                <w:p>
                  <w:pPr>
                    <w:spacing w:line="240" w:lineRule="atLeast"/>
                    <w:jc w:val="center"/>
                    <w:rPr>
                      <w:b/>
                      <w:bCs/>
                      <w:szCs w:val="21"/>
                    </w:rPr>
                  </w:pPr>
                  <w:r>
                    <w:rPr>
                      <w:b/>
                      <w:szCs w:val="21"/>
                    </w:rPr>
                    <w:t>达标情况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480" w:hRule="atLeast"/>
                <w:jc w:val="center"/>
              </w:trPr>
              <w:tc>
                <w:tcPr>
                  <w:tcW w:w="559" w:type="dxa"/>
                  <w:vMerge w:val="continue"/>
                  <w:vAlign w:val="center"/>
                </w:tcPr>
                <w:p>
                  <w:pPr>
                    <w:adjustRightInd w:val="0"/>
                    <w:snapToGrid w:val="0"/>
                    <w:spacing w:line="240" w:lineRule="atLeast"/>
                    <w:jc w:val="center"/>
                    <w:rPr>
                      <w:b/>
                      <w:bCs/>
                      <w:szCs w:val="21"/>
                    </w:rPr>
                  </w:pPr>
                </w:p>
              </w:tc>
              <w:tc>
                <w:tcPr>
                  <w:tcW w:w="740" w:type="dxa"/>
                  <w:vMerge w:val="continue"/>
                  <w:vAlign w:val="center"/>
                </w:tcPr>
                <w:p>
                  <w:pPr>
                    <w:adjustRightInd w:val="0"/>
                    <w:snapToGrid w:val="0"/>
                    <w:spacing w:line="240" w:lineRule="atLeast"/>
                    <w:jc w:val="center"/>
                    <w:rPr>
                      <w:b/>
                      <w:bCs/>
                      <w:szCs w:val="21"/>
                    </w:rPr>
                  </w:pPr>
                </w:p>
              </w:tc>
              <w:tc>
                <w:tcPr>
                  <w:tcW w:w="612" w:type="dxa"/>
                  <w:vMerge w:val="continue"/>
                  <w:vAlign w:val="center"/>
                </w:tcPr>
                <w:p>
                  <w:pPr>
                    <w:adjustRightInd w:val="0"/>
                    <w:snapToGrid w:val="0"/>
                    <w:spacing w:line="240" w:lineRule="atLeast"/>
                    <w:jc w:val="center"/>
                    <w:rPr>
                      <w:b/>
                      <w:bCs/>
                      <w:szCs w:val="21"/>
                    </w:rPr>
                  </w:pPr>
                </w:p>
              </w:tc>
              <w:tc>
                <w:tcPr>
                  <w:tcW w:w="756" w:type="dxa"/>
                  <w:vMerge w:val="continue"/>
                  <w:vAlign w:val="center"/>
                </w:tcPr>
                <w:p>
                  <w:pPr>
                    <w:adjustRightInd w:val="0"/>
                    <w:snapToGrid w:val="0"/>
                    <w:spacing w:line="240" w:lineRule="atLeast"/>
                    <w:jc w:val="center"/>
                    <w:rPr>
                      <w:b/>
                      <w:bCs/>
                      <w:szCs w:val="21"/>
                    </w:rPr>
                  </w:pPr>
                </w:p>
              </w:tc>
              <w:tc>
                <w:tcPr>
                  <w:tcW w:w="654" w:type="dxa"/>
                  <w:vMerge w:val="continue"/>
                  <w:vAlign w:val="center"/>
                </w:tcPr>
                <w:p>
                  <w:pPr>
                    <w:adjustRightInd w:val="0"/>
                    <w:snapToGrid w:val="0"/>
                    <w:spacing w:line="240" w:lineRule="atLeast"/>
                    <w:jc w:val="center"/>
                    <w:rPr>
                      <w:b/>
                      <w:bCs/>
                      <w:szCs w:val="21"/>
                    </w:rPr>
                  </w:pPr>
                </w:p>
              </w:tc>
              <w:tc>
                <w:tcPr>
                  <w:tcW w:w="673" w:type="dxa"/>
                  <w:vMerge w:val="continue"/>
                  <w:vAlign w:val="center"/>
                </w:tcPr>
                <w:p>
                  <w:pPr>
                    <w:adjustRightInd w:val="0"/>
                    <w:snapToGrid w:val="0"/>
                    <w:spacing w:line="240" w:lineRule="atLeast"/>
                    <w:jc w:val="center"/>
                    <w:rPr>
                      <w:b/>
                      <w:bCs/>
                      <w:szCs w:val="21"/>
                    </w:rPr>
                  </w:pPr>
                </w:p>
              </w:tc>
              <w:tc>
                <w:tcPr>
                  <w:tcW w:w="927" w:type="dxa"/>
                  <w:vAlign w:val="center"/>
                </w:tcPr>
                <w:p>
                  <w:pPr>
                    <w:spacing w:line="240" w:lineRule="atLeast"/>
                    <w:jc w:val="center"/>
                    <w:rPr>
                      <w:b/>
                      <w:bCs/>
                      <w:szCs w:val="21"/>
                    </w:rPr>
                  </w:pPr>
                  <w:r>
                    <w:rPr>
                      <w:b/>
                      <w:szCs w:val="21"/>
                    </w:rPr>
                    <w:t>经度</w:t>
                  </w:r>
                </w:p>
              </w:tc>
              <w:tc>
                <w:tcPr>
                  <w:tcW w:w="1070" w:type="dxa"/>
                  <w:vAlign w:val="center"/>
                </w:tcPr>
                <w:p>
                  <w:pPr>
                    <w:spacing w:line="240" w:lineRule="atLeast"/>
                    <w:jc w:val="center"/>
                    <w:rPr>
                      <w:b/>
                      <w:bCs/>
                      <w:szCs w:val="21"/>
                    </w:rPr>
                  </w:pPr>
                  <w:r>
                    <w:rPr>
                      <w:b/>
                      <w:szCs w:val="21"/>
                    </w:rPr>
                    <w:t>纬度</w:t>
                  </w:r>
                </w:p>
              </w:tc>
              <w:tc>
                <w:tcPr>
                  <w:tcW w:w="517" w:type="dxa"/>
                  <w:vMerge w:val="continue"/>
                  <w:vAlign w:val="center"/>
                </w:tcPr>
                <w:p>
                  <w:pPr>
                    <w:adjustRightInd w:val="0"/>
                    <w:snapToGrid w:val="0"/>
                    <w:spacing w:line="240" w:lineRule="atLeast"/>
                    <w:jc w:val="center"/>
                    <w:rPr>
                      <w:b/>
                      <w:bCs/>
                      <w:szCs w:val="21"/>
                    </w:rPr>
                  </w:pPr>
                </w:p>
              </w:tc>
              <w:tc>
                <w:tcPr>
                  <w:tcW w:w="506" w:type="dxa"/>
                  <w:vMerge w:val="continue"/>
                  <w:vAlign w:val="center"/>
                </w:tcPr>
                <w:p>
                  <w:pPr>
                    <w:adjustRightInd w:val="0"/>
                    <w:snapToGrid w:val="0"/>
                    <w:spacing w:line="240" w:lineRule="atLeast"/>
                    <w:jc w:val="center"/>
                    <w:rPr>
                      <w:b/>
                      <w:bCs/>
                      <w:szCs w:val="21"/>
                    </w:rPr>
                  </w:pPr>
                </w:p>
              </w:tc>
              <w:tc>
                <w:tcPr>
                  <w:tcW w:w="587" w:type="dxa"/>
                  <w:vMerge w:val="continue"/>
                  <w:vAlign w:val="center"/>
                </w:tcPr>
                <w:p>
                  <w:pPr>
                    <w:adjustRightInd w:val="0"/>
                    <w:snapToGrid w:val="0"/>
                    <w:spacing w:line="240" w:lineRule="atLeast"/>
                    <w:jc w:val="center"/>
                    <w:rPr>
                      <w:b/>
                      <w:bCs/>
                      <w:szCs w:val="21"/>
                    </w:rPr>
                  </w:pPr>
                </w:p>
              </w:tc>
              <w:tc>
                <w:tcPr>
                  <w:tcW w:w="548" w:type="dxa"/>
                  <w:vMerge w:val="continue"/>
                  <w:vAlign w:val="center"/>
                </w:tcPr>
                <w:p>
                  <w:pPr>
                    <w:adjustRightInd w:val="0"/>
                    <w:snapToGrid w:val="0"/>
                    <w:spacing w:line="240" w:lineRule="atLeast"/>
                    <w:jc w:val="center"/>
                    <w:rPr>
                      <w:b/>
                      <w:bCs/>
                      <w:szCs w:val="21"/>
                    </w:rPr>
                  </w:pPr>
                </w:p>
              </w:tc>
              <w:tc>
                <w:tcPr>
                  <w:tcW w:w="465" w:type="dxa"/>
                  <w:vMerge w:val="continue"/>
                  <w:vAlign w:val="center"/>
                </w:tcPr>
                <w:p>
                  <w:pPr>
                    <w:adjustRightInd w:val="0"/>
                    <w:snapToGrid w:val="0"/>
                    <w:spacing w:line="240" w:lineRule="atLeast"/>
                    <w:jc w:val="center"/>
                    <w:rPr>
                      <w:b/>
                      <w:bCs/>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988" w:hRule="atLeast"/>
                <w:jc w:val="center"/>
              </w:trPr>
              <w:tc>
                <w:tcPr>
                  <w:tcW w:w="559" w:type="dxa"/>
                  <w:vMerge w:val="restart"/>
                  <w:vAlign w:val="center"/>
                </w:tcPr>
                <w:p>
                  <w:pPr>
                    <w:adjustRightInd w:val="0"/>
                    <w:snapToGrid w:val="0"/>
                    <w:spacing w:line="240" w:lineRule="atLeast"/>
                    <w:jc w:val="center"/>
                    <w:rPr>
                      <w:szCs w:val="21"/>
                    </w:rPr>
                  </w:pPr>
                  <w:r>
                    <w:rPr>
                      <w:kern w:val="21"/>
                      <w:szCs w:val="21"/>
                    </w:rPr>
                    <w:t>生产车间</w:t>
                  </w:r>
                </w:p>
              </w:tc>
              <w:tc>
                <w:tcPr>
                  <w:tcW w:w="740" w:type="dxa"/>
                  <w:vAlign w:val="center"/>
                </w:tcPr>
                <w:p>
                  <w:pPr>
                    <w:widowControl/>
                    <w:spacing w:line="240" w:lineRule="atLeast"/>
                    <w:jc w:val="center"/>
                    <w:rPr>
                      <w:bCs/>
                      <w:kern w:val="21"/>
                      <w:szCs w:val="21"/>
                    </w:rPr>
                  </w:pPr>
                  <w:r>
                    <w:rPr>
                      <w:rFonts w:hint="eastAsia"/>
                      <w:bCs/>
                      <w:kern w:val="21"/>
                      <w:szCs w:val="21"/>
                    </w:rPr>
                    <w:t>喷塑</w:t>
                  </w:r>
                </w:p>
              </w:tc>
              <w:tc>
                <w:tcPr>
                  <w:tcW w:w="612" w:type="dxa"/>
                  <w:vAlign w:val="center"/>
                </w:tcPr>
                <w:p>
                  <w:pPr>
                    <w:widowControl/>
                    <w:spacing w:line="240" w:lineRule="atLeast"/>
                    <w:jc w:val="center"/>
                    <w:rPr>
                      <w:szCs w:val="21"/>
                    </w:rPr>
                  </w:pPr>
                  <w:r>
                    <w:rPr>
                      <w:bCs/>
                      <w:kern w:val="21"/>
                      <w:szCs w:val="21"/>
                    </w:rPr>
                    <w:t>颗粒物</w:t>
                  </w:r>
                </w:p>
              </w:tc>
              <w:tc>
                <w:tcPr>
                  <w:tcW w:w="756" w:type="dxa"/>
                  <w:vAlign w:val="center"/>
                </w:tcPr>
                <w:p>
                  <w:pPr>
                    <w:adjustRightInd w:val="0"/>
                    <w:snapToGrid w:val="0"/>
                    <w:spacing w:line="240" w:lineRule="atLeast"/>
                    <w:jc w:val="center"/>
                    <w:rPr>
                      <w:szCs w:val="21"/>
                    </w:rPr>
                  </w:pPr>
                  <w:r>
                    <w:rPr>
                      <w:szCs w:val="21"/>
                    </w:rPr>
                    <w:t>车间封闭，重力沉降</w:t>
                  </w:r>
                </w:p>
              </w:tc>
              <w:tc>
                <w:tcPr>
                  <w:tcW w:w="654" w:type="dxa"/>
                  <w:vAlign w:val="center"/>
                </w:tcPr>
                <w:p>
                  <w:pPr>
                    <w:widowControl/>
                    <w:jc w:val="center"/>
                    <w:textAlignment w:val="center"/>
                    <w:rPr>
                      <w:kern w:val="0"/>
                      <w:szCs w:val="21"/>
                      <w:lang w:bidi="ar"/>
                    </w:rPr>
                  </w:pPr>
                  <w:r>
                    <w:rPr>
                      <w:rFonts w:hint="eastAsia"/>
                      <w:kern w:val="0"/>
                      <w:szCs w:val="21"/>
                      <w:lang w:bidi="ar"/>
                    </w:rPr>
                    <w:t>0.048</w:t>
                  </w:r>
                </w:p>
              </w:tc>
              <w:tc>
                <w:tcPr>
                  <w:tcW w:w="673" w:type="dxa"/>
                  <w:vAlign w:val="center"/>
                </w:tcPr>
                <w:p>
                  <w:pPr>
                    <w:widowControl/>
                    <w:jc w:val="center"/>
                    <w:textAlignment w:val="center"/>
                    <w:rPr>
                      <w:kern w:val="0"/>
                      <w:szCs w:val="21"/>
                      <w:lang w:bidi="ar"/>
                    </w:rPr>
                  </w:pPr>
                  <w:r>
                    <w:rPr>
                      <w:rFonts w:hint="eastAsia"/>
                      <w:kern w:val="0"/>
                      <w:szCs w:val="21"/>
                      <w:lang w:bidi="ar"/>
                    </w:rPr>
                    <w:t>0.027</w:t>
                  </w:r>
                </w:p>
              </w:tc>
              <w:tc>
                <w:tcPr>
                  <w:tcW w:w="927" w:type="dxa"/>
                  <w:vMerge w:val="restart"/>
                  <w:vAlign w:val="center"/>
                </w:tcPr>
                <w:p>
                  <w:pPr>
                    <w:jc w:val="center"/>
                    <w:rPr>
                      <w:kern w:val="0"/>
                      <w:szCs w:val="21"/>
                      <w:lang w:bidi="ar"/>
                    </w:rPr>
                  </w:pPr>
                  <w:r>
                    <w:rPr>
                      <w:kern w:val="21"/>
                      <w:szCs w:val="21"/>
                    </w:rPr>
                    <w:t>108.573373107</w:t>
                  </w:r>
                </w:p>
              </w:tc>
              <w:tc>
                <w:tcPr>
                  <w:tcW w:w="1070" w:type="dxa"/>
                  <w:vMerge w:val="restart"/>
                  <w:vAlign w:val="center"/>
                </w:tcPr>
                <w:p>
                  <w:pPr>
                    <w:jc w:val="center"/>
                    <w:rPr>
                      <w:kern w:val="0"/>
                      <w:szCs w:val="21"/>
                      <w:lang w:bidi="ar"/>
                    </w:rPr>
                  </w:pPr>
                  <w:r>
                    <w:rPr>
                      <w:kern w:val="21"/>
                      <w:szCs w:val="21"/>
                    </w:rPr>
                    <w:t>34.324879687</w:t>
                  </w:r>
                </w:p>
              </w:tc>
              <w:tc>
                <w:tcPr>
                  <w:tcW w:w="517" w:type="dxa"/>
                  <w:vMerge w:val="restart"/>
                  <w:vAlign w:val="center"/>
                </w:tcPr>
                <w:p>
                  <w:pPr>
                    <w:spacing w:line="240" w:lineRule="atLeast"/>
                    <w:jc w:val="center"/>
                    <w:rPr>
                      <w:kern w:val="0"/>
                      <w:szCs w:val="21"/>
                      <w:lang w:bidi="ar"/>
                    </w:rPr>
                  </w:pPr>
                  <w:r>
                    <w:rPr>
                      <w:rFonts w:hint="eastAsia"/>
                      <w:kern w:val="21"/>
                      <w:szCs w:val="21"/>
                    </w:rPr>
                    <w:t>90</w:t>
                  </w:r>
                </w:p>
              </w:tc>
              <w:tc>
                <w:tcPr>
                  <w:tcW w:w="506" w:type="dxa"/>
                  <w:vMerge w:val="restart"/>
                  <w:vAlign w:val="center"/>
                </w:tcPr>
                <w:p>
                  <w:pPr>
                    <w:spacing w:line="240" w:lineRule="atLeast"/>
                    <w:jc w:val="center"/>
                    <w:rPr>
                      <w:kern w:val="0"/>
                      <w:szCs w:val="21"/>
                      <w:lang w:bidi="ar"/>
                    </w:rPr>
                  </w:pPr>
                  <w:r>
                    <w:rPr>
                      <w:rFonts w:hint="eastAsia"/>
                      <w:kern w:val="21"/>
                      <w:szCs w:val="21"/>
                    </w:rPr>
                    <w:t>75</w:t>
                  </w:r>
                </w:p>
              </w:tc>
              <w:tc>
                <w:tcPr>
                  <w:tcW w:w="587" w:type="dxa"/>
                  <w:vAlign w:val="center"/>
                </w:tcPr>
                <w:p>
                  <w:pPr>
                    <w:spacing w:line="240" w:lineRule="atLeast"/>
                    <w:jc w:val="center"/>
                    <w:rPr>
                      <w:szCs w:val="21"/>
                    </w:rPr>
                  </w:pPr>
                  <w:r>
                    <w:rPr>
                      <w:rFonts w:hint="eastAsia"/>
                      <w:kern w:val="0"/>
                      <w:szCs w:val="21"/>
                      <w:lang w:bidi="ar"/>
                    </w:rPr>
                    <w:t>1800</w:t>
                  </w:r>
                </w:p>
              </w:tc>
              <w:tc>
                <w:tcPr>
                  <w:tcW w:w="548" w:type="dxa"/>
                  <w:vAlign w:val="center"/>
                </w:tcPr>
                <w:p>
                  <w:pPr>
                    <w:spacing w:line="240" w:lineRule="atLeast"/>
                    <w:jc w:val="center"/>
                    <w:rPr>
                      <w:bCs/>
                      <w:szCs w:val="21"/>
                    </w:rPr>
                  </w:pPr>
                  <w:r>
                    <w:rPr>
                      <w:bCs/>
                      <w:szCs w:val="21"/>
                    </w:rPr>
                    <w:t>正常</w:t>
                  </w:r>
                </w:p>
              </w:tc>
              <w:tc>
                <w:tcPr>
                  <w:tcW w:w="465" w:type="dxa"/>
                  <w:vAlign w:val="center"/>
                </w:tcPr>
                <w:p>
                  <w:pPr>
                    <w:spacing w:line="240" w:lineRule="atLeast"/>
                    <w:jc w:val="center"/>
                    <w:rPr>
                      <w:szCs w:val="21"/>
                    </w:rPr>
                  </w:pPr>
                  <w:r>
                    <w:rPr>
                      <w:szCs w:val="21"/>
                    </w:rPr>
                    <w:t>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trHeight w:val="1030" w:hRule="atLeast"/>
                <w:jc w:val="center"/>
              </w:trPr>
              <w:tc>
                <w:tcPr>
                  <w:tcW w:w="559" w:type="dxa"/>
                  <w:vMerge w:val="continue"/>
                  <w:vAlign w:val="center"/>
                </w:tcPr>
                <w:p>
                  <w:pPr>
                    <w:adjustRightInd w:val="0"/>
                    <w:snapToGrid w:val="0"/>
                    <w:spacing w:line="240" w:lineRule="atLeast"/>
                    <w:jc w:val="center"/>
                    <w:rPr>
                      <w:kern w:val="21"/>
                      <w:szCs w:val="21"/>
                    </w:rPr>
                  </w:pPr>
                </w:p>
              </w:tc>
              <w:tc>
                <w:tcPr>
                  <w:tcW w:w="740" w:type="dxa"/>
                  <w:vAlign w:val="center"/>
                </w:tcPr>
                <w:p>
                  <w:pPr>
                    <w:widowControl/>
                    <w:spacing w:line="240" w:lineRule="atLeast"/>
                    <w:jc w:val="center"/>
                    <w:rPr>
                      <w:bCs/>
                      <w:kern w:val="21"/>
                      <w:szCs w:val="21"/>
                    </w:rPr>
                  </w:pPr>
                  <w:r>
                    <w:rPr>
                      <w:rFonts w:hint="eastAsia"/>
                      <w:bCs/>
                      <w:kern w:val="21"/>
                      <w:szCs w:val="21"/>
                    </w:rPr>
                    <w:t>热固化、入炉转印、覆膜</w:t>
                  </w:r>
                </w:p>
              </w:tc>
              <w:tc>
                <w:tcPr>
                  <w:tcW w:w="612" w:type="dxa"/>
                  <w:vAlign w:val="center"/>
                </w:tcPr>
                <w:p>
                  <w:pPr>
                    <w:widowControl/>
                    <w:spacing w:line="240" w:lineRule="atLeast"/>
                    <w:jc w:val="center"/>
                    <w:rPr>
                      <w:bCs/>
                      <w:kern w:val="21"/>
                      <w:szCs w:val="21"/>
                    </w:rPr>
                  </w:pPr>
                  <w:r>
                    <w:rPr>
                      <w:rFonts w:hint="eastAsia"/>
                      <w:bCs/>
                      <w:kern w:val="21"/>
                      <w:szCs w:val="21"/>
                    </w:rPr>
                    <w:t>非甲烷总烃</w:t>
                  </w:r>
                </w:p>
              </w:tc>
              <w:tc>
                <w:tcPr>
                  <w:tcW w:w="756" w:type="dxa"/>
                  <w:vAlign w:val="center"/>
                </w:tcPr>
                <w:p>
                  <w:pPr>
                    <w:adjustRightInd w:val="0"/>
                    <w:snapToGrid w:val="0"/>
                    <w:spacing w:line="240" w:lineRule="atLeast"/>
                    <w:jc w:val="center"/>
                    <w:rPr>
                      <w:szCs w:val="21"/>
                    </w:rPr>
                  </w:pPr>
                  <w:r>
                    <w:rPr>
                      <w:szCs w:val="21"/>
                    </w:rPr>
                    <w:t>/</w:t>
                  </w:r>
                </w:p>
              </w:tc>
              <w:tc>
                <w:tcPr>
                  <w:tcW w:w="654" w:type="dxa"/>
                  <w:vAlign w:val="center"/>
                </w:tcPr>
                <w:p>
                  <w:pPr>
                    <w:widowControl/>
                    <w:jc w:val="center"/>
                    <w:textAlignment w:val="center"/>
                    <w:rPr>
                      <w:kern w:val="0"/>
                      <w:szCs w:val="21"/>
                      <w:lang w:bidi="ar"/>
                    </w:rPr>
                  </w:pPr>
                  <w:r>
                    <w:rPr>
                      <w:kern w:val="0"/>
                      <w:szCs w:val="21"/>
                      <w:lang w:bidi="ar"/>
                    </w:rPr>
                    <w:t>0.</w:t>
                  </w:r>
                  <w:r>
                    <w:rPr>
                      <w:rFonts w:hint="eastAsia"/>
                      <w:kern w:val="0"/>
                      <w:szCs w:val="21"/>
                      <w:lang w:bidi="ar"/>
                    </w:rPr>
                    <w:t>02</w:t>
                  </w:r>
                </w:p>
              </w:tc>
              <w:tc>
                <w:tcPr>
                  <w:tcW w:w="673" w:type="dxa"/>
                  <w:vAlign w:val="center"/>
                </w:tcPr>
                <w:p>
                  <w:pPr>
                    <w:widowControl/>
                    <w:jc w:val="center"/>
                    <w:textAlignment w:val="center"/>
                    <w:rPr>
                      <w:kern w:val="0"/>
                      <w:szCs w:val="21"/>
                      <w:lang w:bidi="ar"/>
                    </w:rPr>
                  </w:pPr>
                  <w:r>
                    <w:rPr>
                      <w:kern w:val="0"/>
                      <w:szCs w:val="21"/>
                      <w:lang w:bidi="ar"/>
                    </w:rPr>
                    <w:t>0.</w:t>
                  </w:r>
                  <w:r>
                    <w:rPr>
                      <w:rFonts w:hint="eastAsia"/>
                      <w:kern w:val="0"/>
                      <w:szCs w:val="21"/>
                      <w:lang w:bidi="ar"/>
                    </w:rPr>
                    <w:t>012</w:t>
                  </w:r>
                </w:p>
              </w:tc>
              <w:tc>
                <w:tcPr>
                  <w:tcW w:w="927" w:type="dxa"/>
                  <w:vMerge w:val="continue"/>
                  <w:vAlign w:val="center"/>
                </w:tcPr>
                <w:p>
                  <w:pPr>
                    <w:jc w:val="center"/>
                    <w:rPr>
                      <w:kern w:val="21"/>
                      <w:szCs w:val="21"/>
                    </w:rPr>
                  </w:pPr>
                </w:p>
              </w:tc>
              <w:tc>
                <w:tcPr>
                  <w:tcW w:w="1070" w:type="dxa"/>
                  <w:vMerge w:val="continue"/>
                  <w:vAlign w:val="center"/>
                </w:tcPr>
                <w:p>
                  <w:pPr>
                    <w:jc w:val="center"/>
                    <w:rPr>
                      <w:kern w:val="21"/>
                      <w:szCs w:val="21"/>
                    </w:rPr>
                  </w:pPr>
                </w:p>
              </w:tc>
              <w:tc>
                <w:tcPr>
                  <w:tcW w:w="517" w:type="dxa"/>
                  <w:vMerge w:val="continue"/>
                  <w:vAlign w:val="center"/>
                </w:tcPr>
                <w:p>
                  <w:pPr>
                    <w:spacing w:line="240" w:lineRule="atLeast"/>
                    <w:jc w:val="center"/>
                    <w:rPr>
                      <w:kern w:val="21"/>
                      <w:szCs w:val="21"/>
                    </w:rPr>
                  </w:pPr>
                </w:p>
              </w:tc>
              <w:tc>
                <w:tcPr>
                  <w:tcW w:w="506" w:type="dxa"/>
                  <w:vMerge w:val="continue"/>
                  <w:vAlign w:val="center"/>
                </w:tcPr>
                <w:p>
                  <w:pPr>
                    <w:spacing w:line="240" w:lineRule="atLeast"/>
                    <w:jc w:val="center"/>
                    <w:rPr>
                      <w:kern w:val="21"/>
                      <w:szCs w:val="21"/>
                    </w:rPr>
                  </w:pPr>
                </w:p>
              </w:tc>
              <w:tc>
                <w:tcPr>
                  <w:tcW w:w="587" w:type="dxa"/>
                  <w:vAlign w:val="center"/>
                </w:tcPr>
                <w:p>
                  <w:pPr>
                    <w:spacing w:line="240" w:lineRule="atLeast"/>
                    <w:jc w:val="center"/>
                    <w:rPr>
                      <w:kern w:val="0"/>
                      <w:szCs w:val="21"/>
                      <w:lang w:bidi="ar"/>
                    </w:rPr>
                  </w:pPr>
                  <w:r>
                    <w:rPr>
                      <w:rFonts w:hint="eastAsia"/>
                      <w:kern w:val="0"/>
                      <w:szCs w:val="21"/>
                      <w:lang w:bidi="ar"/>
                    </w:rPr>
                    <w:t>1800</w:t>
                  </w:r>
                </w:p>
              </w:tc>
              <w:tc>
                <w:tcPr>
                  <w:tcW w:w="548" w:type="dxa"/>
                  <w:vAlign w:val="center"/>
                </w:tcPr>
                <w:p>
                  <w:pPr>
                    <w:spacing w:line="240" w:lineRule="atLeast"/>
                    <w:jc w:val="center"/>
                    <w:rPr>
                      <w:bCs/>
                      <w:szCs w:val="21"/>
                    </w:rPr>
                  </w:pPr>
                  <w:r>
                    <w:rPr>
                      <w:bCs/>
                      <w:szCs w:val="21"/>
                    </w:rPr>
                    <w:t>正常</w:t>
                  </w:r>
                </w:p>
              </w:tc>
              <w:tc>
                <w:tcPr>
                  <w:tcW w:w="465" w:type="dxa"/>
                  <w:vAlign w:val="center"/>
                </w:tcPr>
                <w:p>
                  <w:pPr>
                    <w:spacing w:line="240" w:lineRule="atLeast"/>
                    <w:jc w:val="center"/>
                    <w:rPr>
                      <w:szCs w:val="21"/>
                    </w:rPr>
                  </w:pPr>
                  <w:r>
                    <w:rPr>
                      <w:szCs w:val="21"/>
                    </w:rPr>
                    <w:t>达标</w:t>
                  </w:r>
                </w:p>
              </w:tc>
            </w:tr>
          </w:tbl>
          <w:p>
            <w:pPr>
              <w:spacing w:line="360" w:lineRule="auto"/>
              <w:ind w:firstLine="420"/>
              <w:rPr>
                <w:kern w:val="21"/>
                <w:sz w:val="24"/>
              </w:rPr>
            </w:pPr>
            <w:r>
              <w:rPr>
                <w:rFonts w:hint="eastAsia"/>
                <w:kern w:val="21"/>
                <w:sz w:val="24"/>
                <w:lang w:eastAsia="zh-CN"/>
              </w:rPr>
              <w:t>项目</w:t>
            </w:r>
            <w:r>
              <w:rPr>
                <w:kern w:val="21"/>
                <w:sz w:val="24"/>
              </w:rPr>
              <w:t>大气污染物排放核算量如下表所示。</w:t>
            </w:r>
          </w:p>
          <w:p>
            <w:pPr>
              <w:tabs>
                <w:tab w:val="left" w:pos="0"/>
              </w:tabs>
              <w:adjustRightInd w:val="0"/>
              <w:snapToGrid w:val="0"/>
              <w:jc w:val="center"/>
              <w:rPr>
                <w:b/>
                <w:bCs/>
              </w:rPr>
            </w:pPr>
            <w:r>
              <w:rPr>
                <w:b/>
                <w:bCs/>
              </w:rPr>
              <w:t>表</w:t>
            </w:r>
            <w:r>
              <w:rPr>
                <w:rFonts w:hint="eastAsia"/>
                <w:b/>
                <w:bCs/>
              </w:rPr>
              <w:t>4-3</w:t>
            </w:r>
            <w:r>
              <w:rPr>
                <w:b/>
                <w:bCs/>
              </w:rPr>
              <w:t>大气污染物排放量核算表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108" w:type="dxa"/>
                <w:bottom w:w="28" w:type="dxa"/>
                <w:right w:w="108" w:type="dxa"/>
              </w:tblCellMar>
            </w:tblPr>
            <w:tblGrid>
              <w:gridCol w:w="1663"/>
              <w:gridCol w:w="3088"/>
              <w:gridCol w:w="38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jc w:val="center"/>
              </w:trPr>
              <w:tc>
                <w:tcPr>
                  <w:tcW w:w="1663" w:type="dxa"/>
                  <w:vAlign w:val="center"/>
                </w:tcPr>
                <w:p>
                  <w:pPr>
                    <w:spacing w:line="240" w:lineRule="atLeast"/>
                    <w:jc w:val="center"/>
                    <w:rPr>
                      <w:b/>
                      <w:kern w:val="21"/>
                      <w:szCs w:val="21"/>
                    </w:rPr>
                  </w:pPr>
                  <w:r>
                    <w:rPr>
                      <w:b/>
                      <w:kern w:val="21"/>
                      <w:szCs w:val="21"/>
                    </w:rPr>
                    <w:t>序号</w:t>
                  </w:r>
                </w:p>
              </w:tc>
              <w:tc>
                <w:tcPr>
                  <w:tcW w:w="3088" w:type="dxa"/>
                  <w:vAlign w:val="center"/>
                </w:tcPr>
                <w:p>
                  <w:pPr>
                    <w:spacing w:line="240" w:lineRule="atLeast"/>
                    <w:jc w:val="center"/>
                    <w:rPr>
                      <w:b/>
                      <w:kern w:val="21"/>
                      <w:szCs w:val="21"/>
                    </w:rPr>
                  </w:pPr>
                  <w:r>
                    <w:rPr>
                      <w:b/>
                      <w:kern w:val="21"/>
                      <w:szCs w:val="21"/>
                    </w:rPr>
                    <w:t>污染物</w:t>
                  </w:r>
                </w:p>
              </w:tc>
              <w:tc>
                <w:tcPr>
                  <w:tcW w:w="3874" w:type="dxa"/>
                  <w:vAlign w:val="center"/>
                </w:tcPr>
                <w:p>
                  <w:pPr>
                    <w:spacing w:line="240" w:lineRule="atLeast"/>
                    <w:jc w:val="center"/>
                    <w:rPr>
                      <w:b/>
                      <w:kern w:val="21"/>
                      <w:szCs w:val="21"/>
                    </w:rPr>
                  </w:pPr>
                  <w:r>
                    <w:rPr>
                      <w:b/>
                      <w:kern w:val="21"/>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jc w:val="center"/>
              </w:trPr>
              <w:tc>
                <w:tcPr>
                  <w:tcW w:w="1663" w:type="dxa"/>
                  <w:vAlign w:val="center"/>
                </w:tcPr>
                <w:p>
                  <w:pPr>
                    <w:spacing w:line="240" w:lineRule="atLeast"/>
                    <w:jc w:val="center"/>
                    <w:rPr>
                      <w:kern w:val="21"/>
                      <w:szCs w:val="21"/>
                    </w:rPr>
                  </w:pPr>
                  <w:r>
                    <w:rPr>
                      <w:kern w:val="21"/>
                      <w:szCs w:val="21"/>
                    </w:rPr>
                    <w:t>1</w:t>
                  </w:r>
                </w:p>
              </w:tc>
              <w:tc>
                <w:tcPr>
                  <w:tcW w:w="3088" w:type="dxa"/>
                  <w:vAlign w:val="center"/>
                </w:tcPr>
                <w:p>
                  <w:pPr>
                    <w:spacing w:line="240" w:lineRule="atLeast"/>
                    <w:jc w:val="center"/>
                    <w:rPr>
                      <w:kern w:val="21"/>
                      <w:szCs w:val="21"/>
                    </w:rPr>
                  </w:pPr>
                  <w:r>
                    <w:rPr>
                      <w:kern w:val="21"/>
                      <w:szCs w:val="21"/>
                    </w:rPr>
                    <w:t>颗粒物</w:t>
                  </w:r>
                </w:p>
              </w:tc>
              <w:tc>
                <w:tcPr>
                  <w:tcW w:w="3874" w:type="dxa"/>
                  <w:vAlign w:val="center"/>
                </w:tcPr>
                <w:p>
                  <w:pPr>
                    <w:widowControl/>
                    <w:jc w:val="center"/>
                    <w:textAlignment w:val="center"/>
                    <w:rPr>
                      <w:kern w:val="21"/>
                      <w:szCs w:val="21"/>
                    </w:rPr>
                  </w:pPr>
                  <w:r>
                    <w:rPr>
                      <w:rFonts w:hint="eastAsia"/>
                      <w:kern w:val="0"/>
                      <w:szCs w:val="21"/>
                      <w:lang w:bidi="ar"/>
                    </w:rPr>
                    <w:t>0.093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trHeight w:val="330" w:hRule="atLeast"/>
                <w:jc w:val="center"/>
              </w:trPr>
              <w:tc>
                <w:tcPr>
                  <w:tcW w:w="1663" w:type="dxa"/>
                  <w:vAlign w:val="center"/>
                </w:tcPr>
                <w:p>
                  <w:pPr>
                    <w:spacing w:line="240" w:lineRule="atLeast"/>
                    <w:jc w:val="center"/>
                    <w:rPr>
                      <w:kern w:val="21"/>
                      <w:szCs w:val="21"/>
                    </w:rPr>
                  </w:pPr>
                  <w:r>
                    <w:rPr>
                      <w:kern w:val="21"/>
                      <w:szCs w:val="21"/>
                    </w:rPr>
                    <w:t>2</w:t>
                  </w:r>
                </w:p>
              </w:tc>
              <w:tc>
                <w:tcPr>
                  <w:tcW w:w="3088" w:type="dxa"/>
                  <w:vAlign w:val="center"/>
                </w:tcPr>
                <w:p>
                  <w:pPr>
                    <w:spacing w:line="240" w:lineRule="atLeast"/>
                    <w:jc w:val="center"/>
                    <w:rPr>
                      <w:kern w:val="21"/>
                      <w:szCs w:val="21"/>
                    </w:rPr>
                  </w:pPr>
                  <w:r>
                    <w:rPr>
                      <w:rFonts w:hint="eastAsia"/>
                      <w:kern w:val="21"/>
                      <w:szCs w:val="21"/>
                    </w:rPr>
                    <w:t>非甲烷总烃</w:t>
                  </w:r>
                </w:p>
              </w:tc>
              <w:tc>
                <w:tcPr>
                  <w:tcW w:w="3874" w:type="dxa"/>
                  <w:vAlign w:val="center"/>
                </w:tcPr>
                <w:p>
                  <w:pPr>
                    <w:widowControl/>
                    <w:jc w:val="center"/>
                    <w:textAlignment w:val="center"/>
                    <w:rPr>
                      <w:szCs w:val="21"/>
                    </w:rPr>
                  </w:pPr>
                  <w:r>
                    <w:rPr>
                      <w:rFonts w:hint="eastAsia"/>
                      <w:kern w:val="0"/>
                      <w:szCs w:val="21"/>
                      <w:lang w:bidi="ar"/>
                    </w:rPr>
                    <w:t>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jc w:val="center"/>
              </w:trPr>
              <w:tc>
                <w:tcPr>
                  <w:tcW w:w="1663" w:type="dxa"/>
                  <w:vAlign w:val="center"/>
                </w:tcPr>
                <w:p>
                  <w:pPr>
                    <w:spacing w:line="240" w:lineRule="atLeast"/>
                    <w:jc w:val="center"/>
                    <w:rPr>
                      <w:kern w:val="21"/>
                      <w:szCs w:val="21"/>
                    </w:rPr>
                  </w:pPr>
                  <w:r>
                    <w:rPr>
                      <w:rFonts w:hint="eastAsia"/>
                      <w:kern w:val="21"/>
                      <w:szCs w:val="21"/>
                    </w:rPr>
                    <w:t>3</w:t>
                  </w:r>
                </w:p>
              </w:tc>
              <w:tc>
                <w:tcPr>
                  <w:tcW w:w="3088" w:type="dxa"/>
                  <w:vAlign w:val="center"/>
                </w:tcPr>
                <w:p>
                  <w:pPr>
                    <w:spacing w:line="240" w:lineRule="atLeast"/>
                    <w:jc w:val="center"/>
                    <w:rPr>
                      <w:kern w:val="21"/>
                      <w:szCs w:val="21"/>
                    </w:rPr>
                  </w:pPr>
                  <w:r>
                    <w:rPr>
                      <w:rFonts w:hint="eastAsia"/>
                      <w:kern w:val="21"/>
                      <w:szCs w:val="21"/>
                    </w:rPr>
                    <w:t>氮氧化物</w:t>
                  </w:r>
                </w:p>
              </w:tc>
              <w:tc>
                <w:tcPr>
                  <w:tcW w:w="3874" w:type="dxa"/>
                  <w:vAlign w:val="center"/>
                </w:tcPr>
                <w:p>
                  <w:pPr>
                    <w:widowControl/>
                    <w:jc w:val="center"/>
                    <w:textAlignment w:val="center"/>
                    <w:rPr>
                      <w:kern w:val="0"/>
                      <w:szCs w:val="21"/>
                      <w:lang w:bidi="ar"/>
                    </w:rPr>
                  </w:pPr>
                  <w:r>
                    <w:rPr>
                      <w:rFonts w:hint="eastAsia"/>
                      <w:kern w:val="0"/>
                      <w:szCs w:val="21"/>
                      <w:lang w:bidi="ar"/>
                    </w:rPr>
                    <w:t>0.306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108" w:type="dxa"/>
                  <w:bottom w:w="28" w:type="dxa"/>
                  <w:right w:w="108" w:type="dxa"/>
                </w:tblCellMar>
              </w:tblPrEx>
              <w:trPr>
                <w:jc w:val="center"/>
              </w:trPr>
              <w:tc>
                <w:tcPr>
                  <w:tcW w:w="1663" w:type="dxa"/>
                  <w:vAlign w:val="center"/>
                </w:tcPr>
                <w:p>
                  <w:pPr>
                    <w:spacing w:line="240" w:lineRule="atLeast"/>
                    <w:jc w:val="center"/>
                    <w:rPr>
                      <w:kern w:val="21"/>
                      <w:szCs w:val="21"/>
                    </w:rPr>
                  </w:pPr>
                  <w:r>
                    <w:rPr>
                      <w:rFonts w:hint="eastAsia"/>
                      <w:kern w:val="21"/>
                      <w:szCs w:val="21"/>
                    </w:rPr>
                    <w:t>4</w:t>
                  </w:r>
                </w:p>
              </w:tc>
              <w:tc>
                <w:tcPr>
                  <w:tcW w:w="3088" w:type="dxa"/>
                  <w:vAlign w:val="center"/>
                </w:tcPr>
                <w:p>
                  <w:pPr>
                    <w:spacing w:line="240" w:lineRule="atLeast"/>
                    <w:jc w:val="center"/>
                    <w:rPr>
                      <w:kern w:val="21"/>
                      <w:szCs w:val="21"/>
                    </w:rPr>
                  </w:pPr>
                  <w:r>
                    <w:rPr>
                      <w:rFonts w:hint="eastAsia"/>
                      <w:kern w:val="21"/>
                      <w:szCs w:val="21"/>
                    </w:rPr>
                    <w:t>二氧化硫</w:t>
                  </w:r>
                </w:p>
              </w:tc>
              <w:tc>
                <w:tcPr>
                  <w:tcW w:w="3874" w:type="dxa"/>
                  <w:vAlign w:val="center"/>
                </w:tcPr>
                <w:p>
                  <w:pPr>
                    <w:widowControl/>
                    <w:jc w:val="center"/>
                    <w:textAlignment w:val="center"/>
                    <w:rPr>
                      <w:kern w:val="0"/>
                      <w:szCs w:val="21"/>
                      <w:lang w:bidi="ar"/>
                    </w:rPr>
                  </w:pPr>
                  <w:r>
                    <w:rPr>
                      <w:rFonts w:hint="eastAsia"/>
                      <w:kern w:val="0"/>
                      <w:szCs w:val="21"/>
                      <w:lang w:bidi="ar"/>
                    </w:rPr>
                    <w:t>0.0003</w:t>
                  </w:r>
                </w:p>
              </w:tc>
            </w:tr>
          </w:tbl>
          <w:p>
            <w:pPr>
              <w:adjustRightInd w:val="0"/>
              <w:snapToGrid w:val="0"/>
              <w:spacing w:line="360" w:lineRule="auto"/>
              <w:ind w:firstLine="482" w:firstLineChars="200"/>
              <w:jc w:val="left"/>
              <w:rPr>
                <w:b/>
                <w:bCs/>
                <w:sz w:val="24"/>
              </w:rPr>
            </w:pPr>
            <w:r>
              <w:rPr>
                <w:rFonts w:hint="eastAsia"/>
                <w:b/>
                <w:bCs/>
                <w:sz w:val="24"/>
              </w:rPr>
              <w:t>2、</w:t>
            </w:r>
            <w:r>
              <w:rPr>
                <w:b/>
                <w:bCs/>
                <w:sz w:val="24"/>
              </w:rPr>
              <w:t>源强核算</w:t>
            </w:r>
          </w:p>
          <w:p>
            <w:pPr>
              <w:tabs>
                <w:tab w:val="left" w:pos="0"/>
              </w:tabs>
              <w:adjustRightInd w:val="0"/>
              <w:snapToGrid w:val="0"/>
              <w:jc w:val="center"/>
              <w:rPr>
                <w:b/>
                <w:bCs/>
              </w:rPr>
            </w:pPr>
            <w:r>
              <w:rPr>
                <w:b/>
                <w:bCs/>
              </w:rPr>
              <w:t>表4-</w:t>
            </w:r>
            <w:r>
              <w:rPr>
                <w:rFonts w:hint="eastAsia"/>
                <w:b/>
                <w:bCs/>
              </w:rPr>
              <w:t>4</w:t>
            </w:r>
            <w:r>
              <w:rPr>
                <w:b/>
                <w:bCs/>
              </w:rPr>
              <w:t>产排污系数表</w:t>
            </w:r>
          </w:p>
          <w:tbl>
            <w:tblPr>
              <w:tblStyle w:val="29"/>
              <w:tblW w:w="868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32"/>
              <w:gridCol w:w="829"/>
              <w:gridCol w:w="756"/>
              <w:gridCol w:w="817"/>
              <w:gridCol w:w="1041"/>
              <w:gridCol w:w="769"/>
              <w:gridCol w:w="1089"/>
              <w:gridCol w:w="1398"/>
              <w:gridCol w:w="115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tcBorders>
                    <w:tl2br w:val="nil"/>
                    <w:tr2bl w:val="nil"/>
                  </w:tcBorders>
                  <w:vAlign w:val="center"/>
                </w:tcPr>
                <w:p>
                  <w:pPr>
                    <w:widowControl/>
                    <w:adjustRightInd w:val="0"/>
                    <w:snapToGrid w:val="0"/>
                    <w:jc w:val="center"/>
                    <w:rPr>
                      <w:b/>
                      <w:bCs/>
                    </w:rPr>
                  </w:pPr>
                  <w:r>
                    <w:rPr>
                      <w:rFonts w:hint="eastAsia"/>
                      <w:b/>
                      <w:bCs/>
                    </w:rPr>
                    <w:t>核算环节</w:t>
                  </w:r>
                </w:p>
              </w:tc>
              <w:tc>
                <w:tcPr>
                  <w:tcW w:w="829" w:type="dxa"/>
                  <w:tcBorders>
                    <w:tl2br w:val="nil"/>
                    <w:tr2bl w:val="nil"/>
                  </w:tcBorders>
                  <w:vAlign w:val="center"/>
                </w:tcPr>
                <w:p>
                  <w:pPr>
                    <w:widowControl/>
                    <w:adjustRightInd w:val="0"/>
                    <w:snapToGrid w:val="0"/>
                    <w:jc w:val="center"/>
                    <w:rPr>
                      <w:b/>
                      <w:bCs/>
                    </w:rPr>
                  </w:pPr>
                  <w:r>
                    <w:rPr>
                      <w:b/>
                      <w:bCs/>
                    </w:rPr>
                    <w:t>产品名称</w:t>
                  </w:r>
                </w:p>
              </w:tc>
              <w:tc>
                <w:tcPr>
                  <w:tcW w:w="756" w:type="dxa"/>
                  <w:tcBorders>
                    <w:tl2br w:val="nil"/>
                    <w:tr2bl w:val="nil"/>
                  </w:tcBorders>
                  <w:vAlign w:val="center"/>
                </w:tcPr>
                <w:p>
                  <w:pPr>
                    <w:widowControl/>
                    <w:adjustRightInd w:val="0"/>
                    <w:snapToGrid w:val="0"/>
                    <w:jc w:val="center"/>
                    <w:rPr>
                      <w:b/>
                      <w:bCs/>
                    </w:rPr>
                  </w:pPr>
                  <w:r>
                    <w:rPr>
                      <w:b/>
                      <w:bCs/>
                    </w:rPr>
                    <w:t>原料名称</w:t>
                  </w:r>
                </w:p>
              </w:tc>
              <w:tc>
                <w:tcPr>
                  <w:tcW w:w="817" w:type="dxa"/>
                  <w:tcBorders>
                    <w:tl2br w:val="nil"/>
                    <w:tr2bl w:val="nil"/>
                  </w:tcBorders>
                  <w:vAlign w:val="center"/>
                </w:tcPr>
                <w:p>
                  <w:pPr>
                    <w:widowControl/>
                    <w:adjustRightInd w:val="0"/>
                    <w:snapToGrid w:val="0"/>
                    <w:jc w:val="center"/>
                    <w:rPr>
                      <w:b/>
                      <w:bCs/>
                    </w:rPr>
                  </w:pPr>
                  <w:r>
                    <w:rPr>
                      <w:b/>
                      <w:bCs/>
                    </w:rPr>
                    <w:t>原料用量</w:t>
                  </w:r>
                </w:p>
              </w:tc>
              <w:tc>
                <w:tcPr>
                  <w:tcW w:w="1041" w:type="dxa"/>
                  <w:tcBorders>
                    <w:tl2br w:val="nil"/>
                    <w:tr2bl w:val="nil"/>
                  </w:tcBorders>
                  <w:vAlign w:val="center"/>
                </w:tcPr>
                <w:p>
                  <w:pPr>
                    <w:widowControl/>
                    <w:adjustRightInd w:val="0"/>
                    <w:snapToGrid w:val="0"/>
                    <w:jc w:val="center"/>
                    <w:rPr>
                      <w:b/>
                      <w:bCs/>
                    </w:rPr>
                  </w:pPr>
                  <w:r>
                    <w:rPr>
                      <w:b/>
                      <w:bCs/>
                    </w:rPr>
                    <w:t>工艺名称</w:t>
                  </w:r>
                </w:p>
              </w:tc>
              <w:tc>
                <w:tcPr>
                  <w:tcW w:w="769" w:type="dxa"/>
                  <w:tcBorders>
                    <w:tl2br w:val="nil"/>
                    <w:tr2bl w:val="nil"/>
                  </w:tcBorders>
                  <w:vAlign w:val="center"/>
                </w:tcPr>
                <w:p>
                  <w:pPr>
                    <w:widowControl/>
                    <w:adjustRightInd w:val="0"/>
                    <w:snapToGrid w:val="0"/>
                    <w:jc w:val="center"/>
                    <w:rPr>
                      <w:b/>
                      <w:bCs/>
                    </w:rPr>
                  </w:pPr>
                  <w:r>
                    <w:rPr>
                      <w:b/>
                      <w:bCs/>
                    </w:rPr>
                    <w:t>规模等级</w:t>
                  </w:r>
                </w:p>
              </w:tc>
              <w:tc>
                <w:tcPr>
                  <w:tcW w:w="1089" w:type="dxa"/>
                  <w:tcBorders>
                    <w:tl2br w:val="nil"/>
                    <w:tr2bl w:val="nil"/>
                  </w:tcBorders>
                  <w:vAlign w:val="center"/>
                </w:tcPr>
                <w:p>
                  <w:pPr>
                    <w:widowControl/>
                    <w:adjustRightInd w:val="0"/>
                    <w:snapToGrid w:val="0"/>
                    <w:jc w:val="center"/>
                    <w:rPr>
                      <w:b/>
                      <w:bCs/>
                    </w:rPr>
                  </w:pPr>
                  <w:r>
                    <w:rPr>
                      <w:b/>
                      <w:bCs/>
                    </w:rPr>
                    <w:t>污染物指标</w:t>
                  </w:r>
                </w:p>
              </w:tc>
              <w:tc>
                <w:tcPr>
                  <w:tcW w:w="1398" w:type="dxa"/>
                  <w:tcBorders>
                    <w:tl2br w:val="nil"/>
                    <w:tr2bl w:val="nil"/>
                  </w:tcBorders>
                  <w:vAlign w:val="center"/>
                </w:tcPr>
                <w:p>
                  <w:pPr>
                    <w:widowControl/>
                    <w:adjustRightInd w:val="0"/>
                    <w:snapToGrid w:val="0"/>
                    <w:jc w:val="center"/>
                    <w:rPr>
                      <w:b/>
                      <w:bCs/>
                    </w:rPr>
                  </w:pPr>
                  <w:r>
                    <w:rPr>
                      <w:b/>
                      <w:bCs/>
                    </w:rPr>
                    <w:t>单位</w:t>
                  </w:r>
                </w:p>
              </w:tc>
              <w:tc>
                <w:tcPr>
                  <w:tcW w:w="1158" w:type="dxa"/>
                  <w:tcBorders>
                    <w:tl2br w:val="nil"/>
                    <w:tr2bl w:val="nil"/>
                  </w:tcBorders>
                  <w:vAlign w:val="center"/>
                </w:tcPr>
                <w:p>
                  <w:pPr>
                    <w:widowControl/>
                    <w:adjustRightInd w:val="0"/>
                    <w:snapToGrid w:val="0"/>
                    <w:jc w:val="center"/>
                    <w:rPr>
                      <w:b/>
                      <w:bCs/>
                    </w:rPr>
                  </w:pPr>
                  <w:r>
                    <w:rPr>
                      <w:b/>
                      <w:bCs/>
                    </w:rPr>
                    <w:t>产污系数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Merge w:val="restart"/>
                  <w:tcBorders>
                    <w:tl2br w:val="nil"/>
                    <w:tr2bl w:val="nil"/>
                  </w:tcBorders>
                  <w:vAlign w:val="center"/>
                </w:tcPr>
                <w:p>
                  <w:pPr>
                    <w:widowControl/>
                    <w:adjustRightInd w:val="0"/>
                    <w:snapToGrid w:val="0"/>
                    <w:jc w:val="center"/>
                  </w:pPr>
                  <w:r>
                    <w:rPr>
                      <w:rFonts w:hint="eastAsia"/>
                    </w:rPr>
                    <w:t>涂装</w:t>
                  </w:r>
                </w:p>
                <w:p>
                  <w:pPr>
                    <w:widowControl/>
                    <w:adjustRightInd w:val="0"/>
                    <w:snapToGrid w:val="0"/>
                    <w:jc w:val="center"/>
                  </w:pPr>
                </w:p>
              </w:tc>
              <w:tc>
                <w:tcPr>
                  <w:tcW w:w="829" w:type="dxa"/>
                  <w:vMerge w:val="restart"/>
                  <w:tcBorders>
                    <w:tl2br w:val="nil"/>
                    <w:tr2bl w:val="nil"/>
                  </w:tcBorders>
                  <w:vAlign w:val="center"/>
                </w:tcPr>
                <w:p>
                  <w:pPr>
                    <w:widowControl/>
                    <w:adjustRightInd w:val="0"/>
                    <w:snapToGrid w:val="0"/>
                    <w:jc w:val="center"/>
                  </w:pPr>
                  <w:r>
                    <w:rPr>
                      <w:rFonts w:hint="eastAsia"/>
                    </w:rPr>
                    <w:t>涂装件</w:t>
                  </w:r>
                </w:p>
                <w:p>
                  <w:pPr>
                    <w:widowControl/>
                    <w:adjustRightInd w:val="0"/>
                    <w:snapToGrid w:val="0"/>
                    <w:jc w:val="center"/>
                  </w:pPr>
                </w:p>
              </w:tc>
              <w:tc>
                <w:tcPr>
                  <w:tcW w:w="756" w:type="dxa"/>
                  <w:vMerge w:val="restart"/>
                  <w:tcBorders>
                    <w:tl2br w:val="nil"/>
                    <w:tr2bl w:val="nil"/>
                  </w:tcBorders>
                  <w:vAlign w:val="center"/>
                </w:tcPr>
                <w:p>
                  <w:pPr>
                    <w:widowControl/>
                    <w:adjustRightInd w:val="0"/>
                    <w:snapToGrid w:val="0"/>
                    <w:jc w:val="center"/>
                  </w:pPr>
                  <w:r>
                    <w:rPr>
                      <w:rFonts w:hint="eastAsia"/>
                    </w:rPr>
                    <w:t>粉末涂料</w:t>
                  </w:r>
                </w:p>
              </w:tc>
              <w:tc>
                <w:tcPr>
                  <w:tcW w:w="817" w:type="dxa"/>
                  <w:vMerge w:val="restart"/>
                  <w:tcBorders>
                    <w:tl2br w:val="nil"/>
                    <w:tr2bl w:val="nil"/>
                  </w:tcBorders>
                  <w:vAlign w:val="center"/>
                </w:tcPr>
                <w:p>
                  <w:pPr>
                    <w:widowControl/>
                    <w:adjustRightInd w:val="0"/>
                    <w:snapToGrid w:val="0"/>
                    <w:jc w:val="center"/>
                  </w:pPr>
                  <w:r>
                    <w:rPr>
                      <w:rFonts w:hint="eastAsia"/>
                    </w:rPr>
                    <w:t>16</w:t>
                  </w:r>
                  <w:r>
                    <w:t>t</w:t>
                  </w:r>
                </w:p>
              </w:tc>
              <w:tc>
                <w:tcPr>
                  <w:tcW w:w="1041" w:type="dxa"/>
                  <w:tcBorders>
                    <w:tl2br w:val="nil"/>
                    <w:tr2bl w:val="nil"/>
                  </w:tcBorders>
                  <w:vAlign w:val="center"/>
                </w:tcPr>
                <w:p>
                  <w:pPr>
                    <w:widowControl/>
                    <w:adjustRightInd w:val="0"/>
                    <w:snapToGrid w:val="0"/>
                    <w:jc w:val="center"/>
                  </w:pPr>
                  <w:r>
                    <w:rPr>
                      <w:rFonts w:hint="eastAsia"/>
                    </w:rPr>
                    <w:t>喷塑</w:t>
                  </w:r>
                </w:p>
              </w:tc>
              <w:tc>
                <w:tcPr>
                  <w:tcW w:w="769" w:type="dxa"/>
                  <w:vMerge w:val="restart"/>
                  <w:tcBorders>
                    <w:tl2br w:val="nil"/>
                    <w:tr2bl w:val="nil"/>
                  </w:tcBorders>
                  <w:vAlign w:val="center"/>
                </w:tcPr>
                <w:p>
                  <w:pPr>
                    <w:widowControl/>
                    <w:adjustRightInd w:val="0"/>
                    <w:snapToGrid w:val="0"/>
                    <w:jc w:val="center"/>
                  </w:pPr>
                  <w:r>
                    <w:t>所有规模</w:t>
                  </w:r>
                </w:p>
              </w:tc>
              <w:tc>
                <w:tcPr>
                  <w:tcW w:w="1089" w:type="dxa"/>
                  <w:tcBorders>
                    <w:tl2br w:val="nil"/>
                    <w:tr2bl w:val="nil"/>
                  </w:tcBorders>
                  <w:vAlign w:val="center"/>
                </w:tcPr>
                <w:p>
                  <w:pPr>
                    <w:widowControl/>
                    <w:adjustRightInd w:val="0"/>
                    <w:snapToGrid w:val="0"/>
                    <w:jc w:val="center"/>
                  </w:pPr>
                  <w:r>
                    <w:t>颗粒物</w:t>
                  </w:r>
                </w:p>
              </w:tc>
              <w:tc>
                <w:tcPr>
                  <w:tcW w:w="1398" w:type="dxa"/>
                  <w:tcBorders>
                    <w:tl2br w:val="nil"/>
                    <w:tr2bl w:val="nil"/>
                  </w:tcBorders>
                  <w:vAlign w:val="center"/>
                </w:tcPr>
                <w:p>
                  <w:pPr>
                    <w:widowControl/>
                    <w:adjustRightInd w:val="0"/>
                    <w:snapToGrid w:val="0"/>
                    <w:jc w:val="center"/>
                  </w:pPr>
                  <w:r>
                    <w:t>千克/吨-原料</w:t>
                  </w:r>
                </w:p>
              </w:tc>
              <w:tc>
                <w:tcPr>
                  <w:tcW w:w="1158" w:type="dxa"/>
                  <w:tcBorders>
                    <w:tl2br w:val="nil"/>
                    <w:tr2bl w:val="nil"/>
                  </w:tcBorders>
                  <w:vAlign w:val="center"/>
                </w:tcPr>
                <w:p>
                  <w:pPr>
                    <w:widowControl/>
                    <w:adjustRightInd w:val="0"/>
                    <w:snapToGrid w:val="0"/>
                    <w:jc w:val="center"/>
                  </w:pPr>
                  <w:r>
                    <w:t>300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Merge w:val="continue"/>
                  <w:tcBorders>
                    <w:tl2br w:val="nil"/>
                    <w:tr2bl w:val="nil"/>
                  </w:tcBorders>
                  <w:vAlign w:val="center"/>
                </w:tcPr>
                <w:p>
                  <w:pPr>
                    <w:widowControl/>
                    <w:adjustRightInd w:val="0"/>
                    <w:snapToGrid w:val="0"/>
                    <w:jc w:val="center"/>
                  </w:pPr>
                </w:p>
              </w:tc>
              <w:tc>
                <w:tcPr>
                  <w:tcW w:w="829" w:type="dxa"/>
                  <w:vMerge w:val="continue"/>
                  <w:tcBorders>
                    <w:tl2br w:val="nil"/>
                    <w:tr2bl w:val="nil"/>
                  </w:tcBorders>
                  <w:vAlign w:val="center"/>
                </w:tcPr>
                <w:p>
                  <w:pPr>
                    <w:widowControl/>
                    <w:adjustRightInd w:val="0"/>
                    <w:snapToGrid w:val="0"/>
                    <w:jc w:val="center"/>
                  </w:pPr>
                </w:p>
              </w:tc>
              <w:tc>
                <w:tcPr>
                  <w:tcW w:w="756" w:type="dxa"/>
                  <w:vMerge w:val="continue"/>
                  <w:tcBorders>
                    <w:tl2br w:val="nil"/>
                    <w:tr2bl w:val="nil"/>
                  </w:tcBorders>
                  <w:vAlign w:val="center"/>
                </w:tcPr>
                <w:p>
                  <w:pPr>
                    <w:widowControl/>
                    <w:adjustRightInd w:val="0"/>
                    <w:snapToGrid w:val="0"/>
                    <w:jc w:val="center"/>
                  </w:pPr>
                </w:p>
              </w:tc>
              <w:tc>
                <w:tcPr>
                  <w:tcW w:w="817" w:type="dxa"/>
                  <w:vMerge w:val="continue"/>
                  <w:tcBorders>
                    <w:tl2br w:val="nil"/>
                    <w:tr2bl w:val="nil"/>
                  </w:tcBorders>
                  <w:vAlign w:val="center"/>
                </w:tcPr>
                <w:p>
                  <w:pPr>
                    <w:widowControl/>
                    <w:adjustRightInd w:val="0"/>
                    <w:snapToGrid w:val="0"/>
                    <w:jc w:val="center"/>
                  </w:pPr>
                </w:p>
              </w:tc>
              <w:tc>
                <w:tcPr>
                  <w:tcW w:w="1041" w:type="dxa"/>
                  <w:tcBorders>
                    <w:tl2br w:val="nil"/>
                    <w:tr2bl w:val="nil"/>
                  </w:tcBorders>
                  <w:vAlign w:val="center"/>
                </w:tcPr>
                <w:p>
                  <w:pPr>
                    <w:widowControl/>
                    <w:adjustRightInd w:val="0"/>
                    <w:snapToGrid w:val="0"/>
                    <w:jc w:val="center"/>
                  </w:pPr>
                  <w:r>
                    <w:rPr>
                      <w:rFonts w:hint="eastAsia"/>
                    </w:rPr>
                    <w:t>喷塑后烘干</w:t>
                  </w:r>
                </w:p>
              </w:tc>
              <w:tc>
                <w:tcPr>
                  <w:tcW w:w="769" w:type="dxa"/>
                  <w:vMerge w:val="continue"/>
                  <w:tcBorders>
                    <w:tl2br w:val="nil"/>
                    <w:tr2bl w:val="nil"/>
                  </w:tcBorders>
                  <w:vAlign w:val="center"/>
                </w:tcPr>
                <w:p>
                  <w:pPr>
                    <w:widowControl/>
                    <w:adjustRightInd w:val="0"/>
                    <w:snapToGrid w:val="0"/>
                    <w:jc w:val="center"/>
                  </w:pPr>
                </w:p>
              </w:tc>
              <w:tc>
                <w:tcPr>
                  <w:tcW w:w="1089" w:type="dxa"/>
                  <w:tcBorders>
                    <w:tl2br w:val="nil"/>
                    <w:tr2bl w:val="nil"/>
                  </w:tcBorders>
                  <w:vAlign w:val="center"/>
                </w:tcPr>
                <w:p>
                  <w:pPr>
                    <w:widowControl/>
                    <w:adjustRightInd w:val="0"/>
                    <w:snapToGrid w:val="0"/>
                    <w:jc w:val="center"/>
                  </w:pPr>
                  <w:r>
                    <w:rPr>
                      <w:rFonts w:hint="eastAsia"/>
                    </w:rPr>
                    <w:t>挥发性有机物</w:t>
                  </w:r>
                </w:p>
              </w:tc>
              <w:tc>
                <w:tcPr>
                  <w:tcW w:w="1398" w:type="dxa"/>
                  <w:tcBorders>
                    <w:tl2br w:val="nil"/>
                    <w:tr2bl w:val="nil"/>
                  </w:tcBorders>
                  <w:vAlign w:val="center"/>
                </w:tcPr>
                <w:p>
                  <w:pPr>
                    <w:widowControl/>
                    <w:adjustRightInd w:val="0"/>
                    <w:snapToGrid w:val="0"/>
                    <w:jc w:val="center"/>
                  </w:pPr>
                  <w:r>
                    <w:t>千克/吨-原料</w:t>
                  </w:r>
                </w:p>
              </w:tc>
              <w:tc>
                <w:tcPr>
                  <w:tcW w:w="1158" w:type="dxa"/>
                  <w:tcBorders>
                    <w:tl2br w:val="nil"/>
                    <w:tr2bl w:val="nil"/>
                  </w:tcBorders>
                  <w:vAlign w:val="center"/>
                </w:tcPr>
                <w:p>
                  <w:pPr>
                    <w:widowControl/>
                    <w:adjustRightInd w:val="0"/>
                    <w:snapToGrid w:val="0"/>
                    <w:jc w:val="center"/>
                  </w:pPr>
                  <w:r>
                    <w:rPr>
                      <w:rFonts w:hint="eastAsia"/>
                    </w:rPr>
                    <w:t>1.20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Merge w:val="continue"/>
                  <w:tcBorders>
                    <w:tl2br w:val="nil"/>
                    <w:tr2bl w:val="nil"/>
                  </w:tcBorders>
                  <w:vAlign w:val="center"/>
                </w:tcPr>
                <w:p>
                  <w:pPr>
                    <w:widowControl/>
                    <w:adjustRightInd w:val="0"/>
                    <w:snapToGrid w:val="0"/>
                    <w:jc w:val="center"/>
                  </w:pPr>
                </w:p>
              </w:tc>
              <w:tc>
                <w:tcPr>
                  <w:tcW w:w="829" w:type="dxa"/>
                  <w:vMerge w:val="continue"/>
                  <w:tcBorders>
                    <w:tl2br w:val="nil"/>
                    <w:tr2bl w:val="nil"/>
                  </w:tcBorders>
                  <w:vAlign w:val="center"/>
                </w:tcPr>
                <w:p>
                  <w:pPr>
                    <w:widowControl/>
                    <w:adjustRightInd w:val="0"/>
                    <w:snapToGrid w:val="0"/>
                    <w:jc w:val="center"/>
                  </w:pPr>
                </w:p>
              </w:tc>
              <w:tc>
                <w:tcPr>
                  <w:tcW w:w="756" w:type="dxa"/>
                  <w:vMerge w:val="restart"/>
                  <w:tcBorders>
                    <w:tl2br w:val="nil"/>
                    <w:tr2bl w:val="nil"/>
                  </w:tcBorders>
                  <w:vAlign w:val="center"/>
                </w:tcPr>
                <w:p>
                  <w:pPr>
                    <w:widowControl/>
                    <w:adjustRightInd w:val="0"/>
                    <w:snapToGrid w:val="0"/>
                    <w:jc w:val="center"/>
                  </w:pPr>
                  <w:r>
                    <w:rPr>
                      <w:rFonts w:hint="eastAsia"/>
                    </w:rPr>
                    <w:t>天然气</w:t>
                  </w:r>
                </w:p>
              </w:tc>
              <w:tc>
                <w:tcPr>
                  <w:tcW w:w="817" w:type="dxa"/>
                  <w:vMerge w:val="restart"/>
                  <w:tcBorders>
                    <w:tl2br w:val="nil"/>
                    <w:tr2bl w:val="nil"/>
                  </w:tcBorders>
                  <w:vAlign w:val="center"/>
                </w:tcPr>
                <w:p>
                  <w:pPr>
                    <w:widowControl/>
                    <w:adjustRightInd w:val="0"/>
                    <w:snapToGrid w:val="0"/>
                    <w:jc w:val="center"/>
                  </w:pPr>
                  <w:r>
                    <w:rPr>
                      <w:rFonts w:hint="eastAsia"/>
                    </w:rPr>
                    <w:t>163800</w:t>
                  </w:r>
                </w:p>
              </w:tc>
              <w:tc>
                <w:tcPr>
                  <w:tcW w:w="1041" w:type="dxa"/>
                  <w:vMerge w:val="restart"/>
                  <w:tcBorders>
                    <w:tl2br w:val="nil"/>
                    <w:tr2bl w:val="nil"/>
                  </w:tcBorders>
                  <w:vAlign w:val="center"/>
                </w:tcPr>
                <w:p>
                  <w:pPr>
                    <w:widowControl/>
                    <w:adjustRightInd w:val="0"/>
                    <w:snapToGrid w:val="0"/>
                    <w:jc w:val="center"/>
                  </w:pPr>
                  <w:r>
                    <w:rPr>
                      <w:rFonts w:hint="eastAsia"/>
                    </w:rPr>
                    <w:t>整体热处理</w:t>
                  </w:r>
                </w:p>
              </w:tc>
              <w:tc>
                <w:tcPr>
                  <w:tcW w:w="769" w:type="dxa"/>
                  <w:vMerge w:val="restart"/>
                  <w:tcBorders>
                    <w:tl2br w:val="nil"/>
                    <w:tr2bl w:val="nil"/>
                  </w:tcBorders>
                  <w:vAlign w:val="center"/>
                </w:tcPr>
                <w:p>
                  <w:pPr>
                    <w:widowControl/>
                    <w:adjustRightInd w:val="0"/>
                    <w:snapToGrid w:val="0"/>
                    <w:jc w:val="center"/>
                  </w:pPr>
                  <w:r>
                    <w:rPr>
                      <w:rFonts w:hint="eastAsia"/>
                    </w:rPr>
                    <w:t>所有规模</w:t>
                  </w:r>
                </w:p>
              </w:tc>
              <w:tc>
                <w:tcPr>
                  <w:tcW w:w="1089" w:type="dxa"/>
                  <w:tcBorders>
                    <w:tl2br w:val="nil"/>
                    <w:tr2bl w:val="nil"/>
                  </w:tcBorders>
                  <w:vAlign w:val="center"/>
                </w:tcPr>
                <w:p>
                  <w:pPr>
                    <w:widowControl/>
                    <w:adjustRightInd w:val="0"/>
                    <w:snapToGrid w:val="0"/>
                    <w:jc w:val="center"/>
                  </w:pPr>
                  <w:r>
                    <w:t>颗粒物</w:t>
                  </w:r>
                </w:p>
              </w:tc>
              <w:tc>
                <w:tcPr>
                  <w:tcW w:w="1398" w:type="dxa"/>
                  <w:vMerge w:val="restart"/>
                  <w:tcBorders>
                    <w:tl2br w:val="nil"/>
                    <w:tr2bl w:val="nil"/>
                  </w:tcBorders>
                  <w:vAlign w:val="center"/>
                </w:tcPr>
                <w:p>
                  <w:pPr>
                    <w:adjustRightInd w:val="0"/>
                    <w:snapToGrid w:val="0"/>
                    <w:jc w:val="center"/>
                  </w:pPr>
                  <w:r>
                    <w:t>千克/</w:t>
                  </w:r>
                  <w:r>
                    <w:rPr>
                      <w:rFonts w:hint="eastAsia"/>
                    </w:rPr>
                    <w:t>m³</w:t>
                  </w:r>
                  <w:r>
                    <w:t>-原料</w:t>
                  </w:r>
                </w:p>
              </w:tc>
              <w:tc>
                <w:tcPr>
                  <w:tcW w:w="1158" w:type="dxa"/>
                  <w:tcBorders>
                    <w:tl2br w:val="nil"/>
                    <w:tr2bl w:val="nil"/>
                  </w:tcBorders>
                  <w:vAlign w:val="center"/>
                </w:tcPr>
                <w:p>
                  <w:pPr>
                    <w:adjustRightInd w:val="0"/>
                    <w:snapToGrid w:val="0"/>
                    <w:jc w:val="center"/>
                  </w:pPr>
                  <w:r>
                    <w:rPr>
                      <w:rFonts w:hint="eastAsia"/>
                    </w:rPr>
                    <w:t>0.000286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Merge w:val="continue"/>
                  <w:tcBorders>
                    <w:tl2br w:val="nil"/>
                    <w:tr2bl w:val="nil"/>
                  </w:tcBorders>
                  <w:vAlign w:val="center"/>
                </w:tcPr>
                <w:p>
                  <w:pPr>
                    <w:widowControl/>
                    <w:adjustRightInd w:val="0"/>
                    <w:snapToGrid w:val="0"/>
                    <w:jc w:val="center"/>
                  </w:pPr>
                </w:p>
              </w:tc>
              <w:tc>
                <w:tcPr>
                  <w:tcW w:w="829" w:type="dxa"/>
                  <w:vMerge w:val="continue"/>
                  <w:tcBorders>
                    <w:tl2br w:val="nil"/>
                    <w:tr2bl w:val="nil"/>
                  </w:tcBorders>
                  <w:vAlign w:val="center"/>
                </w:tcPr>
                <w:p>
                  <w:pPr>
                    <w:widowControl/>
                    <w:adjustRightInd w:val="0"/>
                    <w:snapToGrid w:val="0"/>
                    <w:jc w:val="center"/>
                  </w:pPr>
                </w:p>
              </w:tc>
              <w:tc>
                <w:tcPr>
                  <w:tcW w:w="756" w:type="dxa"/>
                  <w:vMerge w:val="continue"/>
                  <w:tcBorders>
                    <w:tl2br w:val="nil"/>
                    <w:tr2bl w:val="nil"/>
                  </w:tcBorders>
                  <w:vAlign w:val="center"/>
                </w:tcPr>
                <w:p>
                  <w:pPr>
                    <w:widowControl/>
                    <w:adjustRightInd w:val="0"/>
                    <w:snapToGrid w:val="0"/>
                    <w:jc w:val="center"/>
                  </w:pPr>
                </w:p>
              </w:tc>
              <w:tc>
                <w:tcPr>
                  <w:tcW w:w="817" w:type="dxa"/>
                  <w:vMerge w:val="continue"/>
                  <w:tcBorders>
                    <w:tl2br w:val="nil"/>
                    <w:tr2bl w:val="nil"/>
                  </w:tcBorders>
                  <w:vAlign w:val="center"/>
                </w:tcPr>
                <w:p>
                  <w:pPr>
                    <w:widowControl/>
                    <w:adjustRightInd w:val="0"/>
                    <w:snapToGrid w:val="0"/>
                    <w:jc w:val="center"/>
                  </w:pPr>
                </w:p>
              </w:tc>
              <w:tc>
                <w:tcPr>
                  <w:tcW w:w="1041" w:type="dxa"/>
                  <w:vMerge w:val="continue"/>
                  <w:tcBorders>
                    <w:tl2br w:val="nil"/>
                    <w:tr2bl w:val="nil"/>
                  </w:tcBorders>
                  <w:vAlign w:val="center"/>
                </w:tcPr>
                <w:p>
                  <w:pPr>
                    <w:widowControl/>
                    <w:adjustRightInd w:val="0"/>
                    <w:snapToGrid w:val="0"/>
                    <w:jc w:val="center"/>
                  </w:pPr>
                </w:p>
              </w:tc>
              <w:tc>
                <w:tcPr>
                  <w:tcW w:w="769" w:type="dxa"/>
                  <w:vMerge w:val="continue"/>
                  <w:tcBorders>
                    <w:tl2br w:val="nil"/>
                    <w:tr2bl w:val="nil"/>
                  </w:tcBorders>
                  <w:vAlign w:val="center"/>
                </w:tcPr>
                <w:p>
                  <w:pPr>
                    <w:widowControl/>
                    <w:adjustRightInd w:val="0"/>
                    <w:snapToGrid w:val="0"/>
                    <w:jc w:val="center"/>
                  </w:pPr>
                </w:p>
              </w:tc>
              <w:tc>
                <w:tcPr>
                  <w:tcW w:w="1089" w:type="dxa"/>
                  <w:tcBorders>
                    <w:tl2br w:val="nil"/>
                    <w:tr2bl w:val="nil"/>
                  </w:tcBorders>
                  <w:vAlign w:val="center"/>
                </w:tcPr>
                <w:p>
                  <w:pPr>
                    <w:widowControl/>
                    <w:adjustRightInd w:val="0"/>
                    <w:snapToGrid w:val="0"/>
                    <w:jc w:val="center"/>
                  </w:pPr>
                  <w:r>
                    <w:rPr>
                      <w:rFonts w:hint="eastAsia"/>
                    </w:rPr>
                    <w:t>二氧化硫</w:t>
                  </w:r>
                </w:p>
              </w:tc>
              <w:tc>
                <w:tcPr>
                  <w:tcW w:w="1398" w:type="dxa"/>
                  <w:vMerge w:val="continue"/>
                  <w:tcBorders>
                    <w:tl2br w:val="nil"/>
                    <w:tr2bl w:val="nil"/>
                  </w:tcBorders>
                  <w:vAlign w:val="center"/>
                </w:tcPr>
                <w:p>
                  <w:pPr>
                    <w:adjustRightInd w:val="0"/>
                    <w:snapToGrid w:val="0"/>
                    <w:jc w:val="center"/>
                  </w:pPr>
                </w:p>
              </w:tc>
              <w:tc>
                <w:tcPr>
                  <w:tcW w:w="1158" w:type="dxa"/>
                  <w:tcBorders>
                    <w:tl2br w:val="nil"/>
                    <w:tr2bl w:val="nil"/>
                  </w:tcBorders>
                  <w:vAlign w:val="center"/>
                </w:tcPr>
                <w:p>
                  <w:pPr>
                    <w:adjustRightInd w:val="0"/>
                    <w:snapToGrid w:val="0"/>
                    <w:jc w:val="center"/>
                  </w:pPr>
                  <w:r>
                    <w:rPr>
                      <w:rFonts w:hint="eastAsia"/>
                    </w:rPr>
                    <w:t>0.000002S</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832" w:type="dxa"/>
                  <w:vMerge w:val="continue"/>
                  <w:tcBorders>
                    <w:tl2br w:val="nil"/>
                    <w:tr2bl w:val="nil"/>
                  </w:tcBorders>
                  <w:vAlign w:val="center"/>
                </w:tcPr>
                <w:p>
                  <w:pPr>
                    <w:widowControl/>
                    <w:adjustRightInd w:val="0"/>
                    <w:snapToGrid w:val="0"/>
                    <w:jc w:val="center"/>
                  </w:pPr>
                </w:p>
              </w:tc>
              <w:tc>
                <w:tcPr>
                  <w:tcW w:w="829" w:type="dxa"/>
                  <w:vMerge w:val="continue"/>
                  <w:tcBorders>
                    <w:tl2br w:val="nil"/>
                    <w:tr2bl w:val="nil"/>
                  </w:tcBorders>
                  <w:vAlign w:val="center"/>
                </w:tcPr>
                <w:p>
                  <w:pPr>
                    <w:widowControl/>
                    <w:adjustRightInd w:val="0"/>
                    <w:snapToGrid w:val="0"/>
                    <w:jc w:val="center"/>
                  </w:pPr>
                </w:p>
              </w:tc>
              <w:tc>
                <w:tcPr>
                  <w:tcW w:w="756" w:type="dxa"/>
                  <w:vMerge w:val="continue"/>
                  <w:tcBorders>
                    <w:tl2br w:val="nil"/>
                    <w:tr2bl w:val="nil"/>
                  </w:tcBorders>
                  <w:vAlign w:val="center"/>
                </w:tcPr>
                <w:p>
                  <w:pPr>
                    <w:widowControl/>
                    <w:adjustRightInd w:val="0"/>
                    <w:snapToGrid w:val="0"/>
                    <w:jc w:val="center"/>
                  </w:pPr>
                </w:p>
              </w:tc>
              <w:tc>
                <w:tcPr>
                  <w:tcW w:w="817" w:type="dxa"/>
                  <w:vMerge w:val="continue"/>
                  <w:tcBorders>
                    <w:tl2br w:val="nil"/>
                    <w:tr2bl w:val="nil"/>
                  </w:tcBorders>
                  <w:vAlign w:val="center"/>
                </w:tcPr>
                <w:p>
                  <w:pPr>
                    <w:widowControl/>
                    <w:adjustRightInd w:val="0"/>
                    <w:snapToGrid w:val="0"/>
                    <w:jc w:val="center"/>
                  </w:pPr>
                </w:p>
              </w:tc>
              <w:tc>
                <w:tcPr>
                  <w:tcW w:w="1041" w:type="dxa"/>
                  <w:vMerge w:val="continue"/>
                  <w:tcBorders>
                    <w:tl2br w:val="nil"/>
                    <w:tr2bl w:val="nil"/>
                  </w:tcBorders>
                  <w:vAlign w:val="center"/>
                </w:tcPr>
                <w:p>
                  <w:pPr>
                    <w:widowControl/>
                    <w:adjustRightInd w:val="0"/>
                    <w:snapToGrid w:val="0"/>
                    <w:jc w:val="center"/>
                  </w:pPr>
                </w:p>
              </w:tc>
              <w:tc>
                <w:tcPr>
                  <w:tcW w:w="769" w:type="dxa"/>
                  <w:vMerge w:val="continue"/>
                  <w:tcBorders>
                    <w:tl2br w:val="nil"/>
                    <w:tr2bl w:val="nil"/>
                  </w:tcBorders>
                  <w:vAlign w:val="center"/>
                </w:tcPr>
                <w:p>
                  <w:pPr>
                    <w:widowControl/>
                    <w:adjustRightInd w:val="0"/>
                    <w:snapToGrid w:val="0"/>
                    <w:jc w:val="center"/>
                  </w:pPr>
                </w:p>
              </w:tc>
              <w:tc>
                <w:tcPr>
                  <w:tcW w:w="1089" w:type="dxa"/>
                  <w:tcBorders>
                    <w:tl2br w:val="nil"/>
                    <w:tr2bl w:val="nil"/>
                  </w:tcBorders>
                  <w:vAlign w:val="center"/>
                </w:tcPr>
                <w:p>
                  <w:pPr>
                    <w:widowControl/>
                    <w:adjustRightInd w:val="0"/>
                    <w:snapToGrid w:val="0"/>
                    <w:jc w:val="center"/>
                  </w:pPr>
                  <w:r>
                    <w:rPr>
                      <w:rFonts w:hint="eastAsia"/>
                    </w:rPr>
                    <w:t>氮氧化物</w:t>
                  </w:r>
                </w:p>
              </w:tc>
              <w:tc>
                <w:tcPr>
                  <w:tcW w:w="1398" w:type="dxa"/>
                  <w:vMerge w:val="continue"/>
                  <w:tcBorders>
                    <w:tl2br w:val="nil"/>
                    <w:tr2bl w:val="nil"/>
                  </w:tcBorders>
                  <w:vAlign w:val="center"/>
                </w:tcPr>
                <w:p>
                  <w:pPr>
                    <w:adjustRightInd w:val="0"/>
                    <w:snapToGrid w:val="0"/>
                    <w:jc w:val="center"/>
                  </w:pPr>
                </w:p>
              </w:tc>
              <w:tc>
                <w:tcPr>
                  <w:tcW w:w="1158" w:type="dxa"/>
                  <w:tcBorders>
                    <w:tl2br w:val="nil"/>
                    <w:tr2bl w:val="nil"/>
                  </w:tcBorders>
                  <w:vAlign w:val="center"/>
                </w:tcPr>
                <w:p>
                  <w:pPr>
                    <w:adjustRightInd w:val="0"/>
                    <w:snapToGrid w:val="0"/>
                    <w:jc w:val="center"/>
                  </w:pPr>
                  <w:r>
                    <w:rPr>
                      <w:rFonts w:hint="eastAsia"/>
                    </w:rPr>
                    <w:t>0.00187</w:t>
                  </w:r>
                </w:p>
              </w:tc>
            </w:tr>
          </w:tbl>
          <w:p>
            <w:pPr>
              <w:adjustRightInd w:val="0"/>
              <w:snapToGrid w:val="0"/>
              <w:spacing w:line="360" w:lineRule="auto"/>
              <w:ind w:firstLine="480" w:firstLineChars="200"/>
              <w:textAlignment w:val="baseline"/>
              <w:rPr>
                <w:sz w:val="24"/>
              </w:rPr>
            </w:pPr>
            <w:r>
              <w:rPr>
                <w:rFonts w:hint="eastAsia"/>
                <w:sz w:val="24"/>
              </w:rPr>
              <w:t>1）颗粒物</w:t>
            </w:r>
          </w:p>
          <w:p>
            <w:pPr>
              <w:adjustRightInd w:val="0"/>
              <w:snapToGrid w:val="0"/>
              <w:spacing w:line="360" w:lineRule="auto"/>
              <w:ind w:firstLine="480" w:firstLineChars="200"/>
              <w:rPr>
                <w:sz w:val="24"/>
              </w:rPr>
            </w:pPr>
            <w:r>
              <w:rPr>
                <w:sz w:val="24"/>
              </w:rPr>
              <w:t>项目静电喷</w:t>
            </w:r>
            <w:r>
              <w:rPr>
                <w:rFonts w:hint="eastAsia"/>
                <w:sz w:val="24"/>
              </w:rPr>
              <w:t>塑</w:t>
            </w:r>
            <w:r>
              <w:rPr>
                <w:sz w:val="24"/>
              </w:rPr>
              <w:t>作业设置在专用喷房内，利用喷</w:t>
            </w:r>
            <w:r>
              <w:rPr>
                <w:rFonts w:hint="eastAsia"/>
                <w:sz w:val="24"/>
              </w:rPr>
              <w:t>塑</w:t>
            </w:r>
            <w:r>
              <w:rPr>
                <w:sz w:val="24"/>
              </w:rPr>
              <w:t>机对工件表面进行静电喷</w:t>
            </w:r>
            <w:r>
              <w:rPr>
                <w:rFonts w:hint="eastAsia"/>
                <w:sz w:val="24"/>
              </w:rPr>
              <w:t>塑</w:t>
            </w:r>
            <w:r>
              <w:rPr>
                <w:sz w:val="24"/>
              </w:rPr>
              <w:t>，没有被工件吸附的过量粉末，被设备自带的滤芯收尘设备回收器收集再送至喷枪进行喷</w:t>
            </w:r>
            <w:r>
              <w:rPr>
                <w:rFonts w:hint="eastAsia"/>
                <w:sz w:val="24"/>
              </w:rPr>
              <w:t>塑</w:t>
            </w:r>
            <w:r>
              <w:rPr>
                <w:sz w:val="24"/>
              </w:rPr>
              <w:t>，形成粉末闭循环使用系统，</w:t>
            </w:r>
            <w:r>
              <w:rPr>
                <w:rFonts w:hint="eastAsia"/>
                <w:sz w:val="24"/>
                <w:lang w:eastAsia="zh-CN"/>
              </w:rPr>
              <w:t>项目</w:t>
            </w:r>
            <w:r>
              <w:rPr>
                <w:sz w:val="24"/>
              </w:rPr>
              <w:t>喷</w:t>
            </w:r>
            <w:r>
              <w:rPr>
                <w:rFonts w:hint="eastAsia"/>
                <w:sz w:val="24"/>
              </w:rPr>
              <w:t>塑</w:t>
            </w:r>
            <w:r>
              <w:rPr>
                <w:sz w:val="24"/>
              </w:rPr>
              <w:t>方式为机器封闭式喷</w:t>
            </w:r>
            <w:r>
              <w:rPr>
                <w:rFonts w:hint="eastAsia"/>
                <w:sz w:val="24"/>
              </w:rPr>
              <w:t>塑</w:t>
            </w:r>
            <w:r>
              <w:rPr>
                <w:sz w:val="24"/>
              </w:rPr>
              <w:t>，粉末喷</w:t>
            </w:r>
            <w:r>
              <w:rPr>
                <w:rFonts w:hint="eastAsia"/>
                <w:sz w:val="24"/>
              </w:rPr>
              <w:t>塑</w:t>
            </w:r>
            <w:r>
              <w:rPr>
                <w:sz w:val="24"/>
              </w:rPr>
              <w:t>机设备设有引风装置</w:t>
            </w:r>
            <w:r>
              <w:rPr>
                <w:rFonts w:hint="eastAsia"/>
                <w:sz w:val="24"/>
              </w:rPr>
              <w:t>。根据《涂装技术使用手册》中介绍，环氧树脂性静电粉末材料喷塑过程中附着率为70%，颗粒物的产生量为塑粉使用量的30%。</w:t>
            </w:r>
          </w:p>
          <w:p>
            <w:pPr>
              <w:spacing w:line="360" w:lineRule="auto"/>
              <w:ind w:firstLine="480" w:firstLineChars="200"/>
              <w:rPr>
                <w:bCs/>
                <w:sz w:val="24"/>
              </w:rPr>
            </w:pPr>
            <w:r>
              <w:rPr>
                <w:rFonts w:hint="eastAsia"/>
                <w:bCs/>
                <w:sz w:val="24"/>
                <w:lang w:eastAsia="zh-CN"/>
              </w:rPr>
              <w:t>项目</w:t>
            </w:r>
            <w:r>
              <w:rPr>
                <w:rFonts w:hint="eastAsia"/>
                <w:bCs/>
                <w:sz w:val="24"/>
              </w:rPr>
              <w:t>使用的铝方通厚度基本为0.5mm，1吨铝材的体积为0.04m³，则1吨铝材的喷塑面积为80㎡，</w:t>
            </w:r>
            <w:r>
              <w:rPr>
                <w:rFonts w:hint="eastAsia"/>
                <w:bCs/>
                <w:sz w:val="24"/>
                <w:lang w:eastAsia="zh-CN"/>
              </w:rPr>
              <w:t>项目</w:t>
            </w:r>
            <w:r>
              <w:rPr>
                <w:rFonts w:hint="eastAsia"/>
                <w:bCs/>
                <w:sz w:val="24"/>
              </w:rPr>
              <w:t>总的喷塑面积为96000㎡。根据同行业经验值，塑粉1kg可喷塑6~6.5m</w:t>
            </w:r>
            <w:r>
              <w:rPr>
                <w:rFonts w:hint="eastAsia"/>
                <w:bCs/>
                <w:sz w:val="24"/>
                <w:vertAlign w:val="superscript"/>
              </w:rPr>
              <w:t>2</w:t>
            </w:r>
            <w:r>
              <w:rPr>
                <w:rFonts w:hint="eastAsia"/>
                <w:bCs/>
                <w:sz w:val="24"/>
              </w:rPr>
              <w:t>工件（本次取6㎡），则塑粉使用量为16t。</w:t>
            </w:r>
          </w:p>
          <w:p>
            <w:pPr>
              <w:adjustRightInd w:val="0"/>
              <w:snapToGrid w:val="0"/>
              <w:spacing w:line="360" w:lineRule="auto"/>
              <w:ind w:firstLine="480" w:firstLineChars="200"/>
              <w:rPr>
                <w:sz w:val="24"/>
              </w:rPr>
            </w:pPr>
            <w:r>
              <w:rPr>
                <w:sz w:val="24"/>
                <w:szCs w:val="32"/>
              </w:rPr>
              <w:t>年工作运行时间</w:t>
            </w:r>
            <w:r>
              <w:rPr>
                <w:rFonts w:hint="eastAsia"/>
                <w:sz w:val="24"/>
                <w:szCs w:val="32"/>
              </w:rPr>
              <w:t>1800</w:t>
            </w:r>
            <w:r>
              <w:rPr>
                <w:sz w:val="24"/>
                <w:szCs w:val="32"/>
              </w:rPr>
              <w:t>小时，</w:t>
            </w:r>
            <w:r>
              <w:rPr>
                <w:sz w:val="24"/>
              </w:rPr>
              <w:t>风机风量为</w:t>
            </w:r>
            <w:r>
              <w:rPr>
                <w:rFonts w:hint="eastAsia"/>
                <w:sz w:val="24"/>
              </w:rPr>
              <w:t>1</w:t>
            </w:r>
            <w:r>
              <w:rPr>
                <w:sz w:val="24"/>
              </w:rPr>
              <w:t>0000m</w:t>
            </w:r>
            <w:r>
              <w:rPr>
                <w:sz w:val="24"/>
                <w:vertAlign w:val="superscript"/>
              </w:rPr>
              <w:t>3</w:t>
            </w:r>
            <w:r>
              <w:rPr>
                <w:sz w:val="24"/>
              </w:rPr>
              <w:t>/h，粉尘收集效率为</w:t>
            </w:r>
            <w:r>
              <w:rPr>
                <w:rFonts w:hint="eastAsia"/>
                <w:sz w:val="24"/>
              </w:rPr>
              <w:t>95</w:t>
            </w:r>
            <w:r>
              <w:rPr>
                <w:sz w:val="24"/>
              </w:rPr>
              <w:t>%，</w:t>
            </w:r>
            <w:r>
              <w:rPr>
                <w:rFonts w:hint="eastAsia"/>
                <w:sz w:val="24"/>
              </w:rPr>
              <w:t>旋风</w:t>
            </w:r>
            <w:r>
              <w:rPr>
                <w:sz w:val="24"/>
              </w:rPr>
              <w:t>除尘效率</w:t>
            </w:r>
            <w:r>
              <w:rPr>
                <w:rFonts w:hint="eastAsia"/>
                <w:sz w:val="24"/>
              </w:rPr>
              <w:t>90</w:t>
            </w:r>
            <w:r>
              <w:rPr>
                <w:sz w:val="24"/>
              </w:rPr>
              <w:t>%，</w:t>
            </w:r>
            <w:r>
              <w:rPr>
                <w:rFonts w:hint="eastAsia"/>
                <w:sz w:val="24"/>
              </w:rPr>
              <w:t>滤筒除尘效率为90%，（根据2015年浙江省重点行业VOCs污染源排放计算方法表1-1VOCs认定收集效率表：车间或密闭间进行密闭收集，收集效率为80%-95%，</w:t>
            </w:r>
            <w:r>
              <w:rPr>
                <w:rFonts w:hint="eastAsia"/>
                <w:sz w:val="24"/>
                <w:lang w:eastAsia="zh-CN"/>
              </w:rPr>
              <w:t>项目</w:t>
            </w:r>
            <w:r>
              <w:rPr>
                <w:rFonts w:hint="eastAsia"/>
                <w:sz w:val="24"/>
              </w:rPr>
              <w:t>设置密闭喷塑房，四周墙壁或门窗密闭性好，收集总风量能确保开口处保持维负压，敞开界面处的吸入风速不小于0.5m/s，不让废气外泄，故本次收集效率区95%；根据</w:t>
            </w:r>
            <w:r>
              <w:rPr>
                <w:rFonts w:hint="eastAsia"/>
                <w:sz w:val="24"/>
                <w:szCs w:val="32"/>
              </w:rPr>
              <w:t>《</w:t>
            </w:r>
            <w:r>
              <w:rPr>
                <w:sz w:val="24"/>
                <w:szCs w:val="32"/>
              </w:rPr>
              <w:t>排放源统计调查产排</w:t>
            </w:r>
            <w:r>
              <w:rPr>
                <w:sz w:val="24"/>
              </w:rPr>
              <w:t>污核算方法和系数手册（公告2021年第24号）</w:t>
            </w:r>
            <w:r>
              <w:rPr>
                <w:rFonts w:hint="eastAsia"/>
                <w:sz w:val="24"/>
                <w:szCs w:val="32"/>
              </w:rPr>
              <w:t>》</w:t>
            </w:r>
            <w:r>
              <w:rPr>
                <w:sz w:val="24"/>
              </w:rPr>
              <w:t>金属制品业</w:t>
            </w:r>
            <w:r>
              <w:rPr>
                <w:rFonts w:hint="eastAsia"/>
                <w:sz w:val="24"/>
              </w:rPr>
              <w:t>--涂装工序</w:t>
            </w:r>
            <w:r>
              <w:rPr>
                <w:sz w:val="24"/>
              </w:rPr>
              <w:t>系数手册”产排污系数</w:t>
            </w:r>
            <w:r>
              <w:rPr>
                <w:rFonts w:hint="eastAsia"/>
                <w:sz w:val="24"/>
              </w:rPr>
              <w:t>14涂装核算环节，喷塑--所有规--颗粒物--旋风除尘系统（单筒旋风+滤筒）（90%），</w:t>
            </w:r>
            <w:r>
              <w:rPr>
                <w:rFonts w:hint="eastAsia"/>
                <w:sz w:val="24"/>
                <w:lang w:eastAsia="zh-CN"/>
              </w:rPr>
              <w:t>滤筒</w:t>
            </w:r>
            <w:r>
              <w:rPr>
                <w:sz w:val="24"/>
              </w:rPr>
              <w:t>收集的</w:t>
            </w:r>
            <w:r>
              <w:rPr>
                <w:rFonts w:hint="eastAsia"/>
                <w:sz w:val="24"/>
              </w:rPr>
              <w:t>塑粉</w:t>
            </w:r>
            <w:r>
              <w:rPr>
                <w:sz w:val="24"/>
              </w:rPr>
              <w:t>回收至供粉中心，</w:t>
            </w:r>
            <w:r>
              <w:rPr>
                <w:rFonts w:hint="eastAsia"/>
                <w:sz w:val="24"/>
                <w:lang w:eastAsia="zh-CN"/>
              </w:rPr>
              <w:t>旋风除尘器</w:t>
            </w:r>
            <w:r>
              <w:rPr>
                <w:rFonts w:hint="eastAsia"/>
                <w:sz w:val="24"/>
              </w:rPr>
              <w:t>收集废塑粉由厂家回收，少量经排气筒排放。</w:t>
            </w:r>
            <w:r>
              <w:rPr>
                <w:sz w:val="24"/>
              </w:rPr>
              <w:t>未收集的粉尘因重力作用约有80%沉降至喷房内，其他部分属于无组织排放。</w:t>
            </w:r>
            <w:r>
              <w:rPr>
                <w:sz w:val="24"/>
                <w:szCs w:val="32"/>
              </w:rPr>
              <w:t>参照排放源统计调查产排</w:t>
            </w:r>
            <w:r>
              <w:rPr>
                <w:sz w:val="24"/>
              </w:rPr>
              <w:t>污核算方法和系数手册（公告2021年第24号）中“33金属制品业</w:t>
            </w:r>
            <w:r>
              <w:rPr>
                <w:rFonts w:hint="eastAsia"/>
                <w:sz w:val="24"/>
              </w:rPr>
              <w:t>--涂装工序</w:t>
            </w:r>
            <w:r>
              <w:rPr>
                <w:sz w:val="24"/>
              </w:rPr>
              <w:t>系数手册”产排污系数4-</w:t>
            </w:r>
            <w:r>
              <w:rPr>
                <w:rFonts w:hint="eastAsia"/>
                <w:sz w:val="24"/>
              </w:rPr>
              <w:t>4</w:t>
            </w:r>
            <w:r>
              <w:rPr>
                <w:sz w:val="24"/>
              </w:rPr>
              <w:t>产污系数计算</w:t>
            </w:r>
            <w:r>
              <w:rPr>
                <w:rFonts w:hint="eastAsia"/>
                <w:sz w:val="24"/>
              </w:rPr>
              <w:t>。</w:t>
            </w:r>
          </w:p>
          <w:p>
            <w:pPr>
              <w:adjustRightInd w:val="0"/>
              <w:snapToGrid w:val="0"/>
              <w:spacing w:line="360" w:lineRule="auto"/>
              <w:ind w:firstLine="480" w:firstLineChars="200"/>
              <w:rPr>
                <w:sz w:val="24"/>
              </w:rPr>
            </w:pPr>
            <w:r>
              <w:rPr>
                <w:rFonts w:hint="eastAsia"/>
                <w:sz w:val="24"/>
              </w:rPr>
              <w:t>生产车间喷塑工序颗粒物产生量为4.8t/a，经集气罩收集的颗粒物量为4.56t/a，速率为2.533kg/h，排放浓度为253.3mg/m³；</w:t>
            </w:r>
            <w:r>
              <w:rPr>
                <w:rFonts w:hint="eastAsia"/>
                <w:sz w:val="24"/>
                <w:lang w:eastAsia="zh-CN"/>
              </w:rPr>
              <w:t>滤筒</w:t>
            </w:r>
            <w:r>
              <w:rPr>
                <w:rFonts w:hint="eastAsia"/>
                <w:sz w:val="24"/>
              </w:rPr>
              <w:t>收集的粉尘量为4.104t/a，</w:t>
            </w:r>
            <w:r>
              <w:rPr>
                <w:rFonts w:hint="eastAsia"/>
                <w:sz w:val="24"/>
                <w:lang w:eastAsia="zh-CN"/>
              </w:rPr>
              <w:t>旋风</w:t>
            </w:r>
            <w:r>
              <w:rPr>
                <w:rFonts w:hint="eastAsia"/>
                <w:sz w:val="24"/>
              </w:rPr>
              <w:t>收集的粉尘量为0.41t/a，排放量为0.046t/a，排放速率为0.025kg/h，排放浓度为2.533mg/m³。无组织颗粒物的产生量为0.24t/a，80%沉降与车间，沉降量为0.192t/a，20%经车间门窗逸散与车间外，无组织逸散排放量为0.048t/a，排放速率为0.027kg/h。</w:t>
            </w:r>
          </w:p>
          <w:p>
            <w:pPr>
              <w:adjustRightInd w:val="0"/>
              <w:snapToGrid w:val="0"/>
              <w:spacing w:line="360" w:lineRule="auto"/>
              <w:ind w:firstLine="480" w:firstLineChars="200"/>
              <w:rPr>
                <w:sz w:val="24"/>
              </w:rPr>
            </w:pPr>
            <w:r>
              <w:rPr>
                <w:rFonts w:hint="eastAsia"/>
                <w:sz w:val="24"/>
              </w:rPr>
              <w:t>2）有机废气</w:t>
            </w:r>
          </w:p>
          <w:p>
            <w:pPr>
              <w:adjustRightInd w:val="0"/>
              <w:snapToGrid w:val="0"/>
              <w:spacing w:line="360" w:lineRule="auto"/>
              <w:ind w:firstLine="480" w:firstLineChars="200"/>
              <w:rPr>
                <w:sz w:val="24"/>
              </w:rPr>
            </w:pPr>
            <w:r>
              <w:rPr>
                <w:sz w:val="24"/>
              </w:rPr>
              <w:t>①</w:t>
            </w:r>
            <w:r>
              <w:rPr>
                <w:rFonts w:hint="eastAsia"/>
                <w:sz w:val="24"/>
              </w:rPr>
              <w:t>固化废气</w:t>
            </w:r>
          </w:p>
          <w:p>
            <w:pPr>
              <w:adjustRightInd w:val="0"/>
              <w:snapToGrid w:val="0"/>
              <w:spacing w:line="360" w:lineRule="auto"/>
              <w:ind w:firstLine="480" w:firstLineChars="200"/>
              <w:rPr>
                <w:sz w:val="24"/>
              </w:rPr>
            </w:pPr>
            <w:r>
              <w:rPr>
                <w:rFonts w:hint="eastAsia"/>
                <w:sz w:val="24"/>
              </w:rPr>
              <w:t>喷塑完成后，工件进入烘道进行固化。喷塑后固化工段粉末受热分解，产生有机废气（VOCs），已非甲烷总烃计。</w:t>
            </w:r>
            <w:r>
              <w:rPr>
                <w:sz w:val="24"/>
                <w:szCs w:val="32"/>
              </w:rPr>
              <w:t>项目年使用塑粉粉末</w:t>
            </w:r>
            <w:r>
              <w:rPr>
                <w:rFonts w:hint="eastAsia"/>
                <w:sz w:val="24"/>
                <w:szCs w:val="32"/>
              </w:rPr>
              <w:t>16</w:t>
            </w:r>
            <w:r>
              <w:rPr>
                <w:sz w:val="24"/>
                <w:szCs w:val="32"/>
              </w:rPr>
              <w:t>t，</w:t>
            </w:r>
            <w:r>
              <w:rPr>
                <w:rFonts w:hint="eastAsia"/>
                <w:sz w:val="24"/>
                <w:szCs w:val="32"/>
              </w:rPr>
              <w:t>喷塑70%附着于工件</w:t>
            </w:r>
            <w:r>
              <w:rPr>
                <w:rFonts w:hint="eastAsia"/>
                <w:sz w:val="24"/>
              </w:rPr>
              <w:t>，</w:t>
            </w:r>
            <w:r>
              <w:rPr>
                <w:sz w:val="24"/>
                <w:szCs w:val="32"/>
              </w:rPr>
              <w:t>年工作运行时间</w:t>
            </w:r>
            <w:r>
              <w:rPr>
                <w:rFonts w:hint="eastAsia"/>
                <w:sz w:val="24"/>
                <w:szCs w:val="32"/>
              </w:rPr>
              <w:t>1800</w:t>
            </w:r>
            <w:r>
              <w:rPr>
                <w:sz w:val="24"/>
                <w:szCs w:val="32"/>
              </w:rPr>
              <w:t>小时，</w:t>
            </w:r>
            <w:r>
              <w:rPr>
                <w:sz w:val="24"/>
              </w:rPr>
              <w:t>风机风量为</w:t>
            </w:r>
            <w:r>
              <w:rPr>
                <w:rFonts w:hint="eastAsia"/>
                <w:sz w:val="24"/>
              </w:rPr>
              <w:t>1</w:t>
            </w:r>
            <w:r>
              <w:rPr>
                <w:sz w:val="24"/>
              </w:rPr>
              <w:t>0000m</w:t>
            </w:r>
            <w:r>
              <w:rPr>
                <w:sz w:val="24"/>
                <w:vertAlign w:val="superscript"/>
              </w:rPr>
              <w:t>3</w:t>
            </w:r>
            <w:r>
              <w:rPr>
                <w:sz w:val="24"/>
              </w:rPr>
              <w:t>/h，</w:t>
            </w:r>
            <w:r>
              <w:rPr>
                <w:rFonts w:hint="eastAsia"/>
                <w:sz w:val="24"/>
              </w:rPr>
              <w:t>集气罩收集效率为90%，二级活性炭吸附效率为60%（根据2015年浙江省重点行业VOCs污染源排放计算方法表1-1VOCs认定收集效率表：车间或密闭间进行密闭收集，收集效率为80%-95%，</w:t>
            </w:r>
            <w:r>
              <w:rPr>
                <w:rFonts w:hint="eastAsia"/>
                <w:sz w:val="24"/>
                <w:lang w:eastAsia="zh-CN"/>
              </w:rPr>
              <w:t>项目</w:t>
            </w:r>
            <w:r>
              <w:rPr>
                <w:rFonts w:hint="eastAsia"/>
                <w:sz w:val="24"/>
              </w:rPr>
              <w:t>工件喷塑后经半自动化送至固化炉，四周墙壁或门窗密闭性好，收集总风量能确保开口处保持维负压，敞开界面处的吸入风速不小于0.5m/s，不让废气外泄，故本次收集效率区90%；根据</w:t>
            </w:r>
            <w:r>
              <w:rPr>
                <w:rFonts w:hint="eastAsia"/>
                <w:sz w:val="24"/>
                <w:szCs w:val="32"/>
              </w:rPr>
              <w:t>《</w:t>
            </w:r>
            <w:r>
              <w:rPr>
                <w:sz w:val="24"/>
                <w:szCs w:val="32"/>
              </w:rPr>
              <w:t>排放源统计调查产排</w:t>
            </w:r>
            <w:r>
              <w:rPr>
                <w:sz w:val="24"/>
              </w:rPr>
              <w:t>污核算方法和系数手册（公告2021年第24号）</w:t>
            </w:r>
            <w:r>
              <w:rPr>
                <w:rFonts w:hint="eastAsia"/>
                <w:sz w:val="24"/>
                <w:szCs w:val="32"/>
              </w:rPr>
              <w:t>》</w:t>
            </w:r>
            <w:r>
              <w:rPr>
                <w:sz w:val="24"/>
              </w:rPr>
              <w:t>金属制品业</w:t>
            </w:r>
            <w:r>
              <w:rPr>
                <w:rFonts w:hint="eastAsia"/>
                <w:sz w:val="24"/>
              </w:rPr>
              <w:t>--涂装工序</w:t>
            </w:r>
            <w:r>
              <w:rPr>
                <w:sz w:val="24"/>
              </w:rPr>
              <w:t>系数手册”产排污系数</w:t>
            </w:r>
            <w:r>
              <w:rPr>
                <w:rFonts w:hint="eastAsia"/>
                <w:sz w:val="24"/>
              </w:rPr>
              <w:t>14涂装核算环节，喷塑后烘干--挥发性有机物--吸附法（60%），本次二级活性炭吸附效率取60%。</w:t>
            </w:r>
            <w:r>
              <w:rPr>
                <w:sz w:val="24"/>
                <w:szCs w:val="32"/>
              </w:rPr>
              <w:t>参照</w:t>
            </w:r>
            <w:r>
              <w:rPr>
                <w:rFonts w:hint="eastAsia"/>
                <w:sz w:val="24"/>
                <w:szCs w:val="32"/>
              </w:rPr>
              <w:t>《</w:t>
            </w:r>
            <w:r>
              <w:rPr>
                <w:sz w:val="24"/>
                <w:szCs w:val="32"/>
              </w:rPr>
              <w:t>排放源统计调查产排</w:t>
            </w:r>
            <w:r>
              <w:rPr>
                <w:sz w:val="24"/>
              </w:rPr>
              <w:t>污核算方法和系数手册（公告2021年第24号）</w:t>
            </w:r>
            <w:r>
              <w:rPr>
                <w:rFonts w:hint="eastAsia"/>
                <w:sz w:val="24"/>
                <w:szCs w:val="32"/>
              </w:rPr>
              <w:t>》</w:t>
            </w:r>
            <w:r>
              <w:rPr>
                <w:sz w:val="24"/>
              </w:rPr>
              <w:t>中“33金属制品业</w:t>
            </w:r>
            <w:r>
              <w:rPr>
                <w:rFonts w:hint="eastAsia"/>
                <w:sz w:val="24"/>
              </w:rPr>
              <w:t>--涂装工序</w:t>
            </w:r>
            <w:r>
              <w:rPr>
                <w:sz w:val="24"/>
              </w:rPr>
              <w:t>系数手册”产排污系数4-</w:t>
            </w:r>
            <w:r>
              <w:rPr>
                <w:rFonts w:hint="eastAsia"/>
                <w:sz w:val="24"/>
              </w:rPr>
              <w:t>4</w:t>
            </w:r>
            <w:r>
              <w:rPr>
                <w:sz w:val="24"/>
              </w:rPr>
              <w:t>产污系数计算</w:t>
            </w:r>
            <w:r>
              <w:rPr>
                <w:rFonts w:hint="eastAsia"/>
                <w:sz w:val="24"/>
              </w:rPr>
              <w:t>。</w:t>
            </w:r>
          </w:p>
          <w:p>
            <w:pPr>
              <w:adjustRightInd w:val="0"/>
              <w:snapToGrid w:val="0"/>
              <w:spacing w:line="360" w:lineRule="auto"/>
              <w:ind w:firstLine="480" w:firstLineChars="200"/>
              <w:rPr>
                <w:sz w:val="24"/>
              </w:rPr>
            </w:pPr>
            <w:r>
              <w:rPr>
                <w:rFonts w:hint="eastAsia"/>
                <w:sz w:val="24"/>
              </w:rPr>
              <w:t>生产车间喷塑工序非甲烷总烃产生量为0.013t/a，经集气罩收集的非甲烷总烃量为0.012t/a，速率为0.007kg/h，浓度为0.667mg/m³；活性炭吸附量为0.007t/a，排放量为0.005t/a，排放速率为0.003kg/h，排放浓度为0.3mg/m³；未收集的非甲烷总烃量为0.001t/a，排放速率为0.0005kg/h。</w:t>
            </w:r>
          </w:p>
          <w:p>
            <w:pPr>
              <w:adjustRightInd w:val="0"/>
              <w:snapToGrid w:val="0"/>
              <w:spacing w:line="360" w:lineRule="auto"/>
              <w:ind w:firstLine="480" w:firstLineChars="200"/>
              <w:rPr>
                <w:sz w:val="24"/>
              </w:rPr>
            </w:pPr>
            <w:r>
              <w:rPr>
                <w:sz w:val="24"/>
              </w:rPr>
              <w:t>②</w:t>
            </w:r>
            <w:r>
              <w:rPr>
                <w:rFonts w:hint="eastAsia"/>
                <w:sz w:val="24"/>
              </w:rPr>
              <w:t>入炉转印废气</w:t>
            </w:r>
          </w:p>
          <w:p>
            <w:pPr>
              <w:adjustRightInd w:val="0"/>
              <w:snapToGrid w:val="0"/>
              <w:spacing w:line="360" w:lineRule="auto"/>
              <w:ind w:firstLine="480" w:firstLineChars="200"/>
              <w:rPr>
                <w:sz w:val="24"/>
              </w:rPr>
            </w:pPr>
            <w:r>
              <w:rPr>
                <w:rFonts w:hint="eastAsia"/>
                <w:sz w:val="24"/>
                <w:lang w:eastAsia="zh-CN"/>
              </w:rPr>
              <w:t>项目</w:t>
            </w:r>
            <w:r>
              <w:rPr>
                <w:rFonts w:hint="eastAsia"/>
                <w:sz w:val="24"/>
              </w:rPr>
              <w:t>木纹转印铝材使用量为200t，面积为16000㎡，</w:t>
            </w:r>
            <w:r>
              <w:rPr>
                <w:rFonts w:hint="eastAsia"/>
                <w:sz w:val="24"/>
                <w:lang w:eastAsia="zh-CN"/>
              </w:rPr>
              <w:t>项目</w:t>
            </w:r>
            <w:r>
              <w:rPr>
                <w:rFonts w:hint="eastAsia"/>
                <w:sz w:val="24"/>
              </w:rPr>
              <w:t>使用木纹纸0.48t/a（木纹纸重量为30g/㎡），铝型材覆木纹纸进入转印炉内进行转印，木纹纸在高温作用下，油墨升华，产生有机废气。根据木纹纸成分：热转印纸含量85-90%，油墨含量10-15%，本次评价油墨含量取15%，油墨成分为异丁醇60%，甲醇10%，EC乙基纤维素15%，醇-PMAB8%，分散红7%，</w:t>
            </w:r>
            <w:r>
              <w:rPr>
                <w:rFonts w:hint="eastAsia"/>
                <w:sz w:val="24"/>
                <w:lang w:eastAsia="zh-CN"/>
              </w:rPr>
              <w:t>项目</w:t>
            </w:r>
            <w:r>
              <w:rPr>
                <w:rFonts w:hint="eastAsia"/>
                <w:sz w:val="24"/>
              </w:rPr>
              <w:t>使用木纹纸0.48t/a，其中油墨0.072t/a，则非甲烷那总烃产生量为0.067t/a（93%，以异丁醇、甲醇、EC以乙基纤维素和醇-PMAB计），收集效率为90%，活性炭吸附效率为60%，经计算非甲烷总烃有组织收集量为0.06t/a，速率为0.034kg/h，浓度为3.4mg/m³；非甲烷总烃活性炭吸附量为0.036t/a，非甲烷总烃有组织排放量为0.024t/a，速率为0.013kg/h，浓度为1.3mg/m³；未收集的非甲烷总烃量为0.007t/a，排放速率为0.004kg/h。</w:t>
            </w:r>
          </w:p>
          <w:p>
            <w:pPr>
              <w:adjustRightInd w:val="0"/>
              <w:snapToGrid w:val="0"/>
              <w:spacing w:line="360" w:lineRule="auto"/>
              <w:ind w:firstLine="480" w:firstLineChars="200"/>
              <w:rPr>
                <w:sz w:val="24"/>
              </w:rPr>
            </w:pPr>
            <w:r>
              <w:rPr>
                <w:rFonts w:hint="eastAsia"/>
                <w:sz w:val="24"/>
              </w:rPr>
              <w:t>③覆膜废气</w:t>
            </w:r>
          </w:p>
          <w:p>
            <w:pPr>
              <w:adjustRightInd w:val="0"/>
              <w:snapToGrid w:val="0"/>
              <w:spacing w:line="360" w:lineRule="auto"/>
              <w:ind w:firstLine="480" w:firstLineChars="200"/>
              <w:rPr>
                <w:sz w:val="24"/>
              </w:rPr>
            </w:pPr>
            <w:r>
              <w:rPr>
                <w:rFonts w:hint="eastAsia"/>
                <w:sz w:val="24"/>
                <w:lang w:eastAsia="zh-CN"/>
              </w:rPr>
              <w:t>项目</w:t>
            </w:r>
            <w:r>
              <w:rPr>
                <w:rFonts w:hint="eastAsia"/>
                <w:sz w:val="24"/>
              </w:rPr>
              <w:t>覆膜生产线铝卷的用量是200t，覆膜面积为16000㎡，1t高分子膜可覆20000㎡铝卷，</w:t>
            </w:r>
            <w:r>
              <w:rPr>
                <w:rFonts w:hint="eastAsia"/>
                <w:sz w:val="24"/>
                <w:lang w:eastAsia="zh-CN"/>
              </w:rPr>
              <w:t>项目</w:t>
            </w:r>
            <w:r>
              <w:rPr>
                <w:rFonts w:hint="eastAsia"/>
                <w:sz w:val="24"/>
              </w:rPr>
              <w:t>使用木纹纸0.8t/a（高分子重量为400g/㎡）。</w:t>
            </w:r>
          </w:p>
          <w:p>
            <w:pPr>
              <w:adjustRightInd w:val="0"/>
              <w:snapToGrid w:val="0"/>
              <w:spacing w:line="360" w:lineRule="auto"/>
              <w:ind w:firstLine="480" w:firstLineChars="200"/>
              <w:rPr>
                <w:sz w:val="24"/>
              </w:rPr>
            </w:pPr>
            <w:r>
              <w:rPr>
                <w:rFonts w:hint="eastAsia"/>
                <w:sz w:val="24"/>
                <w:lang w:eastAsia="zh-CN"/>
              </w:rPr>
              <w:t>项目</w:t>
            </w:r>
            <w:r>
              <w:rPr>
                <w:rFonts w:hint="eastAsia"/>
                <w:sz w:val="24"/>
              </w:rPr>
              <w:t>覆膜工序需要加热至100-120℃，高分子材料会产生有机废气。</w:t>
            </w:r>
            <w:r>
              <w:rPr>
                <w:rFonts w:hint="eastAsia"/>
                <w:sz w:val="24"/>
                <w:lang w:eastAsia="zh-CN"/>
              </w:rPr>
              <w:t>项目</w:t>
            </w:r>
            <w:r>
              <w:rPr>
                <w:rFonts w:hint="eastAsia"/>
                <w:sz w:val="24"/>
              </w:rPr>
              <w:t>在铝卷覆膜过程中，铝卷加热温度为180℃，高分子材料加热温度为120℃，在此温度下原料中的高分子材料在熔融过程中基本不会发生分解，少量未聚合的单体在高温条件下会发出来，其主要成分为小分子烷烃、烯烃的混合物，此类低分子有机废气以VOCs计，根据高分子材料成分：增强剂和基材，基材主要是乙烯醋酸乙烯酯树脂含量10-15%，</w:t>
            </w:r>
            <w:r>
              <w:rPr>
                <w:rFonts w:hint="eastAsia"/>
                <w:sz w:val="24"/>
                <w:lang w:eastAsia="zh-CN"/>
              </w:rPr>
              <w:t>项目</w:t>
            </w:r>
            <w:r>
              <w:rPr>
                <w:rFonts w:hint="eastAsia"/>
                <w:sz w:val="24"/>
              </w:rPr>
              <w:t>使用高分子材料0.8t/a，则非甲烷那总烃产生量为0.12t/a，收集效率为90%，活性炭吸附效率为60%，经计算非甲烷总烃有组织收集量为0.108t/a，速率为0.06kg/h，浓度为6mg/m³；非甲烷总烃活性炭吸附量为0.065t/a，非甲烷总烃有组织排放量为0.043t/a，速率为0.024kg/h，浓度为2.4mg/m³；未收集的非甲烷总烃量为0.012t/a，排放速率为0.07kg/h。</w:t>
            </w:r>
          </w:p>
          <w:p>
            <w:pPr>
              <w:adjustRightInd w:val="0"/>
              <w:snapToGrid w:val="0"/>
              <w:spacing w:line="360" w:lineRule="auto"/>
              <w:ind w:firstLine="480" w:firstLineChars="200"/>
              <w:rPr>
                <w:sz w:val="24"/>
              </w:rPr>
            </w:pPr>
            <w:r>
              <w:rPr>
                <w:rFonts w:hint="eastAsia"/>
                <w:sz w:val="24"/>
              </w:rPr>
              <w:t>3）天然气燃烧废气</w:t>
            </w:r>
          </w:p>
          <w:p>
            <w:pPr>
              <w:pStyle w:val="35"/>
              <w:snapToGrid w:val="0"/>
              <w:spacing w:line="360" w:lineRule="auto"/>
              <w:ind w:firstLine="480" w:firstLineChars="200"/>
              <w:rPr>
                <w:rFonts w:ascii="Times New Roman"/>
                <w:color w:val="auto"/>
              </w:rPr>
            </w:pPr>
            <w:r>
              <w:rPr>
                <w:rFonts w:hint="eastAsia" w:ascii="Times New Roman"/>
                <w:color w:val="auto"/>
              </w:rPr>
              <w:t>固化、木纹转印、覆膜使用天然气进行加热，产生天然气燃烧废气。固化工序在工件进出口、木纹转印工件进出口、覆膜出料口分别设置5个集气罩+喷淋塔+过滤棉+二级活性炭对非甲烷总烃及天然气燃烧废气进行处理，后处理后废气通过15m排气筒（DA002）排放</w:t>
            </w:r>
            <w:r>
              <w:rPr>
                <w:rFonts w:hint="eastAsia" w:ascii="Times New Roman"/>
                <w:color w:val="auto"/>
                <w:sz w:val="21"/>
              </w:rPr>
              <w:t>。</w:t>
            </w:r>
            <w:r>
              <w:rPr>
                <w:rFonts w:hint="eastAsia"/>
                <w:color w:val="auto"/>
                <w:szCs w:val="32"/>
              </w:rPr>
              <w:t>燃</w:t>
            </w:r>
            <w:r>
              <w:rPr>
                <w:rFonts w:ascii="Times New Roman"/>
                <w:color w:val="auto"/>
                <w:szCs w:val="32"/>
              </w:rPr>
              <w:t>参照排放源统计调查产排</w:t>
            </w:r>
            <w:r>
              <w:rPr>
                <w:rFonts w:ascii="Times New Roman"/>
                <w:color w:val="auto"/>
              </w:rPr>
              <w:t>污核算方法和系数手册（公告2021年第24号）中“33金属制品业</w:t>
            </w:r>
            <w:r>
              <w:rPr>
                <w:rFonts w:hint="eastAsia" w:ascii="Times New Roman"/>
                <w:color w:val="auto"/>
              </w:rPr>
              <w:t>--涂装工序</w:t>
            </w:r>
            <w:r>
              <w:rPr>
                <w:rFonts w:ascii="Times New Roman"/>
                <w:color w:val="auto"/>
              </w:rPr>
              <w:t>系数手册”产排污系数4-</w:t>
            </w:r>
            <w:r>
              <w:rPr>
                <w:rFonts w:hint="eastAsia" w:ascii="Times New Roman"/>
                <w:color w:val="auto"/>
              </w:rPr>
              <w:t>4</w:t>
            </w:r>
            <w:r>
              <w:rPr>
                <w:rFonts w:ascii="Times New Roman"/>
                <w:color w:val="auto"/>
              </w:rPr>
              <w:t>产污系数计算</w:t>
            </w:r>
            <w:r>
              <w:rPr>
                <w:rFonts w:hint="eastAsia" w:ascii="Times New Roman"/>
                <w:color w:val="auto"/>
              </w:rPr>
              <w:t>。</w:t>
            </w:r>
          </w:p>
          <w:p>
            <w:pPr>
              <w:pStyle w:val="38"/>
              <w:adjustRightInd w:val="0"/>
              <w:snapToGrid w:val="0"/>
              <w:spacing w:line="360" w:lineRule="auto"/>
              <w:ind w:left="0" w:firstLine="720" w:firstLineChars="300"/>
              <w:rPr>
                <w:rFonts w:ascii="Times New Roman"/>
                <w:b w:val="0"/>
                <w:bCs w:val="0"/>
                <w:sz w:val="24"/>
                <w:szCs w:val="24"/>
              </w:rPr>
            </w:pPr>
            <w:r>
              <w:rPr>
                <w:rFonts w:hint="eastAsia" w:ascii="Times New Roman"/>
                <w:b w:val="0"/>
                <w:bCs w:val="0"/>
                <w:sz w:val="24"/>
                <w:szCs w:val="24"/>
              </w:rPr>
              <w:t>喷塑件热固化使用天然气使用量为156600m³/a，木纹转印和覆膜使用天然气使用量均为36000m³/a，</w:t>
            </w:r>
            <w:r>
              <w:rPr>
                <w:rFonts w:hint="eastAsia" w:ascii="Times New Roman"/>
                <w:b w:val="0"/>
                <w:bCs w:val="0"/>
                <w:sz w:val="24"/>
                <w:szCs w:val="24"/>
                <w:lang w:eastAsia="zh-CN"/>
              </w:rPr>
              <w:t>项目</w:t>
            </w:r>
            <w:r>
              <w:rPr>
                <w:rFonts w:hint="eastAsia" w:ascii="Times New Roman"/>
                <w:b w:val="0"/>
                <w:bCs w:val="0"/>
                <w:sz w:val="24"/>
                <w:szCs w:val="24"/>
              </w:rPr>
              <w:t>天然气的使用量为163800m³/a，颗粒物的产生量为0.047t/a，排放速率为0.026kg/h，排放浓度为2.6mg/m³；氮氧化物的产生量为0.306t/a，排放速率为0.17kg/h，排放浓度为17mg/m³；二氧化硫的产生量为0.0003t/a，排放速率为0.00017kg/h，排放浓度为0.017mg/m³。</w:t>
            </w:r>
          </w:p>
          <w:p>
            <w:pPr>
              <w:adjustRightInd w:val="0"/>
              <w:snapToGrid w:val="0"/>
              <w:spacing w:line="360" w:lineRule="auto"/>
              <w:ind w:firstLine="480" w:firstLineChars="200"/>
              <w:rPr>
                <w:sz w:val="24"/>
              </w:rPr>
            </w:pPr>
            <w:r>
              <w:rPr>
                <w:rFonts w:hint="eastAsia"/>
                <w:sz w:val="24"/>
              </w:rPr>
              <w:t>根据以上内容，</w:t>
            </w:r>
            <w:r>
              <w:rPr>
                <w:sz w:val="24"/>
              </w:rPr>
              <w:t>天然气燃烧废气排放满足《工业炉窑大气污染综合治理方案》（环大气[2019]56号）中重点区域相关标准</w:t>
            </w:r>
            <w:r>
              <w:rPr>
                <w:rFonts w:hint="eastAsia"/>
                <w:sz w:val="24"/>
              </w:rPr>
              <w:t>。</w:t>
            </w:r>
          </w:p>
          <w:p>
            <w:pPr>
              <w:adjustRightInd w:val="0"/>
              <w:snapToGrid w:val="0"/>
              <w:spacing w:line="360" w:lineRule="auto"/>
              <w:ind w:firstLine="482" w:firstLineChars="200"/>
              <w:rPr>
                <w:rFonts w:hint="eastAsia" w:eastAsia="宋体"/>
                <w:b/>
                <w:sz w:val="24"/>
                <w:lang w:eastAsia="zh-CN"/>
              </w:rPr>
            </w:pPr>
            <w:r>
              <w:rPr>
                <w:rFonts w:hint="eastAsia"/>
                <w:b/>
                <w:sz w:val="24"/>
              </w:rPr>
              <w:t>3、</w:t>
            </w:r>
            <w:r>
              <w:rPr>
                <w:b/>
                <w:sz w:val="24"/>
              </w:rPr>
              <w:t>废气排放口设置情况</w:t>
            </w:r>
          </w:p>
          <w:p>
            <w:pPr>
              <w:autoSpaceDE w:val="0"/>
              <w:autoSpaceDN w:val="0"/>
              <w:adjustRightInd w:val="0"/>
              <w:snapToGrid w:val="0"/>
              <w:spacing w:line="360" w:lineRule="auto"/>
              <w:ind w:firstLine="480" w:firstLineChars="200"/>
              <w:jc w:val="left"/>
              <w:rPr>
                <w:sz w:val="24"/>
                <w:szCs w:val="32"/>
              </w:rPr>
            </w:pPr>
            <w:r>
              <w:rPr>
                <w:rFonts w:hint="eastAsia"/>
                <w:sz w:val="24"/>
                <w:szCs w:val="32"/>
              </w:rPr>
              <w:t>（1）喷塑工序经滤筒</w:t>
            </w:r>
            <w:r>
              <w:rPr>
                <w:rFonts w:hint="eastAsia"/>
                <w:sz w:val="24"/>
                <w:szCs w:val="32"/>
                <w:lang w:val="en-US" w:eastAsia="zh-CN"/>
              </w:rPr>
              <w:t>+</w:t>
            </w:r>
            <w:r>
              <w:rPr>
                <w:rFonts w:hint="eastAsia"/>
                <w:sz w:val="24"/>
                <w:szCs w:val="32"/>
              </w:rPr>
              <w:t>旋风除尘系统收集处理后有15m排气筒DA001</w:t>
            </w:r>
            <w:r>
              <w:rPr>
                <w:sz w:val="24"/>
                <w:szCs w:val="32"/>
              </w:rPr>
              <w:t>排放</w:t>
            </w:r>
            <w:r>
              <w:rPr>
                <w:rFonts w:hint="eastAsia"/>
                <w:sz w:val="24"/>
                <w:szCs w:val="32"/>
              </w:rPr>
              <w:t>；</w:t>
            </w:r>
          </w:p>
          <w:p>
            <w:pPr>
              <w:autoSpaceDE w:val="0"/>
              <w:autoSpaceDN w:val="0"/>
              <w:adjustRightInd w:val="0"/>
              <w:snapToGrid w:val="0"/>
              <w:spacing w:line="360" w:lineRule="auto"/>
              <w:ind w:firstLine="480" w:firstLineChars="200"/>
              <w:jc w:val="left"/>
              <w:rPr>
                <w:sz w:val="24"/>
                <w:szCs w:val="32"/>
              </w:rPr>
            </w:pPr>
            <w:r>
              <w:rPr>
                <w:rFonts w:hint="eastAsia"/>
                <w:sz w:val="24"/>
                <w:szCs w:val="32"/>
              </w:rPr>
              <w:t>（2）</w:t>
            </w:r>
            <w:r>
              <w:rPr>
                <w:sz w:val="24"/>
                <w:szCs w:val="32"/>
              </w:rPr>
              <w:t>热固化</w:t>
            </w:r>
            <w:r>
              <w:rPr>
                <w:rFonts w:hint="eastAsia"/>
                <w:sz w:val="24"/>
                <w:szCs w:val="32"/>
              </w:rPr>
              <w:t>工序、木纹转印工序、覆膜工序</w:t>
            </w:r>
            <w:r>
              <w:rPr>
                <w:sz w:val="24"/>
                <w:szCs w:val="32"/>
              </w:rPr>
              <w:t>过程产生的非甲烷总烃</w:t>
            </w:r>
            <w:r>
              <w:rPr>
                <w:rFonts w:hint="eastAsia"/>
                <w:sz w:val="24"/>
                <w:szCs w:val="32"/>
              </w:rPr>
              <w:t>及天然气燃烧产生的</w:t>
            </w:r>
            <w:r>
              <w:rPr>
                <w:sz w:val="24"/>
                <w:szCs w:val="32"/>
              </w:rPr>
              <w:t>颗粒物、二氧化硫、氮氧化物</w:t>
            </w:r>
            <w:r>
              <w:rPr>
                <w:rFonts w:hint="eastAsia"/>
                <w:sz w:val="24"/>
                <w:szCs w:val="32"/>
              </w:rPr>
              <w:t>通过在进口及出口（热固化工序进出口、木纹转印工序进出口、覆膜工序出口）分别设置5个集气罩+喷淋塔+吸附棉+二级活性炭处理装置进行处理15m排气筒DA002排放。</w:t>
            </w:r>
          </w:p>
          <w:p>
            <w:pPr>
              <w:autoSpaceDE w:val="0"/>
              <w:autoSpaceDN w:val="0"/>
              <w:adjustRightInd w:val="0"/>
              <w:snapToGrid w:val="0"/>
              <w:spacing w:line="360" w:lineRule="auto"/>
              <w:ind w:firstLine="480" w:firstLineChars="200"/>
              <w:jc w:val="left"/>
              <w:rPr>
                <w:sz w:val="24"/>
                <w:szCs w:val="32"/>
              </w:rPr>
            </w:pPr>
            <w:r>
              <w:rPr>
                <w:sz w:val="24"/>
                <w:szCs w:val="32"/>
              </w:rPr>
              <w:t>项目废气排放口具体情况见下表4-</w:t>
            </w:r>
            <w:r>
              <w:rPr>
                <w:rFonts w:hint="eastAsia"/>
                <w:sz w:val="24"/>
                <w:szCs w:val="32"/>
              </w:rPr>
              <w:t>5</w:t>
            </w:r>
            <w:r>
              <w:rPr>
                <w:sz w:val="24"/>
                <w:szCs w:val="32"/>
              </w:rPr>
              <w:t>：</w:t>
            </w:r>
          </w:p>
          <w:p>
            <w:pPr>
              <w:pStyle w:val="9"/>
              <w:adjustRightInd w:val="0"/>
              <w:snapToGrid w:val="0"/>
              <w:ind w:firstLine="0"/>
              <w:jc w:val="center"/>
              <w:rPr>
                <w:rFonts w:ascii="Times New Roman" w:hAnsi="Times New Roman"/>
                <w:b/>
                <w:bCs/>
                <w:sz w:val="21"/>
                <w:szCs w:val="24"/>
              </w:rPr>
            </w:pPr>
            <w:r>
              <w:rPr>
                <w:rFonts w:ascii="Times New Roman" w:hAnsi="Times New Roman"/>
                <w:b/>
                <w:bCs/>
                <w:sz w:val="21"/>
                <w:szCs w:val="24"/>
              </w:rPr>
              <w:t>表4-</w:t>
            </w:r>
            <w:r>
              <w:rPr>
                <w:rFonts w:hint="eastAsia" w:ascii="Times New Roman" w:hAnsi="Times New Roman"/>
                <w:b/>
                <w:bCs/>
                <w:sz w:val="21"/>
                <w:szCs w:val="24"/>
              </w:rPr>
              <w:t>5</w:t>
            </w:r>
            <w:r>
              <w:rPr>
                <w:rFonts w:ascii="Times New Roman" w:hAnsi="Times New Roman"/>
                <w:b/>
                <w:bCs/>
                <w:sz w:val="21"/>
                <w:szCs w:val="24"/>
              </w:rPr>
              <w:t>项目废气排放口设置情况</w:t>
            </w:r>
          </w:p>
          <w:tbl>
            <w:tblPr>
              <w:tblStyle w:val="30"/>
              <w:tblW w:w="8681"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69"/>
              <w:gridCol w:w="1296"/>
              <w:gridCol w:w="624"/>
              <w:gridCol w:w="576"/>
              <w:gridCol w:w="732"/>
              <w:gridCol w:w="720"/>
              <w:gridCol w:w="480"/>
              <w:gridCol w:w="1224"/>
              <w:gridCol w:w="216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69"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排放口编号</w:t>
                  </w:r>
                </w:p>
              </w:tc>
              <w:tc>
                <w:tcPr>
                  <w:tcW w:w="1296"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污染物</w:t>
                  </w:r>
                </w:p>
              </w:tc>
              <w:tc>
                <w:tcPr>
                  <w:tcW w:w="624"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高度/m</w:t>
                  </w:r>
                </w:p>
              </w:tc>
              <w:tc>
                <w:tcPr>
                  <w:tcW w:w="576"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内径/m</w:t>
                  </w:r>
                </w:p>
              </w:tc>
              <w:tc>
                <w:tcPr>
                  <w:tcW w:w="732"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温度/℃</w:t>
                  </w:r>
                </w:p>
              </w:tc>
              <w:tc>
                <w:tcPr>
                  <w:tcW w:w="720" w:type="dxa"/>
                  <w:tcBorders>
                    <w:tl2br w:val="nil"/>
                    <w:tr2bl w:val="nil"/>
                  </w:tcBorders>
                  <w:vAlign w:val="center"/>
                </w:tcPr>
                <w:p>
                  <w:pPr>
                    <w:adjustRightInd w:val="0"/>
                    <w:snapToGrid w:val="0"/>
                    <w:jc w:val="center"/>
                    <w:rPr>
                      <w:rFonts w:ascii="Calibri" w:hAnsi="Calibri" w:cs="Calibri"/>
                      <w:b/>
                      <w:bCs/>
                    </w:rPr>
                  </w:pPr>
                  <w:r>
                    <w:rPr>
                      <w:rFonts w:hint="eastAsia" w:ascii="Calibri" w:hAnsi="Calibri" w:cs="Calibri"/>
                      <w:b/>
                      <w:bCs/>
                    </w:rPr>
                    <w:t>流速/m/s</w:t>
                  </w:r>
                </w:p>
              </w:tc>
              <w:tc>
                <w:tcPr>
                  <w:tcW w:w="480"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类型</w:t>
                  </w:r>
                </w:p>
              </w:tc>
              <w:tc>
                <w:tcPr>
                  <w:tcW w:w="1224"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坐标</w:t>
                  </w:r>
                </w:p>
              </w:tc>
              <w:tc>
                <w:tcPr>
                  <w:tcW w:w="2160" w:type="dxa"/>
                  <w:tcBorders>
                    <w:tl2br w:val="nil"/>
                    <w:tr2bl w:val="nil"/>
                  </w:tcBorders>
                  <w:vAlign w:val="center"/>
                </w:tcPr>
                <w:p>
                  <w:pPr>
                    <w:adjustRightInd w:val="0"/>
                    <w:snapToGrid w:val="0"/>
                    <w:jc w:val="center"/>
                    <w:rPr>
                      <w:rFonts w:ascii="Calibri" w:hAnsi="Calibri" w:cs="Calibri"/>
                      <w:b/>
                      <w:bCs/>
                    </w:rPr>
                  </w:pPr>
                  <w:r>
                    <w:rPr>
                      <w:rFonts w:ascii="Calibri" w:hAnsi="Calibri" w:cs="Calibri"/>
                      <w:b/>
                      <w:bCs/>
                    </w:rPr>
                    <w:t>排放标准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69" w:type="dxa"/>
                  <w:tcBorders>
                    <w:tl2br w:val="nil"/>
                    <w:tr2bl w:val="nil"/>
                  </w:tcBorders>
                  <w:vAlign w:val="center"/>
                </w:tcPr>
                <w:p>
                  <w:pPr>
                    <w:adjustRightInd w:val="0"/>
                    <w:snapToGrid w:val="0"/>
                    <w:jc w:val="center"/>
                    <w:rPr>
                      <w:rFonts w:ascii="Calibri" w:hAnsi="Calibri" w:cs="Calibri"/>
                    </w:rPr>
                  </w:pPr>
                  <w:r>
                    <w:rPr>
                      <w:rFonts w:ascii="Calibri" w:hAnsi="Calibri" w:cs="Calibri"/>
                    </w:rPr>
                    <w:t>DA001</w:t>
                  </w:r>
                </w:p>
              </w:tc>
              <w:tc>
                <w:tcPr>
                  <w:tcW w:w="1296"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颗粒物</w:t>
                  </w:r>
                </w:p>
              </w:tc>
              <w:tc>
                <w:tcPr>
                  <w:tcW w:w="624" w:type="dxa"/>
                  <w:tcBorders>
                    <w:tl2br w:val="nil"/>
                    <w:tr2bl w:val="nil"/>
                  </w:tcBorders>
                  <w:vAlign w:val="center"/>
                </w:tcPr>
                <w:p>
                  <w:pPr>
                    <w:adjustRightInd w:val="0"/>
                    <w:snapToGrid w:val="0"/>
                    <w:jc w:val="center"/>
                    <w:rPr>
                      <w:rFonts w:ascii="Calibri" w:hAnsi="Calibri" w:cs="Calibri"/>
                    </w:rPr>
                  </w:pPr>
                  <w:r>
                    <w:rPr>
                      <w:rFonts w:ascii="Calibri" w:hAnsi="Calibri" w:cs="Calibri"/>
                    </w:rPr>
                    <w:t>15</w:t>
                  </w:r>
                </w:p>
              </w:tc>
              <w:tc>
                <w:tcPr>
                  <w:tcW w:w="576" w:type="dxa"/>
                  <w:tcBorders>
                    <w:tl2br w:val="nil"/>
                    <w:tr2bl w:val="nil"/>
                  </w:tcBorders>
                  <w:vAlign w:val="center"/>
                </w:tcPr>
                <w:p>
                  <w:pPr>
                    <w:adjustRightInd w:val="0"/>
                    <w:snapToGrid w:val="0"/>
                    <w:jc w:val="center"/>
                    <w:rPr>
                      <w:rFonts w:ascii="Calibri" w:hAnsi="Calibri" w:cs="Calibri"/>
                    </w:rPr>
                  </w:pPr>
                  <w:r>
                    <w:rPr>
                      <w:rFonts w:ascii="Calibri" w:hAnsi="Calibri" w:cs="Calibri"/>
                    </w:rPr>
                    <w:t>0.</w:t>
                  </w:r>
                  <w:r>
                    <w:rPr>
                      <w:rFonts w:hint="eastAsia" w:ascii="Calibri" w:hAnsi="Calibri" w:cs="Calibri"/>
                    </w:rPr>
                    <w:t>6</w:t>
                  </w:r>
                </w:p>
              </w:tc>
              <w:tc>
                <w:tcPr>
                  <w:tcW w:w="732"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20</w:t>
                  </w:r>
                </w:p>
              </w:tc>
              <w:tc>
                <w:tcPr>
                  <w:tcW w:w="720"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13.42</w:t>
                  </w:r>
                </w:p>
              </w:tc>
              <w:tc>
                <w:tcPr>
                  <w:tcW w:w="480" w:type="dxa"/>
                  <w:vMerge w:val="restart"/>
                  <w:tcBorders>
                    <w:tl2br w:val="nil"/>
                    <w:tr2bl w:val="nil"/>
                  </w:tcBorders>
                  <w:vAlign w:val="center"/>
                </w:tcPr>
                <w:p>
                  <w:pPr>
                    <w:adjustRightInd w:val="0"/>
                    <w:snapToGrid w:val="0"/>
                    <w:jc w:val="center"/>
                    <w:rPr>
                      <w:rFonts w:ascii="Calibri" w:hAnsi="Calibri" w:cs="Calibri"/>
                    </w:rPr>
                  </w:pPr>
                  <w:r>
                    <w:rPr>
                      <w:rFonts w:ascii="Calibri" w:hAnsi="Calibri" w:cs="Calibri"/>
                    </w:rPr>
                    <w:t>一般排放口</w:t>
                  </w:r>
                </w:p>
                <w:p>
                  <w:pPr>
                    <w:adjustRightInd w:val="0"/>
                    <w:snapToGrid w:val="0"/>
                    <w:jc w:val="center"/>
                    <w:rPr>
                      <w:rFonts w:ascii="Calibri" w:hAnsi="Calibri" w:cs="Calibri"/>
                    </w:rPr>
                  </w:pPr>
                </w:p>
              </w:tc>
              <w:tc>
                <w:tcPr>
                  <w:tcW w:w="1224" w:type="dxa"/>
                  <w:tcBorders>
                    <w:tl2br w:val="nil"/>
                    <w:tr2bl w:val="nil"/>
                  </w:tcBorders>
                  <w:tcMar>
                    <w:top w:w="0" w:type="dxa"/>
                    <w:left w:w="57" w:type="dxa"/>
                    <w:bottom w:w="0" w:type="dxa"/>
                    <w:right w:w="57" w:type="dxa"/>
                  </w:tcMar>
                  <w:vAlign w:val="center"/>
                </w:tcPr>
                <w:p>
                  <w:pPr>
                    <w:adjustRightInd w:val="0"/>
                    <w:snapToGrid w:val="0"/>
                    <w:jc w:val="center"/>
                    <w:rPr>
                      <w:rFonts w:ascii="Calibri" w:hAnsi="Calibri" w:cs="Calibri"/>
                    </w:rPr>
                  </w:pPr>
                  <w:r>
                    <w:rPr>
                      <w:rFonts w:ascii="Calibri" w:hAnsi="Calibri" w:cs="Calibri"/>
                    </w:rPr>
                    <w:t>108.95899</w:t>
                  </w:r>
                  <w:r>
                    <w:rPr>
                      <w:rFonts w:hint="eastAsia" w:ascii="Calibri" w:hAnsi="Calibri" w:cs="Calibri"/>
                    </w:rPr>
                    <w:t>°</w:t>
                  </w:r>
                </w:p>
                <w:p>
                  <w:pPr>
                    <w:adjustRightInd w:val="0"/>
                    <w:snapToGrid w:val="0"/>
                    <w:jc w:val="center"/>
                    <w:rPr>
                      <w:rFonts w:ascii="Calibri" w:hAnsi="Calibri" w:cs="Calibri"/>
                    </w:rPr>
                  </w:pPr>
                  <w:r>
                    <w:rPr>
                      <w:rFonts w:ascii="Calibri" w:hAnsi="Calibri" w:cs="Calibri"/>
                    </w:rPr>
                    <w:t>34.546558</w:t>
                  </w:r>
                  <w:r>
                    <w:rPr>
                      <w:rFonts w:hint="eastAsia" w:ascii="Calibri" w:hAnsi="Calibri" w:cs="Calibri"/>
                    </w:rPr>
                    <w:t>°</w:t>
                  </w:r>
                </w:p>
              </w:tc>
              <w:tc>
                <w:tcPr>
                  <w:tcW w:w="2160" w:type="dxa"/>
                  <w:tcBorders>
                    <w:tl2br w:val="nil"/>
                    <w:tr2bl w:val="nil"/>
                  </w:tcBorders>
                  <w:vAlign w:val="center"/>
                </w:tcPr>
                <w:p>
                  <w:pPr>
                    <w:adjustRightInd w:val="0"/>
                    <w:snapToGrid w:val="0"/>
                    <w:jc w:val="center"/>
                    <w:rPr>
                      <w:rFonts w:ascii="Calibri" w:hAnsi="Calibri" w:cs="Calibri"/>
                    </w:rPr>
                  </w:pPr>
                  <w:r>
                    <w:rPr>
                      <w:rFonts w:ascii="Calibri" w:hAnsi="Calibri" w:cs="Calibri"/>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69" w:type="dxa"/>
                  <w:vMerge w:val="restart"/>
                  <w:tcBorders>
                    <w:tl2br w:val="nil"/>
                    <w:tr2bl w:val="nil"/>
                  </w:tcBorders>
                  <w:vAlign w:val="center"/>
                </w:tcPr>
                <w:p>
                  <w:pPr>
                    <w:adjustRightInd w:val="0"/>
                    <w:snapToGrid w:val="0"/>
                    <w:jc w:val="center"/>
                    <w:rPr>
                      <w:rFonts w:ascii="Calibri" w:hAnsi="Calibri" w:cs="Calibri"/>
                    </w:rPr>
                  </w:pPr>
                  <w:r>
                    <w:rPr>
                      <w:rFonts w:ascii="Calibri" w:hAnsi="Calibri" w:cs="Calibri"/>
                    </w:rPr>
                    <w:t>DA00</w:t>
                  </w:r>
                  <w:r>
                    <w:rPr>
                      <w:rFonts w:hint="eastAsia" w:ascii="Calibri" w:hAnsi="Calibri" w:cs="Calibri"/>
                    </w:rPr>
                    <w:t>2</w:t>
                  </w:r>
                </w:p>
              </w:tc>
              <w:tc>
                <w:tcPr>
                  <w:tcW w:w="1296"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非甲烷总烃</w:t>
                  </w:r>
                </w:p>
              </w:tc>
              <w:tc>
                <w:tcPr>
                  <w:tcW w:w="624" w:type="dxa"/>
                  <w:vMerge w:val="restart"/>
                  <w:tcBorders>
                    <w:tl2br w:val="nil"/>
                    <w:tr2bl w:val="nil"/>
                  </w:tcBorders>
                  <w:vAlign w:val="center"/>
                </w:tcPr>
                <w:p>
                  <w:pPr>
                    <w:adjustRightInd w:val="0"/>
                    <w:snapToGrid w:val="0"/>
                    <w:jc w:val="center"/>
                    <w:rPr>
                      <w:rFonts w:ascii="Calibri" w:hAnsi="Calibri" w:cs="Calibri"/>
                    </w:rPr>
                  </w:pPr>
                  <w:r>
                    <w:rPr>
                      <w:rFonts w:ascii="Calibri" w:hAnsi="Calibri" w:cs="Calibri"/>
                    </w:rPr>
                    <w:t>15</w:t>
                  </w:r>
                </w:p>
              </w:tc>
              <w:tc>
                <w:tcPr>
                  <w:tcW w:w="576" w:type="dxa"/>
                  <w:vMerge w:val="restart"/>
                  <w:tcBorders>
                    <w:tl2br w:val="nil"/>
                    <w:tr2bl w:val="nil"/>
                  </w:tcBorders>
                  <w:vAlign w:val="center"/>
                </w:tcPr>
                <w:p>
                  <w:pPr>
                    <w:adjustRightInd w:val="0"/>
                    <w:snapToGrid w:val="0"/>
                    <w:jc w:val="center"/>
                    <w:rPr>
                      <w:rFonts w:ascii="Calibri" w:hAnsi="Calibri" w:cs="Calibri"/>
                    </w:rPr>
                  </w:pPr>
                  <w:r>
                    <w:rPr>
                      <w:rFonts w:ascii="Calibri" w:hAnsi="Calibri" w:cs="Calibri"/>
                    </w:rPr>
                    <w:t>0.</w:t>
                  </w:r>
                  <w:r>
                    <w:rPr>
                      <w:rFonts w:hint="eastAsia" w:ascii="Calibri" w:hAnsi="Calibri" w:cs="Calibri"/>
                    </w:rPr>
                    <w:t>6</w:t>
                  </w:r>
                </w:p>
              </w:tc>
              <w:tc>
                <w:tcPr>
                  <w:tcW w:w="732" w:type="dxa"/>
                  <w:vMerge w:val="restart"/>
                  <w:tcBorders>
                    <w:tl2br w:val="nil"/>
                    <w:tr2bl w:val="nil"/>
                  </w:tcBorders>
                  <w:vAlign w:val="center"/>
                </w:tcPr>
                <w:p>
                  <w:pPr>
                    <w:adjustRightInd w:val="0"/>
                    <w:snapToGrid w:val="0"/>
                    <w:jc w:val="center"/>
                    <w:rPr>
                      <w:rFonts w:ascii="Calibri" w:hAnsi="Calibri" w:cs="Calibri"/>
                    </w:rPr>
                  </w:pPr>
                  <w:r>
                    <w:rPr>
                      <w:rFonts w:hint="eastAsia" w:ascii="Calibri" w:hAnsi="Calibri" w:cs="Calibri"/>
                    </w:rPr>
                    <w:t>30</w:t>
                  </w:r>
                </w:p>
              </w:tc>
              <w:tc>
                <w:tcPr>
                  <w:tcW w:w="720" w:type="dxa"/>
                  <w:vMerge w:val="restart"/>
                  <w:tcBorders>
                    <w:tl2br w:val="nil"/>
                    <w:tr2bl w:val="nil"/>
                  </w:tcBorders>
                  <w:vAlign w:val="center"/>
                </w:tcPr>
                <w:p>
                  <w:pPr>
                    <w:adjustRightInd w:val="0"/>
                    <w:snapToGrid w:val="0"/>
                    <w:jc w:val="center"/>
                    <w:rPr>
                      <w:rFonts w:ascii="Calibri" w:hAnsi="Calibri" w:cs="Calibri"/>
                    </w:rPr>
                  </w:pPr>
                  <w:r>
                    <w:rPr>
                      <w:rFonts w:hint="eastAsia" w:ascii="Calibri" w:hAnsi="Calibri" w:cs="Calibri"/>
                    </w:rPr>
                    <w:t>13.42</w:t>
                  </w:r>
                </w:p>
              </w:tc>
              <w:tc>
                <w:tcPr>
                  <w:tcW w:w="480" w:type="dxa"/>
                  <w:vMerge w:val="continue"/>
                  <w:tcBorders>
                    <w:tl2br w:val="nil"/>
                    <w:tr2bl w:val="nil"/>
                  </w:tcBorders>
                  <w:vAlign w:val="center"/>
                </w:tcPr>
                <w:p>
                  <w:pPr>
                    <w:adjustRightInd w:val="0"/>
                    <w:snapToGrid w:val="0"/>
                    <w:jc w:val="center"/>
                    <w:rPr>
                      <w:rFonts w:ascii="Calibri" w:hAnsi="Calibri" w:cs="Calibri"/>
                    </w:rPr>
                  </w:pPr>
                </w:p>
              </w:tc>
              <w:tc>
                <w:tcPr>
                  <w:tcW w:w="1224" w:type="dxa"/>
                  <w:vMerge w:val="restart"/>
                  <w:tcBorders>
                    <w:tl2br w:val="nil"/>
                    <w:tr2bl w:val="nil"/>
                  </w:tcBorders>
                  <w:tcMar>
                    <w:top w:w="0" w:type="dxa"/>
                    <w:left w:w="57" w:type="dxa"/>
                    <w:bottom w:w="0" w:type="dxa"/>
                    <w:right w:w="57" w:type="dxa"/>
                  </w:tcMar>
                  <w:vAlign w:val="center"/>
                </w:tcPr>
                <w:p>
                  <w:pPr>
                    <w:adjustRightInd w:val="0"/>
                    <w:snapToGrid w:val="0"/>
                    <w:jc w:val="center"/>
                    <w:rPr>
                      <w:rFonts w:ascii="Calibri" w:hAnsi="Calibri" w:cs="Calibri"/>
                    </w:rPr>
                  </w:pPr>
                  <w:r>
                    <w:rPr>
                      <w:rFonts w:ascii="Calibri" w:hAnsi="Calibri" w:cs="Calibri"/>
                    </w:rPr>
                    <w:t>108.95924</w:t>
                  </w:r>
                  <w:r>
                    <w:rPr>
                      <w:rFonts w:hint="eastAsia" w:ascii="Calibri" w:hAnsi="Calibri" w:cs="Calibri"/>
                    </w:rPr>
                    <w:t>°</w:t>
                  </w:r>
                </w:p>
                <w:p>
                  <w:pPr>
                    <w:adjustRightInd w:val="0"/>
                    <w:snapToGrid w:val="0"/>
                    <w:jc w:val="center"/>
                    <w:rPr>
                      <w:rFonts w:ascii="Calibri" w:hAnsi="Calibri" w:cs="Calibri"/>
                    </w:rPr>
                  </w:pPr>
                  <w:r>
                    <w:rPr>
                      <w:rFonts w:ascii="Calibri" w:hAnsi="Calibri" w:cs="Calibri"/>
                    </w:rPr>
                    <w:t>34.546764</w:t>
                  </w:r>
                  <w:r>
                    <w:rPr>
                      <w:rFonts w:hint="eastAsia" w:ascii="Calibri" w:hAnsi="Calibri" w:cs="Calibri"/>
                    </w:rPr>
                    <w:t>°</w:t>
                  </w:r>
                </w:p>
              </w:tc>
              <w:tc>
                <w:tcPr>
                  <w:tcW w:w="2160" w:type="dxa"/>
                  <w:tcBorders>
                    <w:tl2br w:val="nil"/>
                    <w:tr2bl w:val="nil"/>
                  </w:tcBorders>
                  <w:vAlign w:val="center"/>
                </w:tcPr>
                <w:p>
                  <w:pPr>
                    <w:adjustRightInd w:val="0"/>
                    <w:snapToGrid w:val="0"/>
                    <w:jc w:val="center"/>
                    <w:rPr>
                      <w:rFonts w:ascii="Calibri" w:hAnsi="Calibri" w:cs="Calibri"/>
                    </w:rPr>
                  </w:pPr>
                  <w:r>
                    <w:rPr>
                      <w:rFonts w:ascii="Calibri" w:hAnsi="Calibri" w:cs="Calibri"/>
                    </w:rPr>
                    <w:t>《挥发性有机物排放控制标准》（DB61/T1061-2017）</w:t>
                  </w:r>
                </w:p>
                <w:p>
                  <w:pPr>
                    <w:adjustRightInd w:val="0"/>
                    <w:snapToGrid w:val="0"/>
                    <w:jc w:val="center"/>
                    <w:rPr>
                      <w:rFonts w:ascii="Calibri" w:hAnsi="Calibri" w:cs="Calibri"/>
                    </w:rPr>
                  </w:pPr>
                  <w:r>
                    <w:rPr>
                      <w:rFonts w:hint="eastAsia" w:ascii="Calibri" w:hAnsi="Calibri" w:cs="Calibri"/>
                    </w:rPr>
                    <w:t>《重污染天气重点行业应急减排措施制定技术指南》（</w:t>
                  </w:r>
                  <w:r>
                    <w:rPr>
                      <w:rFonts w:ascii="Calibri" w:hAnsi="Calibri" w:cs="Calibri"/>
                    </w:rPr>
                    <w:t>2020</w:t>
                  </w:r>
                  <w:r>
                    <w:rPr>
                      <w:rFonts w:hint="eastAsia" w:ascii="Calibri" w:hAnsi="Calibri" w:cs="Calibri"/>
                    </w:rPr>
                    <w:t>年修订版）》人工业涂装行业绩效分级A级企业指标（30</w:t>
                  </w:r>
                  <w:r>
                    <w:rPr>
                      <w:rFonts w:ascii="Calibri" w:hAnsi="Calibri" w:cs="Calibri"/>
                    </w:rPr>
                    <w:t>mg/m³</w:t>
                  </w:r>
                  <w:r>
                    <w:rPr>
                      <w:rFonts w:hint="eastAsia" w:ascii="Calibri" w:hAnsi="Calibri" w:cs="Calibri"/>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69" w:type="dxa"/>
                  <w:vMerge w:val="continue"/>
                  <w:tcBorders>
                    <w:tl2br w:val="nil"/>
                    <w:tr2bl w:val="nil"/>
                  </w:tcBorders>
                  <w:vAlign w:val="center"/>
                </w:tcPr>
                <w:p>
                  <w:pPr>
                    <w:adjustRightInd w:val="0"/>
                    <w:snapToGrid w:val="0"/>
                    <w:jc w:val="center"/>
                    <w:rPr>
                      <w:rFonts w:ascii="Calibri" w:hAnsi="Calibri" w:cs="Calibri"/>
                    </w:rPr>
                  </w:pPr>
                </w:p>
              </w:tc>
              <w:tc>
                <w:tcPr>
                  <w:tcW w:w="1296" w:type="dxa"/>
                  <w:tcBorders>
                    <w:tl2br w:val="nil"/>
                    <w:tr2bl w:val="nil"/>
                  </w:tcBorders>
                  <w:vAlign w:val="center"/>
                </w:tcPr>
                <w:p>
                  <w:pPr>
                    <w:adjustRightInd w:val="0"/>
                    <w:snapToGrid w:val="0"/>
                    <w:jc w:val="center"/>
                    <w:rPr>
                      <w:rFonts w:ascii="Calibri" w:hAnsi="Calibri" w:cs="Calibri"/>
                    </w:rPr>
                  </w:pPr>
                  <w:r>
                    <w:rPr>
                      <w:rFonts w:ascii="Calibri" w:hAnsi="Calibri" w:cs="Calibri"/>
                    </w:rPr>
                    <w:t>颗粒物</w:t>
                  </w:r>
                </w:p>
              </w:tc>
              <w:tc>
                <w:tcPr>
                  <w:tcW w:w="624" w:type="dxa"/>
                  <w:vMerge w:val="continue"/>
                  <w:tcBorders>
                    <w:tl2br w:val="nil"/>
                    <w:tr2bl w:val="nil"/>
                  </w:tcBorders>
                  <w:vAlign w:val="center"/>
                </w:tcPr>
                <w:p>
                  <w:pPr>
                    <w:adjustRightInd w:val="0"/>
                    <w:snapToGrid w:val="0"/>
                    <w:jc w:val="center"/>
                    <w:rPr>
                      <w:rFonts w:ascii="Calibri" w:hAnsi="Calibri" w:cs="Calibri"/>
                    </w:rPr>
                  </w:pPr>
                </w:p>
              </w:tc>
              <w:tc>
                <w:tcPr>
                  <w:tcW w:w="576" w:type="dxa"/>
                  <w:vMerge w:val="continue"/>
                  <w:tcBorders>
                    <w:tl2br w:val="nil"/>
                    <w:tr2bl w:val="nil"/>
                  </w:tcBorders>
                  <w:vAlign w:val="center"/>
                </w:tcPr>
                <w:p>
                  <w:pPr>
                    <w:adjustRightInd w:val="0"/>
                    <w:snapToGrid w:val="0"/>
                    <w:jc w:val="center"/>
                    <w:rPr>
                      <w:rFonts w:ascii="Calibri" w:hAnsi="Calibri" w:cs="Calibri"/>
                    </w:rPr>
                  </w:pPr>
                </w:p>
              </w:tc>
              <w:tc>
                <w:tcPr>
                  <w:tcW w:w="732" w:type="dxa"/>
                  <w:vMerge w:val="continue"/>
                  <w:tcBorders>
                    <w:tl2br w:val="nil"/>
                    <w:tr2bl w:val="nil"/>
                  </w:tcBorders>
                  <w:vAlign w:val="center"/>
                </w:tcPr>
                <w:p>
                  <w:pPr>
                    <w:adjustRightInd w:val="0"/>
                    <w:snapToGrid w:val="0"/>
                    <w:jc w:val="center"/>
                    <w:rPr>
                      <w:rFonts w:ascii="Calibri" w:hAnsi="Calibri" w:cs="Calibri"/>
                    </w:rPr>
                  </w:pPr>
                </w:p>
              </w:tc>
              <w:tc>
                <w:tcPr>
                  <w:tcW w:w="720" w:type="dxa"/>
                  <w:vMerge w:val="continue"/>
                  <w:tcBorders>
                    <w:tl2br w:val="nil"/>
                    <w:tr2bl w:val="nil"/>
                  </w:tcBorders>
                  <w:vAlign w:val="center"/>
                </w:tcPr>
                <w:p>
                  <w:pPr>
                    <w:adjustRightInd w:val="0"/>
                    <w:snapToGrid w:val="0"/>
                    <w:jc w:val="center"/>
                    <w:rPr>
                      <w:rFonts w:ascii="Calibri" w:hAnsi="Calibri" w:cs="Calibri"/>
                    </w:rPr>
                  </w:pPr>
                </w:p>
              </w:tc>
              <w:tc>
                <w:tcPr>
                  <w:tcW w:w="480" w:type="dxa"/>
                  <w:vMerge w:val="continue"/>
                  <w:tcBorders>
                    <w:tl2br w:val="nil"/>
                    <w:tr2bl w:val="nil"/>
                  </w:tcBorders>
                  <w:vAlign w:val="center"/>
                </w:tcPr>
                <w:p>
                  <w:pPr>
                    <w:adjustRightInd w:val="0"/>
                    <w:snapToGrid w:val="0"/>
                    <w:jc w:val="center"/>
                    <w:rPr>
                      <w:rFonts w:ascii="Calibri" w:hAnsi="Calibri" w:cs="Calibri"/>
                    </w:rPr>
                  </w:pPr>
                </w:p>
              </w:tc>
              <w:tc>
                <w:tcPr>
                  <w:tcW w:w="1224" w:type="dxa"/>
                  <w:vMerge w:val="continue"/>
                  <w:tcBorders>
                    <w:tl2br w:val="nil"/>
                    <w:tr2bl w:val="nil"/>
                  </w:tcBorders>
                  <w:vAlign w:val="center"/>
                </w:tcPr>
                <w:p>
                  <w:pPr>
                    <w:adjustRightInd w:val="0"/>
                    <w:snapToGrid w:val="0"/>
                    <w:jc w:val="center"/>
                    <w:rPr>
                      <w:rFonts w:ascii="Calibri" w:hAnsi="Calibri" w:cs="Calibri"/>
                    </w:rPr>
                  </w:pPr>
                </w:p>
              </w:tc>
              <w:tc>
                <w:tcPr>
                  <w:tcW w:w="2160" w:type="dxa"/>
                  <w:vMerge w:val="restart"/>
                  <w:tcBorders>
                    <w:tl2br w:val="nil"/>
                    <w:tr2bl w:val="nil"/>
                  </w:tcBorders>
                  <w:vAlign w:val="center"/>
                </w:tcPr>
                <w:p>
                  <w:pPr>
                    <w:adjustRightInd w:val="0"/>
                    <w:snapToGrid w:val="0"/>
                    <w:jc w:val="center"/>
                    <w:rPr>
                      <w:rFonts w:ascii="Calibri" w:hAnsi="Calibri" w:cs="Calibri"/>
                    </w:rPr>
                  </w:pPr>
                  <w:r>
                    <w:rPr>
                      <w:rFonts w:ascii="Calibri" w:hAnsi="Calibri" w:cs="Calibri"/>
                    </w:rPr>
                    <w:t>《工业炉窑大气污染综合治理方案》（环大气[2019]56号）中重点区域相关标准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7" w:hRule="atLeast"/>
                <w:jc w:val="center"/>
              </w:trPr>
              <w:tc>
                <w:tcPr>
                  <w:tcW w:w="869" w:type="dxa"/>
                  <w:vMerge w:val="continue"/>
                  <w:tcBorders>
                    <w:tl2br w:val="nil"/>
                    <w:tr2bl w:val="nil"/>
                  </w:tcBorders>
                  <w:vAlign w:val="center"/>
                </w:tcPr>
                <w:p>
                  <w:pPr>
                    <w:adjustRightInd w:val="0"/>
                    <w:snapToGrid w:val="0"/>
                    <w:jc w:val="center"/>
                    <w:rPr>
                      <w:rFonts w:ascii="Calibri" w:hAnsi="Calibri" w:cs="Calibri"/>
                    </w:rPr>
                  </w:pPr>
                </w:p>
              </w:tc>
              <w:tc>
                <w:tcPr>
                  <w:tcW w:w="1296"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氮氧化物</w:t>
                  </w:r>
                </w:p>
              </w:tc>
              <w:tc>
                <w:tcPr>
                  <w:tcW w:w="624" w:type="dxa"/>
                  <w:vMerge w:val="continue"/>
                  <w:tcBorders>
                    <w:tl2br w:val="nil"/>
                    <w:tr2bl w:val="nil"/>
                  </w:tcBorders>
                  <w:vAlign w:val="center"/>
                </w:tcPr>
                <w:p>
                  <w:pPr>
                    <w:adjustRightInd w:val="0"/>
                    <w:snapToGrid w:val="0"/>
                    <w:jc w:val="center"/>
                    <w:rPr>
                      <w:rFonts w:ascii="Calibri" w:hAnsi="Calibri" w:cs="Calibri"/>
                    </w:rPr>
                  </w:pPr>
                </w:p>
              </w:tc>
              <w:tc>
                <w:tcPr>
                  <w:tcW w:w="576" w:type="dxa"/>
                  <w:vMerge w:val="continue"/>
                  <w:tcBorders>
                    <w:tl2br w:val="nil"/>
                    <w:tr2bl w:val="nil"/>
                  </w:tcBorders>
                  <w:vAlign w:val="center"/>
                </w:tcPr>
                <w:p>
                  <w:pPr>
                    <w:adjustRightInd w:val="0"/>
                    <w:snapToGrid w:val="0"/>
                    <w:jc w:val="center"/>
                    <w:rPr>
                      <w:rFonts w:ascii="Calibri" w:hAnsi="Calibri" w:cs="Calibri"/>
                    </w:rPr>
                  </w:pPr>
                </w:p>
              </w:tc>
              <w:tc>
                <w:tcPr>
                  <w:tcW w:w="732" w:type="dxa"/>
                  <w:vMerge w:val="continue"/>
                  <w:tcBorders>
                    <w:tl2br w:val="nil"/>
                    <w:tr2bl w:val="nil"/>
                  </w:tcBorders>
                  <w:vAlign w:val="center"/>
                </w:tcPr>
                <w:p>
                  <w:pPr>
                    <w:adjustRightInd w:val="0"/>
                    <w:snapToGrid w:val="0"/>
                    <w:jc w:val="center"/>
                    <w:rPr>
                      <w:rFonts w:ascii="Calibri" w:hAnsi="Calibri" w:cs="Calibri"/>
                    </w:rPr>
                  </w:pPr>
                </w:p>
              </w:tc>
              <w:tc>
                <w:tcPr>
                  <w:tcW w:w="720" w:type="dxa"/>
                  <w:vMerge w:val="continue"/>
                  <w:tcBorders>
                    <w:tl2br w:val="nil"/>
                    <w:tr2bl w:val="nil"/>
                  </w:tcBorders>
                  <w:vAlign w:val="center"/>
                </w:tcPr>
                <w:p>
                  <w:pPr>
                    <w:adjustRightInd w:val="0"/>
                    <w:snapToGrid w:val="0"/>
                    <w:jc w:val="center"/>
                    <w:rPr>
                      <w:rFonts w:ascii="Calibri" w:hAnsi="Calibri" w:cs="Calibri"/>
                    </w:rPr>
                  </w:pPr>
                </w:p>
              </w:tc>
              <w:tc>
                <w:tcPr>
                  <w:tcW w:w="480" w:type="dxa"/>
                  <w:vMerge w:val="continue"/>
                  <w:tcBorders>
                    <w:tl2br w:val="nil"/>
                    <w:tr2bl w:val="nil"/>
                  </w:tcBorders>
                  <w:vAlign w:val="center"/>
                </w:tcPr>
                <w:p>
                  <w:pPr>
                    <w:adjustRightInd w:val="0"/>
                    <w:snapToGrid w:val="0"/>
                    <w:jc w:val="center"/>
                    <w:rPr>
                      <w:rFonts w:ascii="Calibri" w:hAnsi="Calibri" w:cs="Calibri"/>
                    </w:rPr>
                  </w:pPr>
                </w:p>
              </w:tc>
              <w:tc>
                <w:tcPr>
                  <w:tcW w:w="1224" w:type="dxa"/>
                  <w:vMerge w:val="continue"/>
                  <w:tcBorders>
                    <w:tl2br w:val="nil"/>
                    <w:tr2bl w:val="nil"/>
                  </w:tcBorders>
                  <w:vAlign w:val="center"/>
                </w:tcPr>
                <w:p>
                  <w:pPr>
                    <w:adjustRightInd w:val="0"/>
                    <w:snapToGrid w:val="0"/>
                    <w:jc w:val="center"/>
                    <w:rPr>
                      <w:rFonts w:ascii="Calibri" w:hAnsi="Calibri" w:cs="Calibri"/>
                    </w:rPr>
                  </w:pPr>
                </w:p>
              </w:tc>
              <w:tc>
                <w:tcPr>
                  <w:tcW w:w="2160" w:type="dxa"/>
                  <w:vMerge w:val="continue"/>
                  <w:tcBorders>
                    <w:tl2br w:val="nil"/>
                    <w:tr2bl w:val="nil"/>
                  </w:tcBorders>
                  <w:vAlign w:val="center"/>
                </w:tcPr>
                <w:p>
                  <w:pPr>
                    <w:adjustRightInd w:val="0"/>
                    <w:snapToGrid w:val="0"/>
                    <w:jc w:val="center"/>
                    <w:rPr>
                      <w:rFonts w:ascii="Calibri" w:hAnsi="Calibri"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67" w:hRule="atLeast"/>
                <w:jc w:val="center"/>
              </w:trPr>
              <w:tc>
                <w:tcPr>
                  <w:tcW w:w="869" w:type="dxa"/>
                  <w:vMerge w:val="continue"/>
                  <w:tcBorders>
                    <w:tl2br w:val="nil"/>
                    <w:tr2bl w:val="nil"/>
                  </w:tcBorders>
                  <w:vAlign w:val="center"/>
                </w:tcPr>
                <w:p>
                  <w:pPr>
                    <w:adjustRightInd w:val="0"/>
                    <w:snapToGrid w:val="0"/>
                    <w:jc w:val="center"/>
                    <w:rPr>
                      <w:rFonts w:ascii="Calibri" w:hAnsi="Calibri" w:cs="Calibri"/>
                    </w:rPr>
                  </w:pPr>
                </w:p>
              </w:tc>
              <w:tc>
                <w:tcPr>
                  <w:tcW w:w="1296"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二氧化硫</w:t>
                  </w:r>
                </w:p>
              </w:tc>
              <w:tc>
                <w:tcPr>
                  <w:tcW w:w="624" w:type="dxa"/>
                  <w:vMerge w:val="continue"/>
                  <w:tcBorders>
                    <w:tl2br w:val="nil"/>
                    <w:tr2bl w:val="nil"/>
                  </w:tcBorders>
                  <w:vAlign w:val="center"/>
                </w:tcPr>
                <w:p>
                  <w:pPr>
                    <w:adjustRightInd w:val="0"/>
                    <w:snapToGrid w:val="0"/>
                    <w:jc w:val="center"/>
                    <w:rPr>
                      <w:rFonts w:ascii="Calibri" w:hAnsi="Calibri" w:cs="Calibri"/>
                    </w:rPr>
                  </w:pPr>
                </w:p>
              </w:tc>
              <w:tc>
                <w:tcPr>
                  <w:tcW w:w="576" w:type="dxa"/>
                  <w:vMerge w:val="continue"/>
                  <w:tcBorders>
                    <w:tl2br w:val="nil"/>
                    <w:tr2bl w:val="nil"/>
                  </w:tcBorders>
                  <w:vAlign w:val="center"/>
                </w:tcPr>
                <w:p>
                  <w:pPr>
                    <w:adjustRightInd w:val="0"/>
                    <w:snapToGrid w:val="0"/>
                    <w:jc w:val="center"/>
                    <w:rPr>
                      <w:rFonts w:ascii="Calibri" w:hAnsi="Calibri" w:cs="Calibri"/>
                    </w:rPr>
                  </w:pPr>
                </w:p>
              </w:tc>
              <w:tc>
                <w:tcPr>
                  <w:tcW w:w="732" w:type="dxa"/>
                  <w:vMerge w:val="continue"/>
                  <w:tcBorders>
                    <w:tl2br w:val="nil"/>
                    <w:tr2bl w:val="nil"/>
                  </w:tcBorders>
                  <w:vAlign w:val="center"/>
                </w:tcPr>
                <w:p>
                  <w:pPr>
                    <w:adjustRightInd w:val="0"/>
                    <w:snapToGrid w:val="0"/>
                    <w:jc w:val="center"/>
                    <w:rPr>
                      <w:rFonts w:ascii="Calibri" w:hAnsi="Calibri" w:cs="Calibri"/>
                    </w:rPr>
                  </w:pPr>
                </w:p>
              </w:tc>
              <w:tc>
                <w:tcPr>
                  <w:tcW w:w="720" w:type="dxa"/>
                  <w:vMerge w:val="continue"/>
                  <w:tcBorders>
                    <w:tl2br w:val="nil"/>
                    <w:tr2bl w:val="nil"/>
                  </w:tcBorders>
                  <w:vAlign w:val="center"/>
                </w:tcPr>
                <w:p>
                  <w:pPr>
                    <w:adjustRightInd w:val="0"/>
                    <w:snapToGrid w:val="0"/>
                    <w:jc w:val="center"/>
                    <w:rPr>
                      <w:rFonts w:ascii="Calibri" w:hAnsi="Calibri" w:cs="Calibri"/>
                    </w:rPr>
                  </w:pPr>
                </w:p>
              </w:tc>
              <w:tc>
                <w:tcPr>
                  <w:tcW w:w="480" w:type="dxa"/>
                  <w:vMerge w:val="continue"/>
                  <w:tcBorders>
                    <w:tl2br w:val="nil"/>
                    <w:tr2bl w:val="nil"/>
                  </w:tcBorders>
                  <w:vAlign w:val="center"/>
                </w:tcPr>
                <w:p>
                  <w:pPr>
                    <w:adjustRightInd w:val="0"/>
                    <w:snapToGrid w:val="0"/>
                    <w:jc w:val="center"/>
                    <w:rPr>
                      <w:rFonts w:ascii="Calibri" w:hAnsi="Calibri" w:cs="Calibri"/>
                    </w:rPr>
                  </w:pPr>
                </w:p>
              </w:tc>
              <w:tc>
                <w:tcPr>
                  <w:tcW w:w="1224" w:type="dxa"/>
                  <w:vMerge w:val="continue"/>
                  <w:tcBorders>
                    <w:tl2br w:val="nil"/>
                    <w:tr2bl w:val="nil"/>
                  </w:tcBorders>
                  <w:vAlign w:val="center"/>
                </w:tcPr>
                <w:p>
                  <w:pPr>
                    <w:adjustRightInd w:val="0"/>
                    <w:snapToGrid w:val="0"/>
                    <w:jc w:val="center"/>
                    <w:rPr>
                      <w:rFonts w:ascii="Calibri" w:hAnsi="Calibri" w:cs="Calibri"/>
                    </w:rPr>
                  </w:pPr>
                </w:p>
              </w:tc>
              <w:tc>
                <w:tcPr>
                  <w:tcW w:w="2160" w:type="dxa"/>
                  <w:vMerge w:val="continue"/>
                  <w:tcBorders>
                    <w:tl2br w:val="nil"/>
                    <w:tr2bl w:val="nil"/>
                  </w:tcBorders>
                  <w:vAlign w:val="center"/>
                </w:tcPr>
                <w:p>
                  <w:pPr>
                    <w:adjustRightInd w:val="0"/>
                    <w:snapToGrid w:val="0"/>
                    <w:jc w:val="center"/>
                    <w:rPr>
                      <w:rFonts w:ascii="Calibri" w:hAnsi="Calibri" w:cs="Calibri"/>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272" w:hRule="atLeast"/>
                <w:jc w:val="center"/>
              </w:trPr>
              <w:tc>
                <w:tcPr>
                  <w:tcW w:w="869" w:type="dxa"/>
                  <w:vMerge w:val="continue"/>
                  <w:tcBorders>
                    <w:tl2br w:val="nil"/>
                    <w:tr2bl w:val="nil"/>
                  </w:tcBorders>
                  <w:vAlign w:val="center"/>
                </w:tcPr>
                <w:p>
                  <w:pPr>
                    <w:adjustRightInd w:val="0"/>
                    <w:snapToGrid w:val="0"/>
                    <w:jc w:val="center"/>
                    <w:rPr>
                      <w:rFonts w:ascii="Calibri" w:hAnsi="Calibri" w:cs="Calibri"/>
                    </w:rPr>
                  </w:pPr>
                </w:p>
              </w:tc>
              <w:tc>
                <w:tcPr>
                  <w:tcW w:w="1296"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rPr>
                    <w:t>林格曼黑度</w:t>
                  </w:r>
                </w:p>
              </w:tc>
              <w:tc>
                <w:tcPr>
                  <w:tcW w:w="624" w:type="dxa"/>
                  <w:vMerge w:val="continue"/>
                  <w:tcBorders>
                    <w:tl2br w:val="nil"/>
                    <w:tr2bl w:val="nil"/>
                  </w:tcBorders>
                  <w:vAlign w:val="center"/>
                </w:tcPr>
                <w:p>
                  <w:pPr>
                    <w:adjustRightInd w:val="0"/>
                    <w:snapToGrid w:val="0"/>
                    <w:jc w:val="center"/>
                    <w:rPr>
                      <w:rFonts w:ascii="Calibri" w:hAnsi="Calibri" w:cs="Calibri"/>
                    </w:rPr>
                  </w:pPr>
                </w:p>
              </w:tc>
              <w:tc>
                <w:tcPr>
                  <w:tcW w:w="576" w:type="dxa"/>
                  <w:vMerge w:val="continue"/>
                  <w:tcBorders>
                    <w:tl2br w:val="nil"/>
                    <w:tr2bl w:val="nil"/>
                  </w:tcBorders>
                  <w:vAlign w:val="center"/>
                </w:tcPr>
                <w:p>
                  <w:pPr>
                    <w:adjustRightInd w:val="0"/>
                    <w:snapToGrid w:val="0"/>
                    <w:jc w:val="center"/>
                    <w:rPr>
                      <w:rFonts w:ascii="Calibri" w:hAnsi="Calibri" w:cs="Calibri"/>
                    </w:rPr>
                  </w:pPr>
                </w:p>
              </w:tc>
              <w:tc>
                <w:tcPr>
                  <w:tcW w:w="732" w:type="dxa"/>
                  <w:vMerge w:val="continue"/>
                  <w:tcBorders>
                    <w:tl2br w:val="nil"/>
                    <w:tr2bl w:val="nil"/>
                  </w:tcBorders>
                  <w:vAlign w:val="center"/>
                </w:tcPr>
                <w:p>
                  <w:pPr>
                    <w:adjustRightInd w:val="0"/>
                    <w:snapToGrid w:val="0"/>
                    <w:jc w:val="center"/>
                    <w:rPr>
                      <w:rFonts w:ascii="Calibri" w:hAnsi="Calibri" w:cs="Calibri"/>
                    </w:rPr>
                  </w:pPr>
                </w:p>
              </w:tc>
              <w:tc>
                <w:tcPr>
                  <w:tcW w:w="720" w:type="dxa"/>
                  <w:vMerge w:val="continue"/>
                  <w:tcBorders>
                    <w:tl2br w:val="nil"/>
                    <w:tr2bl w:val="nil"/>
                  </w:tcBorders>
                  <w:vAlign w:val="center"/>
                </w:tcPr>
                <w:p>
                  <w:pPr>
                    <w:adjustRightInd w:val="0"/>
                    <w:snapToGrid w:val="0"/>
                    <w:jc w:val="center"/>
                    <w:rPr>
                      <w:rFonts w:ascii="Calibri" w:hAnsi="Calibri" w:cs="Calibri"/>
                    </w:rPr>
                  </w:pPr>
                </w:p>
              </w:tc>
              <w:tc>
                <w:tcPr>
                  <w:tcW w:w="480" w:type="dxa"/>
                  <w:vMerge w:val="continue"/>
                  <w:tcBorders>
                    <w:tl2br w:val="nil"/>
                    <w:tr2bl w:val="nil"/>
                  </w:tcBorders>
                  <w:vAlign w:val="center"/>
                </w:tcPr>
                <w:p>
                  <w:pPr>
                    <w:adjustRightInd w:val="0"/>
                    <w:snapToGrid w:val="0"/>
                    <w:jc w:val="center"/>
                    <w:rPr>
                      <w:rFonts w:ascii="Calibri" w:hAnsi="Calibri" w:cs="Calibri"/>
                    </w:rPr>
                  </w:pPr>
                </w:p>
              </w:tc>
              <w:tc>
                <w:tcPr>
                  <w:tcW w:w="1224" w:type="dxa"/>
                  <w:vMerge w:val="continue"/>
                  <w:tcBorders>
                    <w:tl2br w:val="nil"/>
                    <w:tr2bl w:val="nil"/>
                  </w:tcBorders>
                  <w:vAlign w:val="center"/>
                </w:tcPr>
                <w:p>
                  <w:pPr>
                    <w:adjustRightInd w:val="0"/>
                    <w:snapToGrid w:val="0"/>
                    <w:jc w:val="center"/>
                    <w:rPr>
                      <w:rFonts w:ascii="Calibri" w:hAnsi="Calibri" w:cs="Calibri"/>
                    </w:rPr>
                  </w:pPr>
                </w:p>
              </w:tc>
              <w:tc>
                <w:tcPr>
                  <w:tcW w:w="2160" w:type="dxa"/>
                  <w:tcBorders>
                    <w:tl2br w:val="nil"/>
                    <w:tr2bl w:val="nil"/>
                  </w:tcBorders>
                  <w:vAlign w:val="center"/>
                </w:tcPr>
                <w:p>
                  <w:pPr>
                    <w:adjustRightInd w:val="0"/>
                    <w:snapToGrid w:val="0"/>
                    <w:jc w:val="center"/>
                    <w:rPr>
                      <w:rFonts w:ascii="Calibri" w:hAnsi="Calibri" w:cs="Calibri"/>
                    </w:rPr>
                  </w:pPr>
                  <w:r>
                    <w:rPr>
                      <w:rFonts w:hint="eastAsia" w:ascii="Calibri" w:hAnsi="Calibri" w:cs="Calibri"/>
                      <w:szCs w:val="21"/>
                    </w:rPr>
                    <w:t>《工业炉窑大气污染物排放标准》（GB9078-1996</w:t>
                  </w:r>
                </w:p>
              </w:tc>
            </w:tr>
          </w:tbl>
          <w:p>
            <w:pPr>
              <w:adjustRightInd w:val="0"/>
              <w:snapToGrid w:val="0"/>
              <w:spacing w:line="360" w:lineRule="auto"/>
              <w:ind w:firstLine="482" w:firstLineChars="200"/>
              <w:rPr>
                <w:b/>
                <w:bCs/>
                <w:sz w:val="24"/>
                <w:szCs w:val="32"/>
              </w:rPr>
            </w:pPr>
            <w:r>
              <w:rPr>
                <w:rFonts w:hint="eastAsia"/>
                <w:b/>
                <w:bCs/>
                <w:sz w:val="24"/>
                <w:szCs w:val="32"/>
              </w:rPr>
              <w:t>4、</w:t>
            </w:r>
            <w:r>
              <w:rPr>
                <w:b/>
                <w:bCs/>
                <w:sz w:val="24"/>
                <w:szCs w:val="32"/>
              </w:rPr>
              <w:t>废气处理措施可行性分析</w:t>
            </w:r>
          </w:p>
          <w:p>
            <w:pPr>
              <w:adjustRightInd w:val="0"/>
              <w:snapToGrid w:val="0"/>
              <w:spacing w:line="360" w:lineRule="auto"/>
              <w:ind w:firstLine="480" w:firstLineChars="200"/>
              <w:rPr>
                <w:sz w:val="24"/>
                <w:szCs w:val="32"/>
              </w:rPr>
            </w:pPr>
            <w:r>
              <w:rPr>
                <w:sz w:val="24"/>
                <w:szCs w:val="32"/>
              </w:rPr>
              <w:t>参考《排污许可证申请与核发技术规范</w:t>
            </w:r>
            <w:r>
              <w:rPr>
                <w:rFonts w:hint="eastAsia"/>
                <w:sz w:val="24"/>
                <w:szCs w:val="32"/>
              </w:rPr>
              <w:t>总则</w:t>
            </w:r>
            <w:r>
              <w:rPr>
                <w:sz w:val="24"/>
                <w:szCs w:val="32"/>
              </w:rPr>
              <w:t>》（H1</w:t>
            </w:r>
            <w:r>
              <w:rPr>
                <w:rFonts w:hint="eastAsia"/>
                <w:sz w:val="24"/>
                <w:szCs w:val="32"/>
              </w:rPr>
              <w:t>942-2018）、《</w:t>
            </w:r>
            <w:r>
              <w:rPr>
                <w:sz w:val="24"/>
                <w:szCs w:val="32"/>
              </w:rPr>
              <w:t>污许可证申请与核发技术规范</w:t>
            </w:r>
            <w:r>
              <w:rPr>
                <w:rFonts w:hint="eastAsia"/>
                <w:sz w:val="24"/>
                <w:szCs w:val="32"/>
              </w:rPr>
              <w:t>电镀行业》（HJ855-2017）、《</w:t>
            </w:r>
            <w:r>
              <w:rPr>
                <w:sz w:val="24"/>
                <w:szCs w:val="32"/>
              </w:rPr>
              <w:t>排污许可证申请与核发技术规范</w:t>
            </w:r>
            <w:r>
              <w:rPr>
                <w:rFonts w:hint="eastAsia"/>
                <w:sz w:val="24"/>
                <w:szCs w:val="32"/>
              </w:rPr>
              <w:t>工业窑炉》（HJ1121-2020）和《排污许可证申请与核发技术规范金属铸造工业》（HJ1115—2020)</w:t>
            </w:r>
            <w:r>
              <w:rPr>
                <w:sz w:val="24"/>
                <w:szCs w:val="32"/>
              </w:rPr>
              <w:t>，对于静电喷</w:t>
            </w:r>
            <w:r>
              <w:rPr>
                <w:rFonts w:hint="eastAsia"/>
                <w:sz w:val="24"/>
                <w:szCs w:val="32"/>
              </w:rPr>
              <w:t>塑</w:t>
            </w:r>
            <w:r>
              <w:rPr>
                <w:sz w:val="24"/>
                <w:szCs w:val="32"/>
              </w:rPr>
              <w:t>产生的有组织颗粒物，一般采用袋式除尘器、旋风除尘器、滤筒除尘器、水幕、等进行达标治理，热固化室产生的非甲烷总烃可用活性炭吸附进行处理</w:t>
            </w:r>
            <w:r>
              <w:rPr>
                <w:rFonts w:hint="eastAsia"/>
                <w:sz w:val="24"/>
                <w:szCs w:val="32"/>
              </w:rPr>
              <w:t>；热固化室产生的非甲烷总烃可用活性炭吸附进行处理，天然气燃烧产生颗粒物、二氧化硫、氮氧化物一般采用静电除尘器、袋式除尘器、电袋复合除尘器、旋风除尘器、滤筒除尘器、湿式除尘器及其他设备进行达标处理。喷淋塔主要去除颗粒物。</w:t>
            </w:r>
            <w:r>
              <w:rPr>
                <w:sz w:val="24"/>
                <w:szCs w:val="32"/>
              </w:rPr>
              <w:t>活性炭吸附工作原理：</w:t>
            </w:r>
            <w:r>
              <w:rPr>
                <w:rFonts w:hint="eastAsia"/>
                <w:sz w:val="24"/>
                <w:szCs w:val="32"/>
                <w:lang w:eastAsia="zh-CN"/>
              </w:rPr>
              <w:t>项目</w:t>
            </w:r>
            <w:r>
              <w:rPr>
                <w:sz w:val="24"/>
                <w:szCs w:val="32"/>
              </w:rPr>
              <w:t>对</w:t>
            </w:r>
            <w:r>
              <w:rPr>
                <w:rFonts w:hint="eastAsia"/>
                <w:sz w:val="24"/>
                <w:szCs w:val="32"/>
              </w:rPr>
              <w:t>覆膜工序、木纹转印工序以及</w:t>
            </w:r>
            <w:r>
              <w:rPr>
                <w:sz w:val="24"/>
                <w:szCs w:val="32"/>
              </w:rPr>
              <w:t>热固化工序产生的有机废气采用两级活性炭吸附装置进行处理。活性炭是木材、煤、果壳等含碳物质在高温缺氧条件下活化制成，由活性炭纤维筒吸附装置、排风管和排风机、排气筒等组成，具有巨大的比表面积（500~1700m</w:t>
            </w:r>
            <w:r>
              <w:rPr>
                <w:sz w:val="24"/>
                <w:szCs w:val="32"/>
                <w:vertAlign w:val="superscript"/>
              </w:rPr>
              <w:t>2</w:t>
            </w:r>
            <w:r>
              <w:rPr>
                <w:sz w:val="24"/>
                <w:szCs w:val="32"/>
              </w:rPr>
              <w:t>/g），该装置在系统主风机的作用下，废气从塔体进风口处进入吸附塔体内的各吸附单元，利用高性能活性炭吸附剂固体本身的表面作用力将有机废气分子吸附质吸引附着在吸附剂表面，经吸附后的干净气体透过吸附单元进入塔体内的净气室并汇集至风口排出。随操作时间之增加，吸附剂将逐渐趋于饱和现象，所以活性炭在使用过程中性能会逐渐衰减，需定期进行更换。根据《大气中TVOC的污染现状及治理技术研究进展》（环境科学与管理，2012年第37卷6期）中的数据，活性炭对TVOC去除效率可达</w:t>
            </w:r>
            <w:r>
              <w:rPr>
                <w:rFonts w:hint="eastAsia"/>
                <w:sz w:val="24"/>
                <w:szCs w:val="32"/>
              </w:rPr>
              <w:t>80</w:t>
            </w:r>
            <w:r>
              <w:rPr>
                <w:sz w:val="24"/>
                <w:szCs w:val="32"/>
              </w:rPr>
              <w:t>%。活性炭吸附有机废气效率一般可达到</w:t>
            </w:r>
            <w:r>
              <w:rPr>
                <w:rFonts w:hint="eastAsia"/>
                <w:sz w:val="24"/>
                <w:szCs w:val="32"/>
              </w:rPr>
              <w:t>50</w:t>
            </w:r>
            <w:r>
              <w:rPr>
                <w:sz w:val="24"/>
                <w:szCs w:val="32"/>
              </w:rPr>
              <w:t>%以上，两级活性炭吸附效率可达到</w:t>
            </w:r>
            <w:r>
              <w:rPr>
                <w:rFonts w:hint="eastAsia"/>
                <w:sz w:val="24"/>
                <w:szCs w:val="32"/>
              </w:rPr>
              <w:t>60</w:t>
            </w:r>
            <w:r>
              <w:rPr>
                <w:sz w:val="24"/>
                <w:szCs w:val="32"/>
              </w:rPr>
              <w:t>%左右</w:t>
            </w:r>
            <w:r>
              <w:rPr>
                <w:rFonts w:hint="eastAsia"/>
                <w:sz w:val="24"/>
                <w:szCs w:val="32"/>
              </w:rPr>
              <w:t>。</w:t>
            </w:r>
          </w:p>
          <w:p>
            <w:pPr>
              <w:autoSpaceDE w:val="0"/>
              <w:autoSpaceDN w:val="0"/>
              <w:adjustRightInd w:val="0"/>
              <w:snapToGrid w:val="0"/>
              <w:spacing w:line="360" w:lineRule="auto"/>
              <w:ind w:firstLine="480" w:firstLineChars="200"/>
              <w:jc w:val="left"/>
              <w:rPr>
                <w:sz w:val="24"/>
                <w:szCs w:val="32"/>
              </w:rPr>
            </w:pPr>
            <w:r>
              <w:rPr>
                <w:rFonts w:hint="eastAsia"/>
                <w:sz w:val="24"/>
                <w:szCs w:val="32"/>
                <w:lang w:eastAsia="zh-CN"/>
              </w:rPr>
              <w:t>项目</w:t>
            </w:r>
            <w:r>
              <w:rPr>
                <w:rFonts w:hint="eastAsia"/>
                <w:sz w:val="24"/>
                <w:szCs w:val="32"/>
              </w:rPr>
              <w:t>1台喷塑机产生</w:t>
            </w:r>
            <w:r>
              <w:rPr>
                <w:sz w:val="24"/>
                <w:szCs w:val="32"/>
              </w:rPr>
              <w:t>颗粒物</w:t>
            </w:r>
            <w:r>
              <w:rPr>
                <w:rFonts w:hint="eastAsia"/>
                <w:sz w:val="24"/>
                <w:szCs w:val="32"/>
              </w:rPr>
              <w:t>经</w:t>
            </w:r>
            <w:r>
              <w:rPr>
                <w:sz w:val="24"/>
                <w:szCs w:val="32"/>
              </w:rPr>
              <w:t>利用“</w:t>
            </w:r>
            <w:r>
              <w:rPr>
                <w:rFonts w:hint="eastAsia"/>
                <w:sz w:val="24"/>
                <w:szCs w:val="32"/>
              </w:rPr>
              <w:t>旋风除尘系统（滤筒</w:t>
            </w:r>
            <w:r>
              <w:rPr>
                <w:rFonts w:hint="eastAsia"/>
                <w:sz w:val="24"/>
                <w:szCs w:val="32"/>
                <w:lang w:val="en-US" w:eastAsia="zh-CN"/>
              </w:rPr>
              <w:t>+</w:t>
            </w:r>
            <w:r>
              <w:rPr>
                <w:rFonts w:hint="eastAsia"/>
                <w:sz w:val="24"/>
                <w:szCs w:val="32"/>
              </w:rPr>
              <w:t>旋风除尘器）</w:t>
            </w:r>
            <w:r>
              <w:rPr>
                <w:sz w:val="24"/>
                <w:szCs w:val="32"/>
              </w:rPr>
              <w:t>”进行处理</w:t>
            </w:r>
            <w:r>
              <w:rPr>
                <w:rFonts w:hint="eastAsia"/>
                <w:sz w:val="24"/>
                <w:szCs w:val="32"/>
              </w:rPr>
              <w:t>，利用15m排气筒DA001排放</w:t>
            </w:r>
            <w:r>
              <w:rPr>
                <w:sz w:val="24"/>
                <w:szCs w:val="32"/>
              </w:rPr>
              <w:t>；</w:t>
            </w:r>
            <w:r>
              <w:rPr>
                <w:rFonts w:hint="eastAsia"/>
                <w:sz w:val="24"/>
                <w:szCs w:val="32"/>
              </w:rPr>
              <w:t>覆膜工序产生的非甲烷总烃、木纹转印工序和</w:t>
            </w:r>
            <w:r>
              <w:rPr>
                <w:sz w:val="24"/>
                <w:szCs w:val="32"/>
              </w:rPr>
              <w:t>喷塑热固化过程产生的非甲烷总烃</w:t>
            </w:r>
            <w:r>
              <w:rPr>
                <w:rFonts w:hint="eastAsia"/>
                <w:sz w:val="24"/>
                <w:szCs w:val="32"/>
              </w:rPr>
              <w:t>及天然气燃烧产生的</w:t>
            </w:r>
            <w:r>
              <w:rPr>
                <w:sz w:val="24"/>
                <w:szCs w:val="32"/>
              </w:rPr>
              <w:t>颗粒物、二氧化硫、氮氧化物</w:t>
            </w:r>
            <w:r>
              <w:rPr>
                <w:rFonts w:hint="eastAsia"/>
                <w:sz w:val="24"/>
                <w:szCs w:val="32"/>
              </w:rPr>
              <w:t>通过在进口及出口分别设置5套集气罩+喷淋塔+吸附棉+二级活性炭处理装置进行处理，废气通过15m排气筒DA002进行排放。</w:t>
            </w:r>
          </w:p>
          <w:p>
            <w:pPr>
              <w:adjustRightInd w:val="0"/>
              <w:snapToGrid w:val="0"/>
              <w:spacing w:line="360" w:lineRule="auto"/>
              <w:ind w:firstLine="480" w:firstLineChars="200"/>
              <w:rPr>
                <w:sz w:val="24"/>
                <w:szCs w:val="32"/>
              </w:rPr>
            </w:pPr>
            <w:r>
              <w:rPr>
                <w:sz w:val="24"/>
                <w:szCs w:val="32"/>
              </w:rPr>
              <w:t>因此，</w:t>
            </w:r>
            <w:r>
              <w:rPr>
                <w:rFonts w:hint="eastAsia"/>
                <w:sz w:val="24"/>
                <w:szCs w:val="32"/>
                <w:lang w:eastAsia="zh-CN"/>
              </w:rPr>
              <w:t>项目</w:t>
            </w:r>
            <w:r>
              <w:rPr>
                <w:sz w:val="24"/>
                <w:szCs w:val="32"/>
              </w:rPr>
              <w:t>废气采用上述污染防治措施均为可行技术。</w:t>
            </w:r>
          </w:p>
          <w:p>
            <w:pPr>
              <w:adjustRightInd w:val="0"/>
              <w:snapToGrid w:val="0"/>
              <w:spacing w:line="360" w:lineRule="auto"/>
              <w:ind w:firstLine="480" w:firstLineChars="200"/>
              <w:rPr>
                <w:sz w:val="24"/>
                <w:szCs w:val="32"/>
              </w:rPr>
            </w:pPr>
            <w:r>
              <w:rPr>
                <w:rFonts w:hint="eastAsia"/>
                <w:sz w:val="24"/>
                <w:szCs w:val="32"/>
              </w:rPr>
              <w:t>根据</w:t>
            </w:r>
            <w:r>
              <w:rPr>
                <w:sz w:val="24"/>
                <w:szCs w:val="32"/>
              </w:rPr>
              <w:t>《大气污染物综合排放标准》（GB16297-1996）</w:t>
            </w:r>
            <w:r>
              <w:rPr>
                <w:rFonts w:hint="eastAsia"/>
                <w:sz w:val="24"/>
                <w:szCs w:val="32"/>
              </w:rPr>
              <w:t>新建排气筒周围半径200m距离有建筑物时，其排气筒高度应高出最高建筑物3m以上的要求，</w:t>
            </w:r>
            <w:r>
              <w:rPr>
                <w:rFonts w:hint="eastAsia"/>
                <w:sz w:val="24"/>
                <w:szCs w:val="32"/>
                <w:lang w:eastAsia="zh-CN"/>
              </w:rPr>
              <w:t>项目</w:t>
            </w:r>
            <w:r>
              <w:rPr>
                <w:rFonts w:hint="eastAsia"/>
                <w:sz w:val="24"/>
                <w:szCs w:val="32"/>
              </w:rPr>
              <w:t>厂区周围200m范围内为村民居住用房和建筑厂房，建筑高度不超过9m，故排气筒高度设置为15m符合标准要求。</w:t>
            </w:r>
          </w:p>
          <w:p>
            <w:pPr>
              <w:pStyle w:val="7"/>
              <w:adjustRightInd w:val="0"/>
              <w:snapToGrid w:val="0"/>
              <w:spacing w:after="0" w:line="360" w:lineRule="auto"/>
              <w:ind w:firstLine="480" w:firstLineChars="200"/>
              <w:jc w:val="left"/>
              <w:rPr>
                <w:rFonts w:ascii="Times New Roman" w:hAnsi="Times New Roman"/>
                <w:b/>
                <w:bCs/>
                <w:sz w:val="24"/>
                <w:szCs w:val="32"/>
              </w:rPr>
            </w:pPr>
            <w:r>
              <w:rPr>
                <w:rFonts w:hint="eastAsia" w:ascii="Times New Roman" w:hAnsi="Times New Roman"/>
                <w:snapToGrid w:val="0"/>
                <w:kern w:val="0"/>
                <w:sz w:val="24"/>
                <w:shd w:val="clear" w:color="auto" w:fill="FFFFFF"/>
              </w:rPr>
              <w:t>5、</w:t>
            </w:r>
            <w:r>
              <w:rPr>
                <w:rFonts w:hint="eastAsia" w:ascii="Times New Roman" w:hAnsi="Times New Roman"/>
                <w:b/>
                <w:bCs/>
                <w:sz w:val="24"/>
                <w:szCs w:val="32"/>
              </w:rPr>
              <w:t>非正常工况</w:t>
            </w:r>
          </w:p>
          <w:p>
            <w:pPr>
              <w:pStyle w:val="7"/>
              <w:adjustRightInd w:val="0"/>
              <w:snapToGrid w:val="0"/>
              <w:spacing w:after="0" w:line="360" w:lineRule="auto"/>
              <w:ind w:firstLine="480" w:firstLineChars="200"/>
              <w:jc w:val="left"/>
              <w:rPr>
                <w:rFonts w:ascii="Times New Roman" w:hAnsi="Times New Roman"/>
                <w:sz w:val="24"/>
                <w:lang w:bidi="zh-CN"/>
              </w:rPr>
            </w:pPr>
            <w:r>
              <w:rPr>
                <w:rFonts w:ascii="Times New Roman" w:hAnsi="Times New Roman"/>
                <w:snapToGrid w:val="0"/>
                <w:kern w:val="0"/>
                <w:sz w:val="24"/>
                <w:shd w:val="clear" w:color="auto" w:fill="FFFFFF"/>
                <w:lang w:val="en-GB"/>
              </w:rPr>
              <w:t>项目非正常情况主要是停电或设备开停车、检修时，环保装置未提前开启，造成废气超标排放，以最不利情况下废气处理系统净化效率为零考虑，源强最大的时段废气排放1h对周围环境的影响</w:t>
            </w:r>
            <w:r>
              <w:rPr>
                <w:rFonts w:ascii="Times New Roman" w:hAnsi="Times New Roman"/>
                <w:sz w:val="24"/>
                <w:lang w:bidi="zh-CN"/>
              </w:rPr>
              <w:t>；项目非正常排放的情况如表4-6所示。</w:t>
            </w:r>
          </w:p>
          <w:p>
            <w:pPr>
              <w:pStyle w:val="7"/>
              <w:adjustRightInd w:val="0"/>
              <w:spacing w:after="0"/>
              <w:jc w:val="center"/>
              <w:rPr>
                <w:rFonts w:ascii="Times New Roman" w:hAnsi="Times New Roman"/>
                <w:b/>
                <w:lang w:val="zh-CN"/>
              </w:rPr>
            </w:pPr>
            <w:r>
              <w:rPr>
                <w:rFonts w:hint="eastAsia" w:ascii="Times New Roman" w:hAnsi="Times New Roman"/>
                <w:b/>
                <w:lang w:val="zh-CN"/>
              </w:rPr>
              <w:t>表</w:t>
            </w:r>
            <w:r>
              <w:rPr>
                <w:rFonts w:hint="eastAsia" w:ascii="Times New Roman" w:hAnsi="Times New Roman"/>
                <w:b/>
              </w:rPr>
              <w:t>4-6</w:t>
            </w:r>
            <w:r>
              <w:rPr>
                <w:rFonts w:hint="eastAsia" w:ascii="Times New Roman" w:hAnsi="Times New Roman"/>
                <w:b/>
                <w:lang w:val="zh-CN"/>
              </w:rPr>
              <w:t>非正常工况污染物排放源强</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1310"/>
              <w:gridCol w:w="1770"/>
              <w:gridCol w:w="1883"/>
              <w:gridCol w:w="1564"/>
              <w:gridCol w:w="1127"/>
              <w:gridCol w:w="9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vMerge w:val="restart"/>
                  <w:tcBorders>
                    <w:tl2br w:val="nil"/>
                    <w:tr2bl w:val="nil"/>
                  </w:tcBorders>
                  <w:vAlign w:val="center"/>
                </w:tcPr>
                <w:p>
                  <w:pPr>
                    <w:adjustRightInd w:val="0"/>
                    <w:snapToGrid w:val="0"/>
                    <w:jc w:val="center"/>
                    <w:rPr>
                      <w:b/>
                      <w:bCs/>
                      <w:szCs w:val="21"/>
                    </w:rPr>
                  </w:pPr>
                  <w:r>
                    <w:rPr>
                      <w:b/>
                      <w:bCs/>
                      <w:szCs w:val="21"/>
                    </w:rPr>
                    <w:t>污染源</w:t>
                  </w:r>
                </w:p>
              </w:tc>
              <w:tc>
                <w:tcPr>
                  <w:tcW w:w="1770" w:type="dxa"/>
                  <w:vMerge w:val="restart"/>
                  <w:tcBorders>
                    <w:tl2br w:val="nil"/>
                    <w:tr2bl w:val="nil"/>
                  </w:tcBorders>
                  <w:vAlign w:val="center"/>
                </w:tcPr>
                <w:p>
                  <w:pPr>
                    <w:adjustRightInd w:val="0"/>
                    <w:snapToGrid w:val="0"/>
                    <w:jc w:val="center"/>
                    <w:rPr>
                      <w:b/>
                      <w:bCs/>
                      <w:szCs w:val="21"/>
                    </w:rPr>
                  </w:pPr>
                  <w:r>
                    <w:rPr>
                      <w:b/>
                      <w:bCs/>
                      <w:szCs w:val="21"/>
                    </w:rPr>
                    <w:t>污染物名称</w:t>
                  </w:r>
                </w:p>
              </w:tc>
              <w:tc>
                <w:tcPr>
                  <w:tcW w:w="3447" w:type="dxa"/>
                  <w:gridSpan w:val="2"/>
                  <w:tcBorders>
                    <w:tl2br w:val="nil"/>
                    <w:tr2bl w:val="nil"/>
                  </w:tcBorders>
                  <w:vAlign w:val="center"/>
                </w:tcPr>
                <w:p>
                  <w:pPr>
                    <w:adjustRightInd w:val="0"/>
                    <w:snapToGrid w:val="0"/>
                    <w:jc w:val="center"/>
                    <w:rPr>
                      <w:b/>
                      <w:bCs/>
                      <w:szCs w:val="21"/>
                    </w:rPr>
                  </w:pPr>
                  <w:r>
                    <w:rPr>
                      <w:b/>
                      <w:bCs/>
                      <w:szCs w:val="21"/>
                    </w:rPr>
                    <w:t>污染物排放情况</w:t>
                  </w:r>
                </w:p>
              </w:tc>
              <w:tc>
                <w:tcPr>
                  <w:tcW w:w="1127" w:type="dxa"/>
                  <w:vMerge w:val="restart"/>
                  <w:tcBorders>
                    <w:tl2br w:val="nil"/>
                    <w:tr2bl w:val="nil"/>
                  </w:tcBorders>
                  <w:vAlign w:val="center"/>
                </w:tcPr>
                <w:p>
                  <w:pPr>
                    <w:adjustRightInd w:val="0"/>
                    <w:snapToGrid w:val="0"/>
                    <w:jc w:val="center"/>
                    <w:rPr>
                      <w:b/>
                      <w:bCs/>
                      <w:szCs w:val="21"/>
                    </w:rPr>
                  </w:pPr>
                  <w:r>
                    <w:rPr>
                      <w:b/>
                      <w:bCs/>
                      <w:kern w:val="0"/>
                      <w:szCs w:val="21"/>
                    </w:rPr>
                    <w:t>非正常频次</w:t>
                  </w:r>
                </w:p>
              </w:tc>
              <w:tc>
                <w:tcPr>
                  <w:tcW w:w="942" w:type="dxa"/>
                  <w:vMerge w:val="restart"/>
                  <w:tcBorders>
                    <w:tl2br w:val="nil"/>
                    <w:tr2bl w:val="nil"/>
                  </w:tcBorders>
                  <w:vAlign w:val="center"/>
                </w:tcPr>
                <w:p>
                  <w:pPr>
                    <w:adjustRightInd w:val="0"/>
                    <w:snapToGrid w:val="0"/>
                    <w:jc w:val="center"/>
                    <w:rPr>
                      <w:b/>
                      <w:bCs/>
                      <w:kern w:val="0"/>
                      <w:szCs w:val="21"/>
                    </w:rPr>
                  </w:pPr>
                  <w:r>
                    <w:rPr>
                      <w:b/>
                      <w:bCs/>
                      <w:kern w:val="0"/>
                      <w:szCs w:val="21"/>
                    </w:rPr>
                    <w:t>持续时间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vMerge w:val="continue"/>
                  <w:tcBorders>
                    <w:tl2br w:val="nil"/>
                    <w:tr2bl w:val="nil"/>
                  </w:tcBorders>
                  <w:vAlign w:val="center"/>
                </w:tcPr>
                <w:p>
                  <w:pPr>
                    <w:adjustRightInd w:val="0"/>
                    <w:snapToGrid w:val="0"/>
                    <w:jc w:val="center"/>
                    <w:rPr>
                      <w:b/>
                      <w:bCs/>
                      <w:szCs w:val="21"/>
                    </w:rPr>
                  </w:pPr>
                </w:p>
              </w:tc>
              <w:tc>
                <w:tcPr>
                  <w:tcW w:w="1770" w:type="dxa"/>
                  <w:vMerge w:val="continue"/>
                  <w:tcBorders>
                    <w:tl2br w:val="nil"/>
                    <w:tr2bl w:val="nil"/>
                  </w:tcBorders>
                  <w:vAlign w:val="center"/>
                </w:tcPr>
                <w:p>
                  <w:pPr>
                    <w:adjustRightInd w:val="0"/>
                    <w:snapToGrid w:val="0"/>
                    <w:jc w:val="center"/>
                    <w:rPr>
                      <w:b/>
                      <w:bCs/>
                      <w:szCs w:val="21"/>
                    </w:rPr>
                  </w:pPr>
                </w:p>
              </w:tc>
              <w:tc>
                <w:tcPr>
                  <w:tcW w:w="1883" w:type="dxa"/>
                  <w:tcBorders>
                    <w:tl2br w:val="nil"/>
                    <w:tr2bl w:val="nil"/>
                  </w:tcBorders>
                  <w:vAlign w:val="center"/>
                </w:tcPr>
                <w:p>
                  <w:pPr>
                    <w:adjustRightInd w:val="0"/>
                    <w:snapToGrid w:val="0"/>
                    <w:jc w:val="center"/>
                    <w:rPr>
                      <w:b/>
                      <w:bCs/>
                      <w:szCs w:val="21"/>
                    </w:rPr>
                  </w:pPr>
                  <w:r>
                    <w:rPr>
                      <w:b/>
                      <w:bCs/>
                      <w:szCs w:val="21"/>
                    </w:rPr>
                    <w:t>速率（kg/h）</w:t>
                  </w:r>
                </w:p>
              </w:tc>
              <w:tc>
                <w:tcPr>
                  <w:tcW w:w="1564" w:type="dxa"/>
                  <w:tcBorders>
                    <w:tl2br w:val="nil"/>
                    <w:tr2bl w:val="nil"/>
                  </w:tcBorders>
                  <w:vAlign w:val="center"/>
                </w:tcPr>
                <w:p>
                  <w:pPr>
                    <w:adjustRightInd w:val="0"/>
                    <w:snapToGrid w:val="0"/>
                    <w:jc w:val="center"/>
                    <w:rPr>
                      <w:b/>
                      <w:bCs/>
                      <w:szCs w:val="21"/>
                    </w:rPr>
                  </w:pPr>
                  <w:r>
                    <w:rPr>
                      <w:b/>
                      <w:bCs/>
                      <w:szCs w:val="21"/>
                    </w:rPr>
                    <w:t>浓度（mg/m</w:t>
                  </w:r>
                  <w:r>
                    <w:rPr>
                      <w:b/>
                      <w:bCs/>
                      <w:szCs w:val="21"/>
                      <w:vertAlign w:val="superscript"/>
                    </w:rPr>
                    <w:t>3</w:t>
                  </w:r>
                  <w:r>
                    <w:rPr>
                      <w:b/>
                      <w:bCs/>
                      <w:szCs w:val="21"/>
                    </w:rPr>
                    <w:t>）</w:t>
                  </w:r>
                </w:p>
              </w:tc>
              <w:tc>
                <w:tcPr>
                  <w:tcW w:w="1127" w:type="dxa"/>
                  <w:vMerge w:val="continue"/>
                  <w:tcBorders>
                    <w:tl2br w:val="nil"/>
                    <w:tr2bl w:val="nil"/>
                  </w:tcBorders>
                  <w:vAlign w:val="center"/>
                </w:tcPr>
                <w:p>
                  <w:pPr>
                    <w:adjustRightInd w:val="0"/>
                    <w:snapToGrid w:val="0"/>
                    <w:jc w:val="center"/>
                    <w:rPr>
                      <w:szCs w:val="21"/>
                    </w:rPr>
                  </w:pPr>
                </w:p>
              </w:tc>
              <w:tc>
                <w:tcPr>
                  <w:tcW w:w="942" w:type="dxa"/>
                  <w:vMerge w:val="continue"/>
                  <w:tcBorders>
                    <w:tl2br w:val="nil"/>
                    <w:tr2bl w:val="nil"/>
                  </w:tcBorders>
                  <w:vAlign w:val="center"/>
                </w:tcPr>
                <w:p>
                  <w:pPr>
                    <w:adjustRightInd w:val="0"/>
                    <w:snapToGrid w:val="0"/>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tcBorders>
                    <w:tl2br w:val="nil"/>
                    <w:tr2bl w:val="nil"/>
                  </w:tcBorders>
                  <w:vAlign w:val="center"/>
                </w:tcPr>
                <w:p>
                  <w:pPr>
                    <w:adjustRightInd w:val="0"/>
                    <w:snapToGrid w:val="0"/>
                    <w:jc w:val="center"/>
                    <w:rPr>
                      <w:szCs w:val="21"/>
                    </w:rPr>
                  </w:pPr>
                  <w:r>
                    <w:rPr>
                      <w:szCs w:val="21"/>
                    </w:rPr>
                    <w:t>DA001</w:t>
                  </w:r>
                </w:p>
              </w:tc>
              <w:tc>
                <w:tcPr>
                  <w:tcW w:w="1770" w:type="dxa"/>
                  <w:tcBorders>
                    <w:tl2br w:val="nil"/>
                    <w:tr2bl w:val="nil"/>
                  </w:tcBorders>
                  <w:vAlign w:val="center"/>
                </w:tcPr>
                <w:p>
                  <w:pPr>
                    <w:adjustRightInd w:val="0"/>
                    <w:snapToGrid w:val="0"/>
                    <w:jc w:val="center"/>
                    <w:rPr>
                      <w:szCs w:val="21"/>
                    </w:rPr>
                  </w:pPr>
                  <w:r>
                    <w:rPr>
                      <w:szCs w:val="21"/>
                    </w:rPr>
                    <w:t>颗粒物</w:t>
                  </w:r>
                </w:p>
              </w:tc>
              <w:tc>
                <w:tcPr>
                  <w:tcW w:w="1883"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2.53</w:t>
                  </w:r>
                </w:p>
              </w:tc>
              <w:tc>
                <w:tcPr>
                  <w:tcW w:w="1564"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253.333</w:t>
                  </w:r>
                </w:p>
              </w:tc>
              <w:tc>
                <w:tcPr>
                  <w:tcW w:w="1127" w:type="dxa"/>
                  <w:vMerge w:val="restart"/>
                  <w:tcBorders>
                    <w:tl2br w:val="nil"/>
                    <w:tr2bl w:val="nil"/>
                  </w:tcBorders>
                  <w:vAlign w:val="center"/>
                </w:tcPr>
                <w:p>
                  <w:pPr>
                    <w:adjustRightInd w:val="0"/>
                    <w:snapToGrid w:val="0"/>
                    <w:jc w:val="center"/>
                    <w:rPr>
                      <w:szCs w:val="21"/>
                      <w:highlight w:val="green"/>
                    </w:rPr>
                  </w:pPr>
                  <w:r>
                    <w:rPr>
                      <w:szCs w:val="21"/>
                    </w:rPr>
                    <w:t>1次/年</w:t>
                  </w:r>
                </w:p>
              </w:tc>
              <w:tc>
                <w:tcPr>
                  <w:tcW w:w="942" w:type="dxa"/>
                  <w:vMerge w:val="restart"/>
                  <w:tcBorders>
                    <w:tl2br w:val="nil"/>
                    <w:tr2bl w:val="nil"/>
                  </w:tcBorders>
                  <w:vAlign w:val="center"/>
                </w:tcPr>
                <w:p>
                  <w:pPr>
                    <w:adjustRightInd w:val="0"/>
                    <w:snapToGrid w:val="0"/>
                    <w:jc w:val="center"/>
                  </w:pPr>
                  <w:r>
                    <w:rPr>
                      <w:szCs w:val="21"/>
                    </w:rPr>
                    <w:t>1小时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vMerge w:val="restart"/>
                  <w:tcBorders>
                    <w:tl2br w:val="nil"/>
                    <w:tr2bl w:val="nil"/>
                  </w:tcBorders>
                  <w:vAlign w:val="center"/>
                </w:tcPr>
                <w:p>
                  <w:pPr>
                    <w:adjustRightInd w:val="0"/>
                    <w:snapToGrid w:val="0"/>
                    <w:jc w:val="center"/>
                    <w:rPr>
                      <w:szCs w:val="21"/>
                    </w:rPr>
                  </w:pPr>
                  <w:r>
                    <w:rPr>
                      <w:szCs w:val="21"/>
                    </w:rPr>
                    <w:t>DA002</w:t>
                  </w:r>
                </w:p>
              </w:tc>
              <w:tc>
                <w:tcPr>
                  <w:tcW w:w="1770" w:type="dxa"/>
                  <w:tcBorders>
                    <w:tl2br w:val="nil"/>
                    <w:tr2bl w:val="nil"/>
                  </w:tcBorders>
                  <w:vAlign w:val="center"/>
                </w:tcPr>
                <w:p>
                  <w:pPr>
                    <w:pStyle w:val="28"/>
                    <w:adjustRightInd w:val="0"/>
                    <w:snapToGrid w:val="0"/>
                    <w:spacing w:after="0" w:line="240" w:lineRule="auto"/>
                    <w:ind w:left="0" w:leftChars="0" w:firstLine="0" w:firstLineChars="0"/>
                    <w:jc w:val="center"/>
                    <w:rPr>
                      <w:kern w:val="21"/>
                      <w:sz w:val="21"/>
                      <w:szCs w:val="21"/>
                    </w:rPr>
                  </w:pPr>
                  <w:r>
                    <w:rPr>
                      <w:sz w:val="21"/>
                      <w:szCs w:val="21"/>
                    </w:rPr>
                    <w:t>非甲烷总烃</w:t>
                  </w:r>
                </w:p>
              </w:tc>
              <w:tc>
                <w:tcPr>
                  <w:tcW w:w="1883"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0.252</w:t>
                  </w:r>
                </w:p>
              </w:tc>
              <w:tc>
                <w:tcPr>
                  <w:tcW w:w="1564"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25.2</w:t>
                  </w:r>
                </w:p>
              </w:tc>
              <w:tc>
                <w:tcPr>
                  <w:tcW w:w="1127" w:type="dxa"/>
                  <w:vMerge w:val="continue"/>
                  <w:tcBorders>
                    <w:tl2br w:val="nil"/>
                    <w:tr2bl w:val="nil"/>
                  </w:tcBorders>
                  <w:vAlign w:val="center"/>
                </w:tcPr>
                <w:p>
                  <w:pPr>
                    <w:adjustRightInd w:val="0"/>
                    <w:snapToGrid w:val="0"/>
                    <w:jc w:val="center"/>
                    <w:rPr>
                      <w:szCs w:val="21"/>
                      <w:highlight w:val="green"/>
                    </w:rPr>
                  </w:pPr>
                </w:p>
              </w:tc>
              <w:tc>
                <w:tcPr>
                  <w:tcW w:w="942" w:type="dxa"/>
                  <w:vMerge w:val="continue"/>
                  <w:tcBorders>
                    <w:tl2br w:val="nil"/>
                    <w:tr2bl w:val="nil"/>
                  </w:tcBorders>
                  <w:vAlign w:val="center"/>
                </w:tcPr>
                <w:p>
                  <w:pPr>
                    <w:adjustRightInd w:val="0"/>
                    <w:snapToGrid w:val="0"/>
                    <w:jc w:val="center"/>
                    <w:rPr>
                      <w:szCs w:val="21"/>
                      <w:highlight w:val="gree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vMerge w:val="continue"/>
                  <w:tcBorders>
                    <w:tl2br w:val="nil"/>
                    <w:tr2bl w:val="nil"/>
                  </w:tcBorders>
                  <w:vAlign w:val="center"/>
                </w:tcPr>
                <w:p>
                  <w:pPr>
                    <w:adjustRightInd w:val="0"/>
                    <w:snapToGrid w:val="0"/>
                    <w:jc w:val="center"/>
                    <w:rPr>
                      <w:szCs w:val="21"/>
                    </w:rPr>
                  </w:pPr>
                </w:p>
              </w:tc>
              <w:tc>
                <w:tcPr>
                  <w:tcW w:w="1770" w:type="dxa"/>
                  <w:tcBorders>
                    <w:tl2br w:val="nil"/>
                    <w:tr2bl w:val="nil"/>
                  </w:tcBorders>
                  <w:vAlign w:val="center"/>
                </w:tcPr>
                <w:p>
                  <w:pPr>
                    <w:pStyle w:val="28"/>
                    <w:adjustRightInd w:val="0"/>
                    <w:snapToGrid w:val="0"/>
                    <w:spacing w:after="0" w:line="240" w:lineRule="auto"/>
                    <w:ind w:left="0" w:leftChars="0" w:firstLine="0" w:firstLineChars="0"/>
                    <w:jc w:val="center"/>
                    <w:rPr>
                      <w:sz w:val="21"/>
                      <w:szCs w:val="21"/>
                    </w:rPr>
                  </w:pPr>
                  <w:r>
                    <w:rPr>
                      <w:rFonts w:hint="eastAsia"/>
                      <w:sz w:val="21"/>
                      <w:szCs w:val="21"/>
                    </w:rPr>
                    <w:t>氮氧化物</w:t>
                  </w:r>
                </w:p>
              </w:tc>
              <w:tc>
                <w:tcPr>
                  <w:tcW w:w="1883"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0.17</w:t>
                  </w:r>
                </w:p>
              </w:tc>
              <w:tc>
                <w:tcPr>
                  <w:tcW w:w="1564"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17</w:t>
                  </w:r>
                </w:p>
              </w:tc>
              <w:tc>
                <w:tcPr>
                  <w:tcW w:w="1127" w:type="dxa"/>
                  <w:vMerge w:val="continue"/>
                  <w:tcBorders>
                    <w:tl2br w:val="nil"/>
                    <w:tr2bl w:val="nil"/>
                  </w:tcBorders>
                  <w:vAlign w:val="center"/>
                </w:tcPr>
                <w:p>
                  <w:pPr>
                    <w:adjustRightInd w:val="0"/>
                    <w:snapToGrid w:val="0"/>
                    <w:jc w:val="center"/>
                    <w:rPr>
                      <w:szCs w:val="21"/>
                      <w:highlight w:val="green"/>
                    </w:rPr>
                  </w:pPr>
                </w:p>
              </w:tc>
              <w:tc>
                <w:tcPr>
                  <w:tcW w:w="942" w:type="dxa"/>
                  <w:vMerge w:val="continue"/>
                  <w:tcBorders>
                    <w:tl2br w:val="nil"/>
                    <w:tr2bl w:val="nil"/>
                  </w:tcBorders>
                  <w:vAlign w:val="center"/>
                </w:tcPr>
                <w:p>
                  <w:pPr>
                    <w:adjustRightInd w:val="0"/>
                    <w:snapToGrid w:val="0"/>
                    <w:jc w:val="center"/>
                    <w:rPr>
                      <w:szCs w:val="21"/>
                      <w:highlight w:val="gree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vMerge w:val="continue"/>
                  <w:tcBorders>
                    <w:tl2br w:val="nil"/>
                    <w:tr2bl w:val="nil"/>
                  </w:tcBorders>
                  <w:vAlign w:val="center"/>
                </w:tcPr>
                <w:p>
                  <w:pPr>
                    <w:adjustRightInd w:val="0"/>
                    <w:snapToGrid w:val="0"/>
                    <w:jc w:val="center"/>
                    <w:rPr>
                      <w:szCs w:val="21"/>
                    </w:rPr>
                  </w:pPr>
                </w:p>
              </w:tc>
              <w:tc>
                <w:tcPr>
                  <w:tcW w:w="1770" w:type="dxa"/>
                  <w:tcBorders>
                    <w:tl2br w:val="nil"/>
                    <w:tr2bl w:val="nil"/>
                  </w:tcBorders>
                  <w:vAlign w:val="center"/>
                </w:tcPr>
                <w:p>
                  <w:pPr>
                    <w:pStyle w:val="28"/>
                    <w:adjustRightInd w:val="0"/>
                    <w:snapToGrid w:val="0"/>
                    <w:spacing w:after="0" w:line="240" w:lineRule="auto"/>
                    <w:ind w:left="0" w:leftChars="0" w:firstLine="0" w:firstLineChars="0"/>
                    <w:jc w:val="center"/>
                    <w:rPr>
                      <w:sz w:val="21"/>
                      <w:szCs w:val="21"/>
                    </w:rPr>
                  </w:pPr>
                  <w:r>
                    <w:rPr>
                      <w:rFonts w:hint="eastAsia"/>
                      <w:sz w:val="21"/>
                      <w:szCs w:val="21"/>
                    </w:rPr>
                    <w:t>二氧化硫</w:t>
                  </w:r>
                </w:p>
              </w:tc>
              <w:tc>
                <w:tcPr>
                  <w:tcW w:w="1883"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0.00017</w:t>
                  </w:r>
                </w:p>
              </w:tc>
              <w:tc>
                <w:tcPr>
                  <w:tcW w:w="1564"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0.017</w:t>
                  </w:r>
                </w:p>
              </w:tc>
              <w:tc>
                <w:tcPr>
                  <w:tcW w:w="1127" w:type="dxa"/>
                  <w:vMerge w:val="continue"/>
                  <w:tcBorders>
                    <w:tl2br w:val="nil"/>
                    <w:tr2bl w:val="nil"/>
                  </w:tcBorders>
                  <w:vAlign w:val="center"/>
                </w:tcPr>
                <w:p>
                  <w:pPr>
                    <w:adjustRightInd w:val="0"/>
                    <w:snapToGrid w:val="0"/>
                    <w:jc w:val="center"/>
                    <w:rPr>
                      <w:szCs w:val="21"/>
                      <w:highlight w:val="green"/>
                    </w:rPr>
                  </w:pPr>
                </w:p>
              </w:tc>
              <w:tc>
                <w:tcPr>
                  <w:tcW w:w="942" w:type="dxa"/>
                  <w:vMerge w:val="continue"/>
                  <w:tcBorders>
                    <w:tl2br w:val="nil"/>
                    <w:tr2bl w:val="nil"/>
                  </w:tcBorders>
                  <w:vAlign w:val="center"/>
                </w:tcPr>
                <w:p>
                  <w:pPr>
                    <w:adjustRightInd w:val="0"/>
                    <w:snapToGrid w:val="0"/>
                    <w:jc w:val="center"/>
                    <w:rPr>
                      <w:szCs w:val="21"/>
                      <w:highlight w:val="gree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28" w:type="dxa"/>
                  <w:left w:w="28" w:type="dxa"/>
                  <w:bottom w:w="28" w:type="dxa"/>
                  <w:right w:w="28" w:type="dxa"/>
                </w:tblCellMar>
              </w:tblPrEx>
              <w:trPr>
                <w:jc w:val="center"/>
              </w:trPr>
              <w:tc>
                <w:tcPr>
                  <w:tcW w:w="1310" w:type="dxa"/>
                  <w:vMerge w:val="continue"/>
                  <w:tcBorders>
                    <w:tl2br w:val="nil"/>
                    <w:tr2bl w:val="nil"/>
                  </w:tcBorders>
                  <w:vAlign w:val="center"/>
                </w:tcPr>
                <w:p>
                  <w:pPr>
                    <w:adjustRightInd w:val="0"/>
                    <w:snapToGrid w:val="0"/>
                    <w:jc w:val="center"/>
                    <w:rPr>
                      <w:szCs w:val="21"/>
                    </w:rPr>
                  </w:pPr>
                </w:p>
              </w:tc>
              <w:tc>
                <w:tcPr>
                  <w:tcW w:w="1770" w:type="dxa"/>
                  <w:tcBorders>
                    <w:tl2br w:val="nil"/>
                    <w:tr2bl w:val="nil"/>
                  </w:tcBorders>
                  <w:vAlign w:val="center"/>
                </w:tcPr>
                <w:p>
                  <w:pPr>
                    <w:pStyle w:val="28"/>
                    <w:adjustRightInd w:val="0"/>
                    <w:snapToGrid w:val="0"/>
                    <w:spacing w:after="0" w:line="240" w:lineRule="auto"/>
                    <w:ind w:left="0" w:leftChars="0" w:firstLine="0" w:firstLineChars="0"/>
                    <w:jc w:val="center"/>
                    <w:rPr>
                      <w:sz w:val="21"/>
                      <w:szCs w:val="21"/>
                    </w:rPr>
                  </w:pPr>
                  <w:r>
                    <w:rPr>
                      <w:rFonts w:hint="eastAsia"/>
                      <w:sz w:val="21"/>
                      <w:szCs w:val="21"/>
                    </w:rPr>
                    <w:t>颗粒物</w:t>
                  </w:r>
                </w:p>
              </w:tc>
              <w:tc>
                <w:tcPr>
                  <w:tcW w:w="1883"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0.026</w:t>
                  </w:r>
                </w:p>
              </w:tc>
              <w:tc>
                <w:tcPr>
                  <w:tcW w:w="1564" w:type="dxa"/>
                  <w:tcBorders>
                    <w:tl2br w:val="nil"/>
                    <w:tr2bl w:val="nil"/>
                  </w:tcBorders>
                  <w:vAlign w:val="center"/>
                </w:tcPr>
                <w:p>
                  <w:pPr>
                    <w:pStyle w:val="57"/>
                    <w:spacing w:beforeLines="0" w:afterLines="0" w:line="240" w:lineRule="auto"/>
                    <w:rPr>
                      <w:rFonts w:ascii="Times New Roman"/>
                      <w:szCs w:val="21"/>
                    </w:rPr>
                  </w:pPr>
                  <w:r>
                    <w:rPr>
                      <w:rFonts w:hint="eastAsia" w:ascii="Times New Roman"/>
                      <w:szCs w:val="21"/>
                    </w:rPr>
                    <w:t>2.6</w:t>
                  </w:r>
                </w:p>
              </w:tc>
              <w:tc>
                <w:tcPr>
                  <w:tcW w:w="1127" w:type="dxa"/>
                  <w:vMerge w:val="continue"/>
                  <w:tcBorders>
                    <w:tl2br w:val="nil"/>
                    <w:tr2bl w:val="nil"/>
                  </w:tcBorders>
                  <w:vAlign w:val="center"/>
                </w:tcPr>
                <w:p>
                  <w:pPr>
                    <w:adjustRightInd w:val="0"/>
                    <w:snapToGrid w:val="0"/>
                    <w:jc w:val="center"/>
                    <w:rPr>
                      <w:szCs w:val="21"/>
                      <w:highlight w:val="green"/>
                    </w:rPr>
                  </w:pPr>
                </w:p>
              </w:tc>
              <w:tc>
                <w:tcPr>
                  <w:tcW w:w="942" w:type="dxa"/>
                  <w:vMerge w:val="continue"/>
                  <w:tcBorders>
                    <w:tl2br w:val="nil"/>
                    <w:tr2bl w:val="nil"/>
                  </w:tcBorders>
                  <w:vAlign w:val="center"/>
                </w:tcPr>
                <w:p>
                  <w:pPr>
                    <w:adjustRightInd w:val="0"/>
                    <w:snapToGrid w:val="0"/>
                    <w:jc w:val="center"/>
                    <w:rPr>
                      <w:szCs w:val="21"/>
                      <w:highlight w:val="green"/>
                    </w:rPr>
                  </w:pPr>
                </w:p>
              </w:tc>
            </w:tr>
          </w:tbl>
          <w:p>
            <w:pPr>
              <w:adjustRightInd w:val="0"/>
              <w:snapToGrid w:val="0"/>
              <w:spacing w:line="360" w:lineRule="auto"/>
              <w:ind w:firstLine="480" w:firstLineChars="200"/>
              <w:rPr>
                <w:sz w:val="24"/>
              </w:rPr>
            </w:pPr>
            <w:r>
              <w:rPr>
                <w:sz w:val="24"/>
              </w:rPr>
              <w:t>为防止生产废气非正常工况排放，企业必须加强废气处理设施的管理，定期检修，确保废气处理设施正常运行，在废气处理设备停止运行或出现故障时，产生废气的各工序也必须相应停止生产。为杜绝废气非正常排放，应采取以下措施确保废气达标排放：</w:t>
            </w:r>
          </w:p>
          <w:p>
            <w:pPr>
              <w:adjustRightInd w:val="0"/>
              <w:snapToGrid w:val="0"/>
              <w:spacing w:line="360" w:lineRule="auto"/>
              <w:ind w:firstLine="480" w:firstLineChars="200"/>
              <w:rPr>
                <w:rFonts w:hint="eastAsia" w:eastAsia="宋体"/>
                <w:sz w:val="24"/>
                <w:lang w:eastAsia="zh-CN"/>
              </w:rPr>
            </w:pPr>
            <w:r>
              <w:rPr>
                <w:sz w:val="24"/>
              </w:rPr>
              <w:t>①安排专人负责环保设备的日常维护和管理，每个固定时间检查、汇报情况，及时发现废气处理设备的隐患，确保废气处理系统正常运行；</w:t>
            </w:r>
          </w:p>
          <w:p>
            <w:pPr>
              <w:adjustRightInd w:val="0"/>
              <w:snapToGrid w:val="0"/>
              <w:spacing w:line="360" w:lineRule="auto"/>
              <w:ind w:firstLine="480" w:firstLineChars="200"/>
              <w:rPr>
                <w:sz w:val="24"/>
              </w:rPr>
            </w:pPr>
            <w:r>
              <w:rPr>
                <w:sz w:val="24"/>
              </w:rPr>
              <w:t>②定期更换活性炭；定期维护除尘设施；</w:t>
            </w:r>
            <w:r>
              <w:rPr>
                <w:rFonts w:hint="eastAsia"/>
                <w:sz w:val="24"/>
              </w:rPr>
              <w:t>活性炭吸附装置设计要符合咸阳市“关于开展涉活性炭挥发性有机物专项整治行动的通知”相关规定要求。</w:t>
            </w:r>
          </w:p>
          <w:p>
            <w:pPr>
              <w:adjustRightInd w:val="0"/>
              <w:snapToGrid w:val="0"/>
              <w:spacing w:line="360" w:lineRule="auto"/>
              <w:ind w:firstLine="480" w:firstLineChars="200"/>
              <w:rPr>
                <w:sz w:val="24"/>
              </w:rPr>
            </w:pPr>
            <w:r>
              <w:rPr>
                <w:sz w:val="24"/>
              </w:rPr>
              <w:t>③建立健全的环保管理机构，对环保管理人员和技术人员进行岗位培训，委托具有专业资质的环境检测单位对项目排放的各类污染物进行定期检测；</w:t>
            </w:r>
          </w:p>
          <w:p>
            <w:pPr>
              <w:adjustRightInd w:val="0"/>
              <w:snapToGrid w:val="0"/>
              <w:spacing w:line="360" w:lineRule="auto"/>
              <w:ind w:firstLine="480" w:firstLineChars="200"/>
              <w:rPr>
                <w:sz w:val="24"/>
              </w:rPr>
            </w:pPr>
            <w:r>
              <w:rPr>
                <w:sz w:val="24"/>
              </w:rPr>
              <w:t>④应定期维护、检修废气处理装置，以保持废气处理装置的处理能力和处理容量。</w:t>
            </w:r>
          </w:p>
          <w:p>
            <w:pPr>
              <w:adjustRightInd w:val="0"/>
              <w:snapToGrid w:val="0"/>
              <w:spacing w:line="360" w:lineRule="auto"/>
              <w:ind w:firstLine="480" w:firstLineChars="200"/>
              <w:rPr>
                <w:sz w:val="24"/>
                <w:lang w:val="zh-CN"/>
              </w:rPr>
            </w:pPr>
            <w:r>
              <w:rPr>
                <w:rFonts w:hint="eastAsia"/>
                <w:sz w:val="24"/>
                <w:lang w:val="zh-CN"/>
              </w:rPr>
              <w:t>项目可能出现的不正常工况为生产设备故障或废气处置设备故障出现的废气排放不达标情况，当事故意外发生时，车间操作人员应立即关停生产线，组织人员进行维修，待故障设备检修完毕方可投入使用，其次不正常工况应及时准确记录于相关台账中。</w:t>
            </w:r>
          </w:p>
          <w:p>
            <w:pPr>
              <w:widowControl/>
              <w:tabs>
                <w:tab w:val="left" w:pos="1260"/>
              </w:tabs>
              <w:adjustRightInd w:val="0"/>
              <w:snapToGrid w:val="0"/>
              <w:spacing w:line="360" w:lineRule="auto"/>
              <w:ind w:firstLine="482" w:firstLineChars="200"/>
              <w:jc w:val="left"/>
              <w:rPr>
                <w:b/>
                <w:bCs/>
                <w:sz w:val="24"/>
              </w:rPr>
            </w:pPr>
            <w:r>
              <w:rPr>
                <w:rFonts w:hint="eastAsia"/>
                <w:b/>
                <w:bCs/>
                <w:sz w:val="24"/>
              </w:rPr>
              <w:t>6、</w:t>
            </w:r>
            <w:r>
              <w:rPr>
                <w:b/>
                <w:bCs/>
                <w:sz w:val="24"/>
              </w:rPr>
              <w:t>废气监测计划</w:t>
            </w:r>
          </w:p>
          <w:p>
            <w:pPr>
              <w:adjustRightInd w:val="0"/>
              <w:snapToGrid w:val="0"/>
              <w:spacing w:line="360" w:lineRule="auto"/>
              <w:ind w:firstLine="480" w:firstLineChars="200"/>
              <w:rPr>
                <w:sz w:val="24"/>
              </w:rPr>
            </w:pPr>
            <w:r>
              <w:rPr>
                <w:rFonts w:hint="eastAsia"/>
                <w:sz w:val="24"/>
              </w:rPr>
              <w:t>依据《排污单位自行监测技术指南总则》（HJ819-2017）、《排污单位自行监测技术指南涂装》（HJ1086-2020）、《挥发性有机物排放控制标准》（DB61/T1061-2017）和《排污许可证申请与核发技术规范金属铸造工业》（HJ1115—2020)，废气监测要求见表4-7。</w:t>
            </w:r>
          </w:p>
          <w:p>
            <w:pPr>
              <w:pStyle w:val="9"/>
              <w:adjustRightInd w:val="0"/>
              <w:snapToGrid w:val="0"/>
              <w:ind w:firstLine="632" w:firstLineChars="300"/>
              <w:jc w:val="center"/>
              <w:rPr>
                <w:b/>
                <w:bCs/>
                <w:sz w:val="21"/>
                <w:szCs w:val="24"/>
              </w:rPr>
            </w:pPr>
            <w:r>
              <w:rPr>
                <w:rFonts w:hint="eastAsia"/>
                <w:b/>
                <w:bCs/>
                <w:sz w:val="21"/>
                <w:szCs w:val="24"/>
              </w:rPr>
              <w:t>表4-7运营期废气监测计划表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57" w:type="dxa"/>
                <w:bottom w:w="0" w:type="dxa"/>
                <w:right w:w="57" w:type="dxa"/>
              </w:tblCellMar>
            </w:tblPr>
            <w:tblGrid>
              <w:gridCol w:w="857"/>
              <w:gridCol w:w="1616"/>
              <w:gridCol w:w="1005"/>
              <w:gridCol w:w="717"/>
              <w:gridCol w:w="840"/>
              <w:gridCol w:w="36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tcBorders>
                    <w:tl2br w:val="nil"/>
                    <w:tr2bl w:val="nil"/>
                  </w:tcBorders>
                  <w:vAlign w:val="center"/>
                </w:tcPr>
                <w:p>
                  <w:pPr>
                    <w:adjustRightInd w:val="0"/>
                    <w:snapToGrid w:val="0"/>
                    <w:jc w:val="center"/>
                    <w:rPr>
                      <w:b/>
                      <w:bCs/>
                      <w:szCs w:val="21"/>
                    </w:rPr>
                  </w:pPr>
                  <w:r>
                    <w:rPr>
                      <w:b/>
                      <w:bCs/>
                      <w:szCs w:val="21"/>
                    </w:rPr>
                    <w:t>污染源名称</w:t>
                  </w:r>
                </w:p>
              </w:tc>
              <w:tc>
                <w:tcPr>
                  <w:tcW w:w="1616" w:type="dxa"/>
                  <w:tcBorders>
                    <w:tl2br w:val="nil"/>
                    <w:tr2bl w:val="nil"/>
                  </w:tcBorders>
                  <w:vAlign w:val="center"/>
                </w:tcPr>
                <w:p>
                  <w:pPr>
                    <w:adjustRightInd w:val="0"/>
                    <w:snapToGrid w:val="0"/>
                    <w:jc w:val="center"/>
                    <w:rPr>
                      <w:b/>
                      <w:bCs/>
                      <w:szCs w:val="21"/>
                    </w:rPr>
                  </w:pPr>
                  <w:r>
                    <w:rPr>
                      <w:b/>
                      <w:bCs/>
                      <w:szCs w:val="21"/>
                    </w:rPr>
                    <w:t>监测项目</w:t>
                  </w:r>
                </w:p>
              </w:tc>
              <w:tc>
                <w:tcPr>
                  <w:tcW w:w="1005" w:type="dxa"/>
                  <w:tcBorders>
                    <w:tl2br w:val="nil"/>
                    <w:tr2bl w:val="nil"/>
                  </w:tcBorders>
                  <w:vAlign w:val="center"/>
                </w:tcPr>
                <w:p>
                  <w:pPr>
                    <w:adjustRightInd w:val="0"/>
                    <w:snapToGrid w:val="0"/>
                    <w:jc w:val="center"/>
                    <w:rPr>
                      <w:b/>
                      <w:bCs/>
                      <w:szCs w:val="21"/>
                    </w:rPr>
                  </w:pPr>
                  <w:r>
                    <w:rPr>
                      <w:b/>
                      <w:bCs/>
                      <w:szCs w:val="21"/>
                    </w:rPr>
                    <w:t>监测点</w:t>
                  </w:r>
                  <w:r>
                    <w:rPr>
                      <w:rFonts w:hint="eastAsia"/>
                      <w:b/>
                      <w:bCs/>
                      <w:szCs w:val="21"/>
                    </w:rPr>
                    <w:t>位置</w:t>
                  </w:r>
                </w:p>
              </w:tc>
              <w:tc>
                <w:tcPr>
                  <w:tcW w:w="717" w:type="dxa"/>
                  <w:tcBorders>
                    <w:tl2br w:val="nil"/>
                    <w:tr2bl w:val="nil"/>
                  </w:tcBorders>
                  <w:vAlign w:val="center"/>
                </w:tcPr>
                <w:p>
                  <w:pPr>
                    <w:adjustRightInd w:val="0"/>
                    <w:snapToGrid w:val="0"/>
                    <w:jc w:val="center"/>
                    <w:rPr>
                      <w:b/>
                      <w:bCs/>
                      <w:szCs w:val="21"/>
                    </w:rPr>
                  </w:pPr>
                  <w:r>
                    <w:rPr>
                      <w:b/>
                      <w:bCs/>
                      <w:szCs w:val="21"/>
                    </w:rPr>
                    <w:t>监测点数</w:t>
                  </w:r>
                </w:p>
              </w:tc>
              <w:tc>
                <w:tcPr>
                  <w:tcW w:w="840" w:type="dxa"/>
                  <w:tcBorders>
                    <w:tl2br w:val="nil"/>
                    <w:tr2bl w:val="nil"/>
                  </w:tcBorders>
                  <w:vAlign w:val="center"/>
                </w:tcPr>
                <w:p>
                  <w:pPr>
                    <w:adjustRightInd w:val="0"/>
                    <w:snapToGrid w:val="0"/>
                    <w:jc w:val="center"/>
                    <w:rPr>
                      <w:b/>
                      <w:bCs/>
                      <w:szCs w:val="21"/>
                    </w:rPr>
                  </w:pPr>
                  <w:r>
                    <w:rPr>
                      <w:b/>
                      <w:bCs/>
                      <w:szCs w:val="21"/>
                    </w:rPr>
                    <w:t>监测</w:t>
                  </w:r>
                </w:p>
                <w:p>
                  <w:pPr>
                    <w:adjustRightInd w:val="0"/>
                    <w:snapToGrid w:val="0"/>
                    <w:jc w:val="center"/>
                    <w:rPr>
                      <w:b/>
                      <w:bCs/>
                      <w:szCs w:val="21"/>
                    </w:rPr>
                  </w:pPr>
                  <w:r>
                    <w:rPr>
                      <w:b/>
                      <w:bCs/>
                      <w:szCs w:val="21"/>
                    </w:rPr>
                    <w:t>频</w:t>
                  </w:r>
                  <w:r>
                    <w:rPr>
                      <w:rFonts w:hint="eastAsia"/>
                      <w:b/>
                      <w:bCs/>
                      <w:szCs w:val="21"/>
                    </w:rPr>
                    <w:t>次</w:t>
                  </w:r>
                </w:p>
              </w:tc>
              <w:tc>
                <w:tcPr>
                  <w:tcW w:w="3602" w:type="dxa"/>
                  <w:tcBorders>
                    <w:tl2br w:val="nil"/>
                    <w:tr2bl w:val="nil"/>
                  </w:tcBorders>
                  <w:vAlign w:val="center"/>
                </w:tcPr>
                <w:p>
                  <w:pPr>
                    <w:adjustRightInd w:val="0"/>
                    <w:snapToGrid w:val="0"/>
                    <w:jc w:val="center"/>
                    <w:rPr>
                      <w:b/>
                      <w:bCs/>
                      <w:szCs w:val="21"/>
                    </w:rPr>
                  </w:pPr>
                  <w:r>
                    <w:rPr>
                      <w:b/>
                      <w:bCs/>
                      <w:szCs w:val="21"/>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trHeight w:val="519" w:hRule="atLeast"/>
                <w:jc w:val="center"/>
              </w:trPr>
              <w:tc>
                <w:tcPr>
                  <w:tcW w:w="857" w:type="dxa"/>
                  <w:vMerge w:val="restart"/>
                  <w:tcBorders>
                    <w:tl2br w:val="nil"/>
                    <w:tr2bl w:val="nil"/>
                  </w:tcBorders>
                  <w:vAlign w:val="center"/>
                </w:tcPr>
                <w:p>
                  <w:pPr>
                    <w:adjustRightInd w:val="0"/>
                    <w:snapToGrid w:val="0"/>
                    <w:jc w:val="center"/>
                  </w:pPr>
                  <w:r>
                    <w:rPr>
                      <w:rFonts w:hint="eastAsia"/>
                    </w:rPr>
                    <w:t>有组织废气</w:t>
                  </w:r>
                </w:p>
              </w:tc>
              <w:tc>
                <w:tcPr>
                  <w:tcW w:w="1616" w:type="dxa"/>
                  <w:tcBorders>
                    <w:tl2br w:val="nil"/>
                    <w:tr2bl w:val="nil"/>
                  </w:tcBorders>
                  <w:vAlign w:val="center"/>
                </w:tcPr>
                <w:p>
                  <w:pPr>
                    <w:adjustRightInd w:val="0"/>
                    <w:snapToGrid w:val="0"/>
                    <w:jc w:val="center"/>
                    <w:rPr>
                      <w:szCs w:val="21"/>
                    </w:rPr>
                  </w:pPr>
                  <w:r>
                    <w:rPr>
                      <w:rFonts w:hint="eastAsia"/>
                      <w:szCs w:val="21"/>
                    </w:rPr>
                    <w:t>颗粒物</w:t>
                  </w:r>
                </w:p>
              </w:tc>
              <w:tc>
                <w:tcPr>
                  <w:tcW w:w="1005" w:type="dxa"/>
                  <w:tcBorders>
                    <w:tl2br w:val="nil"/>
                    <w:tr2bl w:val="nil"/>
                  </w:tcBorders>
                  <w:vAlign w:val="center"/>
                </w:tcPr>
                <w:p>
                  <w:pPr>
                    <w:adjustRightInd w:val="0"/>
                    <w:snapToGrid w:val="0"/>
                    <w:jc w:val="center"/>
                    <w:rPr>
                      <w:szCs w:val="21"/>
                    </w:rPr>
                  </w:pPr>
                  <w:r>
                    <w:rPr>
                      <w:szCs w:val="21"/>
                    </w:rPr>
                    <w:t>DA00</w:t>
                  </w:r>
                  <w:r>
                    <w:rPr>
                      <w:rFonts w:hint="eastAsia"/>
                      <w:szCs w:val="21"/>
                    </w:rPr>
                    <w:t>1</w:t>
                  </w:r>
                </w:p>
                <w:p>
                  <w:pPr>
                    <w:adjustRightInd w:val="0"/>
                    <w:snapToGrid w:val="0"/>
                    <w:jc w:val="center"/>
                    <w:rPr>
                      <w:szCs w:val="21"/>
                    </w:rPr>
                  </w:pPr>
                  <w:r>
                    <w:rPr>
                      <w:rFonts w:hint="eastAsia"/>
                      <w:szCs w:val="21"/>
                    </w:rPr>
                    <w:t>出口</w:t>
                  </w:r>
                </w:p>
              </w:tc>
              <w:tc>
                <w:tcPr>
                  <w:tcW w:w="717" w:type="dxa"/>
                  <w:tcBorders>
                    <w:tl2br w:val="nil"/>
                    <w:tr2bl w:val="nil"/>
                  </w:tcBorders>
                  <w:vAlign w:val="center"/>
                </w:tcPr>
                <w:p>
                  <w:pPr>
                    <w:adjustRightInd w:val="0"/>
                    <w:snapToGrid w:val="0"/>
                    <w:jc w:val="center"/>
                    <w:rPr>
                      <w:szCs w:val="21"/>
                    </w:rPr>
                  </w:pPr>
                  <w:r>
                    <w:rPr>
                      <w:szCs w:val="21"/>
                    </w:rPr>
                    <w:t>1个</w:t>
                  </w:r>
                </w:p>
              </w:tc>
              <w:tc>
                <w:tcPr>
                  <w:tcW w:w="840" w:type="dxa"/>
                  <w:tcBorders>
                    <w:tl2br w:val="nil"/>
                    <w:tr2bl w:val="nil"/>
                  </w:tcBorders>
                  <w:vAlign w:val="center"/>
                </w:tcPr>
                <w:p>
                  <w:pPr>
                    <w:adjustRightInd w:val="0"/>
                    <w:snapToGrid w:val="0"/>
                    <w:jc w:val="center"/>
                    <w:rPr>
                      <w:szCs w:val="21"/>
                    </w:rPr>
                  </w:pPr>
                  <w:r>
                    <w:rPr>
                      <w:szCs w:val="21"/>
                    </w:rPr>
                    <w:t>1次</w:t>
                  </w:r>
                  <w:r>
                    <w:rPr>
                      <w:rFonts w:hint="eastAsia"/>
                      <w:szCs w:val="21"/>
                    </w:rPr>
                    <w:t>/年</w:t>
                  </w:r>
                </w:p>
              </w:tc>
              <w:tc>
                <w:tcPr>
                  <w:tcW w:w="3602" w:type="dxa"/>
                  <w:tcBorders>
                    <w:tl2br w:val="nil"/>
                    <w:tr2bl w:val="nil"/>
                  </w:tcBorders>
                  <w:vAlign w:val="center"/>
                </w:tcPr>
                <w:p>
                  <w:pPr>
                    <w:adjustRightInd w:val="0"/>
                    <w:snapToGrid w:val="0"/>
                    <w:jc w:val="center"/>
                    <w:rPr>
                      <w:kern w:val="21"/>
                      <w:szCs w:val="21"/>
                    </w:rPr>
                  </w:pPr>
                  <w:r>
                    <w:rPr>
                      <w:kern w:val="21"/>
                      <w:szCs w:val="21"/>
                    </w:rPr>
                    <w:t>《大气污染物综合排放标准》（GB16297-1996）表2二级标准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continue"/>
                  <w:tcBorders>
                    <w:tl2br w:val="nil"/>
                    <w:tr2bl w:val="nil"/>
                  </w:tcBorders>
                  <w:vAlign w:val="center"/>
                </w:tcPr>
                <w:p>
                  <w:pPr>
                    <w:adjustRightInd w:val="0"/>
                    <w:snapToGrid w:val="0"/>
                    <w:jc w:val="center"/>
                  </w:pPr>
                </w:p>
              </w:tc>
              <w:tc>
                <w:tcPr>
                  <w:tcW w:w="1616" w:type="dxa"/>
                  <w:tcBorders>
                    <w:tl2br w:val="nil"/>
                    <w:tr2bl w:val="nil"/>
                  </w:tcBorders>
                  <w:vAlign w:val="center"/>
                </w:tcPr>
                <w:p>
                  <w:pPr>
                    <w:adjustRightInd w:val="0"/>
                    <w:snapToGrid w:val="0"/>
                    <w:jc w:val="center"/>
                    <w:rPr>
                      <w:szCs w:val="21"/>
                    </w:rPr>
                  </w:pPr>
                  <w:r>
                    <w:rPr>
                      <w:szCs w:val="21"/>
                    </w:rPr>
                    <w:t>非甲烷总烃</w:t>
                  </w:r>
                </w:p>
              </w:tc>
              <w:tc>
                <w:tcPr>
                  <w:tcW w:w="1005" w:type="dxa"/>
                  <w:tcBorders>
                    <w:tl2br w:val="nil"/>
                    <w:tr2bl w:val="nil"/>
                  </w:tcBorders>
                  <w:vAlign w:val="center"/>
                </w:tcPr>
                <w:p>
                  <w:pPr>
                    <w:adjustRightInd w:val="0"/>
                    <w:snapToGrid w:val="0"/>
                    <w:jc w:val="center"/>
                    <w:rPr>
                      <w:szCs w:val="21"/>
                    </w:rPr>
                  </w:pPr>
                  <w:r>
                    <w:rPr>
                      <w:szCs w:val="21"/>
                    </w:rPr>
                    <w:t>DA00</w:t>
                  </w:r>
                  <w:r>
                    <w:rPr>
                      <w:rFonts w:hint="eastAsia"/>
                      <w:szCs w:val="21"/>
                    </w:rPr>
                    <w:t>2</w:t>
                  </w:r>
                </w:p>
                <w:p>
                  <w:pPr>
                    <w:adjustRightInd w:val="0"/>
                    <w:snapToGrid w:val="0"/>
                    <w:jc w:val="center"/>
                    <w:rPr>
                      <w:szCs w:val="21"/>
                    </w:rPr>
                  </w:pPr>
                  <w:r>
                    <w:rPr>
                      <w:rFonts w:hint="eastAsia"/>
                      <w:szCs w:val="21"/>
                    </w:rPr>
                    <w:t>进出口</w:t>
                  </w:r>
                </w:p>
              </w:tc>
              <w:tc>
                <w:tcPr>
                  <w:tcW w:w="717" w:type="dxa"/>
                  <w:tcBorders>
                    <w:tl2br w:val="nil"/>
                    <w:tr2bl w:val="nil"/>
                  </w:tcBorders>
                  <w:vAlign w:val="center"/>
                </w:tcPr>
                <w:p>
                  <w:pPr>
                    <w:adjustRightInd w:val="0"/>
                    <w:snapToGrid w:val="0"/>
                    <w:jc w:val="center"/>
                    <w:rPr>
                      <w:szCs w:val="21"/>
                    </w:rPr>
                  </w:pPr>
                  <w:r>
                    <w:rPr>
                      <w:szCs w:val="21"/>
                    </w:rPr>
                    <w:t>1个</w:t>
                  </w:r>
                </w:p>
              </w:tc>
              <w:tc>
                <w:tcPr>
                  <w:tcW w:w="840" w:type="dxa"/>
                  <w:tcBorders>
                    <w:tl2br w:val="nil"/>
                    <w:tr2bl w:val="nil"/>
                  </w:tcBorders>
                  <w:vAlign w:val="center"/>
                </w:tcPr>
                <w:p>
                  <w:pPr>
                    <w:adjustRightInd w:val="0"/>
                    <w:snapToGrid w:val="0"/>
                    <w:jc w:val="center"/>
                    <w:rPr>
                      <w:szCs w:val="21"/>
                    </w:rPr>
                  </w:pPr>
                  <w:r>
                    <w:rPr>
                      <w:szCs w:val="21"/>
                    </w:rPr>
                    <w:t>1次</w:t>
                  </w:r>
                  <w:r>
                    <w:rPr>
                      <w:rFonts w:hint="eastAsia"/>
                      <w:szCs w:val="21"/>
                    </w:rPr>
                    <w:t>/年</w:t>
                  </w:r>
                </w:p>
              </w:tc>
              <w:tc>
                <w:tcPr>
                  <w:tcW w:w="3602" w:type="dxa"/>
                  <w:tcBorders>
                    <w:tl2br w:val="nil"/>
                    <w:tr2bl w:val="nil"/>
                  </w:tcBorders>
                  <w:vAlign w:val="center"/>
                </w:tcPr>
                <w:p>
                  <w:pPr>
                    <w:adjustRightInd w:val="0"/>
                    <w:snapToGrid w:val="0"/>
                    <w:jc w:val="center"/>
                    <w:rPr>
                      <w:szCs w:val="21"/>
                    </w:rPr>
                  </w:pPr>
                  <w:r>
                    <w:rPr>
                      <w:szCs w:val="21"/>
                    </w:rPr>
                    <w:t>《挥发性有机物排放控制标准》（DB61/T1061-2017）</w:t>
                  </w:r>
                  <w:r>
                    <w:rPr>
                      <w:rFonts w:hint="eastAsia"/>
                    </w:rPr>
                    <w:t>《重污染天气重点行业应急减排措施制定技术指南》（</w:t>
                  </w:r>
                  <w:r>
                    <w:t>2020</w:t>
                  </w:r>
                  <w:r>
                    <w:rPr>
                      <w:rFonts w:hint="eastAsia"/>
                    </w:rPr>
                    <w:t>年修订版）》人工业涂装行业绩效分级A级企业指标（30</w:t>
                  </w:r>
                  <w:r>
                    <w:t>mg/m³</w:t>
                  </w: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continue"/>
                  <w:tcBorders>
                    <w:tl2br w:val="nil"/>
                    <w:tr2bl w:val="nil"/>
                  </w:tcBorders>
                  <w:vAlign w:val="center"/>
                </w:tcPr>
                <w:p>
                  <w:pPr>
                    <w:adjustRightInd w:val="0"/>
                    <w:snapToGrid w:val="0"/>
                    <w:jc w:val="center"/>
                  </w:pPr>
                </w:p>
              </w:tc>
              <w:tc>
                <w:tcPr>
                  <w:tcW w:w="1616" w:type="dxa"/>
                  <w:tcBorders>
                    <w:tl2br w:val="nil"/>
                    <w:tr2bl w:val="nil"/>
                  </w:tcBorders>
                  <w:vAlign w:val="center"/>
                </w:tcPr>
                <w:p>
                  <w:pPr>
                    <w:adjustRightInd w:val="0"/>
                    <w:snapToGrid w:val="0"/>
                    <w:jc w:val="center"/>
                    <w:rPr>
                      <w:szCs w:val="21"/>
                    </w:rPr>
                  </w:pPr>
                  <w:r>
                    <w:rPr>
                      <w:rFonts w:hint="eastAsia"/>
                      <w:szCs w:val="21"/>
                    </w:rPr>
                    <w:t>氮氧化物、二氧化硫、颗粒物</w:t>
                  </w:r>
                </w:p>
              </w:tc>
              <w:tc>
                <w:tcPr>
                  <w:tcW w:w="1005" w:type="dxa"/>
                  <w:vMerge w:val="restart"/>
                  <w:tcBorders>
                    <w:tl2br w:val="nil"/>
                    <w:tr2bl w:val="nil"/>
                  </w:tcBorders>
                  <w:vAlign w:val="center"/>
                </w:tcPr>
                <w:p>
                  <w:pPr>
                    <w:adjustRightInd w:val="0"/>
                    <w:snapToGrid w:val="0"/>
                    <w:jc w:val="center"/>
                    <w:rPr>
                      <w:szCs w:val="21"/>
                    </w:rPr>
                  </w:pPr>
                  <w:r>
                    <w:rPr>
                      <w:szCs w:val="21"/>
                    </w:rPr>
                    <w:t>DA00</w:t>
                  </w:r>
                  <w:r>
                    <w:rPr>
                      <w:rFonts w:hint="eastAsia"/>
                      <w:szCs w:val="21"/>
                    </w:rPr>
                    <w:t>2</w:t>
                  </w:r>
                </w:p>
                <w:p>
                  <w:pPr>
                    <w:adjustRightInd w:val="0"/>
                    <w:snapToGrid w:val="0"/>
                    <w:jc w:val="center"/>
                    <w:rPr>
                      <w:szCs w:val="21"/>
                    </w:rPr>
                  </w:pPr>
                  <w:r>
                    <w:rPr>
                      <w:rFonts w:hint="eastAsia"/>
                      <w:szCs w:val="21"/>
                    </w:rPr>
                    <w:t>出口</w:t>
                  </w:r>
                </w:p>
              </w:tc>
              <w:tc>
                <w:tcPr>
                  <w:tcW w:w="717" w:type="dxa"/>
                  <w:vMerge w:val="restart"/>
                  <w:tcBorders>
                    <w:tl2br w:val="nil"/>
                    <w:tr2bl w:val="nil"/>
                  </w:tcBorders>
                  <w:vAlign w:val="center"/>
                </w:tcPr>
                <w:p>
                  <w:pPr>
                    <w:adjustRightInd w:val="0"/>
                    <w:snapToGrid w:val="0"/>
                    <w:jc w:val="center"/>
                    <w:rPr>
                      <w:szCs w:val="21"/>
                    </w:rPr>
                  </w:pPr>
                  <w:r>
                    <w:rPr>
                      <w:szCs w:val="21"/>
                    </w:rPr>
                    <w:t>1个</w:t>
                  </w:r>
                </w:p>
              </w:tc>
              <w:tc>
                <w:tcPr>
                  <w:tcW w:w="840" w:type="dxa"/>
                  <w:vMerge w:val="restart"/>
                  <w:tcBorders>
                    <w:tl2br w:val="nil"/>
                    <w:tr2bl w:val="nil"/>
                  </w:tcBorders>
                  <w:vAlign w:val="center"/>
                </w:tcPr>
                <w:p>
                  <w:pPr>
                    <w:adjustRightInd w:val="0"/>
                    <w:snapToGrid w:val="0"/>
                    <w:jc w:val="center"/>
                    <w:rPr>
                      <w:szCs w:val="21"/>
                    </w:rPr>
                  </w:pPr>
                  <w:r>
                    <w:rPr>
                      <w:szCs w:val="21"/>
                    </w:rPr>
                    <w:t>1次</w:t>
                  </w:r>
                  <w:r>
                    <w:rPr>
                      <w:rFonts w:hint="eastAsia"/>
                      <w:szCs w:val="21"/>
                    </w:rPr>
                    <w:t>/年</w:t>
                  </w:r>
                </w:p>
              </w:tc>
              <w:tc>
                <w:tcPr>
                  <w:tcW w:w="3602" w:type="dxa"/>
                  <w:tcBorders>
                    <w:tl2br w:val="nil"/>
                    <w:tr2bl w:val="nil"/>
                  </w:tcBorders>
                  <w:vAlign w:val="center"/>
                </w:tcPr>
                <w:p>
                  <w:pPr>
                    <w:adjustRightInd w:val="0"/>
                    <w:snapToGrid w:val="0"/>
                    <w:jc w:val="center"/>
                    <w:rPr>
                      <w:szCs w:val="21"/>
                    </w:rPr>
                  </w:pPr>
                  <w:r>
                    <w:rPr>
                      <w:rFonts w:hint="eastAsia"/>
                      <w:szCs w:val="21"/>
                    </w:rPr>
                    <w:t>《工业炉窑大气污染综合治理方案》（环大气[2019]56号）中重点区域相关标准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continue"/>
                  <w:tcBorders>
                    <w:tl2br w:val="nil"/>
                    <w:tr2bl w:val="nil"/>
                  </w:tcBorders>
                  <w:vAlign w:val="center"/>
                </w:tcPr>
                <w:p>
                  <w:pPr>
                    <w:adjustRightInd w:val="0"/>
                    <w:snapToGrid w:val="0"/>
                    <w:jc w:val="center"/>
                  </w:pPr>
                </w:p>
              </w:tc>
              <w:tc>
                <w:tcPr>
                  <w:tcW w:w="1616" w:type="dxa"/>
                  <w:tcBorders>
                    <w:tl2br w:val="nil"/>
                    <w:tr2bl w:val="nil"/>
                  </w:tcBorders>
                  <w:vAlign w:val="center"/>
                </w:tcPr>
                <w:p>
                  <w:pPr>
                    <w:adjustRightInd w:val="0"/>
                    <w:snapToGrid w:val="0"/>
                    <w:jc w:val="center"/>
                    <w:rPr>
                      <w:szCs w:val="21"/>
                    </w:rPr>
                  </w:pPr>
                  <w:r>
                    <w:rPr>
                      <w:rFonts w:hint="eastAsia"/>
                      <w:szCs w:val="21"/>
                    </w:rPr>
                    <w:t>林格曼黑度</w:t>
                  </w:r>
                </w:p>
              </w:tc>
              <w:tc>
                <w:tcPr>
                  <w:tcW w:w="1005" w:type="dxa"/>
                  <w:vMerge w:val="continue"/>
                  <w:tcBorders>
                    <w:tl2br w:val="nil"/>
                    <w:tr2bl w:val="nil"/>
                  </w:tcBorders>
                  <w:vAlign w:val="center"/>
                </w:tcPr>
                <w:p>
                  <w:pPr>
                    <w:adjustRightInd w:val="0"/>
                    <w:snapToGrid w:val="0"/>
                    <w:jc w:val="center"/>
                    <w:rPr>
                      <w:szCs w:val="21"/>
                    </w:rPr>
                  </w:pPr>
                </w:p>
              </w:tc>
              <w:tc>
                <w:tcPr>
                  <w:tcW w:w="717" w:type="dxa"/>
                  <w:vMerge w:val="continue"/>
                  <w:tcBorders>
                    <w:tl2br w:val="nil"/>
                    <w:tr2bl w:val="nil"/>
                  </w:tcBorders>
                  <w:vAlign w:val="center"/>
                </w:tcPr>
                <w:p>
                  <w:pPr>
                    <w:adjustRightInd w:val="0"/>
                    <w:snapToGrid w:val="0"/>
                    <w:jc w:val="center"/>
                    <w:rPr>
                      <w:szCs w:val="21"/>
                    </w:rPr>
                  </w:pPr>
                </w:p>
              </w:tc>
              <w:tc>
                <w:tcPr>
                  <w:tcW w:w="840" w:type="dxa"/>
                  <w:vMerge w:val="continue"/>
                  <w:tcBorders>
                    <w:tl2br w:val="nil"/>
                    <w:tr2bl w:val="nil"/>
                  </w:tcBorders>
                  <w:vAlign w:val="center"/>
                </w:tcPr>
                <w:p>
                  <w:pPr>
                    <w:adjustRightInd w:val="0"/>
                    <w:snapToGrid w:val="0"/>
                    <w:jc w:val="center"/>
                    <w:rPr>
                      <w:szCs w:val="21"/>
                    </w:rPr>
                  </w:pPr>
                </w:p>
              </w:tc>
              <w:tc>
                <w:tcPr>
                  <w:tcW w:w="3602" w:type="dxa"/>
                  <w:tcBorders>
                    <w:tl2br w:val="nil"/>
                    <w:tr2bl w:val="nil"/>
                  </w:tcBorders>
                  <w:vAlign w:val="center"/>
                </w:tcPr>
                <w:p>
                  <w:pPr>
                    <w:adjustRightInd w:val="0"/>
                    <w:snapToGrid w:val="0"/>
                    <w:jc w:val="center"/>
                    <w:rPr>
                      <w:szCs w:val="21"/>
                    </w:rPr>
                  </w:pPr>
                  <w:r>
                    <w:rPr>
                      <w:rFonts w:hint="eastAsia"/>
                      <w:szCs w:val="21"/>
                    </w:rPr>
                    <w:t>《工业炉窑大气污染物排放标准》（GB9078-1996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restart"/>
                  <w:tcBorders>
                    <w:tl2br w:val="nil"/>
                    <w:tr2bl w:val="nil"/>
                  </w:tcBorders>
                  <w:vAlign w:val="center"/>
                </w:tcPr>
                <w:p>
                  <w:pPr>
                    <w:adjustRightInd w:val="0"/>
                    <w:snapToGrid w:val="0"/>
                    <w:jc w:val="center"/>
                  </w:pPr>
                  <w:r>
                    <w:rPr>
                      <w:rFonts w:hint="eastAsia"/>
                    </w:rPr>
                    <w:t>无组织废气</w:t>
                  </w:r>
                </w:p>
              </w:tc>
              <w:tc>
                <w:tcPr>
                  <w:tcW w:w="1616" w:type="dxa"/>
                  <w:tcBorders>
                    <w:tl2br w:val="nil"/>
                    <w:tr2bl w:val="nil"/>
                  </w:tcBorders>
                  <w:vAlign w:val="center"/>
                </w:tcPr>
                <w:p>
                  <w:pPr>
                    <w:adjustRightInd w:val="0"/>
                    <w:snapToGrid w:val="0"/>
                    <w:jc w:val="center"/>
                    <w:rPr>
                      <w:szCs w:val="21"/>
                    </w:rPr>
                  </w:pPr>
                  <w:r>
                    <w:rPr>
                      <w:rFonts w:hint="eastAsia"/>
                      <w:szCs w:val="21"/>
                    </w:rPr>
                    <w:t>颗粒物</w:t>
                  </w:r>
                </w:p>
              </w:tc>
              <w:tc>
                <w:tcPr>
                  <w:tcW w:w="1005" w:type="dxa"/>
                  <w:vMerge w:val="restart"/>
                  <w:tcBorders>
                    <w:tl2br w:val="nil"/>
                    <w:tr2bl w:val="nil"/>
                  </w:tcBorders>
                  <w:vAlign w:val="center"/>
                </w:tcPr>
                <w:p>
                  <w:pPr>
                    <w:adjustRightInd w:val="0"/>
                    <w:snapToGrid w:val="0"/>
                    <w:jc w:val="center"/>
                    <w:rPr>
                      <w:szCs w:val="21"/>
                    </w:rPr>
                  </w:pPr>
                  <w:r>
                    <w:rPr>
                      <w:rFonts w:hint="eastAsia"/>
                      <w:szCs w:val="21"/>
                    </w:rPr>
                    <w:t>厂界内</w:t>
                  </w:r>
                </w:p>
              </w:tc>
              <w:tc>
                <w:tcPr>
                  <w:tcW w:w="717" w:type="dxa"/>
                  <w:vMerge w:val="restart"/>
                  <w:tcBorders>
                    <w:tl2br w:val="nil"/>
                    <w:tr2bl w:val="nil"/>
                  </w:tcBorders>
                  <w:vAlign w:val="center"/>
                </w:tcPr>
                <w:p>
                  <w:pPr>
                    <w:adjustRightInd w:val="0"/>
                    <w:snapToGrid w:val="0"/>
                    <w:jc w:val="center"/>
                    <w:rPr>
                      <w:szCs w:val="21"/>
                    </w:rPr>
                  </w:pPr>
                  <w:r>
                    <w:rPr>
                      <w:rFonts w:hint="eastAsia"/>
                      <w:szCs w:val="21"/>
                    </w:rPr>
                    <w:t>1个</w:t>
                  </w:r>
                </w:p>
              </w:tc>
              <w:tc>
                <w:tcPr>
                  <w:tcW w:w="840" w:type="dxa"/>
                  <w:vMerge w:val="restart"/>
                  <w:tcBorders>
                    <w:tl2br w:val="nil"/>
                    <w:tr2bl w:val="nil"/>
                  </w:tcBorders>
                  <w:vAlign w:val="center"/>
                </w:tcPr>
                <w:p>
                  <w:pPr>
                    <w:adjustRightInd w:val="0"/>
                    <w:snapToGrid w:val="0"/>
                    <w:jc w:val="center"/>
                    <w:rPr>
                      <w:szCs w:val="21"/>
                    </w:rPr>
                  </w:pPr>
                  <w:r>
                    <w:rPr>
                      <w:szCs w:val="21"/>
                    </w:rPr>
                    <w:t>1次</w:t>
                  </w:r>
                  <w:r>
                    <w:rPr>
                      <w:rFonts w:hint="eastAsia"/>
                      <w:szCs w:val="21"/>
                    </w:rPr>
                    <w:t>/季度</w:t>
                  </w:r>
                </w:p>
              </w:tc>
              <w:tc>
                <w:tcPr>
                  <w:tcW w:w="3602" w:type="dxa"/>
                  <w:tcBorders>
                    <w:tl2br w:val="nil"/>
                    <w:tr2bl w:val="nil"/>
                  </w:tcBorders>
                  <w:vAlign w:val="center"/>
                </w:tcPr>
                <w:p>
                  <w:pPr>
                    <w:adjustRightInd w:val="0"/>
                    <w:snapToGrid w:val="0"/>
                    <w:jc w:val="center"/>
                    <w:rPr>
                      <w:szCs w:val="21"/>
                    </w:rPr>
                  </w:pPr>
                  <w:r>
                    <w:rPr>
                      <w:rFonts w:hint="eastAsia"/>
                      <w:szCs w:val="21"/>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continue"/>
                  <w:tcBorders>
                    <w:tl2br w:val="nil"/>
                    <w:tr2bl w:val="nil"/>
                  </w:tcBorders>
                  <w:vAlign w:val="center"/>
                </w:tcPr>
                <w:p>
                  <w:pPr>
                    <w:adjustRightInd w:val="0"/>
                    <w:snapToGrid w:val="0"/>
                    <w:jc w:val="center"/>
                  </w:pPr>
                </w:p>
              </w:tc>
              <w:tc>
                <w:tcPr>
                  <w:tcW w:w="1616" w:type="dxa"/>
                  <w:tcBorders>
                    <w:tl2br w:val="nil"/>
                    <w:tr2bl w:val="nil"/>
                  </w:tcBorders>
                  <w:vAlign w:val="center"/>
                </w:tcPr>
                <w:p>
                  <w:pPr>
                    <w:adjustRightInd w:val="0"/>
                    <w:snapToGrid w:val="0"/>
                    <w:jc w:val="center"/>
                    <w:rPr>
                      <w:szCs w:val="21"/>
                    </w:rPr>
                  </w:pPr>
                  <w:r>
                    <w:rPr>
                      <w:szCs w:val="21"/>
                    </w:rPr>
                    <w:t>非甲烷总烃</w:t>
                  </w:r>
                </w:p>
              </w:tc>
              <w:tc>
                <w:tcPr>
                  <w:tcW w:w="1005" w:type="dxa"/>
                  <w:vMerge w:val="continue"/>
                  <w:tcBorders>
                    <w:tl2br w:val="nil"/>
                    <w:tr2bl w:val="nil"/>
                  </w:tcBorders>
                  <w:vAlign w:val="center"/>
                </w:tcPr>
                <w:p>
                  <w:pPr>
                    <w:adjustRightInd w:val="0"/>
                    <w:snapToGrid w:val="0"/>
                    <w:jc w:val="center"/>
                    <w:rPr>
                      <w:szCs w:val="21"/>
                    </w:rPr>
                  </w:pPr>
                </w:p>
              </w:tc>
              <w:tc>
                <w:tcPr>
                  <w:tcW w:w="717" w:type="dxa"/>
                  <w:vMerge w:val="continue"/>
                  <w:tcBorders>
                    <w:tl2br w:val="nil"/>
                    <w:tr2bl w:val="nil"/>
                  </w:tcBorders>
                  <w:vAlign w:val="center"/>
                </w:tcPr>
                <w:p>
                  <w:pPr>
                    <w:adjustRightInd w:val="0"/>
                    <w:snapToGrid w:val="0"/>
                    <w:jc w:val="center"/>
                    <w:rPr>
                      <w:szCs w:val="21"/>
                    </w:rPr>
                  </w:pPr>
                </w:p>
              </w:tc>
              <w:tc>
                <w:tcPr>
                  <w:tcW w:w="840" w:type="dxa"/>
                  <w:vMerge w:val="continue"/>
                  <w:tcBorders>
                    <w:tl2br w:val="nil"/>
                    <w:tr2bl w:val="nil"/>
                  </w:tcBorders>
                  <w:vAlign w:val="center"/>
                </w:tcPr>
                <w:p>
                  <w:pPr>
                    <w:adjustRightInd w:val="0"/>
                    <w:snapToGrid w:val="0"/>
                    <w:jc w:val="center"/>
                    <w:rPr>
                      <w:szCs w:val="21"/>
                    </w:rPr>
                  </w:pPr>
                </w:p>
              </w:tc>
              <w:tc>
                <w:tcPr>
                  <w:tcW w:w="3602" w:type="dxa"/>
                  <w:tcBorders>
                    <w:tl2br w:val="nil"/>
                    <w:tr2bl w:val="nil"/>
                  </w:tcBorders>
                  <w:vAlign w:val="center"/>
                </w:tcPr>
                <w:p>
                  <w:pPr>
                    <w:adjustRightInd w:val="0"/>
                    <w:snapToGrid w:val="0"/>
                    <w:jc w:val="center"/>
                    <w:rPr>
                      <w:szCs w:val="21"/>
                    </w:rPr>
                  </w:pPr>
                  <w:r>
                    <w:rPr>
                      <w:rFonts w:hint="eastAsia"/>
                      <w:szCs w:val="21"/>
                    </w:rPr>
                    <w:t>《挥发性有机物无组织排放控制标准》（GB37822—2019）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continue"/>
                  <w:tcBorders>
                    <w:tl2br w:val="nil"/>
                    <w:tr2bl w:val="nil"/>
                  </w:tcBorders>
                  <w:vAlign w:val="center"/>
                </w:tcPr>
                <w:p>
                  <w:pPr>
                    <w:adjustRightInd w:val="0"/>
                    <w:snapToGrid w:val="0"/>
                    <w:jc w:val="center"/>
                  </w:pPr>
                </w:p>
              </w:tc>
              <w:tc>
                <w:tcPr>
                  <w:tcW w:w="1616" w:type="dxa"/>
                  <w:tcBorders>
                    <w:tl2br w:val="nil"/>
                    <w:tr2bl w:val="nil"/>
                  </w:tcBorders>
                  <w:vAlign w:val="center"/>
                </w:tcPr>
                <w:p>
                  <w:pPr>
                    <w:adjustRightInd w:val="0"/>
                    <w:snapToGrid w:val="0"/>
                    <w:jc w:val="center"/>
                    <w:rPr>
                      <w:szCs w:val="21"/>
                    </w:rPr>
                  </w:pPr>
                  <w:r>
                    <w:rPr>
                      <w:szCs w:val="21"/>
                    </w:rPr>
                    <w:t>非甲烷总烃</w:t>
                  </w:r>
                </w:p>
              </w:tc>
              <w:tc>
                <w:tcPr>
                  <w:tcW w:w="1005" w:type="dxa"/>
                  <w:vMerge w:val="restart"/>
                  <w:tcBorders>
                    <w:tl2br w:val="nil"/>
                    <w:tr2bl w:val="nil"/>
                  </w:tcBorders>
                  <w:vAlign w:val="center"/>
                </w:tcPr>
                <w:p>
                  <w:pPr>
                    <w:adjustRightInd w:val="0"/>
                    <w:snapToGrid w:val="0"/>
                    <w:jc w:val="center"/>
                    <w:rPr>
                      <w:szCs w:val="21"/>
                    </w:rPr>
                  </w:pPr>
                  <w:r>
                    <w:rPr>
                      <w:szCs w:val="21"/>
                    </w:rPr>
                    <w:t>周界外浓度最高点</w:t>
                  </w:r>
                </w:p>
              </w:tc>
              <w:tc>
                <w:tcPr>
                  <w:tcW w:w="717" w:type="dxa"/>
                  <w:vMerge w:val="restart"/>
                  <w:tcBorders>
                    <w:tl2br w:val="nil"/>
                    <w:tr2bl w:val="nil"/>
                  </w:tcBorders>
                  <w:vAlign w:val="center"/>
                </w:tcPr>
                <w:p>
                  <w:pPr>
                    <w:adjustRightInd w:val="0"/>
                    <w:snapToGrid w:val="0"/>
                    <w:jc w:val="center"/>
                    <w:rPr>
                      <w:szCs w:val="21"/>
                    </w:rPr>
                  </w:pPr>
                  <w:r>
                    <w:rPr>
                      <w:szCs w:val="21"/>
                    </w:rPr>
                    <w:t>上风向1个，下风向3个</w:t>
                  </w:r>
                </w:p>
              </w:tc>
              <w:tc>
                <w:tcPr>
                  <w:tcW w:w="840" w:type="dxa"/>
                  <w:vMerge w:val="restart"/>
                  <w:tcBorders>
                    <w:tl2br w:val="nil"/>
                    <w:tr2bl w:val="nil"/>
                  </w:tcBorders>
                  <w:vAlign w:val="center"/>
                </w:tcPr>
                <w:p>
                  <w:pPr>
                    <w:adjustRightInd w:val="0"/>
                    <w:snapToGrid w:val="0"/>
                    <w:jc w:val="center"/>
                    <w:rPr>
                      <w:szCs w:val="21"/>
                    </w:rPr>
                  </w:pPr>
                  <w:r>
                    <w:rPr>
                      <w:szCs w:val="21"/>
                    </w:rPr>
                    <w:t>1次</w:t>
                  </w:r>
                  <w:r>
                    <w:rPr>
                      <w:rFonts w:hint="eastAsia"/>
                      <w:szCs w:val="21"/>
                    </w:rPr>
                    <w:t>/半年</w:t>
                  </w:r>
                </w:p>
                <w:p>
                  <w:pPr>
                    <w:adjustRightInd w:val="0"/>
                    <w:snapToGrid w:val="0"/>
                    <w:jc w:val="center"/>
                    <w:rPr>
                      <w:szCs w:val="21"/>
                    </w:rPr>
                  </w:pPr>
                </w:p>
              </w:tc>
              <w:tc>
                <w:tcPr>
                  <w:tcW w:w="3602" w:type="dxa"/>
                  <w:tcBorders>
                    <w:tl2br w:val="nil"/>
                    <w:tr2bl w:val="nil"/>
                  </w:tcBorders>
                  <w:vAlign w:val="center"/>
                </w:tcPr>
                <w:p>
                  <w:pPr>
                    <w:adjustRightInd w:val="0"/>
                    <w:snapToGrid w:val="0"/>
                    <w:jc w:val="center"/>
                    <w:rPr>
                      <w:szCs w:val="21"/>
                    </w:rPr>
                  </w:pPr>
                  <w:r>
                    <w:rPr>
                      <w:szCs w:val="21"/>
                    </w:rPr>
                    <w:t>《挥发性有机物排放控制标准》（DB61/T1061-2017）表3中企业边界监控点浓度限值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857" w:type="dxa"/>
                  <w:vMerge w:val="continue"/>
                  <w:tcBorders>
                    <w:tl2br w:val="nil"/>
                    <w:tr2bl w:val="nil"/>
                  </w:tcBorders>
                  <w:vAlign w:val="center"/>
                </w:tcPr>
                <w:p>
                  <w:pPr>
                    <w:adjustRightInd w:val="0"/>
                    <w:snapToGrid w:val="0"/>
                    <w:jc w:val="center"/>
                  </w:pPr>
                </w:p>
              </w:tc>
              <w:tc>
                <w:tcPr>
                  <w:tcW w:w="1616" w:type="dxa"/>
                  <w:tcBorders>
                    <w:tl2br w:val="nil"/>
                    <w:tr2bl w:val="nil"/>
                  </w:tcBorders>
                  <w:vAlign w:val="center"/>
                </w:tcPr>
                <w:p>
                  <w:pPr>
                    <w:adjustRightInd w:val="0"/>
                    <w:snapToGrid w:val="0"/>
                    <w:jc w:val="center"/>
                    <w:rPr>
                      <w:szCs w:val="21"/>
                    </w:rPr>
                  </w:pPr>
                  <w:r>
                    <w:rPr>
                      <w:rFonts w:hint="eastAsia"/>
                      <w:szCs w:val="21"/>
                    </w:rPr>
                    <w:t>颗粒物</w:t>
                  </w:r>
                </w:p>
              </w:tc>
              <w:tc>
                <w:tcPr>
                  <w:tcW w:w="1005" w:type="dxa"/>
                  <w:vMerge w:val="continue"/>
                  <w:tcBorders>
                    <w:tl2br w:val="nil"/>
                    <w:tr2bl w:val="nil"/>
                  </w:tcBorders>
                  <w:vAlign w:val="center"/>
                </w:tcPr>
                <w:p>
                  <w:pPr>
                    <w:adjustRightInd w:val="0"/>
                    <w:snapToGrid w:val="0"/>
                    <w:jc w:val="center"/>
                    <w:rPr>
                      <w:szCs w:val="21"/>
                    </w:rPr>
                  </w:pPr>
                </w:p>
              </w:tc>
              <w:tc>
                <w:tcPr>
                  <w:tcW w:w="717" w:type="dxa"/>
                  <w:vMerge w:val="continue"/>
                  <w:tcBorders>
                    <w:tl2br w:val="nil"/>
                    <w:tr2bl w:val="nil"/>
                  </w:tcBorders>
                  <w:vAlign w:val="center"/>
                </w:tcPr>
                <w:p>
                  <w:pPr>
                    <w:adjustRightInd w:val="0"/>
                    <w:snapToGrid w:val="0"/>
                    <w:jc w:val="center"/>
                    <w:rPr>
                      <w:szCs w:val="21"/>
                    </w:rPr>
                  </w:pPr>
                </w:p>
              </w:tc>
              <w:tc>
                <w:tcPr>
                  <w:tcW w:w="840" w:type="dxa"/>
                  <w:vMerge w:val="continue"/>
                  <w:tcBorders>
                    <w:tl2br w:val="nil"/>
                    <w:tr2bl w:val="nil"/>
                  </w:tcBorders>
                  <w:vAlign w:val="center"/>
                </w:tcPr>
                <w:p>
                  <w:pPr>
                    <w:adjustRightInd w:val="0"/>
                    <w:snapToGrid w:val="0"/>
                    <w:jc w:val="center"/>
                    <w:rPr>
                      <w:szCs w:val="21"/>
                    </w:rPr>
                  </w:pPr>
                </w:p>
              </w:tc>
              <w:tc>
                <w:tcPr>
                  <w:tcW w:w="3602" w:type="dxa"/>
                  <w:tcBorders>
                    <w:tl2br w:val="nil"/>
                    <w:tr2bl w:val="nil"/>
                  </w:tcBorders>
                  <w:vAlign w:val="center"/>
                </w:tcPr>
                <w:p>
                  <w:pPr>
                    <w:adjustRightInd w:val="0"/>
                    <w:snapToGrid w:val="0"/>
                    <w:jc w:val="center"/>
                    <w:rPr>
                      <w:szCs w:val="21"/>
                    </w:rPr>
                  </w:pPr>
                  <w:r>
                    <w:rPr>
                      <w:rFonts w:hint="eastAsia"/>
                      <w:szCs w:val="21"/>
                    </w:rPr>
                    <w:t>《大气污染物综合排放标准》（GB16297-1996）</w:t>
                  </w:r>
                </w:p>
              </w:tc>
            </w:tr>
          </w:tbl>
          <w:p>
            <w:pPr>
              <w:adjustRightInd w:val="0"/>
              <w:snapToGrid w:val="0"/>
              <w:spacing w:line="360" w:lineRule="auto"/>
              <w:ind w:firstLine="482" w:firstLineChars="200"/>
              <w:rPr>
                <w:b/>
                <w:bCs/>
                <w:sz w:val="24"/>
                <w:szCs w:val="32"/>
              </w:rPr>
            </w:pPr>
            <w:r>
              <w:rPr>
                <w:rFonts w:hint="eastAsia"/>
                <w:b/>
                <w:bCs/>
                <w:sz w:val="24"/>
                <w:szCs w:val="32"/>
              </w:rPr>
              <w:t>二、</w:t>
            </w:r>
            <w:r>
              <w:rPr>
                <w:b/>
                <w:bCs/>
                <w:sz w:val="24"/>
                <w:szCs w:val="32"/>
              </w:rPr>
              <w:t>废水</w:t>
            </w:r>
            <w:bookmarkStart w:id="0" w:name="_Hlk72613914"/>
          </w:p>
          <w:p>
            <w:pPr>
              <w:widowControl/>
              <w:numPr>
                <w:ilvl w:val="0"/>
                <w:numId w:val="10"/>
              </w:numPr>
              <w:adjustRightInd w:val="0"/>
              <w:snapToGrid w:val="0"/>
              <w:spacing w:line="360" w:lineRule="auto"/>
              <w:ind w:firstLine="482" w:firstLineChars="200"/>
              <w:jc w:val="left"/>
              <w:rPr>
                <w:b/>
                <w:bCs/>
                <w:sz w:val="24"/>
                <w:szCs w:val="32"/>
              </w:rPr>
            </w:pPr>
            <w:r>
              <w:rPr>
                <w:rFonts w:hint="eastAsia"/>
                <w:b/>
                <w:bCs/>
                <w:sz w:val="24"/>
                <w:szCs w:val="32"/>
              </w:rPr>
              <w:t>产排污情况分析</w:t>
            </w:r>
          </w:p>
          <w:p>
            <w:pPr>
              <w:widowControl/>
              <w:adjustRightInd w:val="0"/>
              <w:snapToGrid w:val="0"/>
              <w:spacing w:line="360" w:lineRule="auto"/>
              <w:ind w:firstLine="480" w:firstLineChars="200"/>
              <w:jc w:val="left"/>
              <w:rPr>
                <w:sz w:val="24"/>
                <w:szCs w:val="32"/>
              </w:rPr>
            </w:pPr>
            <w:r>
              <w:rPr>
                <w:rFonts w:hint="eastAsia"/>
                <w:sz w:val="24"/>
                <w:szCs w:val="32"/>
                <w:lang w:eastAsia="zh-CN"/>
              </w:rPr>
              <w:t>项目</w:t>
            </w:r>
            <w:r>
              <w:rPr>
                <w:rFonts w:hint="eastAsia"/>
                <w:sz w:val="24"/>
                <w:szCs w:val="32"/>
              </w:rPr>
              <w:t>废水主要为</w:t>
            </w:r>
            <w:r>
              <w:rPr>
                <w:rFonts w:hint="eastAsia"/>
                <w:sz w:val="24"/>
                <w:szCs w:val="32"/>
                <w:lang w:eastAsia="zh-CN"/>
              </w:rPr>
              <w:t>铝材表面处理废水和清洗废水</w:t>
            </w:r>
            <w:r>
              <w:rPr>
                <w:rFonts w:hint="eastAsia"/>
                <w:sz w:val="24"/>
                <w:szCs w:val="32"/>
              </w:rPr>
              <w:t>、喷淋废水和生活污水。</w:t>
            </w:r>
          </w:p>
          <w:p>
            <w:pPr>
              <w:widowControl/>
              <w:adjustRightInd w:val="0"/>
              <w:snapToGrid w:val="0"/>
              <w:spacing w:line="360" w:lineRule="auto"/>
              <w:ind w:firstLine="480" w:firstLineChars="200"/>
              <w:jc w:val="left"/>
              <w:rPr>
                <w:sz w:val="24"/>
                <w:szCs w:val="32"/>
              </w:rPr>
            </w:pPr>
            <w:r>
              <w:rPr>
                <w:rFonts w:hint="eastAsia"/>
                <w:sz w:val="24"/>
                <w:szCs w:val="32"/>
              </w:rPr>
              <w:t>生活污水的排放量为2.67m³/d(800m³/a)，</w:t>
            </w:r>
            <w:r>
              <w:rPr>
                <w:bCs/>
                <w:sz w:val="24"/>
              </w:rPr>
              <w:t>经</w:t>
            </w:r>
            <w:r>
              <w:rPr>
                <w:rFonts w:hint="eastAsia"/>
                <w:bCs/>
                <w:sz w:val="24"/>
              </w:rPr>
              <w:t>厂区内</w:t>
            </w:r>
            <w:r>
              <w:rPr>
                <w:rFonts w:hint="eastAsia"/>
                <w:sz w:val="24"/>
                <w:szCs w:val="32"/>
              </w:rPr>
              <w:t>租赁</w:t>
            </w:r>
            <w:r>
              <w:rPr>
                <w:rFonts w:hint="eastAsia"/>
                <w:bCs/>
                <w:sz w:val="24"/>
                <w:lang w:eastAsia="zh-CN"/>
              </w:rPr>
              <w:t>租赁方化粪池</w:t>
            </w:r>
            <w:r>
              <w:rPr>
                <w:bCs/>
                <w:sz w:val="24"/>
              </w:rPr>
              <w:t>处理后定期清掏外运肥田</w:t>
            </w:r>
            <w:r>
              <w:rPr>
                <w:rFonts w:hint="eastAsia"/>
                <w:bCs/>
                <w:sz w:val="24"/>
              </w:rPr>
              <w:t>；</w:t>
            </w:r>
            <w:r>
              <w:rPr>
                <w:rFonts w:hint="eastAsia"/>
                <w:sz w:val="24"/>
                <w:szCs w:val="32"/>
              </w:rPr>
              <w:t>喷淋塔废水产生量为0.</w:t>
            </w:r>
            <w:r>
              <w:rPr>
                <w:rFonts w:hint="eastAsia"/>
                <w:sz w:val="24"/>
                <w:szCs w:val="32"/>
                <w:lang w:val="en-US" w:eastAsia="zh-CN"/>
              </w:rPr>
              <w:t>00</w:t>
            </w:r>
            <w:r>
              <w:rPr>
                <w:rFonts w:hint="eastAsia"/>
                <w:sz w:val="24"/>
                <w:szCs w:val="32"/>
              </w:rPr>
              <w:t>5m³/d（储存罐为1m³），经沉淀后循环使用，定期补充；</w:t>
            </w:r>
            <w:r>
              <w:rPr>
                <w:rFonts w:hint="eastAsia"/>
                <w:sz w:val="24"/>
              </w:rPr>
              <w:t>1#、3#</w:t>
            </w:r>
            <w:r>
              <w:rPr>
                <w:rFonts w:hint="eastAsia"/>
                <w:sz w:val="24"/>
                <w:lang w:eastAsia="zh-CN"/>
              </w:rPr>
              <w:t>清洗废水</w:t>
            </w:r>
            <w:r>
              <w:rPr>
                <w:rFonts w:hint="eastAsia"/>
                <w:sz w:val="24"/>
              </w:rPr>
              <w:t>每月更换一次，2#</w:t>
            </w:r>
            <w:r>
              <w:rPr>
                <w:rFonts w:hint="eastAsia"/>
                <w:sz w:val="24"/>
                <w:lang w:eastAsia="zh-CN"/>
              </w:rPr>
              <w:t>清洗废水</w:t>
            </w:r>
            <w:r>
              <w:rPr>
                <w:rFonts w:hint="eastAsia"/>
                <w:sz w:val="24"/>
              </w:rPr>
              <w:t>半年更换一次，</w:t>
            </w:r>
            <w:r>
              <w:rPr>
                <w:rFonts w:hint="eastAsia"/>
                <w:sz w:val="24"/>
                <w:szCs w:val="32"/>
                <w:lang w:eastAsia="zh-CN"/>
              </w:rPr>
              <w:t>铝材表面处理废水和清洗废水</w:t>
            </w:r>
            <w:r>
              <w:rPr>
                <w:rFonts w:hint="eastAsia"/>
                <w:sz w:val="24"/>
                <w:szCs w:val="32"/>
              </w:rPr>
              <w:t>产生量为0.</w:t>
            </w:r>
            <w:r>
              <w:rPr>
                <w:rFonts w:hint="eastAsia"/>
                <w:sz w:val="24"/>
                <w:szCs w:val="32"/>
                <w:lang w:val="en-US" w:eastAsia="zh-CN"/>
              </w:rPr>
              <w:t>832</w:t>
            </w:r>
            <w:r>
              <w:rPr>
                <w:rFonts w:hint="eastAsia"/>
                <w:sz w:val="24"/>
                <w:szCs w:val="32"/>
              </w:rPr>
              <w:t>m³/d（2</w:t>
            </w:r>
            <w:r>
              <w:rPr>
                <w:rFonts w:hint="eastAsia"/>
                <w:sz w:val="24"/>
                <w:szCs w:val="32"/>
                <w:lang w:val="en-US" w:eastAsia="zh-CN"/>
              </w:rPr>
              <w:t>49.82</w:t>
            </w:r>
            <w:r>
              <w:rPr>
                <w:rFonts w:hint="eastAsia"/>
                <w:sz w:val="24"/>
                <w:szCs w:val="32"/>
              </w:rPr>
              <w:t>m³/a），废水排入厂区污水处理站处理后，产生的纯水回用于清洗工序，浓水回用于</w:t>
            </w:r>
            <w:r>
              <w:rPr>
                <w:rFonts w:hint="eastAsia"/>
                <w:sz w:val="24"/>
                <w:szCs w:val="32"/>
                <w:lang w:val="en-US" w:eastAsia="zh-CN"/>
              </w:rPr>
              <w:t>铝材表面</w:t>
            </w:r>
            <w:r>
              <w:rPr>
                <w:rFonts w:hint="eastAsia"/>
                <w:sz w:val="24"/>
                <w:szCs w:val="32"/>
              </w:rPr>
              <w:t>处理工序。</w:t>
            </w:r>
          </w:p>
          <w:p>
            <w:pPr>
              <w:widowControl/>
              <w:adjustRightInd w:val="0"/>
              <w:snapToGrid w:val="0"/>
              <w:spacing w:line="360" w:lineRule="auto"/>
              <w:ind w:firstLine="482" w:firstLineChars="200"/>
              <w:jc w:val="left"/>
              <w:rPr>
                <w:b/>
                <w:bCs/>
                <w:sz w:val="24"/>
              </w:rPr>
            </w:pPr>
            <w:r>
              <w:rPr>
                <w:rFonts w:hint="eastAsia"/>
                <w:b/>
                <w:bCs/>
                <w:sz w:val="24"/>
              </w:rPr>
              <w:t>2、源强核算</w:t>
            </w:r>
          </w:p>
          <w:p>
            <w:pPr>
              <w:widowControl/>
              <w:adjustRightInd w:val="0"/>
              <w:snapToGrid w:val="0"/>
              <w:spacing w:line="360" w:lineRule="auto"/>
              <w:ind w:firstLine="480" w:firstLineChars="200"/>
              <w:contextualSpacing/>
              <w:rPr>
                <w:rFonts w:hint="eastAsia" w:eastAsia="宋体"/>
                <w:sz w:val="24"/>
                <w:lang w:eastAsia="zh-CN"/>
              </w:rPr>
            </w:pPr>
            <w:r>
              <w:rPr>
                <w:rFonts w:hint="eastAsia"/>
                <w:sz w:val="24"/>
                <w:lang w:val="en-US" w:eastAsia="zh-CN"/>
              </w:rPr>
              <w:t>1</w:t>
            </w:r>
            <w:r>
              <w:rPr>
                <w:rFonts w:hint="eastAsia"/>
                <w:sz w:val="24"/>
              </w:rPr>
              <w:t>）</w:t>
            </w:r>
            <w:r>
              <w:rPr>
                <w:rFonts w:hint="eastAsia"/>
                <w:sz w:val="24"/>
                <w:szCs w:val="32"/>
                <w:lang w:eastAsia="zh-CN"/>
              </w:rPr>
              <w:t>铝材表面处理废水和清洗废水</w:t>
            </w:r>
          </w:p>
          <w:p>
            <w:pPr>
              <w:adjustRightInd w:val="0"/>
              <w:snapToGrid w:val="0"/>
              <w:spacing w:line="360" w:lineRule="auto"/>
              <w:ind w:firstLine="480" w:firstLineChars="200"/>
              <w:rPr>
                <w:rFonts w:hint="default"/>
                <w:sz w:val="24"/>
                <w:szCs w:val="32"/>
                <w:lang w:val="en-US" w:eastAsia="zh-CN"/>
              </w:rPr>
            </w:pPr>
            <w:r>
              <w:rPr>
                <w:rFonts w:hint="eastAsia"/>
                <w:sz w:val="24"/>
                <w:lang w:eastAsia="zh-CN"/>
              </w:rPr>
              <w:t>项目</w:t>
            </w:r>
            <w:r>
              <w:rPr>
                <w:rFonts w:hint="eastAsia"/>
                <w:sz w:val="24"/>
              </w:rPr>
              <w:t>生产废水来自</w:t>
            </w:r>
            <w:r>
              <w:rPr>
                <w:rFonts w:hint="eastAsia"/>
                <w:sz w:val="24"/>
                <w:lang w:val="en-US" w:eastAsia="zh-CN"/>
              </w:rPr>
              <w:t>铝材表面</w:t>
            </w:r>
            <w:r>
              <w:rPr>
                <w:rFonts w:hint="eastAsia"/>
                <w:sz w:val="24"/>
              </w:rPr>
              <w:t>处理</w:t>
            </w:r>
            <w:r>
              <w:rPr>
                <w:rFonts w:hint="eastAsia"/>
                <w:sz w:val="24"/>
                <w:lang w:val="en-US" w:eastAsia="zh-CN"/>
              </w:rPr>
              <w:t>工序</w:t>
            </w:r>
            <w:r>
              <w:rPr>
                <w:rFonts w:hint="eastAsia"/>
                <w:sz w:val="24"/>
              </w:rPr>
              <w:t>，主要是工件</w:t>
            </w:r>
            <w:r>
              <w:rPr>
                <w:rFonts w:hint="eastAsia"/>
                <w:sz w:val="24"/>
                <w:lang w:val="en-US" w:eastAsia="zh-CN"/>
              </w:rPr>
              <w:t>铝材表面处理废水和清洗废水</w:t>
            </w:r>
            <w:r>
              <w:rPr>
                <w:rFonts w:hint="eastAsia"/>
                <w:sz w:val="24"/>
              </w:rPr>
              <w:t>。年生产量</w:t>
            </w:r>
            <w:r>
              <w:rPr>
                <w:rFonts w:hint="eastAsia"/>
                <w:sz w:val="24"/>
                <w:lang w:val="en-US" w:eastAsia="zh-CN"/>
              </w:rPr>
              <w:t>249.82</w:t>
            </w:r>
            <w:r>
              <w:rPr>
                <w:rFonts w:hint="eastAsia"/>
                <w:sz w:val="24"/>
              </w:rPr>
              <w:t>m</w:t>
            </w:r>
            <w:r>
              <w:rPr>
                <w:rFonts w:hint="eastAsia"/>
                <w:sz w:val="24"/>
                <w:vertAlign w:val="superscript"/>
              </w:rPr>
              <w:t>3</w:t>
            </w:r>
            <w:r>
              <w:rPr>
                <w:rFonts w:hint="eastAsia"/>
                <w:sz w:val="24"/>
              </w:rPr>
              <w:t>/a，主要污染物为COD、氨氮、SS、石油类。建设单位在车间内设污水处理设施一套，</w:t>
            </w:r>
            <w:r>
              <w:rPr>
                <w:rFonts w:hint="eastAsia"/>
                <w:sz w:val="24"/>
                <w:szCs w:val="32"/>
              </w:rPr>
              <w:t>根据建设单位提供资料，</w:t>
            </w:r>
            <w:r>
              <w:rPr>
                <w:rFonts w:hint="eastAsia"/>
                <w:sz w:val="24"/>
                <w:szCs w:val="32"/>
                <w:lang w:eastAsia="zh-CN"/>
              </w:rPr>
              <w:t>项目</w:t>
            </w:r>
            <w:r>
              <w:rPr>
                <w:rFonts w:hint="eastAsia"/>
                <w:sz w:val="24"/>
                <w:szCs w:val="32"/>
              </w:rPr>
              <w:t>厂区污水处理工艺为：中和+絮凝沉淀+气浮+多介质过滤+反渗透”，</w:t>
            </w:r>
            <w:r>
              <w:rPr>
                <w:rFonts w:hint="eastAsia"/>
                <w:sz w:val="24"/>
              </w:rPr>
              <w:t>包括压滤机、中间水桶、污水反应池、石英砂过滤罐、活性炭过滤罐等均为封闭式，上部加盖封闭。</w:t>
            </w:r>
            <w:r>
              <w:rPr>
                <w:rFonts w:hint="eastAsia"/>
                <w:sz w:val="24"/>
                <w:szCs w:val="32"/>
              </w:rPr>
              <w:t>废水处理总规模为16m</w:t>
            </w:r>
            <w:r>
              <w:rPr>
                <w:rFonts w:hint="eastAsia"/>
                <w:sz w:val="24"/>
                <w:szCs w:val="32"/>
                <w:vertAlign w:val="superscript"/>
              </w:rPr>
              <w:t>3</w:t>
            </w:r>
            <w:r>
              <w:rPr>
                <w:rFonts w:hint="eastAsia"/>
                <w:sz w:val="24"/>
                <w:szCs w:val="32"/>
              </w:rPr>
              <w:t>/d</w:t>
            </w:r>
            <w:r>
              <w:rPr>
                <w:rFonts w:hint="eastAsia"/>
                <w:sz w:val="24"/>
                <w:szCs w:val="32"/>
                <w:lang w:eastAsia="zh-CN"/>
              </w:rPr>
              <w:t>，</w:t>
            </w:r>
            <w:r>
              <w:rPr>
                <w:rFonts w:hint="eastAsia"/>
                <w:sz w:val="24"/>
                <w:szCs w:val="32"/>
                <w:lang w:val="en-US" w:eastAsia="zh-CN"/>
              </w:rPr>
              <w:t>根据建设单位提供资料，项目运行期根据项目铝材表面处理废水和清洗废水产生量进行污水处理，污水处理站约每月运行一次。</w:t>
            </w:r>
          </w:p>
          <w:p>
            <w:pPr>
              <w:adjustRightInd w:val="0"/>
              <w:snapToGrid w:val="0"/>
              <w:spacing w:line="360" w:lineRule="auto"/>
              <w:ind w:firstLine="480" w:firstLineChars="200"/>
              <w:rPr>
                <w:rFonts w:hint="default"/>
                <w:sz w:val="24"/>
                <w:szCs w:val="32"/>
                <w:lang w:val="en-US"/>
              </w:rPr>
            </w:pPr>
            <w:r>
              <w:rPr>
                <w:rFonts w:hint="eastAsia"/>
                <w:sz w:val="24"/>
                <w:szCs w:val="32"/>
              </w:rPr>
              <w:t>根据《排放源统计调查产排污核算方法和系数手册》的公告（公告2021年第24号）》机械行业技术手册</w:t>
            </w:r>
            <w:r>
              <w:rPr>
                <w:rFonts w:hint="eastAsia"/>
                <w:sz w:val="24"/>
                <w:szCs w:val="32"/>
                <w:lang w:eastAsia="zh-CN"/>
              </w:rPr>
              <w:t>项目</w:t>
            </w:r>
            <w:r>
              <w:rPr>
                <w:rFonts w:hint="eastAsia"/>
                <w:sz w:val="24"/>
                <w:szCs w:val="32"/>
              </w:rPr>
              <w:t>废水污染物产物系数为，COD714kg/t-原料，TP5.1kg/t-原料，石油类51kg/t-原料；</w:t>
            </w:r>
            <w:r>
              <w:rPr>
                <w:rFonts w:hint="eastAsia"/>
                <w:sz w:val="24"/>
                <w:szCs w:val="32"/>
                <w:lang w:eastAsia="zh-CN"/>
              </w:rPr>
              <w:t>铝材表面处理废水和清洗废水</w:t>
            </w:r>
            <w:r>
              <w:rPr>
                <w:rFonts w:hint="eastAsia"/>
                <w:sz w:val="24"/>
                <w:szCs w:val="32"/>
              </w:rPr>
              <w:t>经污水处理站处理后，纯水会用到清洗槽，根据建设单位提供资料污水处理站处理产生废浓水可达到《城市污水再生利用工业用水水质》（GB/T19923-2005）标准表1中“洗涤用水”</w:t>
            </w:r>
            <w:r>
              <w:rPr>
                <w:rFonts w:hint="eastAsia"/>
                <w:sz w:val="24"/>
                <w:szCs w:val="32"/>
                <w:lang w:eastAsia="zh-CN"/>
              </w:rPr>
              <w:t>。</w:t>
            </w:r>
            <w:r>
              <w:rPr>
                <w:rFonts w:hint="eastAsia"/>
                <w:sz w:val="24"/>
                <w:szCs w:val="32"/>
                <w:lang w:val="en-US" w:eastAsia="zh-CN"/>
              </w:rPr>
              <w:t>用于铝材表面处理补充水。</w:t>
            </w:r>
          </w:p>
          <w:p>
            <w:pPr>
              <w:jc w:val="center"/>
              <w:rPr>
                <w:b/>
                <w:bCs/>
                <w:szCs w:val="21"/>
              </w:rPr>
            </w:pPr>
            <w:r>
              <w:rPr>
                <w:rFonts w:hint="eastAsia"/>
                <w:b/>
                <w:bCs/>
                <w:szCs w:val="21"/>
              </w:rPr>
              <w:t>表4-8各污染物浓度</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194"/>
              <w:gridCol w:w="680"/>
              <w:gridCol w:w="997"/>
              <w:gridCol w:w="876"/>
              <w:gridCol w:w="797"/>
              <w:gridCol w:w="10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52" w:type="dxa"/>
                  <w:gridSpan w:val="2"/>
                  <w:tcBorders>
                    <w:tl2br w:val="nil"/>
                    <w:tr2bl w:val="nil"/>
                  </w:tcBorders>
                  <w:tcMar>
                    <w:top w:w="0" w:type="dxa"/>
                    <w:left w:w="57" w:type="dxa"/>
                    <w:bottom w:w="0" w:type="dxa"/>
                    <w:right w:w="57" w:type="dxa"/>
                  </w:tcMar>
                  <w:vAlign w:val="center"/>
                </w:tcPr>
                <w:p>
                  <w:pPr>
                    <w:adjustRightInd w:val="0"/>
                    <w:snapToGrid w:val="0"/>
                    <w:jc w:val="right"/>
                    <w:rPr>
                      <w:b/>
                      <w:bCs/>
                      <w:kern w:val="0"/>
                      <w:szCs w:val="21"/>
                    </w:rPr>
                  </w:pPr>
                  <w:r>
                    <mc:AlternateContent>
                      <mc:Choice Requires="wps">
                        <w:drawing>
                          <wp:anchor distT="0" distB="0" distL="114300" distR="114300" simplePos="0" relativeHeight="251664384" behindDoc="0" locked="0" layoutInCell="1" allowOverlap="1">
                            <wp:simplePos x="0" y="0"/>
                            <wp:positionH relativeFrom="column">
                              <wp:posOffset>-53340</wp:posOffset>
                            </wp:positionH>
                            <wp:positionV relativeFrom="paragraph">
                              <wp:posOffset>-12065</wp:posOffset>
                            </wp:positionV>
                            <wp:extent cx="2362200" cy="361950"/>
                            <wp:effectExtent l="635" t="4445" r="14605" b="14605"/>
                            <wp:wrapNone/>
                            <wp:docPr id="2" name="直接连接符 2"/>
                            <wp:cNvGraphicFramePr/>
                            <a:graphic xmlns:a="http://schemas.openxmlformats.org/drawingml/2006/main">
                              <a:graphicData uri="http://schemas.microsoft.com/office/word/2010/wordprocessingShape">
                                <wps:wsp>
                                  <wps:cNvCnPr/>
                                  <wps:spPr>
                                    <a:xfrm>
                                      <a:off x="1187450" y="1094105"/>
                                      <a:ext cx="2362200" cy="361950"/>
                                    </a:xfrm>
                                    <a:prstGeom prst="line">
                                      <a:avLst/>
                                    </a:prstGeom>
                                    <a:ln w="6350">
                                      <a:solidFill>
                                        <a:schemeClr val="tx1"/>
                                      </a:solidFill>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line id="_x0000_s1026" o:spid="_x0000_s1026" o:spt="20" style="position:absolute;left:0pt;margin-left:-4.2pt;margin-top:-0.95pt;height:28.5pt;width:186pt;z-index:251664384;mso-width-relative:page;mso-height-relative:page;" filled="f" stroked="t" coordsize="21600,21600" o:gfxdata="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1Qmk7W&#10;AAAACAEAAA8AAAAAAAAAAQAgAAAAIgAAAGRycy9kb3ducmV2LnhtbFBLAQIUABQAAAAIAIdO4kCx&#10;PfPV6QEAAKsDAAAOAAAAAAAAAAEAIAAAACUBAABkcnMvZTJvRG9jLnhtbFBLBQYAAAAABgAGAFkB&#10;AACABQAAAAA=&#10;">
                            <v:fill on="f" focussize="0,0"/>
                            <v:stroke weight="0.5pt" color="#000000 [3213]" joinstyle="round"/>
                            <v:imagedata o:title=""/>
                            <o:lock v:ext="edit" aspectratio="f"/>
                          </v:line>
                        </w:pict>
                      </mc:Fallback>
                    </mc:AlternateContent>
                  </w:r>
                  <w:r>
                    <w:rPr>
                      <w:b/>
                      <w:bCs/>
                      <w:kern w:val="0"/>
                      <w:szCs w:val="21"/>
                    </w:rPr>
                    <w:t>污染物</w:t>
                  </w:r>
                </w:p>
                <w:p>
                  <w:pPr>
                    <w:adjustRightInd w:val="0"/>
                    <w:snapToGrid w:val="0"/>
                    <w:rPr>
                      <w:b/>
                      <w:bCs/>
                      <w:kern w:val="0"/>
                      <w:szCs w:val="21"/>
                    </w:rPr>
                  </w:pPr>
                  <w:r>
                    <w:rPr>
                      <w:b/>
                      <w:bCs/>
                      <w:kern w:val="0"/>
                      <w:szCs w:val="21"/>
                    </w:rPr>
                    <w:t>项目</w:t>
                  </w:r>
                </w:p>
              </w:tc>
              <w:tc>
                <w:tcPr>
                  <w:tcW w:w="680" w:type="dxa"/>
                  <w:tcBorders>
                    <w:tl2br w:val="nil"/>
                    <w:tr2bl w:val="nil"/>
                  </w:tcBorders>
                  <w:tcMar>
                    <w:top w:w="0" w:type="dxa"/>
                    <w:left w:w="57" w:type="dxa"/>
                    <w:bottom w:w="0" w:type="dxa"/>
                    <w:right w:w="57" w:type="dxa"/>
                  </w:tcMar>
                  <w:vAlign w:val="center"/>
                </w:tcPr>
                <w:p>
                  <w:pPr>
                    <w:adjustRightInd w:val="0"/>
                    <w:snapToGrid w:val="0"/>
                    <w:jc w:val="center"/>
                    <w:rPr>
                      <w:b/>
                      <w:bCs/>
                      <w:szCs w:val="21"/>
                    </w:rPr>
                  </w:pPr>
                  <w:r>
                    <w:rPr>
                      <w:b/>
                      <w:bCs/>
                      <w:szCs w:val="21"/>
                    </w:rPr>
                    <w:t>pH</w:t>
                  </w:r>
                </w:p>
              </w:tc>
              <w:tc>
                <w:tcPr>
                  <w:tcW w:w="997" w:type="dxa"/>
                  <w:tcBorders>
                    <w:tl2br w:val="nil"/>
                    <w:tr2bl w:val="nil"/>
                  </w:tcBorders>
                  <w:tcMar>
                    <w:top w:w="0" w:type="dxa"/>
                    <w:left w:w="57" w:type="dxa"/>
                    <w:bottom w:w="0" w:type="dxa"/>
                    <w:right w:w="57" w:type="dxa"/>
                  </w:tcMar>
                  <w:vAlign w:val="center"/>
                </w:tcPr>
                <w:p>
                  <w:pPr>
                    <w:adjustRightInd w:val="0"/>
                    <w:snapToGrid w:val="0"/>
                    <w:jc w:val="center"/>
                    <w:rPr>
                      <w:b/>
                      <w:bCs/>
                      <w:szCs w:val="21"/>
                    </w:rPr>
                  </w:pPr>
                  <w:r>
                    <w:rPr>
                      <w:b/>
                      <w:bCs/>
                      <w:szCs w:val="21"/>
                    </w:rPr>
                    <w:t>COD</w:t>
                  </w:r>
                </w:p>
              </w:tc>
              <w:tc>
                <w:tcPr>
                  <w:tcW w:w="876" w:type="dxa"/>
                  <w:tcBorders>
                    <w:tl2br w:val="nil"/>
                    <w:tr2bl w:val="nil"/>
                  </w:tcBorders>
                  <w:tcMar>
                    <w:top w:w="0" w:type="dxa"/>
                    <w:left w:w="57" w:type="dxa"/>
                    <w:bottom w:w="0" w:type="dxa"/>
                    <w:right w:w="57" w:type="dxa"/>
                  </w:tcMar>
                  <w:vAlign w:val="center"/>
                </w:tcPr>
                <w:p>
                  <w:pPr>
                    <w:adjustRightInd w:val="0"/>
                    <w:snapToGrid w:val="0"/>
                    <w:jc w:val="center"/>
                    <w:rPr>
                      <w:b/>
                      <w:bCs/>
                      <w:szCs w:val="21"/>
                    </w:rPr>
                  </w:pPr>
                  <w:r>
                    <w:rPr>
                      <w:b/>
                      <w:bCs/>
                      <w:szCs w:val="21"/>
                    </w:rPr>
                    <w:t>SS</w:t>
                  </w:r>
                </w:p>
              </w:tc>
              <w:tc>
                <w:tcPr>
                  <w:tcW w:w="797" w:type="dxa"/>
                  <w:tcBorders>
                    <w:tl2br w:val="nil"/>
                    <w:tr2bl w:val="nil"/>
                  </w:tcBorders>
                  <w:tcMar>
                    <w:top w:w="0" w:type="dxa"/>
                    <w:left w:w="57" w:type="dxa"/>
                    <w:bottom w:w="0" w:type="dxa"/>
                    <w:right w:w="57" w:type="dxa"/>
                  </w:tcMar>
                  <w:vAlign w:val="center"/>
                </w:tcPr>
                <w:p>
                  <w:pPr>
                    <w:adjustRightInd w:val="0"/>
                    <w:snapToGrid w:val="0"/>
                    <w:ind w:firstLine="211" w:firstLineChars="100"/>
                    <w:rPr>
                      <w:b/>
                      <w:bCs/>
                      <w:szCs w:val="21"/>
                    </w:rPr>
                  </w:pPr>
                  <w:r>
                    <w:rPr>
                      <w:rFonts w:hint="eastAsia"/>
                      <w:b/>
                      <w:bCs/>
                      <w:szCs w:val="21"/>
                    </w:rPr>
                    <w:t>氨氮</w:t>
                  </w:r>
                </w:p>
              </w:tc>
              <w:tc>
                <w:tcPr>
                  <w:tcW w:w="1055" w:type="dxa"/>
                  <w:tcBorders>
                    <w:tl2br w:val="nil"/>
                    <w:tr2bl w:val="nil"/>
                  </w:tcBorders>
                  <w:tcMar>
                    <w:top w:w="0" w:type="dxa"/>
                    <w:left w:w="57" w:type="dxa"/>
                    <w:bottom w:w="0" w:type="dxa"/>
                    <w:right w:w="57" w:type="dxa"/>
                  </w:tcMar>
                  <w:vAlign w:val="center"/>
                </w:tcPr>
                <w:p>
                  <w:pPr>
                    <w:adjustRightInd w:val="0"/>
                    <w:snapToGrid w:val="0"/>
                    <w:jc w:val="center"/>
                    <w:rPr>
                      <w:b/>
                      <w:bCs/>
                      <w:szCs w:val="21"/>
                    </w:rPr>
                  </w:pPr>
                  <w:r>
                    <w:rPr>
                      <w:b/>
                      <w:bCs/>
                      <w:szCs w:val="21"/>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58" w:type="dxa"/>
                  <w:vMerge w:val="restart"/>
                  <w:tcBorders>
                    <w:tl2br w:val="nil"/>
                    <w:tr2bl w:val="nil"/>
                  </w:tcBorders>
                  <w:tcMar>
                    <w:top w:w="0" w:type="dxa"/>
                    <w:left w:w="57" w:type="dxa"/>
                    <w:bottom w:w="0" w:type="dxa"/>
                    <w:right w:w="57" w:type="dxa"/>
                  </w:tcMar>
                  <w:vAlign w:val="center"/>
                </w:tcPr>
                <w:p>
                  <w:pPr>
                    <w:adjustRightInd w:val="0"/>
                    <w:snapToGrid w:val="0"/>
                    <w:jc w:val="center"/>
                    <w:rPr>
                      <w:kern w:val="0"/>
                      <w:szCs w:val="21"/>
                    </w:rPr>
                  </w:pPr>
                  <w:r>
                    <w:rPr>
                      <w:rFonts w:hint="eastAsia"/>
                      <w:kern w:val="0"/>
                      <w:szCs w:val="21"/>
                      <w:lang w:eastAsia="zh-CN"/>
                    </w:rPr>
                    <w:t>铝材表面处理废水和清洗废水</w:t>
                  </w:r>
                  <w:r>
                    <w:rPr>
                      <w:szCs w:val="21"/>
                    </w:rPr>
                    <w:t>（</w:t>
                  </w:r>
                  <w:r>
                    <w:rPr>
                      <w:rFonts w:hint="eastAsia"/>
                      <w:szCs w:val="21"/>
                    </w:rPr>
                    <w:t>2</w:t>
                  </w:r>
                  <w:r>
                    <w:rPr>
                      <w:rFonts w:hint="eastAsia"/>
                      <w:szCs w:val="21"/>
                      <w:lang w:val="en-US" w:eastAsia="zh-CN"/>
                    </w:rPr>
                    <w:t>2</w:t>
                  </w:r>
                  <w:r>
                    <w:rPr>
                      <w:rFonts w:hint="eastAsia"/>
                      <w:szCs w:val="21"/>
                    </w:rPr>
                    <w:t>0</w:t>
                  </w:r>
                  <w:r>
                    <w:rPr>
                      <w:szCs w:val="21"/>
                    </w:rPr>
                    <w:t>m</w:t>
                  </w:r>
                  <w:r>
                    <w:rPr>
                      <w:szCs w:val="21"/>
                      <w:vertAlign w:val="superscript"/>
                    </w:rPr>
                    <w:t>3</w:t>
                  </w:r>
                  <w:r>
                    <w:rPr>
                      <w:szCs w:val="21"/>
                    </w:rPr>
                    <w:t>/a）</w:t>
                  </w:r>
                </w:p>
              </w:tc>
              <w:tc>
                <w:tcPr>
                  <w:tcW w:w="2194" w:type="dxa"/>
                  <w:tcBorders>
                    <w:tl2br w:val="nil"/>
                    <w:tr2bl w:val="nil"/>
                  </w:tcBorders>
                  <w:tcMar>
                    <w:top w:w="0" w:type="dxa"/>
                    <w:left w:w="57" w:type="dxa"/>
                    <w:bottom w:w="0" w:type="dxa"/>
                    <w:right w:w="57" w:type="dxa"/>
                  </w:tcMar>
                  <w:vAlign w:val="center"/>
                </w:tcPr>
                <w:p>
                  <w:pPr>
                    <w:adjustRightInd w:val="0"/>
                    <w:snapToGrid w:val="0"/>
                    <w:jc w:val="center"/>
                    <w:rPr>
                      <w:kern w:val="0"/>
                      <w:szCs w:val="21"/>
                    </w:rPr>
                  </w:pPr>
                  <w:r>
                    <w:rPr>
                      <w:kern w:val="0"/>
                      <w:szCs w:val="21"/>
                    </w:rPr>
                    <w:t>产生浓度（mg/L）</w:t>
                  </w:r>
                </w:p>
              </w:tc>
              <w:tc>
                <w:tcPr>
                  <w:tcW w:w="680" w:type="dxa"/>
                  <w:tcBorders>
                    <w:tl2br w:val="nil"/>
                    <w:tr2bl w:val="nil"/>
                  </w:tcBorders>
                  <w:tcMar>
                    <w:top w:w="0" w:type="dxa"/>
                    <w:left w:w="57" w:type="dxa"/>
                    <w:bottom w:w="0" w:type="dxa"/>
                    <w:right w:w="57" w:type="dxa"/>
                  </w:tcMar>
                  <w:vAlign w:val="center"/>
                </w:tcPr>
                <w:p>
                  <w:pPr>
                    <w:adjustRightInd w:val="0"/>
                    <w:snapToGrid w:val="0"/>
                    <w:jc w:val="center"/>
                    <w:rPr>
                      <w:bCs/>
                      <w:szCs w:val="21"/>
                    </w:rPr>
                  </w:pPr>
                  <w:r>
                    <w:rPr>
                      <w:rFonts w:hint="eastAsia"/>
                      <w:bCs/>
                      <w:szCs w:val="21"/>
                    </w:rPr>
                    <w:t>5-6</w:t>
                  </w:r>
                </w:p>
              </w:tc>
              <w:tc>
                <w:tcPr>
                  <w:tcW w:w="997" w:type="dxa"/>
                  <w:tcBorders>
                    <w:tl2br w:val="nil"/>
                    <w:tr2bl w:val="nil"/>
                  </w:tcBorders>
                  <w:tcMar>
                    <w:top w:w="0" w:type="dxa"/>
                    <w:left w:w="57" w:type="dxa"/>
                    <w:bottom w:w="0" w:type="dxa"/>
                    <w:right w:w="57" w:type="dxa"/>
                  </w:tcMar>
                  <w:vAlign w:val="center"/>
                </w:tcPr>
                <w:p>
                  <w:pPr>
                    <w:adjustRightInd w:val="0"/>
                    <w:snapToGrid w:val="0"/>
                    <w:jc w:val="center"/>
                    <w:rPr>
                      <w:szCs w:val="21"/>
                    </w:rPr>
                  </w:pPr>
                  <w:r>
                    <w:rPr>
                      <w:rFonts w:hint="eastAsia" w:eastAsia="仿宋_GB2312"/>
                      <w:kern w:val="0"/>
                      <w:szCs w:val="21"/>
                      <w:lang w:bidi="ar"/>
                    </w:rPr>
                    <w:t>2500</w:t>
                  </w:r>
                </w:p>
              </w:tc>
              <w:tc>
                <w:tcPr>
                  <w:tcW w:w="876" w:type="dxa"/>
                  <w:tcBorders>
                    <w:tl2br w:val="nil"/>
                    <w:tr2bl w:val="nil"/>
                  </w:tcBorders>
                  <w:tcMar>
                    <w:top w:w="0" w:type="dxa"/>
                    <w:left w:w="57" w:type="dxa"/>
                    <w:bottom w:w="0" w:type="dxa"/>
                    <w:right w:w="57" w:type="dxa"/>
                  </w:tcMar>
                  <w:vAlign w:val="center"/>
                </w:tcPr>
                <w:p>
                  <w:pPr>
                    <w:adjustRightInd w:val="0"/>
                    <w:snapToGrid w:val="0"/>
                    <w:jc w:val="center"/>
                    <w:rPr>
                      <w:szCs w:val="21"/>
                    </w:rPr>
                  </w:pPr>
                  <w:r>
                    <w:rPr>
                      <w:rFonts w:hint="eastAsia" w:eastAsia="仿宋_GB2312"/>
                      <w:kern w:val="0"/>
                      <w:szCs w:val="21"/>
                      <w:lang w:bidi="ar"/>
                    </w:rPr>
                    <w:t>500</w:t>
                  </w:r>
                </w:p>
              </w:tc>
              <w:tc>
                <w:tcPr>
                  <w:tcW w:w="797" w:type="dxa"/>
                  <w:tcBorders>
                    <w:tl2br w:val="nil"/>
                    <w:tr2bl w:val="nil"/>
                  </w:tcBorders>
                  <w:tcMar>
                    <w:top w:w="0" w:type="dxa"/>
                    <w:left w:w="57" w:type="dxa"/>
                    <w:bottom w:w="0" w:type="dxa"/>
                    <w:right w:w="57" w:type="dxa"/>
                  </w:tcMar>
                  <w:vAlign w:val="center"/>
                </w:tcPr>
                <w:p>
                  <w:pPr>
                    <w:adjustRightInd w:val="0"/>
                    <w:snapToGrid w:val="0"/>
                    <w:jc w:val="center"/>
                    <w:rPr>
                      <w:szCs w:val="21"/>
                    </w:rPr>
                  </w:pPr>
                  <w:r>
                    <w:rPr>
                      <w:rFonts w:hint="eastAsia" w:eastAsia="仿宋_GB2312"/>
                      <w:kern w:val="0"/>
                      <w:szCs w:val="21"/>
                      <w:lang w:bidi="ar"/>
                    </w:rPr>
                    <w:t>10</w:t>
                  </w:r>
                </w:p>
              </w:tc>
              <w:tc>
                <w:tcPr>
                  <w:tcW w:w="1055" w:type="dxa"/>
                  <w:tcBorders>
                    <w:tl2br w:val="nil"/>
                    <w:tr2bl w:val="nil"/>
                  </w:tcBorders>
                  <w:tcMar>
                    <w:top w:w="0" w:type="dxa"/>
                    <w:left w:w="57" w:type="dxa"/>
                    <w:bottom w:w="0" w:type="dxa"/>
                    <w:right w:w="57" w:type="dxa"/>
                  </w:tcMar>
                  <w:vAlign w:val="center"/>
                </w:tcPr>
                <w:p>
                  <w:pPr>
                    <w:adjustRightInd w:val="0"/>
                    <w:snapToGrid w:val="0"/>
                    <w:jc w:val="center"/>
                    <w:rPr>
                      <w:rFonts w:hint="eastAsia" w:eastAsia="仿宋_GB2312"/>
                      <w:szCs w:val="21"/>
                      <w:lang w:eastAsia="zh-CN"/>
                    </w:rPr>
                  </w:pPr>
                  <w:r>
                    <w:rPr>
                      <w:rFonts w:hint="eastAsia" w:eastAsia="仿宋_GB2312"/>
                      <w:kern w:val="0"/>
                      <w:szCs w:val="21"/>
                      <w:lang w:bidi="ar"/>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58" w:type="dxa"/>
                  <w:vMerge w:val="continue"/>
                  <w:tcBorders>
                    <w:tl2br w:val="nil"/>
                    <w:tr2bl w:val="nil"/>
                  </w:tcBorders>
                  <w:tcMar>
                    <w:top w:w="0" w:type="dxa"/>
                    <w:left w:w="57" w:type="dxa"/>
                    <w:bottom w:w="0" w:type="dxa"/>
                    <w:right w:w="57" w:type="dxa"/>
                  </w:tcMar>
                  <w:vAlign w:val="center"/>
                </w:tcPr>
                <w:p>
                  <w:pPr>
                    <w:adjustRightInd w:val="0"/>
                    <w:snapToGrid w:val="0"/>
                    <w:jc w:val="center"/>
                    <w:rPr>
                      <w:kern w:val="0"/>
                      <w:szCs w:val="21"/>
                    </w:rPr>
                  </w:pPr>
                </w:p>
              </w:tc>
              <w:tc>
                <w:tcPr>
                  <w:tcW w:w="2194" w:type="dxa"/>
                  <w:tcBorders>
                    <w:tl2br w:val="nil"/>
                    <w:tr2bl w:val="nil"/>
                  </w:tcBorders>
                  <w:tcMar>
                    <w:top w:w="0" w:type="dxa"/>
                    <w:left w:w="57" w:type="dxa"/>
                    <w:bottom w:w="0" w:type="dxa"/>
                    <w:right w:w="57" w:type="dxa"/>
                  </w:tcMar>
                  <w:vAlign w:val="center"/>
                </w:tcPr>
                <w:p>
                  <w:pPr>
                    <w:adjustRightInd w:val="0"/>
                    <w:snapToGrid w:val="0"/>
                    <w:jc w:val="center"/>
                    <w:rPr>
                      <w:kern w:val="0"/>
                      <w:szCs w:val="21"/>
                    </w:rPr>
                  </w:pPr>
                  <w:r>
                    <w:rPr>
                      <w:kern w:val="0"/>
                      <w:szCs w:val="21"/>
                    </w:rPr>
                    <w:t>产生量（t/a）</w:t>
                  </w:r>
                </w:p>
              </w:tc>
              <w:tc>
                <w:tcPr>
                  <w:tcW w:w="680" w:type="dxa"/>
                  <w:tcBorders>
                    <w:tl2br w:val="nil"/>
                    <w:tr2bl w:val="nil"/>
                  </w:tcBorders>
                  <w:tcMar>
                    <w:top w:w="0" w:type="dxa"/>
                    <w:left w:w="57" w:type="dxa"/>
                    <w:bottom w:w="0" w:type="dxa"/>
                    <w:right w:w="57" w:type="dxa"/>
                  </w:tcMar>
                  <w:vAlign w:val="center"/>
                </w:tcPr>
                <w:p>
                  <w:pPr>
                    <w:adjustRightInd w:val="0"/>
                    <w:snapToGrid w:val="0"/>
                    <w:jc w:val="center"/>
                    <w:rPr>
                      <w:szCs w:val="21"/>
                    </w:rPr>
                  </w:pPr>
                  <w:r>
                    <w:rPr>
                      <w:szCs w:val="21"/>
                    </w:rPr>
                    <w:t>/</w:t>
                  </w:r>
                </w:p>
              </w:tc>
              <w:tc>
                <w:tcPr>
                  <w:tcW w:w="997" w:type="dxa"/>
                  <w:tcBorders>
                    <w:tl2br w:val="nil"/>
                    <w:tr2bl w:val="nil"/>
                  </w:tcBorders>
                  <w:tcMar>
                    <w:top w:w="0" w:type="dxa"/>
                    <w:left w:w="57" w:type="dxa"/>
                    <w:bottom w:w="0" w:type="dxa"/>
                    <w:right w:w="57" w:type="dxa"/>
                  </w:tcMar>
                  <w:vAlign w:val="center"/>
                </w:tcPr>
                <w:p>
                  <w:pPr>
                    <w:widowControl/>
                    <w:adjustRightInd w:val="0"/>
                    <w:snapToGrid w:val="0"/>
                    <w:jc w:val="center"/>
                    <w:rPr>
                      <w:rFonts w:hint="eastAsia" w:eastAsia="仿宋_GB2312"/>
                      <w:szCs w:val="21"/>
                      <w:lang w:eastAsia="zh-CN"/>
                    </w:rPr>
                  </w:pPr>
                  <w:r>
                    <w:rPr>
                      <w:rFonts w:hint="eastAsia" w:eastAsia="仿宋_GB2312"/>
                      <w:kern w:val="0"/>
                      <w:szCs w:val="21"/>
                      <w:lang w:bidi="ar"/>
                    </w:rPr>
                    <w:t>0.</w:t>
                  </w:r>
                  <w:r>
                    <w:rPr>
                      <w:rFonts w:hint="eastAsia" w:eastAsia="仿宋_GB2312"/>
                      <w:kern w:val="0"/>
                      <w:szCs w:val="21"/>
                      <w:lang w:val="en-US" w:eastAsia="zh-CN" w:bidi="ar"/>
                    </w:rPr>
                    <w:t>5</w:t>
                  </w:r>
                  <w:r>
                    <w:rPr>
                      <w:rFonts w:hint="eastAsia" w:eastAsia="仿宋_GB2312"/>
                      <w:kern w:val="0"/>
                      <w:szCs w:val="21"/>
                      <w:lang w:bidi="ar"/>
                    </w:rPr>
                    <w:t>5</w:t>
                  </w:r>
                </w:p>
              </w:tc>
              <w:tc>
                <w:tcPr>
                  <w:tcW w:w="876" w:type="dxa"/>
                  <w:tcBorders>
                    <w:tl2br w:val="nil"/>
                    <w:tr2bl w:val="nil"/>
                  </w:tcBorders>
                  <w:tcMar>
                    <w:top w:w="0" w:type="dxa"/>
                    <w:left w:w="57" w:type="dxa"/>
                    <w:bottom w:w="0" w:type="dxa"/>
                    <w:right w:w="57" w:type="dxa"/>
                  </w:tcMar>
                  <w:vAlign w:val="center"/>
                </w:tcPr>
                <w:p>
                  <w:pPr>
                    <w:widowControl/>
                    <w:adjustRightInd w:val="0"/>
                    <w:snapToGrid w:val="0"/>
                    <w:jc w:val="center"/>
                    <w:rPr>
                      <w:rFonts w:hint="default" w:eastAsia="仿宋_GB2312"/>
                      <w:szCs w:val="21"/>
                      <w:lang w:val="en-US" w:eastAsia="zh-CN"/>
                    </w:rPr>
                  </w:pPr>
                  <w:r>
                    <w:rPr>
                      <w:rFonts w:hint="eastAsia" w:eastAsia="仿宋_GB2312"/>
                      <w:kern w:val="0"/>
                      <w:szCs w:val="21"/>
                      <w:lang w:val="en-US" w:eastAsia="zh-CN" w:bidi="ar"/>
                    </w:rPr>
                    <w:t>0.11</w:t>
                  </w:r>
                </w:p>
              </w:tc>
              <w:tc>
                <w:tcPr>
                  <w:tcW w:w="797" w:type="dxa"/>
                  <w:tcBorders>
                    <w:tl2br w:val="nil"/>
                    <w:tr2bl w:val="nil"/>
                  </w:tcBorders>
                  <w:tcMar>
                    <w:top w:w="0" w:type="dxa"/>
                    <w:left w:w="57" w:type="dxa"/>
                    <w:bottom w:w="0" w:type="dxa"/>
                    <w:right w:w="57" w:type="dxa"/>
                  </w:tcMar>
                  <w:vAlign w:val="center"/>
                </w:tcPr>
                <w:p>
                  <w:pPr>
                    <w:widowControl/>
                    <w:adjustRightInd w:val="0"/>
                    <w:snapToGrid w:val="0"/>
                    <w:jc w:val="center"/>
                    <w:rPr>
                      <w:rFonts w:hint="eastAsia" w:eastAsia="仿宋_GB2312"/>
                      <w:szCs w:val="21"/>
                      <w:lang w:eastAsia="zh-CN"/>
                    </w:rPr>
                  </w:pPr>
                  <w:r>
                    <w:rPr>
                      <w:rFonts w:eastAsia="仿宋_GB2312"/>
                      <w:kern w:val="0"/>
                      <w:szCs w:val="21"/>
                      <w:lang w:bidi="ar"/>
                    </w:rPr>
                    <w:t>0.00</w:t>
                  </w:r>
                  <w:r>
                    <w:rPr>
                      <w:rFonts w:hint="eastAsia" w:eastAsia="仿宋_GB2312"/>
                      <w:kern w:val="0"/>
                      <w:szCs w:val="21"/>
                      <w:lang w:val="en-US" w:eastAsia="zh-CN" w:bidi="ar"/>
                    </w:rPr>
                    <w:t>2</w:t>
                  </w:r>
                </w:p>
              </w:tc>
              <w:tc>
                <w:tcPr>
                  <w:tcW w:w="1055" w:type="dxa"/>
                  <w:tcBorders>
                    <w:tl2br w:val="nil"/>
                    <w:tr2bl w:val="nil"/>
                  </w:tcBorders>
                  <w:tcMar>
                    <w:top w:w="0" w:type="dxa"/>
                    <w:left w:w="57" w:type="dxa"/>
                    <w:bottom w:w="0" w:type="dxa"/>
                    <w:right w:w="57" w:type="dxa"/>
                  </w:tcMar>
                  <w:vAlign w:val="center"/>
                </w:tcPr>
                <w:p>
                  <w:pPr>
                    <w:widowControl/>
                    <w:adjustRightInd w:val="0"/>
                    <w:snapToGrid w:val="0"/>
                    <w:ind w:firstLine="210" w:firstLineChars="100"/>
                    <w:rPr>
                      <w:rFonts w:hint="eastAsia" w:eastAsia="仿宋_GB2312"/>
                      <w:szCs w:val="21"/>
                      <w:lang w:eastAsia="zh-CN"/>
                    </w:rPr>
                  </w:pPr>
                  <w:r>
                    <w:rPr>
                      <w:rFonts w:hint="eastAsia" w:eastAsia="仿宋_GB2312"/>
                      <w:kern w:val="0"/>
                      <w:szCs w:val="21"/>
                      <w:lang w:bidi="ar"/>
                    </w:rPr>
                    <w:t>0.01</w:t>
                  </w:r>
                  <w:r>
                    <w:rPr>
                      <w:rFonts w:hint="eastAsia" w:eastAsia="仿宋_GB2312"/>
                      <w:kern w:val="0"/>
                      <w:szCs w:val="21"/>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58" w:type="dxa"/>
                  <w:vMerge w:val="continue"/>
                  <w:tcBorders>
                    <w:tl2br w:val="nil"/>
                    <w:tr2bl w:val="nil"/>
                  </w:tcBorders>
                  <w:tcMar>
                    <w:top w:w="0" w:type="dxa"/>
                    <w:left w:w="57" w:type="dxa"/>
                    <w:bottom w:w="0" w:type="dxa"/>
                    <w:right w:w="57" w:type="dxa"/>
                  </w:tcMar>
                  <w:vAlign w:val="center"/>
                </w:tcPr>
                <w:p>
                  <w:pPr>
                    <w:adjustRightInd w:val="0"/>
                    <w:snapToGrid w:val="0"/>
                    <w:jc w:val="center"/>
                    <w:rPr>
                      <w:kern w:val="0"/>
                      <w:szCs w:val="21"/>
                    </w:rPr>
                  </w:pPr>
                </w:p>
              </w:tc>
              <w:tc>
                <w:tcPr>
                  <w:tcW w:w="2194" w:type="dxa"/>
                  <w:tcBorders>
                    <w:tl2br w:val="nil"/>
                    <w:tr2bl w:val="nil"/>
                  </w:tcBorders>
                  <w:tcMar>
                    <w:top w:w="0" w:type="dxa"/>
                    <w:left w:w="57" w:type="dxa"/>
                    <w:bottom w:w="0" w:type="dxa"/>
                    <w:right w:w="57" w:type="dxa"/>
                  </w:tcMar>
                  <w:vAlign w:val="center"/>
                </w:tcPr>
                <w:p>
                  <w:pPr>
                    <w:adjustRightInd w:val="0"/>
                    <w:snapToGrid w:val="0"/>
                    <w:jc w:val="center"/>
                    <w:rPr>
                      <w:kern w:val="0"/>
                      <w:szCs w:val="21"/>
                    </w:rPr>
                  </w:pPr>
                  <w:r>
                    <w:rPr>
                      <w:rFonts w:hint="eastAsia"/>
                      <w:kern w:val="0"/>
                      <w:szCs w:val="21"/>
                    </w:rPr>
                    <w:t>排放</w:t>
                  </w:r>
                  <w:r>
                    <w:rPr>
                      <w:kern w:val="0"/>
                      <w:szCs w:val="21"/>
                    </w:rPr>
                    <w:t>浓度（mg/L）</w:t>
                  </w:r>
                </w:p>
              </w:tc>
              <w:tc>
                <w:tcPr>
                  <w:tcW w:w="680" w:type="dxa"/>
                  <w:tcBorders>
                    <w:tl2br w:val="nil"/>
                    <w:tr2bl w:val="nil"/>
                  </w:tcBorders>
                  <w:tcMar>
                    <w:top w:w="0" w:type="dxa"/>
                    <w:left w:w="57" w:type="dxa"/>
                    <w:bottom w:w="0" w:type="dxa"/>
                    <w:right w:w="57" w:type="dxa"/>
                  </w:tcMar>
                  <w:vAlign w:val="center"/>
                </w:tcPr>
                <w:p>
                  <w:pPr>
                    <w:adjustRightInd w:val="0"/>
                    <w:snapToGrid w:val="0"/>
                    <w:jc w:val="center"/>
                    <w:rPr>
                      <w:szCs w:val="21"/>
                    </w:rPr>
                  </w:pPr>
                  <w:r>
                    <w:rPr>
                      <w:rFonts w:hint="eastAsia"/>
                      <w:bCs/>
                      <w:szCs w:val="21"/>
                    </w:rPr>
                    <w:t>6-9</w:t>
                  </w:r>
                </w:p>
              </w:tc>
              <w:tc>
                <w:tcPr>
                  <w:tcW w:w="997" w:type="dxa"/>
                  <w:tcBorders>
                    <w:tl2br w:val="nil"/>
                    <w:tr2bl w:val="nil"/>
                  </w:tcBorders>
                  <w:tcMar>
                    <w:top w:w="0" w:type="dxa"/>
                    <w:left w:w="57" w:type="dxa"/>
                    <w:bottom w:w="0" w:type="dxa"/>
                    <w:right w:w="57" w:type="dxa"/>
                  </w:tcMar>
                  <w:vAlign w:val="center"/>
                </w:tcPr>
                <w:p>
                  <w:pPr>
                    <w:spacing w:line="240" w:lineRule="exact"/>
                    <w:jc w:val="center"/>
                    <w:rPr>
                      <w:rFonts w:hint="default" w:eastAsia="仿宋_GB2312"/>
                      <w:kern w:val="0"/>
                      <w:szCs w:val="21"/>
                      <w:lang w:val="en-US" w:eastAsia="zh-CN" w:bidi="ar"/>
                    </w:rPr>
                  </w:pPr>
                  <w:r>
                    <w:rPr>
                      <w:rFonts w:hint="eastAsia" w:eastAsia="仿宋_GB2312"/>
                      <w:szCs w:val="21"/>
                      <w:lang w:val="en-US" w:eastAsia="zh-CN"/>
                    </w:rPr>
                    <w:t>7.5</w:t>
                  </w:r>
                </w:p>
              </w:tc>
              <w:tc>
                <w:tcPr>
                  <w:tcW w:w="876" w:type="dxa"/>
                  <w:tcBorders>
                    <w:tl2br w:val="nil"/>
                    <w:tr2bl w:val="nil"/>
                  </w:tcBorders>
                  <w:tcMar>
                    <w:top w:w="0" w:type="dxa"/>
                    <w:left w:w="57" w:type="dxa"/>
                    <w:bottom w:w="0" w:type="dxa"/>
                    <w:right w:w="57" w:type="dxa"/>
                  </w:tcMar>
                  <w:vAlign w:val="center"/>
                </w:tcPr>
                <w:p>
                  <w:pPr>
                    <w:spacing w:line="240" w:lineRule="exact"/>
                    <w:jc w:val="center"/>
                    <w:rPr>
                      <w:rFonts w:hint="default" w:eastAsia="仿宋_GB2312"/>
                      <w:kern w:val="0"/>
                      <w:szCs w:val="21"/>
                      <w:lang w:val="en-US" w:eastAsia="zh-CN" w:bidi="ar"/>
                    </w:rPr>
                  </w:pPr>
                  <w:r>
                    <w:rPr>
                      <w:rFonts w:hint="eastAsia" w:eastAsia="仿宋_GB2312"/>
                      <w:szCs w:val="21"/>
                      <w:lang w:val="en-US" w:eastAsia="zh-CN"/>
                    </w:rPr>
                    <w:t>9</w:t>
                  </w:r>
                </w:p>
              </w:tc>
              <w:tc>
                <w:tcPr>
                  <w:tcW w:w="797" w:type="dxa"/>
                  <w:tcBorders>
                    <w:tl2br w:val="nil"/>
                    <w:tr2bl w:val="nil"/>
                  </w:tcBorders>
                  <w:tcMar>
                    <w:top w:w="0" w:type="dxa"/>
                    <w:left w:w="57" w:type="dxa"/>
                    <w:bottom w:w="0" w:type="dxa"/>
                    <w:right w:w="57" w:type="dxa"/>
                  </w:tcMar>
                  <w:vAlign w:val="center"/>
                </w:tcPr>
                <w:p>
                  <w:pPr>
                    <w:spacing w:line="240" w:lineRule="exact"/>
                    <w:jc w:val="center"/>
                    <w:rPr>
                      <w:rFonts w:hint="default" w:eastAsia="仿宋_GB2312"/>
                      <w:kern w:val="0"/>
                      <w:szCs w:val="21"/>
                      <w:lang w:val="en-US" w:eastAsia="zh-CN" w:bidi="ar"/>
                    </w:rPr>
                  </w:pPr>
                  <w:r>
                    <w:rPr>
                      <w:rFonts w:hint="eastAsia" w:eastAsia="仿宋_GB2312"/>
                      <w:szCs w:val="21"/>
                      <w:lang w:val="en-US" w:eastAsia="zh-CN"/>
                    </w:rPr>
                    <w:t>0.456</w:t>
                  </w:r>
                </w:p>
              </w:tc>
              <w:tc>
                <w:tcPr>
                  <w:tcW w:w="1055" w:type="dxa"/>
                  <w:tcBorders>
                    <w:tl2br w:val="nil"/>
                    <w:tr2bl w:val="nil"/>
                  </w:tcBorders>
                  <w:tcMar>
                    <w:top w:w="0" w:type="dxa"/>
                    <w:left w:w="57" w:type="dxa"/>
                    <w:bottom w:w="0" w:type="dxa"/>
                    <w:right w:w="57" w:type="dxa"/>
                  </w:tcMar>
                  <w:vAlign w:val="center"/>
                </w:tcPr>
                <w:p>
                  <w:pPr>
                    <w:spacing w:line="240" w:lineRule="exact"/>
                    <w:jc w:val="center"/>
                    <w:rPr>
                      <w:rFonts w:hint="eastAsia" w:eastAsia="仿宋_GB2312"/>
                      <w:kern w:val="0"/>
                      <w:szCs w:val="21"/>
                      <w:lang w:eastAsia="zh-CN" w:bidi="ar"/>
                    </w:rPr>
                  </w:pPr>
                  <w:r>
                    <w:rPr>
                      <w:rFonts w:hint="eastAsia" w:eastAsia="仿宋_GB2312"/>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58" w:type="dxa"/>
                  <w:vMerge w:val="continue"/>
                  <w:tcBorders>
                    <w:tl2br w:val="nil"/>
                    <w:tr2bl w:val="nil"/>
                  </w:tcBorders>
                  <w:tcMar>
                    <w:top w:w="0" w:type="dxa"/>
                    <w:left w:w="57" w:type="dxa"/>
                    <w:bottom w:w="0" w:type="dxa"/>
                    <w:right w:w="57" w:type="dxa"/>
                  </w:tcMar>
                  <w:vAlign w:val="center"/>
                </w:tcPr>
                <w:p>
                  <w:pPr>
                    <w:adjustRightInd w:val="0"/>
                    <w:snapToGrid w:val="0"/>
                    <w:jc w:val="center"/>
                    <w:rPr>
                      <w:kern w:val="0"/>
                      <w:szCs w:val="21"/>
                    </w:rPr>
                  </w:pPr>
                </w:p>
              </w:tc>
              <w:tc>
                <w:tcPr>
                  <w:tcW w:w="2194" w:type="dxa"/>
                  <w:tcBorders>
                    <w:tl2br w:val="nil"/>
                    <w:tr2bl w:val="nil"/>
                  </w:tcBorders>
                  <w:tcMar>
                    <w:top w:w="0" w:type="dxa"/>
                    <w:left w:w="57" w:type="dxa"/>
                    <w:bottom w:w="0" w:type="dxa"/>
                    <w:right w:w="57" w:type="dxa"/>
                  </w:tcMar>
                  <w:vAlign w:val="center"/>
                </w:tcPr>
                <w:p>
                  <w:pPr>
                    <w:adjustRightInd w:val="0"/>
                    <w:snapToGrid w:val="0"/>
                    <w:jc w:val="center"/>
                    <w:rPr>
                      <w:kern w:val="0"/>
                      <w:szCs w:val="21"/>
                    </w:rPr>
                  </w:pPr>
                  <w:r>
                    <w:rPr>
                      <w:rFonts w:hint="eastAsia"/>
                      <w:kern w:val="0"/>
                      <w:szCs w:val="21"/>
                    </w:rPr>
                    <w:t>排放</w:t>
                  </w:r>
                  <w:r>
                    <w:rPr>
                      <w:kern w:val="0"/>
                      <w:szCs w:val="21"/>
                    </w:rPr>
                    <w:t>量（t/a）</w:t>
                  </w:r>
                </w:p>
              </w:tc>
              <w:tc>
                <w:tcPr>
                  <w:tcW w:w="680" w:type="dxa"/>
                  <w:tcBorders>
                    <w:tl2br w:val="nil"/>
                    <w:tr2bl w:val="nil"/>
                  </w:tcBorders>
                  <w:tcMar>
                    <w:top w:w="0" w:type="dxa"/>
                    <w:left w:w="57" w:type="dxa"/>
                    <w:bottom w:w="0" w:type="dxa"/>
                    <w:right w:w="57" w:type="dxa"/>
                  </w:tcMar>
                  <w:vAlign w:val="center"/>
                </w:tcPr>
                <w:p>
                  <w:pPr>
                    <w:adjustRightInd w:val="0"/>
                    <w:snapToGrid w:val="0"/>
                    <w:jc w:val="center"/>
                    <w:rPr>
                      <w:szCs w:val="21"/>
                      <w:highlight w:val="none"/>
                    </w:rPr>
                  </w:pPr>
                  <w:r>
                    <w:rPr>
                      <w:rFonts w:hint="eastAsia"/>
                      <w:szCs w:val="21"/>
                      <w:highlight w:val="none"/>
                    </w:rPr>
                    <w:t>/</w:t>
                  </w:r>
                </w:p>
              </w:tc>
              <w:tc>
                <w:tcPr>
                  <w:tcW w:w="997" w:type="dxa"/>
                  <w:tcBorders>
                    <w:tl2br w:val="nil"/>
                    <w:tr2bl w:val="nil"/>
                  </w:tcBorders>
                  <w:tcMar>
                    <w:top w:w="0" w:type="dxa"/>
                    <w:left w:w="57" w:type="dxa"/>
                    <w:bottom w:w="0" w:type="dxa"/>
                    <w:right w:w="57" w:type="dxa"/>
                  </w:tcMar>
                  <w:vAlign w:val="center"/>
                </w:tcPr>
                <w:p>
                  <w:pPr>
                    <w:widowControl/>
                    <w:adjustRightInd w:val="0"/>
                    <w:snapToGrid w:val="0"/>
                    <w:jc w:val="center"/>
                    <w:rPr>
                      <w:rFonts w:hint="default" w:eastAsia="宋体"/>
                      <w:kern w:val="0"/>
                      <w:szCs w:val="21"/>
                      <w:highlight w:val="none"/>
                      <w:lang w:val="en-US" w:eastAsia="zh-CN" w:bidi="ar"/>
                    </w:rPr>
                  </w:pPr>
                  <w:r>
                    <w:rPr>
                      <w:rFonts w:hint="eastAsia"/>
                      <w:kern w:val="0"/>
                      <w:szCs w:val="21"/>
                      <w:highlight w:val="none"/>
                      <w:lang w:val="en-US" w:eastAsia="zh-CN" w:bidi="ar"/>
                    </w:rPr>
                    <w:t>0.002</w:t>
                  </w:r>
                </w:p>
              </w:tc>
              <w:tc>
                <w:tcPr>
                  <w:tcW w:w="876" w:type="dxa"/>
                  <w:tcBorders>
                    <w:tl2br w:val="nil"/>
                    <w:tr2bl w:val="nil"/>
                  </w:tcBorders>
                  <w:tcMar>
                    <w:top w:w="0" w:type="dxa"/>
                    <w:left w:w="57" w:type="dxa"/>
                    <w:bottom w:w="0" w:type="dxa"/>
                    <w:right w:w="57" w:type="dxa"/>
                  </w:tcMar>
                  <w:vAlign w:val="center"/>
                </w:tcPr>
                <w:p>
                  <w:pPr>
                    <w:widowControl/>
                    <w:adjustRightInd w:val="0"/>
                    <w:snapToGrid w:val="0"/>
                    <w:jc w:val="center"/>
                    <w:rPr>
                      <w:rFonts w:hint="default" w:eastAsia="宋体"/>
                      <w:kern w:val="0"/>
                      <w:szCs w:val="21"/>
                      <w:highlight w:val="none"/>
                      <w:lang w:val="en-US" w:eastAsia="zh-CN" w:bidi="ar"/>
                    </w:rPr>
                  </w:pPr>
                  <w:r>
                    <w:rPr>
                      <w:kern w:val="0"/>
                      <w:szCs w:val="21"/>
                      <w:highlight w:val="none"/>
                      <w:lang w:bidi="ar"/>
                    </w:rPr>
                    <w:t>0.00</w:t>
                  </w:r>
                  <w:r>
                    <w:rPr>
                      <w:rFonts w:hint="eastAsia"/>
                      <w:kern w:val="0"/>
                      <w:szCs w:val="21"/>
                      <w:highlight w:val="none"/>
                      <w:lang w:val="en-US" w:eastAsia="zh-CN" w:bidi="ar"/>
                    </w:rPr>
                    <w:t>2</w:t>
                  </w:r>
                </w:p>
              </w:tc>
              <w:tc>
                <w:tcPr>
                  <w:tcW w:w="797" w:type="dxa"/>
                  <w:tcBorders>
                    <w:tl2br w:val="nil"/>
                    <w:tr2bl w:val="nil"/>
                  </w:tcBorders>
                  <w:tcMar>
                    <w:top w:w="0" w:type="dxa"/>
                    <w:left w:w="57" w:type="dxa"/>
                    <w:bottom w:w="0" w:type="dxa"/>
                    <w:right w:w="57" w:type="dxa"/>
                  </w:tcMar>
                  <w:vAlign w:val="center"/>
                </w:tcPr>
                <w:p>
                  <w:pPr>
                    <w:widowControl/>
                    <w:adjustRightInd w:val="0"/>
                    <w:snapToGrid w:val="0"/>
                    <w:jc w:val="center"/>
                    <w:rPr>
                      <w:rFonts w:hint="default" w:eastAsia="宋体"/>
                      <w:kern w:val="0"/>
                      <w:szCs w:val="21"/>
                      <w:highlight w:val="none"/>
                      <w:lang w:val="en-US" w:eastAsia="zh-CN" w:bidi="ar"/>
                    </w:rPr>
                  </w:pPr>
                  <w:r>
                    <w:rPr>
                      <w:kern w:val="0"/>
                      <w:szCs w:val="21"/>
                      <w:highlight w:val="none"/>
                      <w:lang w:bidi="ar"/>
                    </w:rPr>
                    <w:t>0.00</w:t>
                  </w:r>
                  <w:r>
                    <w:rPr>
                      <w:rFonts w:hint="eastAsia"/>
                      <w:kern w:val="0"/>
                      <w:szCs w:val="21"/>
                      <w:highlight w:val="none"/>
                      <w:lang w:val="en-US" w:eastAsia="zh-CN" w:bidi="ar"/>
                    </w:rPr>
                    <w:t>01</w:t>
                  </w:r>
                </w:p>
              </w:tc>
              <w:tc>
                <w:tcPr>
                  <w:tcW w:w="1055" w:type="dxa"/>
                  <w:tcBorders>
                    <w:tl2br w:val="nil"/>
                    <w:tr2bl w:val="nil"/>
                  </w:tcBorders>
                  <w:tcMar>
                    <w:top w:w="0" w:type="dxa"/>
                    <w:left w:w="57" w:type="dxa"/>
                    <w:bottom w:w="0" w:type="dxa"/>
                    <w:right w:w="57" w:type="dxa"/>
                  </w:tcMar>
                  <w:vAlign w:val="center"/>
                </w:tcPr>
                <w:p>
                  <w:pPr>
                    <w:widowControl/>
                    <w:adjustRightInd w:val="0"/>
                    <w:snapToGrid w:val="0"/>
                    <w:jc w:val="center"/>
                    <w:rPr>
                      <w:rFonts w:hint="eastAsia" w:eastAsia="仿宋_GB2312"/>
                      <w:kern w:val="0"/>
                      <w:szCs w:val="21"/>
                      <w:highlight w:val="none"/>
                      <w:lang w:eastAsia="zh-CN" w:bidi="ar"/>
                    </w:rPr>
                  </w:pPr>
                  <w:r>
                    <w:rPr>
                      <w:rFonts w:hint="eastAsia" w:eastAsia="仿宋_GB2312"/>
                      <w:kern w:val="0"/>
                      <w:szCs w:val="21"/>
                      <w:highlight w:val="none"/>
                      <w:lang w:val="en-US" w:eastAsia="zh-CN" w:bidi="ar"/>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4152" w:type="dxa"/>
                  <w:gridSpan w:val="2"/>
                  <w:tcBorders>
                    <w:tl2br w:val="nil"/>
                    <w:tr2bl w:val="nil"/>
                  </w:tcBorders>
                  <w:tcMar>
                    <w:top w:w="0" w:type="dxa"/>
                    <w:left w:w="57" w:type="dxa"/>
                    <w:bottom w:w="0" w:type="dxa"/>
                    <w:right w:w="57" w:type="dxa"/>
                  </w:tcMar>
                  <w:vAlign w:val="center"/>
                </w:tcPr>
                <w:p>
                  <w:pPr>
                    <w:adjustRightInd w:val="0"/>
                    <w:snapToGrid w:val="0"/>
                    <w:jc w:val="center"/>
                    <w:rPr>
                      <w:rFonts w:hint="eastAsia"/>
                      <w:kern w:val="0"/>
                      <w:szCs w:val="21"/>
                    </w:rPr>
                  </w:pPr>
                  <w:r>
                    <w:rPr>
                      <w:rFonts w:hint="eastAsia"/>
                      <w:kern w:val="0"/>
                      <w:szCs w:val="21"/>
                    </w:rPr>
                    <w:t>《城市污水再生利用工业用水水质》</w:t>
                  </w:r>
                  <w:r>
                    <w:rPr>
                      <w:rFonts w:hint="eastAsia"/>
                      <w:kern w:val="0"/>
                      <w:szCs w:val="21"/>
                      <w:lang w:eastAsia="zh-CN"/>
                    </w:rPr>
                    <w:t>（</w:t>
                  </w:r>
                  <w:r>
                    <w:rPr>
                      <w:rFonts w:hint="eastAsia"/>
                      <w:kern w:val="0"/>
                      <w:szCs w:val="21"/>
                    </w:rPr>
                    <w:t>GB/T19923-2005）</w:t>
                  </w:r>
                </w:p>
              </w:tc>
              <w:tc>
                <w:tcPr>
                  <w:tcW w:w="680" w:type="dxa"/>
                  <w:tcBorders>
                    <w:tl2br w:val="nil"/>
                    <w:tr2bl w:val="nil"/>
                  </w:tcBorders>
                  <w:tcMar>
                    <w:top w:w="0" w:type="dxa"/>
                    <w:left w:w="57" w:type="dxa"/>
                    <w:bottom w:w="0" w:type="dxa"/>
                    <w:right w:w="57" w:type="dxa"/>
                  </w:tcMar>
                  <w:vAlign w:val="center"/>
                </w:tcPr>
                <w:p>
                  <w:pPr>
                    <w:adjustRightInd w:val="0"/>
                    <w:snapToGrid w:val="0"/>
                    <w:jc w:val="center"/>
                    <w:rPr>
                      <w:rFonts w:hint="eastAsia"/>
                      <w:kern w:val="0"/>
                      <w:szCs w:val="21"/>
                    </w:rPr>
                  </w:pPr>
                  <w:r>
                    <w:rPr>
                      <w:rFonts w:hint="eastAsia"/>
                      <w:kern w:val="0"/>
                      <w:szCs w:val="21"/>
                    </w:rPr>
                    <w:t>6.5-9</w:t>
                  </w:r>
                </w:p>
              </w:tc>
              <w:tc>
                <w:tcPr>
                  <w:tcW w:w="997" w:type="dxa"/>
                  <w:tcBorders>
                    <w:tl2br w:val="nil"/>
                    <w:tr2bl w:val="nil"/>
                  </w:tcBorders>
                  <w:tcMar>
                    <w:top w:w="0" w:type="dxa"/>
                    <w:left w:w="57" w:type="dxa"/>
                    <w:bottom w:w="0" w:type="dxa"/>
                    <w:right w:w="57" w:type="dxa"/>
                  </w:tcMar>
                  <w:vAlign w:val="center"/>
                </w:tcPr>
                <w:p>
                  <w:pPr>
                    <w:adjustRightInd w:val="0"/>
                    <w:snapToGrid w:val="0"/>
                    <w:jc w:val="center"/>
                    <w:rPr>
                      <w:rFonts w:hint="eastAsia"/>
                      <w:kern w:val="0"/>
                      <w:szCs w:val="21"/>
                    </w:rPr>
                  </w:pPr>
                  <w:r>
                    <w:rPr>
                      <w:rFonts w:hint="eastAsia"/>
                      <w:kern w:val="0"/>
                      <w:szCs w:val="21"/>
                    </w:rPr>
                    <w:t>-</w:t>
                  </w:r>
                </w:p>
              </w:tc>
              <w:tc>
                <w:tcPr>
                  <w:tcW w:w="876" w:type="dxa"/>
                  <w:tcBorders>
                    <w:tl2br w:val="nil"/>
                    <w:tr2bl w:val="nil"/>
                  </w:tcBorders>
                  <w:tcMar>
                    <w:top w:w="0" w:type="dxa"/>
                    <w:left w:w="57" w:type="dxa"/>
                    <w:bottom w:w="0" w:type="dxa"/>
                    <w:right w:w="57" w:type="dxa"/>
                  </w:tcMar>
                  <w:vAlign w:val="center"/>
                </w:tcPr>
                <w:p>
                  <w:pPr>
                    <w:adjustRightInd w:val="0"/>
                    <w:snapToGrid w:val="0"/>
                    <w:jc w:val="center"/>
                    <w:rPr>
                      <w:rFonts w:hint="eastAsia"/>
                      <w:kern w:val="0"/>
                      <w:szCs w:val="21"/>
                    </w:rPr>
                  </w:pPr>
                  <w:r>
                    <w:rPr>
                      <w:rFonts w:hint="eastAsia"/>
                      <w:kern w:val="0"/>
                      <w:szCs w:val="21"/>
                    </w:rPr>
                    <w:t>≤30</w:t>
                  </w:r>
                </w:p>
              </w:tc>
              <w:tc>
                <w:tcPr>
                  <w:tcW w:w="797" w:type="dxa"/>
                  <w:tcBorders>
                    <w:tl2br w:val="nil"/>
                    <w:tr2bl w:val="nil"/>
                  </w:tcBorders>
                  <w:tcMar>
                    <w:top w:w="0" w:type="dxa"/>
                    <w:left w:w="57" w:type="dxa"/>
                    <w:bottom w:w="0" w:type="dxa"/>
                    <w:right w:w="57" w:type="dxa"/>
                  </w:tcMar>
                  <w:vAlign w:val="center"/>
                </w:tcPr>
                <w:p>
                  <w:pPr>
                    <w:adjustRightInd w:val="0"/>
                    <w:snapToGrid w:val="0"/>
                    <w:jc w:val="center"/>
                    <w:rPr>
                      <w:rFonts w:hint="eastAsia"/>
                      <w:kern w:val="0"/>
                      <w:szCs w:val="21"/>
                    </w:rPr>
                  </w:pPr>
                  <w:r>
                    <w:rPr>
                      <w:rFonts w:hint="eastAsia"/>
                      <w:kern w:val="0"/>
                      <w:szCs w:val="21"/>
                    </w:rPr>
                    <w:t>-</w:t>
                  </w:r>
                </w:p>
              </w:tc>
              <w:tc>
                <w:tcPr>
                  <w:tcW w:w="1055" w:type="dxa"/>
                  <w:tcBorders>
                    <w:tl2br w:val="nil"/>
                    <w:tr2bl w:val="nil"/>
                  </w:tcBorders>
                  <w:tcMar>
                    <w:top w:w="0" w:type="dxa"/>
                    <w:left w:w="57" w:type="dxa"/>
                    <w:bottom w:w="0" w:type="dxa"/>
                    <w:right w:w="57" w:type="dxa"/>
                  </w:tcMar>
                  <w:vAlign w:val="center"/>
                </w:tcPr>
                <w:p>
                  <w:pPr>
                    <w:adjustRightInd w:val="0"/>
                    <w:snapToGrid w:val="0"/>
                    <w:jc w:val="center"/>
                    <w:rPr>
                      <w:rFonts w:hint="eastAsia"/>
                      <w:kern w:val="0"/>
                      <w:szCs w:val="21"/>
                    </w:rPr>
                  </w:pPr>
                  <w:r>
                    <w:rPr>
                      <w:rFonts w:hint="eastAsia"/>
                      <w:kern w:val="0"/>
                      <w:szCs w:val="21"/>
                    </w:rPr>
                    <w:t>-</w:t>
                  </w:r>
                </w:p>
              </w:tc>
            </w:tr>
          </w:tbl>
          <w:p>
            <w:pPr>
              <w:widowControl/>
              <w:adjustRightInd w:val="0"/>
              <w:snapToGrid w:val="0"/>
              <w:spacing w:line="360" w:lineRule="auto"/>
              <w:ind w:firstLine="482" w:firstLineChars="200"/>
              <w:contextualSpacing/>
              <w:rPr>
                <w:b/>
                <w:sz w:val="24"/>
              </w:rPr>
            </w:pPr>
            <w:r>
              <w:rPr>
                <w:rFonts w:hint="eastAsia"/>
                <w:b/>
                <w:sz w:val="24"/>
              </w:rPr>
              <w:t>3、处理措施可行性分析</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1）生产废水</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lang w:eastAsia="zh-CN"/>
              </w:rPr>
              <w:t>项目</w:t>
            </w:r>
            <w:r>
              <w:rPr>
                <w:rFonts w:hint="eastAsia" w:ascii="Times New Roman" w:hAnsi="Times New Roman" w:cs="Times New Roman"/>
                <w:sz w:val="24"/>
                <w:szCs w:val="32"/>
              </w:rPr>
              <w:t>拟在</w:t>
            </w:r>
            <w:r>
              <w:rPr>
                <w:rFonts w:hint="eastAsia" w:ascii="Times New Roman" w:hAnsi="Times New Roman" w:cs="Times New Roman"/>
                <w:sz w:val="24"/>
                <w:szCs w:val="32"/>
                <w:lang w:val="en-US" w:eastAsia="zh-CN"/>
              </w:rPr>
              <w:t>铝材</w:t>
            </w:r>
            <w:r>
              <w:rPr>
                <w:rFonts w:hint="eastAsia" w:ascii="Times New Roman" w:hAnsi="Times New Roman" w:cs="Times New Roman"/>
                <w:sz w:val="24"/>
                <w:szCs w:val="32"/>
              </w:rPr>
              <w:t>表面处理区西北侧设一套污水处理设施，处理</w:t>
            </w:r>
            <w:r>
              <w:rPr>
                <w:rFonts w:hint="eastAsia" w:ascii="Times New Roman" w:hAnsi="Times New Roman" w:cs="Times New Roman"/>
                <w:sz w:val="24"/>
                <w:szCs w:val="32"/>
                <w:lang w:val="en-US" w:eastAsia="zh-CN"/>
              </w:rPr>
              <w:t>铝材表面</w:t>
            </w:r>
            <w:r>
              <w:rPr>
                <w:rFonts w:hint="eastAsia" w:ascii="Times New Roman" w:hAnsi="Times New Roman" w:cs="Times New Roman"/>
                <w:sz w:val="24"/>
                <w:szCs w:val="32"/>
              </w:rPr>
              <w:t>处理</w:t>
            </w:r>
            <w:r>
              <w:rPr>
                <w:rFonts w:hint="eastAsia" w:ascii="Times New Roman" w:hAnsi="Times New Roman" w:cs="Times New Roman"/>
                <w:sz w:val="24"/>
                <w:szCs w:val="32"/>
                <w:lang w:val="en-US" w:eastAsia="zh-CN"/>
              </w:rPr>
              <w:t>铝材表面处理废水和清洗废水</w:t>
            </w:r>
            <w:r>
              <w:rPr>
                <w:rFonts w:hint="eastAsia" w:ascii="Times New Roman" w:hAnsi="Times New Roman" w:cs="Times New Roman"/>
                <w:sz w:val="24"/>
                <w:szCs w:val="32"/>
              </w:rPr>
              <w:t>。污水处理设施规模为16m</w:t>
            </w:r>
            <w:r>
              <w:rPr>
                <w:rFonts w:hint="eastAsia" w:ascii="Times New Roman" w:hAnsi="Times New Roman" w:cs="Times New Roman"/>
                <w:sz w:val="24"/>
                <w:szCs w:val="32"/>
                <w:vertAlign w:val="superscript"/>
              </w:rPr>
              <w:t>3</w:t>
            </w:r>
            <w:r>
              <w:rPr>
                <w:rFonts w:hint="eastAsia" w:ascii="Times New Roman" w:hAnsi="Times New Roman" w:cs="Times New Roman"/>
                <w:sz w:val="24"/>
                <w:szCs w:val="32"/>
              </w:rPr>
              <w:t>/d。</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工艺流程说明：</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（1）废水收集桶：针对废水水量波动大而设置，用于进行水量调节，先将预</w:t>
            </w:r>
            <w:r>
              <w:rPr>
                <w:rFonts w:hint="eastAsia" w:ascii="Times New Roman" w:hAnsi="Times New Roman" w:cs="Times New Roman"/>
                <w:sz w:val="24"/>
                <w:szCs w:val="32"/>
                <w:lang w:eastAsia="zh-CN"/>
              </w:rPr>
              <w:t>处理和</w:t>
            </w:r>
            <w:r>
              <w:rPr>
                <w:rFonts w:hint="eastAsia" w:ascii="Times New Roman" w:hAnsi="Times New Roman" w:cs="Times New Roman"/>
                <w:sz w:val="24"/>
                <w:szCs w:val="32"/>
              </w:rPr>
              <w:t>清洗槽产生的废水进行收集，后统一进入污水反应池进行加药处理，从而保证废水处理设备正常运行；</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（2）调节池：</w:t>
            </w:r>
            <w:r>
              <w:rPr>
                <w:rFonts w:ascii="Times New Roman" w:hAnsi="Times New Roman" w:cs="Times New Roman"/>
                <w:sz w:val="24"/>
                <w:szCs w:val="32"/>
              </w:rPr>
              <w:t>经提升泵提升进入</w:t>
            </w:r>
            <w:r>
              <w:rPr>
                <w:rFonts w:hint="eastAsia" w:ascii="Times New Roman" w:hAnsi="Times New Roman" w:cs="Times New Roman"/>
                <w:sz w:val="24"/>
                <w:szCs w:val="32"/>
              </w:rPr>
              <w:t>中和调节池内</w:t>
            </w:r>
            <w:r>
              <w:rPr>
                <w:rFonts w:ascii="Times New Roman" w:hAnsi="Times New Roman" w:cs="Times New Roman"/>
                <w:sz w:val="24"/>
                <w:szCs w:val="32"/>
              </w:rPr>
              <w:t>，</w:t>
            </w:r>
            <w:r>
              <w:rPr>
                <w:rFonts w:hint="eastAsia" w:ascii="Times New Roman" w:hAnsi="Times New Roman" w:cs="Times New Roman"/>
                <w:sz w:val="24"/>
                <w:szCs w:val="32"/>
              </w:rPr>
              <w:t>根据</w:t>
            </w:r>
            <w:r>
              <w:rPr>
                <w:rFonts w:hint="eastAsia" w:cs="Times New Roman"/>
                <w:sz w:val="24"/>
                <w:szCs w:val="32"/>
              </w:rPr>
              <w:t>废水</w:t>
            </w:r>
            <w:r>
              <w:rPr>
                <w:rFonts w:hint="eastAsia" w:ascii="Times New Roman" w:hAnsi="Times New Roman" w:cs="Times New Roman"/>
                <w:sz w:val="24"/>
                <w:szCs w:val="32"/>
              </w:rPr>
              <w:t>酸碱性</w:t>
            </w:r>
            <w:r>
              <w:rPr>
                <w:rFonts w:ascii="Times New Roman" w:hAnsi="Times New Roman" w:cs="Times New Roman"/>
                <w:sz w:val="24"/>
                <w:szCs w:val="32"/>
              </w:rPr>
              <w:t>向</w:t>
            </w:r>
            <w:r>
              <w:rPr>
                <w:rFonts w:hint="eastAsia" w:ascii="Times New Roman" w:hAnsi="Times New Roman" w:cs="Times New Roman"/>
                <w:sz w:val="24"/>
                <w:szCs w:val="32"/>
              </w:rPr>
              <w:t>中和调节池</w:t>
            </w:r>
            <w:r>
              <w:rPr>
                <w:rFonts w:ascii="Times New Roman" w:hAnsi="Times New Roman" w:cs="Times New Roman"/>
                <w:sz w:val="24"/>
                <w:szCs w:val="32"/>
              </w:rPr>
              <w:t>内投加</w:t>
            </w:r>
            <w:r>
              <w:rPr>
                <w:rFonts w:hint="eastAsia" w:ascii="Times New Roman" w:hAnsi="Times New Roman" w:cs="Times New Roman"/>
                <w:sz w:val="24"/>
                <w:szCs w:val="32"/>
              </w:rPr>
              <w:t>酸或</w:t>
            </w:r>
            <w:r>
              <w:rPr>
                <w:rFonts w:ascii="Times New Roman" w:hAnsi="Times New Roman" w:cs="Times New Roman"/>
                <w:sz w:val="24"/>
                <w:szCs w:val="32"/>
              </w:rPr>
              <w:t>碱</w:t>
            </w:r>
            <w:r>
              <w:rPr>
                <w:rFonts w:hint="eastAsia" w:ascii="Times New Roman" w:hAnsi="Times New Roman" w:cs="Times New Roman"/>
                <w:sz w:val="24"/>
                <w:szCs w:val="32"/>
              </w:rPr>
              <w:t>，调节pH。</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（3）絮凝池：中和后的</w:t>
            </w:r>
            <w:r>
              <w:rPr>
                <w:rFonts w:hint="eastAsia" w:cs="Times New Roman"/>
                <w:sz w:val="24"/>
                <w:szCs w:val="32"/>
              </w:rPr>
              <w:t>废水</w:t>
            </w:r>
            <w:r>
              <w:rPr>
                <w:rFonts w:hint="eastAsia" w:ascii="Times New Roman" w:hAnsi="Times New Roman" w:cs="Times New Roman"/>
                <w:sz w:val="24"/>
                <w:szCs w:val="32"/>
              </w:rPr>
              <w:t>自流到絮凝池内，依次分别向沉淀池内投加</w:t>
            </w:r>
            <w:r>
              <w:rPr>
                <w:rFonts w:ascii="Times New Roman" w:hAnsi="Times New Roman" w:cs="Times New Roman"/>
                <w:sz w:val="24"/>
                <w:szCs w:val="32"/>
              </w:rPr>
              <w:t>絮凝剂(PAC)、助凝剂（PAM）及</w:t>
            </w:r>
            <w:r>
              <w:rPr>
                <w:rFonts w:hint="eastAsia" w:ascii="Times New Roman" w:hAnsi="Times New Roman" w:cs="Times New Roman"/>
                <w:sz w:val="24"/>
                <w:szCs w:val="32"/>
              </w:rPr>
              <w:t>钙盐等</w:t>
            </w:r>
            <w:r>
              <w:rPr>
                <w:rFonts w:ascii="Times New Roman" w:hAnsi="Times New Roman" w:cs="Times New Roman"/>
                <w:sz w:val="24"/>
                <w:szCs w:val="32"/>
              </w:rPr>
              <w:t>药剂，经机械搅拌反应，</w:t>
            </w:r>
            <w:r>
              <w:rPr>
                <w:rFonts w:hint="eastAsia" w:ascii="Times New Roman" w:hAnsi="Times New Roman" w:cs="Times New Roman"/>
                <w:sz w:val="24"/>
                <w:szCs w:val="32"/>
              </w:rPr>
              <w:t>絮凝</w:t>
            </w:r>
            <w:r>
              <w:rPr>
                <w:rFonts w:ascii="Times New Roman" w:hAnsi="Times New Roman" w:cs="Times New Roman"/>
                <w:sz w:val="24"/>
                <w:szCs w:val="32"/>
              </w:rPr>
              <w:t>产生难溶性的金属氢氧化物</w:t>
            </w:r>
            <w:r>
              <w:rPr>
                <w:rFonts w:hint="eastAsia" w:ascii="Times New Roman" w:hAnsi="Times New Roman" w:cs="Times New Roman"/>
                <w:sz w:val="24"/>
                <w:szCs w:val="32"/>
              </w:rPr>
              <w:t>；</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（4）沉淀池：</w:t>
            </w:r>
            <w:r>
              <w:rPr>
                <w:rFonts w:ascii="Times New Roman" w:hAnsi="Times New Roman" w:cs="Times New Roman"/>
                <w:sz w:val="24"/>
                <w:szCs w:val="32"/>
              </w:rPr>
              <w:t>通过斜管沉淀器中的斜管填料，利用“浅池原理”将水中</w:t>
            </w:r>
            <w:r>
              <w:rPr>
                <w:rFonts w:hint="eastAsia" w:ascii="Times New Roman" w:hAnsi="Times New Roman" w:cs="Times New Roman"/>
                <w:sz w:val="24"/>
                <w:szCs w:val="32"/>
              </w:rPr>
              <w:t>絮凝物</w:t>
            </w:r>
            <w:r>
              <w:rPr>
                <w:rFonts w:ascii="Times New Roman" w:hAnsi="Times New Roman" w:cs="Times New Roman"/>
                <w:sz w:val="24"/>
                <w:szCs w:val="32"/>
              </w:rPr>
              <w:t>进行沉淀</w:t>
            </w:r>
            <w:r>
              <w:rPr>
                <w:rFonts w:hint="eastAsia" w:ascii="Times New Roman" w:hAnsi="Times New Roman" w:cs="Times New Roman"/>
                <w:sz w:val="24"/>
                <w:szCs w:val="32"/>
              </w:rPr>
              <w:t>分离，污泥沉淀到</w:t>
            </w:r>
            <w:r>
              <w:rPr>
                <w:rFonts w:ascii="Times New Roman" w:hAnsi="Times New Roman" w:cs="Times New Roman"/>
                <w:sz w:val="24"/>
                <w:szCs w:val="32"/>
              </w:rPr>
              <w:t>底部，作为污泥</w:t>
            </w:r>
            <w:r>
              <w:rPr>
                <w:rFonts w:hint="eastAsia" w:ascii="Times New Roman" w:hAnsi="Times New Roman" w:cs="Times New Roman"/>
                <w:sz w:val="24"/>
                <w:szCs w:val="32"/>
              </w:rPr>
              <w:t>管排至污泥池内；污水进入反应池；</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（5）压滤机：污泥池的污水通过压滤机压滤使絮凝的沉渣同水分离，水进入废水收集池储存，滤渣收集后暂存于危废贮存库，后交有资质单位处置；</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（6）反应池：反应池水再次进行监测，判断是否需要再次添加试剂进行处理；</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处理后的污水进入气浮机；</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（7）气浮机：在水中产生大量的微细气泡，使空气以高度分散的微小气泡形式附着在</w:t>
            </w:r>
            <w:r>
              <w:fldChar w:fldCharType="begin"/>
            </w:r>
            <w:r>
              <w:instrText xml:space="preserve"> HYPERLINK "https://baike.baidu.com/item/%E6%82%AC%E6%B5%AE%E7%89%A9/7679918?fromModule=lemma_inlink" \t "https://baike.baidu.com/item/%E6%B0%94%E6%B5%AE%E6%9C%BA/_blank" </w:instrText>
            </w:r>
            <w:r>
              <w:fldChar w:fldCharType="separate"/>
            </w:r>
            <w:r>
              <w:rPr>
                <w:rFonts w:ascii="Times New Roman" w:hAnsi="Times New Roman" w:cs="Times New Roman"/>
                <w:sz w:val="24"/>
                <w:szCs w:val="32"/>
              </w:rPr>
              <w:t>悬浮物</w:t>
            </w:r>
            <w:r>
              <w:rPr>
                <w:rFonts w:ascii="Times New Roman" w:hAnsi="Times New Roman" w:cs="Times New Roman"/>
                <w:sz w:val="24"/>
                <w:szCs w:val="32"/>
              </w:rPr>
              <w:fldChar w:fldCharType="end"/>
            </w:r>
            <w:r>
              <w:rPr>
                <w:rFonts w:ascii="Times New Roman" w:hAnsi="Times New Roman" w:cs="Times New Roman"/>
                <w:sz w:val="24"/>
                <w:szCs w:val="32"/>
              </w:rPr>
              <w:t>颗粒上，造成密度小于水的状态，利用浮力原理使其浮在水面，从而实现固-液分离</w:t>
            </w:r>
            <w:r>
              <w:rPr>
                <w:rFonts w:hint="eastAsia" w:ascii="Times New Roman" w:hAnsi="Times New Roman" w:cs="Times New Roman"/>
                <w:sz w:val="24"/>
                <w:szCs w:val="32"/>
              </w:rPr>
              <w:t>。</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（8）活性炭过滤：清水池中的水通过活性炭过滤罐，利用活性炭的物理吸附、化学吸附、氧化、催化氧化和还原等性能去除废水中污染物；</w:t>
            </w:r>
          </w:p>
          <w:p>
            <w:pPr>
              <w:pStyle w:val="14"/>
              <w:spacing w:line="360" w:lineRule="auto"/>
              <w:ind w:firstLine="480" w:firstLineChars="200"/>
              <w:rPr>
                <w:rFonts w:ascii="Times New Roman" w:hAnsi="Times New Roman" w:cs="Times New Roman"/>
                <w:sz w:val="24"/>
                <w:szCs w:val="32"/>
              </w:rPr>
            </w:pPr>
            <w:r>
              <w:rPr>
                <w:rFonts w:hint="eastAsia" w:ascii="Times New Roman" w:hAnsi="Times New Roman" w:cs="Times New Roman"/>
                <w:sz w:val="24"/>
                <w:szCs w:val="32"/>
              </w:rPr>
              <w:t>（9）石英砂过滤：经活性炭过滤罐处理后的水再通过石英砂过滤罐，利用石英砂作为过滤介质，在一定的压力下，把浊度较高的水通过一定厚度的石英砂过滤，有效的截留除去水中的悬浮物、有机物、胶质颗粒、微生物、氯、嗅味及部分重金属离子等，出水直接回用于中间水桶。</w:t>
            </w:r>
          </w:p>
          <w:p>
            <w:pPr>
              <w:adjustRightInd w:val="0"/>
              <w:snapToGrid w:val="0"/>
              <w:spacing w:line="360" w:lineRule="auto"/>
              <w:ind w:firstLine="480" w:firstLineChars="200"/>
              <w:rPr>
                <w:sz w:val="24"/>
                <w:szCs w:val="32"/>
              </w:rPr>
            </w:pPr>
            <w:r>
              <w:rPr>
                <w:rFonts w:hint="eastAsia"/>
                <w:sz w:val="24"/>
                <w:szCs w:val="32"/>
              </w:rPr>
              <w:t>（10）反渗透：</w:t>
            </w:r>
            <w:r>
              <w:rPr>
                <w:sz w:val="24"/>
                <w:szCs w:val="32"/>
              </w:rPr>
              <w:t>多</w:t>
            </w:r>
            <w:r>
              <w:rPr>
                <w:rFonts w:hint="eastAsia"/>
                <w:sz w:val="24"/>
                <w:szCs w:val="32"/>
              </w:rPr>
              <w:t>介质</w:t>
            </w:r>
            <w:r>
              <w:rPr>
                <w:sz w:val="24"/>
                <w:szCs w:val="32"/>
              </w:rPr>
              <w:t>过滤系统出水</w:t>
            </w:r>
            <w:r>
              <w:rPr>
                <w:rFonts w:hint="eastAsia"/>
                <w:sz w:val="24"/>
                <w:szCs w:val="32"/>
              </w:rPr>
              <w:t>再经过RO-反渗透装置（一级）再次过滤，纯水送至纯水桶回用至清洗池；浓水送至浓水桶，回用于脱脂槽、钝化槽。</w:t>
            </w:r>
          </w:p>
          <w:p>
            <w:pPr>
              <w:pStyle w:val="14"/>
              <w:spacing w:line="360" w:lineRule="auto"/>
              <w:ind w:firstLine="480" w:firstLineChars="200"/>
              <w:rPr>
                <w:rFonts w:hint="eastAsia" w:ascii="Times New Roman" w:hAnsi="Times New Roman" w:cs="Times New Roman"/>
                <w:sz w:val="24"/>
                <w:szCs w:val="32"/>
              </w:rPr>
            </w:pPr>
            <w:r>
              <w:rPr>
                <w:rFonts w:hint="eastAsia" w:ascii="Times New Roman" w:hAnsi="Times New Roman" w:cs="Times New Roman"/>
                <w:sz w:val="24"/>
                <w:szCs w:val="32"/>
                <w:lang w:eastAsia="zh-CN"/>
              </w:rPr>
              <w:t>项目</w:t>
            </w:r>
            <w:r>
              <w:rPr>
                <w:rFonts w:hint="eastAsia" w:ascii="Times New Roman" w:hAnsi="Times New Roman" w:cs="Times New Roman"/>
                <w:sz w:val="24"/>
                <w:szCs w:val="32"/>
              </w:rPr>
              <w:t>前处理工段日产生废水0.83</w:t>
            </w:r>
            <w:r>
              <w:rPr>
                <w:rFonts w:hint="eastAsia" w:ascii="Times New Roman" w:hAnsi="Times New Roman" w:cs="Times New Roman"/>
                <w:sz w:val="24"/>
                <w:szCs w:val="32"/>
                <w:lang w:val="en-US" w:eastAsia="zh-CN"/>
              </w:rPr>
              <w:t>2</w:t>
            </w:r>
            <w:r>
              <w:rPr>
                <w:rFonts w:hint="eastAsia" w:ascii="Times New Roman" w:hAnsi="Times New Roman" w:cs="Times New Roman"/>
                <w:sz w:val="24"/>
                <w:szCs w:val="32"/>
              </w:rPr>
              <w:t>m</w:t>
            </w:r>
            <w:r>
              <w:rPr>
                <w:rFonts w:hint="eastAsia" w:ascii="Times New Roman" w:hAnsi="Times New Roman" w:cs="Times New Roman"/>
                <w:sz w:val="24"/>
                <w:szCs w:val="32"/>
                <w:vertAlign w:val="superscript"/>
              </w:rPr>
              <w:t>3</w:t>
            </w:r>
            <w:r>
              <w:rPr>
                <w:rFonts w:hint="eastAsia" w:ascii="Times New Roman" w:hAnsi="Times New Roman" w:cs="Times New Roman"/>
                <w:sz w:val="24"/>
                <w:szCs w:val="32"/>
              </w:rPr>
              <w:t>/d。污水收集桶体积约15m</w:t>
            </w:r>
            <w:r>
              <w:rPr>
                <w:rFonts w:hint="eastAsia" w:ascii="Times New Roman" w:hAnsi="Times New Roman" w:cs="Times New Roman"/>
                <w:sz w:val="24"/>
                <w:szCs w:val="32"/>
                <w:vertAlign w:val="superscript"/>
              </w:rPr>
              <w:t>3</w:t>
            </w:r>
            <w:r>
              <w:rPr>
                <w:rFonts w:hint="eastAsia" w:ascii="Times New Roman" w:hAnsi="Times New Roman" w:cs="Times New Roman"/>
                <w:sz w:val="24"/>
                <w:szCs w:val="32"/>
              </w:rPr>
              <w:t>，根据建设单位提供资料，污水收集桶中约收集10m</w:t>
            </w:r>
            <w:r>
              <w:rPr>
                <w:rFonts w:hint="eastAsia" w:ascii="Times New Roman" w:hAnsi="Times New Roman" w:cs="Times New Roman"/>
                <w:sz w:val="24"/>
                <w:szCs w:val="32"/>
                <w:vertAlign w:val="superscript"/>
              </w:rPr>
              <w:t>3</w:t>
            </w:r>
            <w:r>
              <w:rPr>
                <w:rFonts w:hint="eastAsia" w:ascii="Times New Roman" w:hAnsi="Times New Roman" w:cs="Times New Roman"/>
                <w:sz w:val="24"/>
                <w:szCs w:val="32"/>
              </w:rPr>
              <w:t>污水时，进行处理，项目污水处理规模16m</w:t>
            </w:r>
            <w:r>
              <w:rPr>
                <w:rFonts w:hint="eastAsia" w:ascii="Times New Roman" w:hAnsi="Times New Roman" w:cs="Times New Roman"/>
                <w:sz w:val="24"/>
                <w:szCs w:val="32"/>
                <w:vertAlign w:val="superscript"/>
              </w:rPr>
              <w:t>3</w:t>
            </w:r>
            <w:r>
              <w:rPr>
                <w:rFonts w:hint="eastAsia" w:ascii="Times New Roman" w:hAnsi="Times New Roman" w:cs="Times New Roman"/>
                <w:sz w:val="24"/>
                <w:szCs w:val="32"/>
              </w:rPr>
              <w:t>，该污水处理设施规模可满足废水产生量。</w:t>
            </w:r>
          </w:p>
          <w:p>
            <w:pPr>
              <w:adjustRightInd w:val="0"/>
              <w:snapToGrid w:val="0"/>
              <w:spacing w:line="360" w:lineRule="auto"/>
              <w:ind w:firstLine="480" w:firstLineChars="200"/>
              <w:rPr>
                <w:rFonts w:hint="eastAsia"/>
                <w:sz w:val="24"/>
                <w:szCs w:val="32"/>
              </w:rPr>
            </w:pPr>
            <w:r>
              <w:rPr>
                <w:rFonts w:hint="eastAsia"/>
                <w:sz w:val="24"/>
                <w:szCs w:val="32"/>
              </w:rPr>
              <w:t>参考</w:t>
            </w:r>
            <w:r>
              <w:rPr>
                <w:rFonts w:hint="eastAsia"/>
                <w:sz w:val="24"/>
              </w:rPr>
              <w:t>《排污许可证申请与核发技术规范金属铸造工业》（HJ1115—2020)，全厂废水（含生产废水、生活污水）产生的pH、石油类、化学需氧量、悬浮物污染防治设施应为：一级处理（过滤、沉淀、气浮、其他）等，</w:t>
            </w:r>
            <w:r>
              <w:rPr>
                <w:rFonts w:hint="eastAsia"/>
                <w:sz w:val="24"/>
                <w:lang w:eastAsia="zh-CN"/>
              </w:rPr>
              <w:t>项目</w:t>
            </w:r>
            <w:r>
              <w:rPr>
                <w:rFonts w:hint="eastAsia"/>
                <w:sz w:val="24"/>
              </w:rPr>
              <w:t>拟采用</w:t>
            </w:r>
            <w:r>
              <w:rPr>
                <w:rFonts w:hint="eastAsia"/>
                <w:sz w:val="24"/>
                <w:szCs w:val="32"/>
              </w:rPr>
              <w:t>“</w:t>
            </w:r>
            <w:r>
              <w:rPr>
                <w:rStyle w:val="76"/>
                <w:rFonts w:hint="eastAsia" w:ascii="宋体" w:hAnsi="宋体"/>
                <w:b w:val="0"/>
                <w:bCs w:val="0"/>
                <w:sz w:val="24"/>
                <w:szCs w:val="24"/>
              </w:rPr>
              <w:t>中和+絮凝沉淀+气浮+多介质过滤+反渗透</w:t>
            </w:r>
            <w:r>
              <w:rPr>
                <w:rFonts w:hint="eastAsia"/>
                <w:sz w:val="24"/>
                <w:szCs w:val="32"/>
              </w:rPr>
              <w:t>”的污水治理工艺，符合要求。</w:t>
            </w:r>
          </w:p>
          <w:p>
            <w:pPr>
              <w:adjustRightInd w:val="0"/>
              <w:snapToGrid w:val="0"/>
              <w:spacing w:line="360" w:lineRule="auto"/>
              <w:ind w:firstLine="480" w:firstLineChars="200"/>
              <w:rPr>
                <w:rFonts w:hint="eastAsia" w:eastAsia="宋体"/>
                <w:sz w:val="24"/>
                <w:szCs w:val="32"/>
                <w:lang w:eastAsia="zh-CN"/>
              </w:rPr>
            </w:pPr>
            <w:r>
              <w:rPr>
                <w:rFonts w:hint="eastAsia" w:eastAsia="宋体"/>
                <w:sz w:val="24"/>
                <w:szCs w:val="32"/>
                <w:lang w:eastAsia="zh-CN"/>
              </w:rPr>
              <w:drawing>
                <wp:inline distT="0" distB="0" distL="114300" distR="114300">
                  <wp:extent cx="4603115" cy="6440805"/>
                  <wp:effectExtent l="0" t="0" r="14605" b="5715"/>
                  <wp:docPr id="1" name="图片 1" descr="1712630034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12630034298"/>
                          <pic:cNvPicPr>
                            <a:picLocks noChangeAspect="1"/>
                          </pic:cNvPicPr>
                        </pic:nvPicPr>
                        <pic:blipFill>
                          <a:blip r:embed="rId16"/>
                          <a:stretch>
                            <a:fillRect/>
                          </a:stretch>
                        </pic:blipFill>
                        <pic:spPr>
                          <a:xfrm>
                            <a:off x="0" y="0"/>
                            <a:ext cx="4603115" cy="6440805"/>
                          </a:xfrm>
                          <a:prstGeom prst="rect">
                            <a:avLst/>
                          </a:prstGeom>
                        </pic:spPr>
                      </pic:pic>
                    </a:graphicData>
                  </a:graphic>
                </wp:inline>
              </w:drawing>
            </w:r>
          </w:p>
          <w:p>
            <w:pPr>
              <w:jc w:val="center"/>
              <w:rPr>
                <w:b/>
                <w:bCs/>
                <w:szCs w:val="21"/>
              </w:rPr>
            </w:pPr>
            <w:r>
              <w:rPr>
                <w:rFonts w:hint="eastAsia"/>
                <w:b/>
                <w:bCs/>
                <w:szCs w:val="21"/>
              </w:rPr>
              <w:t>图4-1</w:t>
            </w:r>
            <w:r>
              <w:rPr>
                <w:rFonts w:hint="eastAsia"/>
                <w:b/>
                <w:bCs/>
                <w:szCs w:val="21"/>
                <w:lang w:eastAsia="zh-CN"/>
              </w:rPr>
              <w:t>项目</w:t>
            </w:r>
            <w:r>
              <w:rPr>
                <w:rFonts w:hint="eastAsia"/>
                <w:b/>
                <w:bCs/>
                <w:szCs w:val="21"/>
              </w:rPr>
              <w:t>废水处理工艺流程图</w:t>
            </w:r>
          </w:p>
          <w:p>
            <w:pPr>
              <w:adjustRightInd w:val="0"/>
              <w:snapToGrid w:val="0"/>
              <w:spacing w:line="360" w:lineRule="auto"/>
              <w:ind w:firstLine="480" w:firstLineChars="200"/>
              <w:rPr>
                <w:sz w:val="24"/>
                <w:szCs w:val="32"/>
              </w:rPr>
            </w:pPr>
            <w:r>
              <w:rPr>
                <w:rFonts w:hint="eastAsia"/>
                <w:sz w:val="24"/>
                <w:szCs w:val="32"/>
                <w:lang w:eastAsia="zh-CN"/>
              </w:rPr>
              <w:t>项目</w:t>
            </w:r>
            <w:r>
              <w:rPr>
                <w:rFonts w:hint="eastAsia"/>
                <w:sz w:val="24"/>
                <w:szCs w:val="32"/>
              </w:rPr>
              <w:t>运行期</w:t>
            </w:r>
            <w:r>
              <w:rPr>
                <w:rFonts w:hint="eastAsia"/>
                <w:sz w:val="24"/>
                <w:szCs w:val="32"/>
                <w:lang w:eastAsia="zh-CN"/>
              </w:rPr>
              <w:t>铝材表面处理废水和清洗废水</w:t>
            </w:r>
            <w:r>
              <w:rPr>
                <w:rFonts w:hint="eastAsia"/>
                <w:sz w:val="24"/>
                <w:szCs w:val="32"/>
              </w:rPr>
              <w:t>产生量为0.</w:t>
            </w:r>
            <w:r>
              <w:rPr>
                <w:rFonts w:hint="eastAsia"/>
                <w:sz w:val="24"/>
                <w:szCs w:val="32"/>
                <w:lang w:val="en-US" w:eastAsia="zh-CN"/>
              </w:rPr>
              <w:t>832</w:t>
            </w:r>
            <w:r>
              <w:rPr>
                <w:rFonts w:hint="eastAsia"/>
                <w:sz w:val="24"/>
                <w:szCs w:val="32"/>
              </w:rPr>
              <w:t>m</w:t>
            </w:r>
            <w:r>
              <w:rPr>
                <w:rFonts w:hint="eastAsia"/>
                <w:sz w:val="24"/>
                <w:szCs w:val="32"/>
                <w:vertAlign w:val="superscript"/>
              </w:rPr>
              <w:t>3</w:t>
            </w:r>
            <w:r>
              <w:rPr>
                <w:rFonts w:hint="eastAsia"/>
                <w:sz w:val="24"/>
                <w:szCs w:val="32"/>
              </w:rPr>
              <w:t>/d，根据建设单位提供资料，污水处理站处理能力为16m³/d，经厂区污水处理站处理后纯水水质可达到回用标准，浓水回用</w:t>
            </w:r>
            <w:r>
              <w:rPr>
                <w:rFonts w:hint="eastAsia"/>
                <w:sz w:val="24"/>
                <w:szCs w:val="32"/>
                <w:lang w:eastAsia="zh-CN"/>
              </w:rPr>
              <w:t>预处理</w:t>
            </w:r>
            <w:r>
              <w:rPr>
                <w:rFonts w:hint="eastAsia"/>
                <w:sz w:val="24"/>
                <w:szCs w:val="32"/>
              </w:rPr>
              <w:t>工序。</w:t>
            </w:r>
            <w:r>
              <w:rPr>
                <w:sz w:val="24"/>
                <w:szCs w:val="32"/>
              </w:rPr>
              <w:t>满足</w:t>
            </w:r>
            <w:r>
              <w:rPr>
                <w:rFonts w:hint="eastAsia"/>
                <w:sz w:val="24"/>
                <w:szCs w:val="32"/>
                <w:lang w:eastAsia="zh-CN"/>
              </w:rPr>
              <w:t>项目</w:t>
            </w:r>
            <w:r>
              <w:rPr>
                <w:sz w:val="24"/>
                <w:szCs w:val="32"/>
              </w:rPr>
              <w:t>使用</w:t>
            </w:r>
            <w:r>
              <w:rPr>
                <w:rFonts w:hint="eastAsia"/>
                <w:sz w:val="24"/>
                <w:szCs w:val="32"/>
              </w:rPr>
              <w:t>。</w:t>
            </w:r>
            <w:r>
              <w:rPr>
                <w:sz w:val="24"/>
                <w:szCs w:val="32"/>
              </w:rPr>
              <w:t>因此依托</w:t>
            </w:r>
            <w:r>
              <w:rPr>
                <w:rFonts w:hint="eastAsia"/>
                <w:sz w:val="24"/>
                <w:szCs w:val="32"/>
              </w:rPr>
              <w:t>厂区污水</w:t>
            </w:r>
            <w:r>
              <w:rPr>
                <w:sz w:val="24"/>
                <w:szCs w:val="32"/>
              </w:rPr>
              <w:t>处理规模及处置措施可行</w:t>
            </w:r>
            <w:r>
              <w:rPr>
                <w:rFonts w:hint="eastAsia"/>
                <w:sz w:val="24"/>
                <w:szCs w:val="32"/>
              </w:rPr>
              <w:t>。</w:t>
            </w:r>
          </w:p>
          <w:p>
            <w:pPr>
              <w:adjustRightInd w:val="0"/>
              <w:snapToGrid w:val="0"/>
              <w:spacing w:line="360" w:lineRule="auto"/>
              <w:ind w:firstLine="480" w:firstLineChars="200"/>
              <w:rPr>
                <w:sz w:val="24"/>
                <w:szCs w:val="32"/>
              </w:rPr>
            </w:pPr>
            <w:r>
              <w:rPr>
                <w:rFonts w:hint="eastAsia"/>
                <w:sz w:val="24"/>
                <w:szCs w:val="32"/>
              </w:rPr>
              <w:t>2）生活污水</w:t>
            </w:r>
          </w:p>
          <w:p>
            <w:pPr>
              <w:adjustRightInd w:val="0"/>
              <w:snapToGrid w:val="0"/>
              <w:spacing w:line="360" w:lineRule="auto"/>
              <w:ind w:firstLine="480" w:firstLineChars="200"/>
              <w:rPr>
                <w:sz w:val="24"/>
                <w:szCs w:val="32"/>
              </w:rPr>
            </w:pPr>
            <w:r>
              <w:rPr>
                <w:rFonts w:hint="eastAsia"/>
                <w:sz w:val="24"/>
                <w:szCs w:val="32"/>
                <w:lang w:eastAsia="zh-CN"/>
              </w:rPr>
              <w:t>项目</w:t>
            </w:r>
            <w:r>
              <w:rPr>
                <w:rFonts w:hint="eastAsia"/>
                <w:sz w:val="24"/>
                <w:szCs w:val="32"/>
              </w:rPr>
              <w:t>废水</w:t>
            </w:r>
            <w:r>
              <w:rPr>
                <w:sz w:val="24"/>
                <w:szCs w:val="32"/>
              </w:rPr>
              <w:t>主要污染物为COD、BOD</w:t>
            </w:r>
            <w:r>
              <w:rPr>
                <w:sz w:val="24"/>
                <w:szCs w:val="32"/>
                <w:vertAlign w:val="subscript"/>
              </w:rPr>
              <w:t>5</w:t>
            </w:r>
            <w:r>
              <w:rPr>
                <w:sz w:val="24"/>
                <w:szCs w:val="32"/>
              </w:rPr>
              <w:t>、</w:t>
            </w:r>
            <w:r>
              <w:rPr>
                <w:rFonts w:hint="eastAsia"/>
                <w:sz w:val="24"/>
                <w:szCs w:val="32"/>
              </w:rPr>
              <w:t>动植物油</w:t>
            </w:r>
            <w:r>
              <w:rPr>
                <w:sz w:val="24"/>
                <w:szCs w:val="32"/>
              </w:rPr>
              <w:t>等</w:t>
            </w:r>
            <w:r>
              <w:rPr>
                <w:rFonts w:hint="eastAsia"/>
                <w:sz w:val="24"/>
                <w:szCs w:val="32"/>
              </w:rPr>
              <w:t>，</w:t>
            </w:r>
            <w:r>
              <w:rPr>
                <w:sz w:val="24"/>
                <w:szCs w:val="32"/>
              </w:rPr>
              <w:t>经</w:t>
            </w:r>
            <w:r>
              <w:rPr>
                <w:rFonts w:hint="eastAsia"/>
                <w:sz w:val="24"/>
                <w:szCs w:val="32"/>
              </w:rPr>
              <w:t>厂区内</w:t>
            </w:r>
            <w:r>
              <w:rPr>
                <w:rFonts w:hint="eastAsia"/>
                <w:sz w:val="24"/>
                <w:szCs w:val="32"/>
                <w:lang w:eastAsia="zh-CN"/>
              </w:rPr>
              <w:t>租赁方化粪池</w:t>
            </w:r>
            <w:r>
              <w:rPr>
                <w:sz w:val="24"/>
                <w:szCs w:val="32"/>
              </w:rPr>
              <w:t>预处理后定期清掏外运肥田</w:t>
            </w:r>
            <w:r>
              <w:rPr>
                <w:rFonts w:hint="eastAsia"/>
                <w:sz w:val="24"/>
                <w:szCs w:val="32"/>
              </w:rPr>
              <w:t>。</w:t>
            </w:r>
            <w:r>
              <w:rPr>
                <w:rFonts w:hint="eastAsia"/>
                <w:sz w:val="24"/>
                <w:szCs w:val="32"/>
                <w:lang w:eastAsia="zh-CN"/>
              </w:rPr>
              <w:t>租赁方化粪池</w:t>
            </w:r>
            <w:r>
              <w:rPr>
                <w:rFonts w:hint="eastAsia"/>
                <w:sz w:val="24"/>
                <w:szCs w:val="32"/>
              </w:rPr>
              <w:t>是一种利用沉淀和厌氧发酵的原理，去除生活污水中悬浮性有机物的处理设施，属于初级的过渡性生活处理构筑物生活污水中含有大量粪便、纸屑、病原虫。悬浮物固体浓度为100~350mg/L，有机物浓度COD在100~400mg/L之间，其中悬性的有机物浓度BOD</w:t>
            </w:r>
            <w:r>
              <w:rPr>
                <w:rFonts w:hint="eastAsia"/>
                <w:sz w:val="24"/>
                <w:szCs w:val="32"/>
                <w:vertAlign w:val="subscript"/>
              </w:rPr>
              <w:t>5</w:t>
            </w:r>
            <w:r>
              <w:rPr>
                <w:rFonts w:hint="eastAsia"/>
                <w:sz w:val="24"/>
                <w:szCs w:val="32"/>
              </w:rPr>
              <w:t>为50~200mg/L，污水进入</w:t>
            </w:r>
            <w:r>
              <w:rPr>
                <w:rFonts w:hint="eastAsia"/>
                <w:sz w:val="24"/>
                <w:szCs w:val="32"/>
                <w:lang w:eastAsia="zh-CN"/>
              </w:rPr>
              <w:t>租赁方化粪池</w:t>
            </w:r>
            <w:r>
              <w:rPr>
                <w:rFonts w:hint="eastAsia"/>
                <w:sz w:val="24"/>
                <w:szCs w:val="32"/>
              </w:rPr>
              <w:t>经过12~24h的可去除50%~60%的悬浮物沉淀下来的污泥经过3个月以上的厌氧发酵分解，使污泥中的有机物分解成稳定的无机物，易腐败的生污泥转化为稳定的熟污泥，改变了污泥的结构，降低了污泥的含水率，定期将污泥清掏填埋或作肥料。</w:t>
            </w:r>
          </w:p>
          <w:p>
            <w:pPr>
              <w:adjustRightInd w:val="0"/>
              <w:snapToGrid w:val="0"/>
              <w:spacing w:line="360" w:lineRule="auto"/>
              <w:ind w:firstLine="480" w:firstLineChars="200"/>
              <w:rPr>
                <w:sz w:val="24"/>
                <w:szCs w:val="32"/>
              </w:rPr>
            </w:pPr>
            <w:r>
              <w:rPr>
                <w:sz w:val="24"/>
                <w:szCs w:val="32"/>
              </w:rPr>
              <w:t>根据建设单位提供的资料可知，依托</w:t>
            </w:r>
            <w:r>
              <w:rPr>
                <w:rFonts w:hint="eastAsia"/>
                <w:sz w:val="24"/>
                <w:szCs w:val="32"/>
                <w:lang w:eastAsia="zh-CN"/>
              </w:rPr>
              <w:t>租赁方化粪池</w:t>
            </w:r>
            <w:r>
              <w:rPr>
                <w:sz w:val="24"/>
                <w:szCs w:val="32"/>
              </w:rPr>
              <w:t>容积为5</w:t>
            </w:r>
            <w:r>
              <w:rPr>
                <w:rFonts w:hint="eastAsia"/>
                <w:sz w:val="24"/>
                <w:szCs w:val="32"/>
              </w:rPr>
              <w:t>0</w:t>
            </w:r>
            <w:r>
              <w:rPr>
                <w:sz w:val="24"/>
                <w:szCs w:val="32"/>
              </w:rPr>
              <w:t>m</w:t>
            </w:r>
            <w:r>
              <w:rPr>
                <w:sz w:val="24"/>
                <w:szCs w:val="32"/>
                <w:vertAlign w:val="superscript"/>
              </w:rPr>
              <w:t>3</w:t>
            </w:r>
            <w:r>
              <w:rPr>
                <w:sz w:val="24"/>
                <w:szCs w:val="32"/>
              </w:rPr>
              <w:t>，现剩有余量，可满足</w:t>
            </w:r>
            <w:r>
              <w:rPr>
                <w:rFonts w:hint="eastAsia"/>
                <w:sz w:val="24"/>
                <w:szCs w:val="32"/>
                <w:lang w:eastAsia="zh-CN"/>
              </w:rPr>
              <w:t>项目</w:t>
            </w:r>
            <w:r>
              <w:rPr>
                <w:sz w:val="24"/>
                <w:szCs w:val="32"/>
              </w:rPr>
              <w:t>使用，因此依托</w:t>
            </w:r>
            <w:r>
              <w:rPr>
                <w:rFonts w:hint="eastAsia"/>
                <w:sz w:val="24"/>
                <w:szCs w:val="32"/>
                <w:lang w:eastAsia="zh-CN"/>
              </w:rPr>
              <w:t>租赁方化粪池</w:t>
            </w:r>
            <w:r>
              <w:rPr>
                <w:sz w:val="24"/>
                <w:szCs w:val="32"/>
              </w:rPr>
              <w:t>处理规模及处置措施可行</w:t>
            </w:r>
            <w:r>
              <w:rPr>
                <w:rFonts w:hint="eastAsia"/>
                <w:sz w:val="24"/>
                <w:szCs w:val="32"/>
              </w:rPr>
              <w:t>。</w:t>
            </w:r>
          </w:p>
          <w:bookmarkEnd w:id="0"/>
          <w:p>
            <w:pPr>
              <w:adjustRightInd w:val="0"/>
              <w:snapToGrid w:val="0"/>
              <w:spacing w:line="360" w:lineRule="auto"/>
              <w:rPr>
                <w:b/>
                <w:bCs/>
                <w:sz w:val="24"/>
                <w:szCs w:val="32"/>
              </w:rPr>
            </w:pPr>
            <w:r>
              <w:rPr>
                <w:rFonts w:hint="eastAsia"/>
                <w:b/>
                <w:bCs/>
                <w:sz w:val="24"/>
                <w:szCs w:val="32"/>
              </w:rPr>
              <w:t>三、</w:t>
            </w:r>
            <w:r>
              <w:rPr>
                <w:b/>
                <w:bCs/>
                <w:sz w:val="24"/>
                <w:szCs w:val="32"/>
              </w:rPr>
              <w:t>噪声</w:t>
            </w:r>
          </w:p>
          <w:p>
            <w:pPr>
              <w:adjustRightInd w:val="0"/>
              <w:snapToGrid w:val="0"/>
              <w:spacing w:line="360" w:lineRule="auto"/>
              <w:ind w:firstLine="480" w:firstLineChars="200"/>
              <w:rPr>
                <w:sz w:val="24"/>
                <w:szCs w:val="32"/>
              </w:rPr>
            </w:pPr>
            <w:r>
              <w:rPr>
                <w:sz w:val="24"/>
                <w:szCs w:val="32"/>
              </w:rPr>
              <w:t>项目生产过程中主要来源于</w:t>
            </w:r>
            <w:r>
              <w:rPr>
                <w:rFonts w:hint="eastAsia"/>
                <w:sz w:val="24"/>
                <w:szCs w:val="32"/>
              </w:rPr>
              <w:t>切割机</w:t>
            </w:r>
            <w:r>
              <w:rPr>
                <w:sz w:val="24"/>
                <w:szCs w:val="32"/>
              </w:rPr>
              <w:t>、</w:t>
            </w:r>
            <w:r>
              <w:rPr>
                <w:rFonts w:hint="eastAsia"/>
                <w:sz w:val="24"/>
                <w:szCs w:val="32"/>
              </w:rPr>
              <w:t>分条机</w:t>
            </w:r>
            <w:r>
              <w:rPr>
                <w:sz w:val="24"/>
                <w:szCs w:val="32"/>
              </w:rPr>
              <w:t>、</w:t>
            </w:r>
            <w:r>
              <w:rPr>
                <w:rFonts w:hint="eastAsia"/>
                <w:sz w:val="24"/>
                <w:szCs w:val="32"/>
              </w:rPr>
              <w:t>燃烧机</w:t>
            </w:r>
            <w:r>
              <w:rPr>
                <w:sz w:val="24"/>
                <w:szCs w:val="32"/>
              </w:rPr>
              <w:t>、</w:t>
            </w:r>
            <w:r>
              <w:rPr>
                <w:rFonts w:hint="eastAsia"/>
                <w:sz w:val="24"/>
                <w:szCs w:val="32"/>
              </w:rPr>
              <w:t>切膜机</w:t>
            </w:r>
            <w:r>
              <w:rPr>
                <w:sz w:val="24"/>
                <w:szCs w:val="32"/>
              </w:rPr>
              <w:t>、风机等设备，其噪声源强为</w:t>
            </w:r>
            <w:r>
              <w:rPr>
                <w:rFonts w:hint="eastAsia"/>
                <w:sz w:val="24"/>
                <w:szCs w:val="32"/>
              </w:rPr>
              <w:t>70</w:t>
            </w:r>
            <w:r>
              <w:rPr>
                <w:sz w:val="24"/>
                <w:szCs w:val="32"/>
              </w:rPr>
              <w:t>-90dB（A）。</w:t>
            </w:r>
          </w:p>
          <w:p>
            <w:pPr>
              <w:adjustRightInd w:val="0"/>
              <w:snapToGrid w:val="0"/>
              <w:spacing w:line="360" w:lineRule="auto"/>
              <w:rPr>
                <w:b/>
                <w:bCs/>
                <w:sz w:val="24"/>
                <w:szCs w:val="32"/>
              </w:rPr>
            </w:pPr>
            <w:r>
              <w:rPr>
                <w:b/>
                <w:bCs/>
                <w:sz w:val="24"/>
                <w:szCs w:val="32"/>
              </w:rPr>
              <w:t>1</w:t>
            </w:r>
            <w:r>
              <w:rPr>
                <w:rFonts w:hint="eastAsia"/>
                <w:b/>
                <w:bCs/>
                <w:sz w:val="24"/>
                <w:szCs w:val="32"/>
              </w:rPr>
              <w:t>、</w:t>
            </w:r>
            <w:r>
              <w:rPr>
                <w:b/>
                <w:bCs/>
                <w:sz w:val="24"/>
                <w:szCs w:val="32"/>
              </w:rPr>
              <w:t>噪声源强</w:t>
            </w:r>
          </w:p>
          <w:p>
            <w:pPr>
              <w:adjustRightInd w:val="0"/>
              <w:snapToGrid w:val="0"/>
              <w:spacing w:line="360" w:lineRule="auto"/>
              <w:ind w:firstLine="480" w:firstLineChars="200"/>
              <w:jc w:val="left"/>
              <w:rPr>
                <w:sz w:val="24"/>
              </w:rPr>
            </w:pPr>
            <w:r>
              <w:rPr>
                <w:rFonts w:hint="eastAsia"/>
                <w:sz w:val="24"/>
                <w:lang w:val="zh-CN"/>
              </w:rPr>
              <w:t>生产设备均设置于封闭车间内，钢混结构厂房、门窗密闭，安装时基础加装减振垫，综合隔声可达</w:t>
            </w:r>
            <w:r>
              <w:rPr>
                <w:rFonts w:hint="eastAsia"/>
                <w:sz w:val="24"/>
              </w:rPr>
              <w:t>20-25dB(A)以上，</w:t>
            </w:r>
            <w:r>
              <w:rPr>
                <w:rFonts w:hint="eastAsia"/>
                <w:sz w:val="24"/>
                <w:lang w:val="zh-CN"/>
              </w:rPr>
              <w:t>项目</w:t>
            </w:r>
            <w:r>
              <w:rPr>
                <w:rFonts w:hint="eastAsia"/>
                <w:sz w:val="24"/>
              </w:rPr>
              <w:t>主要噪声源强见下表4-9。</w:t>
            </w:r>
          </w:p>
          <w:p>
            <w:pPr>
              <w:jc w:val="center"/>
              <w:rPr>
                <w:b/>
                <w:bCs/>
                <w:szCs w:val="21"/>
              </w:rPr>
            </w:pPr>
            <w:r>
              <w:rPr>
                <w:b/>
                <w:bCs/>
                <w:szCs w:val="21"/>
              </w:rPr>
              <w:t>表4-</w:t>
            </w:r>
            <w:r>
              <w:rPr>
                <w:rFonts w:hint="eastAsia"/>
                <w:b/>
                <w:bCs/>
                <w:szCs w:val="21"/>
              </w:rPr>
              <w:t>9</w:t>
            </w:r>
            <w:r>
              <w:rPr>
                <w:b/>
                <w:bCs/>
                <w:szCs w:val="21"/>
              </w:rPr>
              <w:t>噪声源设备名称及声压级</w:t>
            </w:r>
          </w:p>
          <w:tbl>
            <w:tblPr>
              <w:tblStyle w:val="29"/>
              <w:tblW w:w="87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12"/>
              <w:gridCol w:w="872"/>
              <w:gridCol w:w="1800"/>
              <w:gridCol w:w="746"/>
              <w:gridCol w:w="880"/>
              <w:gridCol w:w="694"/>
              <w:gridCol w:w="934"/>
              <w:gridCol w:w="566"/>
              <w:gridCol w:w="566"/>
              <w:gridCol w:w="566"/>
              <w:gridCol w:w="56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vMerge w:val="restart"/>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ascii="Times New Roman" w:hAnsi="Times New Roman" w:cs="Times New Roman"/>
                      <w:b/>
                      <w:bCs/>
                      <w:szCs w:val="21"/>
                    </w:rPr>
                    <w:t>序号</w:t>
                  </w:r>
                </w:p>
              </w:tc>
              <w:tc>
                <w:tcPr>
                  <w:tcW w:w="872" w:type="dxa"/>
                  <w:vMerge w:val="restart"/>
                  <w:tcBorders>
                    <w:tl2br w:val="nil"/>
                    <w:tr2bl w:val="nil"/>
                  </w:tcBorders>
                  <w:vAlign w:val="center"/>
                </w:tcPr>
                <w:p>
                  <w:pPr>
                    <w:adjustRightInd w:val="0"/>
                    <w:snapToGrid w:val="0"/>
                    <w:jc w:val="center"/>
                    <w:rPr>
                      <w:b/>
                      <w:bCs/>
                      <w:szCs w:val="21"/>
                    </w:rPr>
                  </w:pPr>
                  <w:r>
                    <w:rPr>
                      <w:rFonts w:hint="eastAsia"/>
                      <w:b/>
                      <w:bCs/>
                      <w:szCs w:val="21"/>
                    </w:rPr>
                    <w:t>生产线</w:t>
                  </w:r>
                </w:p>
              </w:tc>
              <w:tc>
                <w:tcPr>
                  <w:tcW w:w="1800" w:type="dxa"/>
                  <w:vMerge w:val="restart"/>
                  <w:tcBorders>
                    <w:tl2br w:val="nil"/>
                    <w:tr2bl w:val="nil"/>
                  </w:tcBorders>
                  <w:vAlign w:val="center"/>
                </w:tcPr>
                <w:p>
                  <w:pPr>
                    <w:adjustRightInd w:val="0"/>
                    <w:snapToGrid w:val="0"/>
                    <w:jc w:val="center"/>
                    <w:rPr>
                      <w:b/>
                      <w:bCs/>
                      <w:szCs w:val="21"/>
                    </w:rPr>
                  </w:pPr>
                  <w:r>
                    <w:rPr>
                      <w:b/>
                      <w:bCs/>
                      <w:szCs w:val="21"/>
                    </w:rPr>
                    <w:t>噪声设备</w:t>
                  </w:r>
                </w:p>
              </w:tc>
              <w:tc>
                <w:tcPr>
                  <w:tcW w:w="746" w:type="dxa"/>
                  <w:vMerge w:val="restart"/>
                  <w:tcBorders>
                    <w:tl2br w:val="nil"/>
                    <w:tr2bl w:val="nil"/>
                  </w:tcBorders>
                  <w:vAlign w:val="center"/>
                </w:tcPr>
                <w:p>
                  <w:pPr>
                    <w:adjustRightInd w:val="0"/>
                    <w:snapToGrid w:val="0"/>
                    <w:jc w:val="center"/>
                    <w:rPr>
                      <w:b/>
                      <w:bCs/>
                      <w:szCs w:val="21"/>
                    </w:rPr>
                  </w:pPr>
                  <w:r>
                    <w:rPr>
                      <w:b/>
                      <w:bCs/>
                      <w:szCs w:val="21"/>
                    </w:rPr>
                    <w:t>数量（台）</w:t>
                  </w:r>
                </w:p>
              </w:tc>
              <w:tc>
                <w:tcPr>
                  <w:tcW w:w="880" w:type="dxa"/>
                  <w:vMerge w:val="restart"/>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hint="eastAsia" w:ascii="Times New Roman" w:hAnsi="Times New Roman" w:cs="Times New Roman"/>
                      <w:b/>
                      <w:bCs/>
                      <w:szCs w:val="21"/>
                    </w:rPr>
                    <w:t>单台声源</w:t>
                  </w:r>
                  <w:r>
                    <w:rPr>
                      <w:rFonts w:hint="eastAsia" w:ascii="Times New Roman" w:hAnsi="Times New Roman" w:cs="Times New Roman"/>
                      <w:b/>
                      <w:bCs/>
                      <w:szCs w:val="21"/>
                      <w:lang w:val="en-US"/>
                    </w:rPr>
                    <w:t>dB</w:t>
                  </w:r>
                  <w:r>
                    <w:rPr>
                      <w:rFonts w:ascii="Times New Roman" w:hAnsi="Times New Roman" w:cs="Times New Roman"/>
                      <w:b/>
                      <w:bCs/>
                      <w:szCs w:val="21"/>
                    </w:rPr>
                    <w:t>（A）</w:t>
                  </w:r>
                </w:p>
              </w:tc>
              <w:tc>
                <w:tcPr>
                  <w:tcW w:w="694" w:type="dxa"/>
                  <w:vMerge w:val="restart"/>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hint="eastAsia" w:ascii="Times New Roman" w:hAnsi="Times New Roman" w:cs="Times New Roman"/>
                      <w:b/>
                      <w:bCs/>
                      <w:szCs w:val="21"/>
                      <w:lang w:val="en-US"/>
                    </w:rPr>
                    <w:t>治理措施</w:t>
                  </w:r>
                </w:p>
              </w:tc>
              <w:tc>
                <w:tcPr>
                  <w:tcW w:w="934" w:type="dxa"/>
                  <w:vMerge w:val="restart"/>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ascii="Times New Roman" w:hAnsi="Times New Roman" w:cs="Times New Roman"/>
                      <w:b/>
                      <w:bCs/>
                      <w:szCs w:val="21"/>
                    </w:rPr>
                    <w:t>治理后</w:t>
                  </w:r>
                  <w:r>
                    <w:rPr>
                      <w:rFonts w:hint="eastAsia" w:ascii="Times New Roman" w:hAnsi="Times New Roman" w:cs="Times New Roman"/>
                      <w:b/>
                      <w:bCs/>
                      <w:szCs w:val="21"/>
                    </w:rPr>
                    <w:t>单台声源</w:t>
                  </w:r>
                  <w:r>
                    <w:rPr>
                      <w:rFonts w:ascii="Times New Roman" w:hAnsi="Times New Roman" w:cs="Times New Roman"/>
                      <w:b/>
                      <w:bCs/>
                      <w:szCs w:val="21"/>
                    </w:rPr>
                    <w:t>（A）</w:t>
                  </w:r>
                </w:p>
              </w:tc>
              <w:tc>
                <w:tcPr>
                  <w:tcW w:w="2266" w:type="dxa"/>
                  <w:gridSpan w:val="4"/>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ascii="Times New Roman" w:hAnsi="Times New Roman" w:cs="Times New Roman"/>
                      <w:b/>
                      <w:bCs/>
                      <w:szCs w:val="21"/>
                    </w:rPr>
                    <w:t>距离</w:t>
                  </w:r>
                  <w:r>
                    <w:rPr>
                      <w:rFonts w:hint="eastAsia" w:ascii="Times New Roman" w:hAnsi="Times New Roman" w:cs="Times New Roman"/>
                      <w:b/>
                      <w:bCs/>
                      <w:szCs w:val="21"/>
                    </w:rPr>
                    <w:t>厂界</w:t>
                  </w:r>
                  <w:r>
                    <w:rPr>
                      <w:rFonts w:ascii="Times New Roman" w:hAnsi="Times New Roman" w:cs="Times New Roman"/>
                      <w:b/>
                      <w:bCs/>
                      <w:szCs w:val="21"/>
                    </w:rPr>
                    <w:t>外最近距离（m）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p>
              </w:tc>
              <w:tc>
                <w:tcPr>
                  <w:tcW w:w="872" w:type="dxa"/>
                  <w:vMerge w:val="continue"/>
                  <w:tcBorders>
                    <w:tl2br w:val="nil"/>
                    <w:tr2bl w:val="nil"/>
                  </w:tcBorders>
                  <w:vAlign w:val="center"/>
                </w:tcPr>
                <w:p>
                  <w:pPr>
                    <w:adjustRightInd w:val="0"/>
                    <w:snapToGrid w:val="0"/>
                    <w:jc w:val="center"/>
                    <w:rPr>
                      <w:b/>
                      <w:bCs/>
                      <w:szCs w:val="21"/>
                    </w:rPr>
                  </w:pPr>
                </w:p>
              </w:tc>
              <w:tc>
                <w:tcPr>
                  <w:tcW w:w="1800" w:type="dxa"/>
                  <w:vMerge w:val="continue"/>
                  <w:tcBorders>
                    <w:tl2br w:val="nil"/>
                    <w:tr2bl w:val="nil"/>
                  </w:tcBorders>
                  <w:vAlign w:val="center"/>
                </w:tcPr>
                <w:p>
                  <w:pPr>
                    <w:adjustRightInd w:val="0"/>
                    <w:snapToGrid w:val="0"/>
                    <w:jc w:val="center"/>
                    <w:rPr>
                      <w:b/>
                      <w:bCs/>
                      <w:szCs w:val="21"/>
                    </w:rPr>
                  </w:pPr>
                </w:p>
              </w:tc>
              <w:tc>
                <w:tcPr>
                  <w:tcW w:w="746" w:type="dxa"/>
                  <w:vMerge w:val="continue"/>
                  <w:tcBorders>
                    <w:tl2br w:val="nil"/>
                    <w:tr2bl w:val="nil"/>
                  </w:tcBorders>
                  <w:vAlign w:val="center"/>
                </w:tcPr>
                <w:p>
                  <w:pPr>
                    <w:adjustRightInd w:val="0"/>
                    <w:snapToGrid w:val="0"/>
                    <w:jc w:val="center"/>
                    <w:rPr>
                      <w:b/>
                      <w:bCs/>
                      <w:szCs w:val="21"/>
                    </w:rPr>
                  </w:pPr>
                </w:p>
              </w:tc>
              <w:tc>
                <w:tcPr>
                  <w:tcW w:w="880"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p>
              </w:tc>
              <w:tc>
                <w:tcPr>
                  <w:tcW w:w="93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hint="eastAsia" w:ascii="Times New Roman" w:hAnsi="Times New Roman" w:cs="Times New Roman"/>
                      <w:b/>
                      <w:bCs/>
                      <w:szCs w:val="21"/>
                    </w:rPr>
                    <w:t>东</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ascii="Times New Roman" w:hAnsi="Times New Roman" w:cs="Times New Roman"/>
                      <w:b/>
                      <w:bCs/>
                      <w:szCs w:val="21"/>
                    </w:rPr>
                    <w:t>南</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ascii="Times New Roman" w:hAnsi="Times New Roman" w:cs="Times New Roman"/>
                      <w:b/>
                      <w:bCs/>
                      <w:szCs w:val="21"/>
                    </w:rPr>
                    <w:t>西</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b/>
                      <w:bCs/>
                      <w:szCs w:val="21"/>
                    </w:rPr>
                  </w:pPr>
                  <w:r>
                    <w:rPr>
                      <w:rFonts w:ascii="Times New Roman" w:hAnsi="Times New Roman" w:cs="Times New Roman"/>
                      <w:b/>
                      <w:bCs/>
                      <w:szCs w:val="21"/>
                    </w:rPr>
                    <w:t>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rPr>
                  </w:pPr>
                  <w:r>
                    <w:rPr>
                      <w:rFonts w:hint="eastAsia" w:ascii="Times New Roman" w:hAnsi="Times New Roman" w:cs="Times New Roman"/>
                      <w:szCs w:val="21"/>
                      <w:lang w:val="en-US"/>
                    </w:rPr>
                    <w:t>1</w:t>
                  </w:r>
                </w:p>
              </w:tc>
              <w:tc>
                <w:tcPr>
                  <w:tcW w:w="872" w:type="dxa"/>
                  <w:vMerge w:val="restart"/>
                  <w:tcBorders>
                    <w:tl2br w:val="nil"/>
                    <w:tr2bl w:val="nil"/>
                  </w:tcBorders>
                  <w:vAlign w:val="center"/>
                </w:tcPr>
                <w:p>
                  <w:pPr>
                    <w:adjustRightInd w:val="0"/>
                    <w:snapToGrid w:val="0"/>
                    <w:jc w:val="center"/>
                    <w:rPr>
                      <w:rFonts w:hint="default" w:eastAsia="宋体"/>
                      <w:szCs w:val="21"/>
                      <w:lang w:val="en-US" w:eastAsia="zh-CN"/>
                    </w:rPr>
                  </w:pPr>
                  <w:r>
                    <w:rPr>
                      <w:rFonts w:hint="eastAsia" w:ascii="Calibri" w:hAnsi="Calibri" w:cs="Calibri"/>
                      <w:szCs w:val="21"/>
                      <w:lang w:val="en-US" w:eastAsia="zh-CN"/>
                    </w:rPr>
                    <w:t>成型区</w:t>
                  </w:r>
                </w:p>
              </w:tc>
              <w:tc>
                <w:tcPr>
                  <w:tcW w:w="1800" w:type="dxa"/>
                  <w:tcBorders>
                    <w:tl2br w:val="nil"/>
                    <w:tr2bl w:val="nil"/>
                  </w:tcBorders>
                  <w:vAlign w:val="center"/>
                </w:tcPr>
                <w:p>
                  <w:pPr>
                    <w:widowControl/>
                    <w:adjustRightInd w:val="0"/>
                    <w:snapToGrid w:val="0"/>
                    <w:jc w:val="center"/>
                    <w:textAlignment w:val="center"/>
                    <w:rPr>
                      <w:bCs/>
                      <w:kern w:val="0"/>
                      <w:szCs w:val="21"/>
                      <w:lang w:bidi="ar"/>
                    </w:rPr>
                  </w:pPr>
                  <w:r>
                    <w:rPr>
                      <w:rFonts w:hint="eastAsia"/>
                      <w:bCs/>
                      <w:kern w:val="0"/>
                      <w:szCs w:val="21"/>
                      <w:lang w:bidi="ar"/>
                    </w:rPr>
                    <w:t>铝型分条机</w:t>
                  </w:r>
                </w:p>
              </w:tc>
              <w:tc>
                <w:tcPr>
                  <w:tcW w:w="746" w:type="dxa"/>
                  <w:tcBorders>
                    <w:tl2br w:val="nil"/>
                    <w:tr2bl w:val="nil"/>
                  </w:tcBorders>
                  <w:vAlign w:val="center"/>
                </w:tcPr>
                <w:p>
                  <w:pPr>
                    <w:adjustRightInd w:val="0"/>
                    <w:snapToGrid w:val="0"/>
                    <w:jc w:val="center"/>
                    <w:rPr>
                      <w:szCs w:val="21"/>
                    </w:rPr>
                  </w:pPr>
                  <w:r>
                    <w:rPr>
                      <w:rFonts w:hint="eastAsia"/>
                      <w:szCs w:val="21"/>
                    </w:rPr>
                    <w:t>2</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80</w:t>
                  </w:r>
                </w:p>
              </w:tc>
              <w:tc>
                <w:tcPr>
                  <w:tcW w:w="694" w:type="dxa"/>
                  <w:vMerge w:val="restart"/>
                  <w:tcBorders>
                    <w:tl2br w:val="nil"/>
                    <w:tr2bl w:val="nil"/>
                  </w:tcBorders>
                  <w:vAlign w:val="center"/>
                </w:tcPr>
                <w:p>
                  <w:pPr>
                    <w:adjustRightInd w:val="0"/>
                    <w:snapToGrid w:val="0"/>
                    <w:jc w:val="center"/>
                  </w:pPr>
                  <w:r>
                    <w:t>基础减震</w:t>
                  </w:r>
                  <w:r>
                    <w:rPr>
                      <w:rFonts w:hint="eastAsia"/>
                    </w:rPr>
                    <w:t>、</w:t>
                  </w:r>
                </w:p>
                <w:p>
                  <w:pPr>
                    <w:adjustRightInd w:val="0"/>
                    <w:snapToGrid w:val="0"/>
                    <w:jc w:val="center"/>
                  </w:pPr>
                  <w:r>
                    <w:rPr>
                      <w:rFonts w:hint="eastAsia"/>
                    </w:rPr>
                    <w:t>厂</w:t>
                  </w:r>
                  <w:r>
                    <w:t>房隔声</w:t>
                  </w:r>
                  <w:r>
                    <w:rPr>
                      <w:rFonts w:hint="eastAsia"/>
                    </w:rPr>
                    <w:t>、</w:t>
                  </w:r>
                </w:p>
                <w:p>
                  <w:pPr>
                    <w:adjustRightInd w:val="0"/>
                    <w:snapToGrid w:val="0"/>
                    <w:jc w:val="center"/>
                  </w:pPr>
                  <w:r>
                    <w:rPr>
                      <w:rFonts w:hint="eastAsia"/>
                    </w:rPr>
                    <w:t>柔性连接</w:t>
                  </w:r>
                </w:p>
                <w:p>
                  <w:pPr>
                    <w:pStyle w:val="56"/>
                    <w:adjustRightInd w:val="0"/>
                    <w:snapToGrid w:val="0"/>
                    <w:spacing w:before="0"/>
                    <w:ind w:left="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38.9</w:t>
                  </w:r>
                </w:p>
              </w:tc>
              <w:tc>
                <w:tcPr>
                  <w:tcW w:w="566" w:type="dxa"/>
                  <w:tcBorders>
                    <w:tl2br w:val="nil"/>
                    <w:tr2bl w:val="nil"/>
                  </w:tcBorders>
                  <w:vAlign w:val="center"/>
                </w:tcPr>
                <w:p>
                  <w:pPr>
                    <w:pStyle w:val="56"/>
                    <w:tabs>
                      <w:tab w:val="right" w:pos="-1506"/>
                      <w:tab w:val="center" w:pos="1942"/>
                    </w:tabs>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19.5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28</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rPr>
                  </w:pPr>
                  <w:r>
                    <w:rPr>
                      <w:rFonts w:ascii="Times New Roman" w:hAnsi="Times New Roman" w:cs="Times New Roman"/>
                      <w:szCs w:val="21"/>
                    </w:rPr>
                    <w:t>2</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widowControl/>
                    <w:adjustRightInd w:val="0"/>
                    <w:snapToGrid w:val="0"/>
                    <w:jc w:val="center"/>
                    <w:textAlignment w:val="center"/>
                    <w:rPr>
                      <w:bCs/>
                      <w:kern w:val="0"/>
                      <w:szCs w:val="21"/>
                      <w:lang w:bidi="ar"/>
                    </w:rPr>
                  </w:pPr>
                  <w:r>
                    <w:rPr>
                      <w:rFonts w:hint="eastAsia"/>
                      <w:bCs/>
                      <w:kern w:val="0"/>
                      <w:szCs w:val="21"/>
                      <w:lang w:bidi="ar"/>
                    </w:rPr>
                    <w:t>折弯机</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57.6</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52.1</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铝方管切割机</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90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70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42.9</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65.2</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1.1</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铝条扣成型机</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36.5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49.6</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47.8</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铝铬栅成型机</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pStyle w:val="56"/>
                    <w:tabs>
                      <w:tab w:val="right" w:pos="-1589"/>
                    </w:tabs>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36.5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31.2</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47.8</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w:t>
                  </w:r>
                </w:p>
              </w:tc>
              <w:tc>
                <w:tcPr>
                  <w:tcW w:w="872" w:type="dxa"/>
                  <w:vMerge w:val="restart"/>
                  <w:tcBorders>
                    <w:tl2br w:val="nil"/>
                    <w:tr2bl w:val="nil"/>
                  </w:tcBorders>
                  <w:vAlign w:val="center"/>
                </w:tcPr>
                <w:p>
                  <w:pPr>
                    <w:adjustRightInd w:val="0"/>
                    <w:snapToGrid w:val="0"/>
                    <w:jc w:val="center"/>
                    <w:rPr>
                      <w:szCs w:val="21"/>
                    </w:rPr>
                  </w:pPr>
                  <w:r>
                    <w:rPr>
                      <w:rFonts w:hint="eastAsia"/>
                      <w:szCs w:val="21"/>
                    </w:rPr>
                    <w:t>喷塑生产线</w:t>
                  </w: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旋风粉末回收系统</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90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70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15.9</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4.1</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19.7</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7</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滤芯式过滤系统</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adjustRightInd w:val="0"/>
                    <w:snapToGrid w:val="0"/>
                    <w:jc w:val="center"/>
                    <w:rPr>
                      <w:szCs w:val="21"/>
                    </w:rPr>
                  </w:pPr>
                  <w:r>
                    <w:rPr>
                      <w:rFonts w:hint="eastAsia"/>
                      <w:szCs w:val="21"/>
                    </w:rPr>
                    <w:t>78.5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w:t>
                  </w:r>
                </w:p>
              </w:tc>
              <w:tc>
                <w:tcPr>
                  <w:tcW w:w="566" w:type="dxa"/>
                  <w:tcBorders>
                    <w:tl2br w:val="nil"/>
                    <w:tr2bl w:val="nil"/>
                  </w:tcBorders>
                  <w:vAlign w:val="center"/>
                </w:tcPr>
                <w:p>
                  <w:pPr>
                    <w:adjustRightInd w:val="0"/>
                    <w:snapToGrid w:val="0"/>
                    <w:jc w:val="center"/>
                    <w:rPr>
                      <w:szCs w:val="21"/>
                    </w:rPr>
                  </w:pPr>
                  <w:r>
                    <w:rPr>
                      <w:rFonts w:hint="eastAsia"/>
                      <w:szCs w:val="21"/>
                    </w:rPr>
                    <w:t>16.3</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喷塑房</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adjustRightInd w:val="0"/>
                    <w:snapToGrid w:val="0"/>
                    <w:jc w:val="center"/>
                    <w:rPr>
                      <w:szCs w:val="21"/>
                    </w:rPr>
                  </w:pPr>
                  <w:r>
                    <w:rPr>
                      <w:rFonts w:hint="eastAsia"/>
                      <w:szCs w:val="21"/>
                    </w:rPr>
                    <w:t>67.5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3.9</w:t>
                  </w:r>
                </w:p>
              </w:tc>
              <w:tc>
                <w:tcPr>
                  <w:tcW w:w="566" w:type="dxa"/>
                  <w:tcBorders>
                    <w:tl2br w:val="nil"/>
                    <w:tr2bl w:val="nil"/>
                  </w:tcBorders>
                  <w:vAlign w:val="center"/>
                </w:tcPr>
                <w:p>
                  <w:pPr>
                    <w:adjustRightInd w:val="0"/>
                    <w:snapToGrid w:val="0"/>
                    <w:jc w:val="center"/>
                    <w:rPr>
                      <w:szCs w:val="21"/>
                    </w:rPr>
                  </w:pPr>
                  <w:r>
                    <w:rPr>
                      <w:rFonts w:hint="eastAsia"/>
                      <w:szCs w:val="21"/>
                    </w:rPr>
                    <w:t>19.2</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9</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燃烧机</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70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50</w:t>
                  </w:r>
                </w:p>
              </w:tc>
              <w:tc>
                <w:tcPr>
                  <w:tcW w:w="566" w:type="dxa"/>
                  <w:tcBorders>
                    <w:tl2br w:val="nil"/>
                    <w:tr2bl w:val="nil"/>
                  </w:tcBorders>
                  <w:vAlign w:val="center"/>
                </w:tcPr>
                <w:p>
                  <w:pPr>
                    <w:adjustRightInd w:val="0"/>
                    <w:snapToGrid w:val="0"/>
                    <w:jc w:val="center"/>
                    <w:rPr>
                      <w:szCs w:val="21"/>
                    </w:rPr>
                  </w:pPr>
                  <w:r>
                    <w:rPr>
                      <w:rFonts w:hint="eastAsia"/>
                      <w:szCs w:val="21"/>
                    </w:rPr>
                    <w:t>31.4</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2.7</w:t>
                  </w:r>
                </w:p>
              </w:tc>
              <w:tc>
                <w:tcPr>
                  <w:tcW w:w="566" w:type="dxa"/>
                  <w:tcBorders>
                    <w:tl2br w:val="nil"/>
                    <w:tr2bl w:val="nil"/>
                  </w:tcBorders>
                  <w:vAlign w:val="center"/>
                </w:tcPr>
                <w:p>
                  <w:pPr>
                    <w:adjustRightInd w:val="0"/>
                    <w:snapToGrid w:val="0"/>
                    <w:jc w:val="center"/>
                    <w:rPr>
                      <w:szCs w:val="21"/>
                    </w:rPr>
                  </w:pPr>
                  <w:r>
                    <w:rPr>
                      <w:rFonts w:hint="eastAsia"/>
                      <w:szCs w:val="21"/>
                    </w:rPr>
                    <w:t>61.6</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10</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燃烧机</w:t>
                  </w:r>
                </w:p>
              </w:tc>
              <w:tc>
                <w:tcPr>
                  <w:tcW w:w="746" w:type="dxa"/>
                  <w:tcBorders>
                    <w:tl2br w:val="nil"/>
                    <w:tr2bl w:val="nil"/>
                  </w:tcBorders>
                  <w:vAlign w:val="center"/>
                </w:tcPr>
                <w:p>
                  <w:pPr>
                    <w:adjustRightInd w:val="0"/>
                    <w:snapToGrid w:val="0"/>
                    <w:jc w:val="center"/>
                    <w:rPr>
                      <w:szCs w:val="21"/>
                    </w:rPr>
                  </w:pPr>
                  <w:r>
                    <w:rPr>
                      <w:rFonts w:hint="eastAsia"/>
                      <w:szCs w:val="21"/>
                    </w:rPr>
                    <w:t>1</w:t>
                  </w:r>
                </w:p>
              </w:tc>
              <w:tc>
                <w:tcPr>
                  <w:tcW w:w="88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70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50</w:t>
                  </w:r>
                </w:p>
              </w:tc>
              <w:tc>
                <w:tcPr>
                  <w:tcW w:w="566" w:type="dxa"/>
                  <w:tcBorders>
                    <w:tl2br w:val="nil"/>
                    <w:tr2bl w:val="nil"/>
                  </w:tcBorders>
                  <w:vAlign w:val="center"/>
                </w:tcPr>
                <w:p>
                  <w:pPr>
                    <w:adjustRightInd w:val="0"/>
                    <w:snapToGrid w:val="0"/>
                    <w:jc w:val="center"/>
                    <w:rPr>
                      <w:szCs w:val="21"/>
                    </w:rPr>
                  </w:pPr>
                  <w:r>
                    <w:rPr>
                      <w:rFonts w:hint="eastAsia"/>
                      <w:szCs w:val="21"/>
                    </w:rPr>
                    <w:t>60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2.7</w:t>
                  </w:r>
                </w:p>
              </w:tc>
              <w:tc>
                <w:tcPr>
                  <w:tcW w:w="566" w:type="dxa"/>
                  <w:tcBorders>
                    <w:tl2br w:val="nil"/>
                    <w:tr2bl w:val="nil"/>
                  </w:tcBorders>
                  <w:vAlign w:val="center"/>
                </w:tcPr>
                <w:p>
                  <w:pPr>
                    <w:adjustRightInd w:val="0"/>
                    <w:snapToGrid w:val="0"/>
                    <w:jc w:val="center"/>
                    <w:rPr>
                      <w:szCs w:val="21"/>
                    </w:rPr>
                  </w:pPr>
                  <w:r>
                    <w:rPr>
                      <w:rFonts w:hint="eastAsia"/>
                      <w:szCs w:val="21"/>
                    </w:rPr>
                    <w:t>13.4</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45.8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11</w:t>
                  </w:r>
                </w:p>
              </w:tc>
              <w:tc>
                <w:tcPr>
                  <w:tcW w:w="872" w:type="dxa"/>
                  <w:vMerge w:val="restart"/>
                  <w:tcBorders>
                    <w:tl2br w:val="nil"/>
                    <w:tr2bl w:val="nil"/>
                  </w:tcBorders>
                  <w:vAlign w:val="center"/>
                </w:tcPr>
                <w:p>
                  <w:pPr>
                    <w:adjustRightInd w:val="0"/>
                    <w:snapToGrid w:val="0"/>
                    <w:jc w:val="center"/>
                    <w:rPr>
                      <w:szCs w:val="21"/>
                    </w:rPr>
                  </w:pPr>
                  <w:r>
                    <w:rPr>
                      <w:rFonts w:hint="eastAsia"/>
                      <w:szCs w:val="21"/>
                    </w:rPr>
                    <w:t>木纹转印生产线</w:t>
                  </w: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贴膜机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adjustRightInd w:val="0"/>
                    <w:snapToGrid w:val="0"/>
                    <w:jc w:val="center"/>
                    <w:rPr>
                      <w:szCs w:val="21"/>
                    </w:rPr>
                  </w:pPr>
                  <w:r>
                    <w:rPr>
                      <w:rFonts w:hint="eastAsia"/>
                      <w:szCs w:val="21"/>
                    </w:rPr>
                    <w:t>85</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w:t>
                  </w:r>
                </w:p>
              </w:tc>
              <w:tc>
                <w:tcPr>
                  <w:tcW w:w="566" w:type="dxa"/>
                  <w:tcBorders>
                    <w:tl2br w:val="nil"/>
                    <w:tr2bl w:val="nil"/>
                  </w:tcBorders>
                  <w:vAlign w:val="center"/>
                </w:tcPr>
                <w:p>
                  <w:pPr>
                    <w:adjustRightInd w:val="0"/>
                    <w:snapToGrid w:val="0"/>
                    <w:jc w:val="center"/>
                    <w:rPr>
                      <w:szCs w:val="21"/>
                    </w:rPr>
                  </w:pPr>
                  <w:r>
                    <w:rPr>
                      <w:rFonts w:hint="eastAsia"/>
                      <w:szCs w:val="21"/>
                    </w:rPr>
                    <w:t>71.7</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15.9</w:t>
                  </w:r>
                </w:p>
              </w:tc>
              <w:tc>
                <w:tcPr>
                  <w:tcW w:w="566" w:type="dxa"/>
                  <w:tcBorders>
                    <w:tl2br w:val="nil"/>
                    <w:tr2bl w:val="nil"/>
                  </w:tcBorders>
                  <w:vAlign w:val="center"/>
                </w:tcPr>
                <w:p>
                  <w:pPr>
                    <w:adjustRightInd w:val="0"/>
                    <w:snapToGrid w:val="0"/>
                    <w:jc w:val="center"/>
                    <w:rPr>
                      <w:szCs w:val="21"/>
                    </w:rPr>
                  </w:pPr>
                  <w:r>
                    <w:rPr>
                      <w:rFonts w:hint="eastAsia"/>
                      <w:szCs w:val="21"/>
                    </w:rPr>
                    <w:t>19.2</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12</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木纹转印设备</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adjustRightInd w:val="0"/>
                    <w:snapToGrid w:val="0"/>
                    <w:jc w:val="center"/>
                    <w:rPr>
                      <w:szCs w:val="21"/>
                    </w:rPr>
                  </w:pPr>
                  <w:r>
                    <w:rPr>
                      <w:rFonts w:hint="eastAsia"/>
                      <w:szCs w:val="21"/>
                    </w:rPr>
                    <w:t>85</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w:t>
                  </w:r>
                </w:p>
              </w:tc>
              <w:tc>
                <w:tcPr>
                  <w:tcW w:w="566" w:type="dxa"/>
                  <w:tcBorders>
                    <w:tl2br w:val="nil"/>
                    <w:tr2bl w:val="nil"/>
                  </w:tcBorders>
                  <w:vAlign w:val="center"/>
                </w:tcPr>
                <w:p>
                  <w:pPr>
                    <w:adjustRightInd w:val="0"/>
                    <w:snapToGrid w:val="0"/>
                    <w:jc w:val="center"/>
                    <w:rPr>
                      <w:szCs w:val="21"/>
                    </w:rPr>
                  </w:pPr>
                  <w:r>
                    <w:rPr>
                      <w:rFonts w:hint="eastAsia"/>
                      <w:szCs w:val="21"/>
                    </w:rPr>
                    <w:t>63.9</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15.9</w:t>
                  </w:r>
                </w:p>
              </w:tc>
              <w:tc>
                <w:tcPr>
                  <w:tcW w:w="566" w:type="dxa"/>
                  <w:tcBorders>
                    <w:tl2br w:val="nil"/>
                    <w:tr2bl w:val="nil"/>
                  </w:tcBorders>
                  <w:vAlign w:val="center"/>
                </w:tcPr>
                <w:p>
                  <w:pPr>
                    <w:adjustRightInd w:val="0"/>
                    <w:snapToGrid w:val="0"/>
                    <w:jc w:val="center"/>
                    <w:rPr>
                      <w:szCs w:val="21"/>
                    </w:rPr>
                  </w:pPr>
                  <w:r>
                    <w:rPr>
                      <w:rFonts w:hint="eastAsia"/>
                      <w:szCs w:val="21"/>
                    </w:rPr>
                    <w:t>30.8</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13</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热收缩膜机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adjustRightInd w:val="0"/>
                    <w:snapToGrid w:val="0"/>
                    <w:jc w:val="center"/>
                    <w:rPr>
                      <w:szCs w:val="21"/>
                    </w:rPr>
                  </w:pPr>
                  <w:r>
                    <w:rPr>
                      <w:rFonts w:hint="eastAsia"/>
                      <w:szCs w:val="21"/>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adjustRightInd w:val="0"/>
                    <w:snapToGrid w:val="0"/>
                    <w:jc w:val="center"/>
                    <w:rPr>
                      <w:szCs w:val="21"/>
                    </w:rPr>
                  </w:pPr>
                  <w:r>
                    <w:rPr>
                      <w:rFonts w:hint="eastAsia"/>
                      <w:szCs w:val="21"/>
                    </w:rPr>
                    <w:t>58.6</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15.9</w:t>
                  </w:r>
                </w:p>
              </w:tc>
              <w:tc>
                <w:tcPr>
                  <w:tcW w:w="566" w:type="dxa"/>
                  <w:tcBorders>
                    <w:tl2br w:val="nil"/>
                    <w:tr2bl w:val="nil"/>
                  </w:tcBorders>
                  <w:vAlign w:val="center"/>
                </w:tcPr>
                <w:p>
                  <w:pPr>
                    <w:adjustRightInd w:val="0"/>
                    <w:snapToGrid w:val="0"/>
                    <w:jc w:val="center"/>
                    <w:rPr>
                      <w:szCs w:val="21"/>
                    </w:rPr>
                  </w:pPr>
                  <w:r>
                    <w:rPr>
                      <w:rFonts w:hint="eastAsia"/>
                      <w:szCs w:val="21"/>
                    </w:rPr>
                    <w:t>41.7</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14</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切膜机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adjustRightInd w:val="0"/>
                    <w:snapToGrid w:val="0"/>
                    <w:jc w:val="center"/>
                    <w:rPr>
                      <w:szCs w:val="21"/>
                    </w:rPr>
                  </w:pPr>
                  <w:r>
                    <w:rPr>
                      <w:rFonts w:hint="eastAsia"/>
                      <w:szCs w:val="21"/>
                    </w:rPr>
                    <w:t>85</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w:t>
                  </w:r>
                </w:p>
              </w:tc>
              <w:tc>
                <w:tcPr>
                  <w:tcW w:w="566" w:type="dxa"/>
                  <w:tcBorders>
                    <w:tl2br w:val="nil"/>
                    <w:tr2bl w:val="nil"/>
                  </w:tcBorders>
                  <w:vAlign w:val="center"/>
                </w:tcPr>
                <w:p>
                  <w:pPr>
                    <w:adjustRightInd w:val="0"/>
                    <w:snapToGrid w:val="0"/>
                    <w:jc w:val="center"/>
                    <w:rPr>
                      <w:szCs w:val="21"/>
                    </w:rPr>
                  </w:pPr>
                  <w:r>
                    <w:rPr>
                      <w:rFonts w:hint="eastAsia"/>
                      <w:szCs w:val="21"/>
                    </w:rPr>
                    <w:t>52</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15.9</w:t>
                  </w:r>
                </w:p>
              </w:tc>
              <w:tc>
                <w:tcPr>
                  <w:tcW w:w="566" w:type="dxa"/>
                  <w:tcBorders>
                    <w:tl2br w:val="nil"/>
                    <w:tr2bl w:val="nil"/>
                  </w:tcBorders>
                  <w:vAlign w:val="center"/>
                </w:tcPr>
                <w:p>
                  <w:pPr>
                    <w:adjustRightInd w:val="0"/>
                    <w:snapToGrid w:val="0"/>
                    <w:jc w:val="center"/>
                    <w:rPr>
                      <w:szCs w:val="21"/>
                    </w:rPr>
                  </w:pPr>
                  <w:r>
                    <w:rPr>
                      <w:rFonts w:hint="eastAsia"/>
                      <w:szCs w:val="21"/>
                    </w:rPr>
                    <w:t>38.9</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燃烧机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pStyle w:val="49"/>
                    <w:widowControl w:val="0"/>
                    <w:adjustRightInd w:val="0"/>
                    <w:snapToGrid w:val="0"/>
                    <w:spacing w:before="0" w:beforeLines="0"/>
                  </w:pPr>
                  <w:r>
                    <w:rPr>
                      <w:rFonts w:hint="eastAsia"/>
                    </w:rPr>
                    <w:t>70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50</w:t>
                  </w:r>
                </w:p>
              </w:tc>
              <w:tc>
                <w:tcPr>
                  <w:tcW w:w="566" w:type="dxa"/>
                  <w:tcBorders>
                    <w:tl2br w:val="nil"/>
                    <w:tr2bl w:val="nil"/>
                  </w:tcBorders>
                  <w:vAlign w:val="center"/>
                </w:tcPr>
                <w:p>
                  <w:pPr>
                    <w:adjustRightInd w:val="0"/>
                    <w:snapToGrid w:val="0"/>
                    <w:jc w:val="center"/>
                    <w:rPr>
                      <w:szCs w:val="21"/>
                    </w:rPr>
                  </w:pPr>
                  <w:r>
                    <w:rPr>
                      <w:rFonts w:hint="eastAsia"/>
                      <w:szCs w:val="21"/>
                    </w:rPr>
                    <w:t>40</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15.9</w:t>
                  </w:r>
                </w:p>
              </w:tc>
              <w:tc>
                <w:tcPr>
                  <w:tcW w:w="566" w:type="dxa"/>
                  <w:tcBorders>
                    <w:tl2br w:val="nil"/>
                    <w:tr2bl w:val="nil"/>
                  </w:tcBorders>
                  <w:vAlign w:val="center"/>
                </w:tcPr>
                <w:p>
                  <w:pPr>
                    <w:adjustRightInd w:val="0"/>
                    <w:snapToGrid w:val="0"/>
                    <w:jc w:val="center"/>
                    <w:rPr>
                      <w:szCs w:val="21"/>
                    </w:rPr>
                  </w:pPr>
                  <w:r>
                    <w:rPr>
                      <w:rFonts w:hint="eastAsia"/>
                      <w:szCs w:val="21"/>
                    </w:rPr>
                    <w:t>47</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16</w:t>
                  </w:r>
                </w:p>
              </w:tc>
              <w:tc>
                <w:tcPr>
                  <w:tcW w:w="872" w:type="dxa"/>
                  <w:vMerge w:val="restart"/>
                  <w:tcBorders>
                    <w:tl2br w:val="nil"/>
                    <w:tr2bl w:val="nil"/>
                  </w:tcBorders>
                  <w:vAlign w:val="center"/>
                </w:tcPr>
                <w:p>
                  <w:pPr>
                    <w:adjustRightInd w:val="0"/>
                    <w:snapToGrid w:val="0"/>
                    <w:jc w:val="center"/>
                    <w:rPr>
                      <w:szCs w:val="21"/>
                    </w:rPr>
                  </w:pPr>
                  <w:r>
                    <w:rPr>
                      <w:rFonts w:hint="eastAsia"/>
                      <w:szCs w:val="21"/>
                    </w:rPr>
                    <w:t>高分子生产线</w:t>
                  </w: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热收缩包装机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pStyle w:val="49"/>
                    <w:widowControl w:val="0"/>
                    <w:adjustRightInd w:val="0"/>
                    <w:snapToGrid w:val="0"/>
                    <w:spacing w:before="0" w:beforeLines="0"/>
                  </w:pPr>
                  <w:r>
                    <w:rPr>
                      <w:rFonts w:hint="eastAsia"/>
                    </w:rPr>
                    <w:t>85</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w:t>
                  </w:r>
                </w:p>
              </w:tc>
              <w:tc>
                <w:tcPr>
                  <w:tcW w:w="566" w:type="dxa"/>
                  <w:tcBorders>
                    <w:tl2br w:val="nil"/>
                    <w:tr2bl w:val="nil"/>
                  </w:tcBorders>
                  <w:vAlign w:val="center"/>
                </w:tcPr>
                <w:p>
                  <w:pPr>
                    <w:adjustRightInd w:val="0"/>
                    <w:snapToGrid w:val="0"/>
                    <w:jc w:val="center"/>
                    <w:rPr>
                      <w:szCs w:val="21"/>
                    </w:rPr>
                  </w:pPr>
                  <w:r>
                    <w:rPr>
                      <w:rFonts w:hint="eastAsia"/>
                      <w:szCs w:val="21"/>
                    </w:rPr>
                    <w:t>31.8</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30.5</w:t>
                  </w:r>
                </w:p>
              </w:tc>
              <w:tc>
                <w:tcPr>
                  <w:tcW w:w="566" w:type="dxa"/>
                  <w:tcBorders>
                    <w:tl2br w:val="nil"/>
                    <w:tr2bl w:val="nil"/>
                  </w:tcBorders>
                  <w:vAlign w:val="center"/>
                </w:tcPr>
                <w:p>
                  <w:pPr>
                    <w:adjustRightInd w:val="0"/>
                    <w:snapToGrid w:val="0"/>
                    <w:jc w:val="center"/>
                    <w:rPr>
                      <w:szCs w:val="21"/>
                    </w:rPr>
                  </w:pPr>
                  <w:r>
                    <w:rPr>
                      <w:rFonts w:hint="eastAsia"/>
                      <w:szCs w:val="21"/>
                    </w:rPr>
                    <w:t>67.2</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17</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燃烧机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pStyle w:val="49"/>
                    <w:widowControl w:val="0"/>
                    <w:adjustRightInd w:val="0"/>
                    <w:snapToGrid w:val="0"/>
                    <w:spacing w:before="0" w:beforeLines="0"/>
                  </w:pPr>
                  <w:r>
                    <w:rPr>
                      <w:rFonts w:hint="eastAsia"/>
                    </w:rPr>
                    <w:t>70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50</w:t>
                  </w:r>
                </w:p>
              </w:tc>
              <w:tc>
                <w:tcPr>
                  <w:tcW w:w="566" w:type="dxa"/>
                  <w:tcBorders>
                    <w:tl2br w:val="nil"/>
                    <w:tr2bl w:val="nil"/>
                  </w:tcBorders>
                  <w:vAlign w:val="center"/>
                </w:tcPr>
                <w:p>
                  <w:pPr>
                    <w:adjustRightInd w:val="0"/>
                    <w:snapToGrid w:val="0"/>
                    <w:jc w:val="center"/>
                    <w:rPr>
                      <w:szCs w:val="21"/>
                    </w:rPr>
                  </w:pPr>
                  <w:r>
                    <w:rPr>
                      <w:rFonts w:hint="eastAsia"/>
                      <w:szCs w:val="21"/>
                    </w:rPr>
                    <w:t>21.2</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30.5</w:t>
                  </w:r>
                </w:p>
              </w:tc>
              <w:tc>
                <w:tcPr>
                  <w:tcW w:w="566" w:type="dxa"/>
                  <w:tcBorders>
                    <w:tl2br w:val="nil"/>
                    <w:tr2bl w:val="nil"/>
                  </w:tcBorders>
                  <w:vAlign w:val="center"/>
                </w:tcPr>
                <w:p>
                  <w:pPr>
                    <w:adjustRightInd w:val="0"/>
                    <w:snapToGrid w:val="0"/>
                    <w:jc w:val="center"/>
                    <w:rPr>
                      <w:szCs w:val="21"/>
                    </w:rPr>
                  </w:pPr>
                  <w:r>
                    <w:rPr>
                      <w:rFonts w:hint="eastAsia"/>
                      <w:szCs w:val="21"/>
                    </w:rPr>
                    <w:t>75.8</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18</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切膜机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pStyle w:val="49"/>
                    <w:widowControl w:val="0"/>
                    <w:adjustRightInd w:val="0"/>
                    <w:snapToGrid w:val="0"/>
                    <w:spacing w:before="0" w:beforeLines="0"/>
                  </w:pPr>
                  <w:r>
                    <w:rPr>
                      <w:rFonts w:hint="eastAsia"/>
                    </w:rPr>
                    <w:t>85</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65</w:t>
                  </w:r>
                </w:p>
              </w:tc>
              <w:tc>
                <w:tcPr>
                  <w:tcW w:w="566" w:type="dxa"/>
                  <w:tcBorders>
                    <w:tl2br w:val="nil"/>
                    <w:tr2bl w:val="nil"/>
                  </w:tcBorders>
                  <w:vAlign w:val="center"/>
                </w:tcPr>
                <w:p>
                  <w:pPr>
                    <w:adjustRightInd w:val="0"/>
                    <w:snapToGrid w:val="0"/>
                    <w:jc w:val="center"/>
                    <w:rPr>
                      <w:szCs w:val="21"/>
                    </w:rPr>
                  </w:pPr>
                  <w:r>
                    <w:rPr>
                      <w:rFonts w:hint="eastAsia"/>
                      <w:szCs w:val="21"/>
                    </w:rPr>
                    <w:t>62.5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30.5</w:t>
                  </w:r>
                </w:p>
              </w:tc>
              <w:tc>
                <w:tcPr>
                  <w:tcW w:w="566" w:type="dxa"/>
                  <w:tcBorders>
                    <w:tl2br w:val="nil"/>
                    <w:tr2bl w:val="nil"/>
                  </w:tcBorders>
                  <w:vAlign w:val="center"/>
                </w:tcPr>
                <w:p>
                  <w:pPr>
                    <w:adjustRightInd w:val="0"/>
                    <w:snapToGrid w:val="0"/>
                    <w:jc w:val="center"/>
                    <w:rPr>
                      <w:szCs w:val="21"/>
                    </w:rPr>
                  </w:pPr>
                  <w:r>
                    <w:rPr>
                      <w:rFonts w:hint="eastAsia"/>
                      <w:szCs w:val="21"/>
                    </w:rPr>
                    <w:t>31.7</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45.2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251" w:hRule="atLeast"/>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19</w:t>
                  </w:r>
                </w:p>
              </w:tc>
              <w:tc>
                <w:tcPr>
                  <w:tcW w:w="872" w:type="dxa"/>
                  <w:vMerge w:val="restart"/>
                  <w:tcBorders>
                    <w:tl2br w:val="nil"/>
                    <w:tr2bl w:val="nil"/>
                  </w:tcBorders>
                  <w:vAlign w:val="center"/>
                </w:tcPr>
                <w:p>
                  <w:pPr>
                    <w:adjustRightInd w:val="0"/>
                    <w:snapToGrid w:val="0"/>
                    <w:jc w:val="center"/>
                    <w:rPr>
                      <w:szCs w:val="21"/>
                    </w:rPr>
                  </w:pPr>
                  <w:r>
                    <w:rPr>
                      <w:rFonts w:hint="eastAsia"/>
                      <w:szCs w:val="21"/>
                    </w:rPr>
                    <w:t>其他设备</w:t>
                  </w: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喷淋塔</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pStyle w:val="49"/>
                    <w:widowControl w:val="0"/>
                    <w:adjustRightInd w:val="0"/>
                    <w:snapToGrid w:val="0"/>
                    <w:spacing w:before="0" w:beforeLines="0"/>
                  </w:pPr>
                  <w:r>
                    <w:rPr>
                      <w:rFonts w:hint="eastAsia"/>
                    </w:rPr>
                    <w:t>60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40</w:t>
                  </w:r>
                </w:p>
              </w:tc>
              <w:tc>
                <w:tcPr>
                  <w:tcW w:w="566" w:type="dxa"/>
                  <w:tcBorders>
                    <w:tl2br w:val="nil"/>
                    <w:tr2bl w:val="nil"/>
                  </w:tcBorders>
                  <w:vAlign w:val="center"/>
                </w:tcPr>
                <w:p>
                  <w:pPr>
                    <w:adjustRightInd w:val="0"/>
                    <w:snapToGrid w:val="0"/>
                    <w:jc w:val="center"/>
                    <w:rPr>
                      <w:szCs w:val="21"/>
                    </w:rPr>
                  </w:pPr>
                  <w:r>
                    <w:rPr>
                      <w:rFonts w:hint="eastAsia"/>
                      <w:szCs w:val="21"/>
                    </w:rPr>
                    <w:t>94</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3.4</w:t>
                  </w:r>
                </w:p>
              </w:tc>
              <w:tc>
                <w:tcPr>
                  <w:tcW w:w="566" w:type="dxa"/>
                  <w:tcBorders>
                    <w:tl2br w:val="nil"/>
                    <w:tr2bl w:val="nil"/>
                  </w:tcBorders>
                  <w:vAlign w:val="center"/>
                </w:tcPr>
                <w:p>
                  <w:pPr>
                    <w:adjustRightInd w:val="0"/>
                    <w:snapToGrid w:val="0"/>
                    <w:jc w:val="center"/>
                    <w:rPr>
                      <w:szCs w:val="21"/>
                    </w:rPr>
                  </w:pPr>
                  <w:r>
                    <w:rPr>
                      <w:rFonts w:hint="eastAsia"/>
                      <w:szCs w:val="21"/>
                    </w:rPr>
                    <w:t>2.0</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21</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叉车</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1</w:t>
                  </w:r>
                </w:p>
              </w:tc>
              <w:tc>
                <w:tcPr>
                  <w:tcW w:w="880" w:type="dxa"/>
                  <w:tcBorders>
                    <w:tl2br w:val="nil"/>
                    <w:tr2bl w:val="nil"/>
                  </w:tcBorders>
                  <w:vAlign w:val="center"/>
                </w:tcPr>
                <w:p>
                  <w:pPr>
                    <w:pStyle w:val="49"/>
                    <w:widowControl w:val="0"/>
                    <w:adjustRightInd w:val="0"/>
                    <w:snapToGrid w:val="0"/>
                    <w:spacing w:before="0" w:beforeLines="0"/>
                  </w:pPr>
                  <w:r>
                    <w:rPr>
                      <w:rFonts w:hint="eastAsia"/>
                    </w:rPr>
                    <w:t>80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60</w:t>
                  </w:r>
                </w:p>
              </w:tc>
              <w:tc>
                <w:tcPr>
                  <w:tcW w:w="566" w:type="dxa"/>
                  <w:tcBorders>
                    <w:tl2br w:val="nil"/>
                    <w:tr2bl w:val="nil"/>
                  </w:tcBorders>
                  <w:vAlign w:val="center"/>
                </w:tcPr>
                <w:p>
                  <w:pPr>
                    <w:adjustRightInd w:val="0"/>
                    <w:snapToGrid w:val="0"/>
                    <w:jc w:val="center"/>
                    <w:rPr>
                      <w:szCs w:val="21"/>
                    </w:rPr>
                  </w:pPr>
                  <w:r>
                    <w:rPr>
                      <w:rFonts w:hint="eastAsia"/>
                      <w:szCs w:val="21"/>
                    </w:rPr>
                    <w:t>62.5</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39.3</w:t>
                  </w:r>
                </w:p>
              </w:tc>
              <w:tc>
                <w:tcPr>
                  <w:tcW w:w="566" w:type="dxa"/>
                  <w:tcBorders>
                    <w:tl2br w:val="nil"/>
                    <w:tr2bl w:val="nil"/>
                  </w:tcBorders>
                  <w:vAlign w:val="center"/>
                </w:tcPr>
                <w:p>
                  <w:pPr>
                    <w:adjustRightInd w:val="0"/>
                    <w:snapToGrid w:val="0"/>
                    <w:jc w:val="center"/>
                    <w:rPr>
                      <w:szCs w:val="21"/>
                    </w:rPr>
                  </w:pPr>
                  <w:r>
                    <w:rPr>
                      <w:rFonts w:hint="eastAsia"/>
                      <w:szCs w:val="21"/>
                    </w:rPr>
                    <w:t>31.7</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512"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22</w:t>
                  </w:r>
                </w:p>
              </w:tc>
              <w:tc>
                <w:tcPr>
                  <w:tcW w:w="872" w:type="dxa"/>
                  <w:vMerge w:val="continue"/>
                  <w:tcBorders>
                    <w:tl2br w:val="nil"/>
                    <w:tr2bl w:val="nil"/>
                  </w:tcBorders>
                  <w:vAlign w:val="center"/>
                </w:tcPr>
                <w:p>
                  <w:pPr>
                    <w:adjustRightInd w:val="0"/>
                    <w:snapToGrid w:val="0"/>
                    <w:jc w:val="center"/>
                    <w:rPr>
                      <w:szCs w:val="21"/>
                    </w:rPr>
                  </w:pPr>
                </w:p>
              </w:tc>
              <w:tc>
                <w:tcPr>
                  <w:tcW w:w="1800"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风机</w:t>
                  </w:r>
                </w:p>
              </w:tc>
              <w:tc>
                <w:tcPr>
                  <w:tcW w:w="74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2</w:t>
                  </w:r>
                </w:p>
              </w:tc>
              <w:tc>
                <w:tcPr>
                  <w:tcW w:w="880" w:type="dxa"/>
                  <w:tcBorders>
                    <w:tl2br w:val="nil"/>
                    <w:tr2bl w:val="nil"/>
                  </w:tcBorders>
                  <w:vAlign w:val="center"/>
                </w:tcPr>
                <w:p>
                  <w:pPr>
                    <w:pStyle w:val="49"/>
                    <w:widowControl w:val="0"/>
                    <w:adjustRightInd w:val="0"/>
                    <w:snapToGrid w:val="0"/>
                    <w:spacing w:before="0" w:beforeLines="0"/>
                  </w:pPr>
                  <w:r>
                    <w:rPr>
                      <w:rFonts w:hint="eastAsia"/>
                    </w:rPr>
                    <w:t>90</w:t>
                  </w:r>
                </w:p>
              </w:tc>
              <w:tc>
                <w:tcPr>
                  <w:tcW w:w="694" w:type="dxa"/>
                  <w:vMerge w:val="continue"/>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p>
              </w:tc>
              <w:tc>
                <w:tcPr>
                  <w:tcW w:w="934"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70</w:t>
                  </w:r>
                </w:p>
              </w:tc>
              <w:tc>
                <w:tcPr>
                  <w:tcW w:w="566" w:type="dxa"/>
                  <w:tcBorders>
                    <w:tl2br w:val="nil"/>
                    <w:tr2bl w:val="nil"/>
                  </w:tcBorders>
                  <w:vAlign w:val="center"/>
                </w:tcPr>
                <w:p>
                  <w:pPr>
                    <w:adjustRightInd w:val="0"/>
                    <w:snapToGrid w:val="0"/>
                    <w:jc w:val="center"/>
                    <w:rPr>
                      <w:szCs w:val="21"/>
                    </w:rPr>
                  </w:pPr>
                  <w:r>
                    <w:rPr>
                      <w:rFonts w:hint="eastAsia"/>
                      <w:szCs w:val="21"/>
                    </w:rPr>
                    <w:t>94</w:t>
                  </w:r>
                </w:p>
              </w:tc>
              <w:tc>
                <w:tcPr>
                  <w:tcW w:w="566"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6.4</w:t>
                  </w:r>
                </w:p>
              </w:tc>
              <w:tc>
                <w:tcPr>
                  <w:tcW w:w="566" w:type="dxa"/>
                  <w:tcBorders>
                    <w:tl2br w:val="nil"/>
                    <w:tr2bl w:val="nil"/>
                  </w:tcBorders>
                  <w:vAlign w:val="center"/>
                </w:tcPr>
                <w:p>
                  <w:pPr>
                    <w:adjustRightInd w:val="0"/>
                    <w:snapToGrid w:val="0"/>
                    <w:jc w:val="center"/>
                    <w:rPr>
                      <w:szCs w:val="21"/>
                    </w:rPr>
                  </w:pPr>
                  <w:r>
                    <w:rPr>
                      <w:rFonts w:hint="eastAsia"/>
                      <w:szCs w:val="21"/>
                    </w:rPr>
                    <w:t>2.0</w:t>
                  </w:r>
                </w:p>
              </w:tc>
              <w:tc>
                <w:tcPr>
                  <w:tcW w:w="568" w:type="dxa"/>
                  <w:tcBorders>
                    <w:tl2br w:val="nil"/>
                    <w:tr2bl w:val="nil"/>
                  </w:tcBorders>
                  <w:vAlign w:val="center"/>
                </w:tcPr>
                <w:p>
                  <w:pPr>
                    <w:pStyle w:val="56"/>
                    <w:adjustRightInd w:val="0"/>
                    <w:snapToGrid w:val="0"/>
                    <w:spacing w:before="0"/>
                    <w:ind w:left="0" w:firstLine="0"/>
                    <w:jc w:val="center"/>
                    <w:rPr>
                      <w:rFonts w:ascii="Times New Roman" w:hAnsi="Times New Roman" w:cs="Times New Roman"/>
                      <w:szCs w:val="21"/>
                      <w:lang w:val="en-US"/>
                    </w:rPr>
                  </w:pPr>
                  <w:r>
                    <w:rPr>
                      <w:rFonts w:hint="eastAsia" w:ascii="Times New Roman" w:hAnsi="Times New Roman" w:cs="Times New Roman"/>
                      <w:szCs w:val="21"/>
                      <w:lang w:val="en-US"/>
                    </w:rPr>
                    <w:t>41.5</w:t>
                  </w:r>
                </w:p>
              </w:tc>
            </w:tr>
          </w:tbl>
          <w:p>
            <w:pPr>
              <w:adjustRightInd w:val="0"/>
              <w:snapToGrid w:val="0"/>
              <w:spacing w:line="360" w:lineRule="auto"/>
              <w:ind w:firstLine="482" w:firstLineChars="200"/>
              <w:rPr>
                <w:b/>
                <w:bCs/>
                <w:sz w:val="24"/>
              </w:rPr>
            </w:pPr>
            <w:r>
              <w:rPr>
                <w:b/>
                <w:bCs/>
                <w:sz w:val="24"/>
              </w:rPr>
              <w:t>2、降噪措施</w:t>
            </w:r>
          </w:p>
          <w:p>
            <w:pPr>
              <w:adjustRightInd w:val="0"/>
              <w:snapToGrid w:val="0"/>
              <w:spacing w:line="360" w:lineRule="auto"/>
              <w:ind w:firstLine="480" w:firstLineChars="200"/>
              <w:rPr>
                <w:sz w:val="24"/>
              </w:rPr>
            </w:pPr>
            <w:r>
              <w:rPr>
                <w:sz w:val="24"/>
              </w:rPr>
              <w:t>①在设备选型上，选择低噪声设备</w:t>
            </w:r>
            <w:r>
              <w:rPr>
                <w:rFonts w:hint="eastAsia"/>
                <w:sz w:val="24"/>
              </w:rPr>
              <w:t>。</w:t>
            </w:r>
          </w:p>
          <w:p>
            <w:pPr>
              <w:adjustRightInd w:val="0"/>
              <w:snapToGrid w:val="0"/>
              <w:spacing w:line="360" w:lineRule="auto"/>
              <w:ind w:firstLine="480" w:firstLineChars="200"/>
              <w:rPr>
                <w:sz w:val="24"/>
              </w:rPr>
            </w:pPr>
            <w:r>
              <w:rPr>
                <w:sz w:val="24"/>
              </w:rPr>
              <w:t>②</w:t>
            </w:r>
            <w:r>
              <w:rPr>
                <w:rFonts w:hint="eastAsia"/>
                <w:sz w:val="24"/>
              </w:rPr>
              <w:t>循环</w:t>
            </w:r>
            <w:r>
              <w:rPr>
                <w:sz w:val="24"/>
              </w:rPr>
              <w:t>泵基座下选用钢弹簧与橡胶复合串联式隔振基础。</w:t>
            </w:r>
          </w:p>
          <w:p>
            <w:pPr>
              <w:adjustRightInd w:val="0"/>
              <w:snapToGrid w:val="0"/>
              <w:spacing w:line="360" w:lineRule="auto"/>
              <w:ind w:firstLine="480" w:firstLineChars="200"/>
              <w:rPr>
                <w:sz w:val="24"/>
              </w:rPr>
            </w:pPr>
            <w:r>
              <w:rPr>
                <w:rFonts w:hint="eastAsia"/>
                <w:sz w:val="24"/>
              </w:rPr>
              <w:t>③</w:t>
            </w:r>
            <w:r>
              <w:rPr>
                <w:sz w:val="24"/>
              </w:rPr>
              <w:t>加强设备及噪声防治措施的维护保养，防止设备故障形成的非正常生产噪声以及噪声防治措施失效造成噪声超标。</w:t>
            </w:r>
          </w:p>
          <w:p>
            <w:pPr>
              <w:adjustRightInd w:val="0"/>
              <w:snapToGrid w:val="0"/>
              <w:spacing w:line="360" w:lineRule="auto"/>
              <w:ind w:firstLine="480" w:firstLineChars="200"/>
              <w:rPr>
                <w:rFonts w:hint="eastAsia" w:eastAsia="宋体"/>
                <w:sz w:val="24"/>
                <w:lang w:eastAsia="zh-CN"/>
              </w:rPr>
            </w:pPr>
            <w:r>
              <w:rPr>
                <w:rFonts w:hint="eastAsia"/>
                <w:sz w:val="24"/>
              </w:rPr>
              <w:t>④</w:t>
            </w:r>
            <w:r>
              <w:rPr>
                <w:sz w:val="24"/>
              </w:rPr>
              <w:t>加强日常管理，提高环保意识尽可能地降低各种噪声对环境的影响。运营期门窗紧闭，使噪声受到最大</w:t>
            </w:r>
            <w:r>
              <w:rPr>
                <w:rFonts w:hint="eastAsia"/>
                <w:sz w:val="24"/>
              </w:rPr>
              <w:t>程度地隔绝</w:t>
            </w:r>
            <w:r>
              <w:rPr>
                <w:sz w:val="24"/>
              </w:rPr>
              <w:t>和吸收。</w:t>
            </w:r>
          </w:p>
          <w:p>
            <w:pPr>
              <w:adjustRightInd w:val="0"/>
              <w:snapToGrid w:val="0"/>
              <w:spacing w:line="360" w:lineRule="auto"/>
              <w:ind w:firstLine="482" w:firstLineChars="200"/>
              <w:rPr>
                <w:b/>
                <w:bCs/>
                <w:sz w:val="24"/>
                <w:lang w:val="zh-CN"/>
              </w:rPr>
            </w:pPr>
            <w:r>
              <w:rPr>
                <w:rFonts w:hint="eastAsia"/>
                <w:b/>
                <w:bCs/>
                <w:sz w:val="24"/>
              </w:rPr>
              <w:t>3、噪声</w:t>
            </w:r>
            <w:r>
              <w:rPr>
                <w:rFonts w:hint="eastAsia"/>
                <w:b/>
                <w:bCs/>
                <w:sz w:val="24"/>
                <w:lang w:val="zh-CN"/>
              </w:rPr>
              <w:t>预测</w:t>
            </w:r>
          </w:p>
          <w:p>
            <w:pPr>
              <w:autoSpaceDN w:val="0"/>
              <w:adjustRightInd w:val="0"/>
              <w:snapToGrid w:val="0"/>
              <w:spacing w:line="360" w:lineRule="auto"/>
              <w:ind w:firstLine="480" w:firstLineChars="200"/>
              <w:jc w:val="left"/>
              <w:rPr>
                <w:sz w:val="24"/>
              </w:rPr>
            </w:pPr>
            <w:r>
              <w:rPr>
                <w:rFonts w:hint="eastAsia"/>
                <w:sz w:val="24"/>
              </w:rPr>
              <w:t>采用《环境影响评价技术导则声环境》（HJ2.4-2021）中对企业噪声预测模式进行预测，测采用噪声点源衰减模式和噪声叠加公式进行计算，具体预测模式如下。</w:t>
            </w:r>
          </w:p>
          <w:p>
            <w:pPr>
              <w:autoSpaceDN w:val="0"/>
              <w:adjustRightInd w:val="0"/>
              <w:snapToGrid w:val="0"/>
              <w:spacing w:line="360" w:lineRule="auto"/>
              <w:ind w:firstLine="480" w:firstLineChars="200"/>
              <w:jc w:val="left"/>
              <w:rPr>
                <w:sz w:val="24"/>
              </w:rPr>
            </w:pPr>
            <w:r>
              <w:rPr>
                <w:rFonts w:hint="eastAsia"/>
                <w:sz w:val="24"/>
              </w:rPr>
              <w:t>1）室内声源等效室外声源计算</w:t>
            </w:r>
          </w:p>
          <w:p>
            <w:pPr>
              <w:autoSpaceDN w:val="0"/>
              <w:adjustRightInd w:val="0"/>
              <w:snapToGrid w:val="0"/>
              <w:spacing w:line="360" w:lineRule="auto"/>
              <w:ind w:firstLine="480" w:firstLineChars="200"/>
              <w:jc w:val="left"/>
              <w:rPr>
                <w:sz w:val="24"/>
              </w:rPr>
            </w:pPr>
            <w:r>
              <w:rPr>
                <w:rFonts w:hint="eastAsia"/>
                <w:sz w:val="24"/>
              </w:rPr>
              <w:t>声源位于室内，室内声源可采用等效室外声源声功率级法进行计算。设靠近开口处（或窗户）室内、室外某倍频带的声压级分别为L</w:t>
            </w:r>
            <w:r>
              <w:rPr>
                <w:rFonts w:hint="eastAsia"/>
                <w:sz w:val="24"/>
                <w:vertAlign w:val="subscript"/>
              </w:rPr>
              <w:t>p1</w:t>
            </w:r>
            <w:r>
              <w:rPr>
                <w:rFonts w:hint="eastAsia"/>
                <w:sz w:val="24"/>
              </w:rPr>
              <w:t>和L</w:t>
            </w:r>
            <w:r>
              <w:rPr>
                <w:rFonts w:hint="eastAsia"/>
                <w:sz w:val="24"/>
                <w:vertAlign w:val="subscript"/>
              </w:rPr>
              <w:t>p2</w:t>
            </w:r>
            <w:r>
              <w:rPr>
                <w:rFonts w:hint="eastAsia"/>
                <w:sz w:val="24"/>
              </w:rPr>
              <w:t>。若声源所在室内声场为近似扩散声场，则室外的倍频带声压级可按下式近似求出：</w:t>
            </w:r>
          </w:p>
          <w:p>
            <w:pPr>
              <w:autoSpaceDN w:val="0"/>
              <w:adjustRightInd w:val="0"/>
              <w:snapToGrid w:val="0"/>
              <w:spacing w:line="360" w:lineRule="auto"/>
              <w:ind w:firstLine="480" w:firstLineChars="200"/>
              <w:jc w:val="center"/>
              <w:rPr>
                <w:sz w:val="24"/>
              </w:rPr>
            </w:pPr>
            <w:r>
              <w:rPr>
                <w:rFonts w:hint="eastAsia"/>
                <w:sz w:val="24"/>
              </w:rPr>
              <w:t>L</w:t>
            </w:r>
            <w:r>
              <w:rPr>
                <w:rFonts w:hint="eastAsia"/>
                <w:sz w:val="24"/>
                <w:vertAlign w:val="subscript"/>
              </w:rPr>
              <w:t>P2</w:t>
            </w:r>
            <w:r>
              <w:rPr>
                <w:rFonts w:hint="eastAsia"/>
                <w:sz w:val="24"/>
              </w:rPr>
              <w:t>（T）=L</w:t>
            </w:r>
            <w:r>
              <w:rPr>
                <w:rFonts w:hint="eastAsia"/>
                <w:sz w:val="24"/>
                <w:vertAlign w:val="subscript"/>
              </w:rPr>
              <w:t>P1</w:t>
            </w:r>
            <w:r>
              <w:rPr>
                <w:rFonts w:hint="eastAsia"/>
                <w:sz w:val="24"/>
              </w:rPr>
              <w:t>（T）－(TL+6)</w:t>
            </w:r>
          </w:p>
          <w:p>
            <w:pPr>
              <w:autoSpaceDN w:val="0"/>
              <w:adjustRightInd w:val="0"/>
              <w:snapToGrid w:val="0"/>
              <w:spacing w:line="360" w:lineRule="auto"/>
              <w:ind w:firstLine="480" w:firstLineChars="200"/>
              <w:jc w:val="left"/>
              <w:rPr>
                <w:sz w:val="24"/>
              </w:rPr>
            </w:pPr>
            <w:r>
              <w:rPr>
                <w:rFonts w:hint="eastAsia"/>
                <w:sz w:val="24"/>
              </w:rPr>
              <w:t>式中：TL—隔墙（或窗户）倍频带的隔声量，dB（A）。</w:t>
            </w:r>
          </w:p>
          <w:p>
            <w:pPr>
              <w:autoSpaceDN w:val="0"/>
              <w:adjustRightInd w:val="0"/>
              <w:snapToGrid w:val="0"/>
              <w:spacing w:line="360" w:lineRule="auto"/>
              <w:ind w:firstLine="480" w:firstLineChars="200"/>
              <w:jc w:val="left"/>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P1</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w</m:t>
                    </m:r>
                    <m:ctrlPr>
                      <w:rPr>
                        <w:rFonts w:ascii="Cambria Math" w:hAnsi="Cambria Math"/>
                        <w:sz w:val="24"/>
                      </w:rPr>
                    </m:ctrlPr>
                  </m:sub>
                </m:sSub>
                <m:r>
                  <m:rPr>
                    <m:sty m:val="p"/>
                  </m:rPr>
                  <w:rPr>
                    <w:rFonts w:ascii="Cambria Math" w:hAnsi="Cambria Math"/>
                    <w:sz w:val="24"/>
                  </w:rPr>
                  <m:t>+10lg</m:t>
                </m:r>
                <m:d>
                  <m:dPr>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Q</m:t>
                        </m:r>
                        <m:ctrlPr>
                          <w:rPr>
                            <w:rFonts w:ascii="Cambria Math" w:hAnsi="Cambria Math"/>
                            <w:sz w:val="24"/>
                          </w:rPr>
                        </m:ctrlPr>
                      </m:num>
                      <m:den>
                        <m:sSup>
                          <m:sSupPr>
                            <m:ctrlPr>
                              <w:rPr>
                                <w:rFonts w:ascii="Cambria Math" w:hAnsi="Cambria Math"/>
                                <w:sz w:val="24"/>
                              </w:rPr>
                            </m:ctrlPr>
                          </m:sSupPr>
                          <m:e>
                            <m:r>
                              <m:rPr>
                                <m:sty m:val="p"/>
                              </m:rPr>
                              <w:rPr>
                                <w:rFonts w:ascii="Cambria Math" w:hAnsi="Cambria Math"/>
                                <w:sz w:val="24"/>
                              </w:rPr>
                              <m:t>4πr</m:t>
                            </m:r>
                            <m:ctrlPr>
                              <w:rPr>
                                <w:rFonts w:ascii="Cambria Math" w:hAnsi="Cambria Math"/>
                                <w:sz w:val="24"/>
                              </w:rPr>
                            </m:ctrlPr>
                          </m:e>
                          <m:sup>
                            <m:r>
                              <m:rPr>
                                <m:sty m:val="p"/>
                              </m:rPr>
                              <w:rPr>
                                <w:rFonts w:ascii="Cambria Math" w:hAnsi="Cambria Math"/>
                                <w:sz w:val="24"/>
                              </w:rPr>
                              <m:t>2</m:t>
                            </m:r>
                            <m:ctrlPr>
                              <w:rPr>
                                <w:rFonts w:ascii="Cambria Math" w:hAnsi="Cambria Math"/>
                                <w:sz w:val="24"/>
                              </w:rPr>
                            </m:ctrlPr>
                          </m:sup>
                        </m:sSup>
                        <m:ctrlPr>
                          <w:rPr>
                            <w:rFonts w:ascii="Cambria Math" w:hAnsi="Cambria Math"/>
                            <w:sz w:val="24"/>
                          </w:rPr>
                        </m:ctrlPr>
                      </m:den>
                    </m:f>
                    <m:r>
                      <m:rPr>
                        <m:sty m:val="p"/>
                      </m:rPr>
                      <w:rPr>
                        <w:rFonts w:ascii="Cambria Math" w:hAnsi="Cambria Math"/>
                        <w:sz w:val="24"/>
                      </w:rPr>
                      <m:t>+</m:t>
                    </m:r>
                    <m:f>
                      <m:fPr>
                        <m:ctrlPr>
                          <w:rPr>
                            <w:rFonts w:ascii="Cambria Math" w:hAnsi="Cambria Math"/>
                            <w:sz w:val="24"/>
                          </w:rPr>
                        </m:ctrlPr>
                      </m:fPr>
                      <m:num>
                        <m:r>
                          <m:rPr>
                            <m:sty m:val="p"/>
                          </m:rPr>
                          <w:rPr>
                            <w:rFonts w:ascii="Cambria Math" w:hAnsi="Cambria Math"/>
                            <w:sz w:val="24"/>
                          </w:rPr>
                          <m:t>4</m:t>
                        </m:r>
                        <m:ctrlPr>
                          <w:rPr>
                            <w:rFonts w:ascii="Cambria Math" w:hAnsi="Cambria Math"/>
                            <w:sz w:val="24"/>
                          </w:rPr>
                        </m:ctrlPr>
                      </m:num>
                      <m:den>
                        <m:r>
                          <m:rPr>
                            <m:sty m:val="p"/>
                          </m:rPr>
                          <w:rPr>
                            <w:rFonts w:ascii="Cambria Math" w:hAnsi="Cambria Math"/>
                            <w:sz w:val="24"/>
                          </w:rPr>
                          <m:t>R</m:t>
                        </m:r>
                        <m:ctrlPr>
                          <w:rPr>
                            <w:rFonts w:ascii="Cambria Math" w:hAnsi="Cambria Math"/>
                            <w:sz w:val="24"/>
                          </w:rPr>
                        </m:ctrlPr>
                      </m:den>
                    </m:f>
                    <m:ctrlPr>
                      <w:rPr>
                        <w:rFonts w:ascii="Cambria Math" w:hAnsi="Cambria Math"/>
                        <w:sz w:val="24"/>
                      </w:rPr>
                    </m:ctrlPr>
                  </m:e>
                </m:d>
              </m:oMath>
            </m:oMathPara>
          </w:p>
          <w:p>
            <w:pPr>
              <w:autoSpaceDN w:val="0"/>
              <w:adjustRightInd w:val="0"/>
              <w:snapToGrid w:val="0"/>
              <w:spacing w:line="360" w:lineRule="auto"/>
              <w:ind w:firstLine="480" w:firstLineChars="200"/>
              <w:jc w:val="left"/>
              <w:rPr>
                <w:sz w:val="24"/>
              </w:rPr>
            </w:pPr>
            <w:r>
              <w:rPr>
                <w:rFonts w:hint="eastAsia"/>
                <w:sz w:val="24"/>
              </w:rPr>
              <w:t>式中：Q—指向性因数；通常对无指向性声源，当声源放在房间中心时，Q=1；当放在一面墙的中心时，Q=2；当放在两面墙夹角处时，Q=4；当放在三面墙夹角处时，Q=8。</w:t>
            </w:r>
          </w:p>
          <w:p>
            <w:pPr>
              <w:autoSpaceDN w:val="0"/>
              <w:adjustRightInd w:val="0"/>
              <w:snapToGrid w:val="0"/>
              <w:spacing w:line="360" w:lineRule="auto"/>
              <w:ind w:firstLine="1200" w:firstLineChars="500"/>
              <w:jc w:val="left"/>
              <w:rPr>
                <w:sz w:val="24"/>
              </w:rPr>
            </w:pPr>
            <w:r>
              <w:rPr>
                <w:rFonts w:hint="eastAsia"/>
                <w:sz w:val="24"/>
              </w:rPr>
              <w:t>R—房间常数；R=Sa/(1-a)，S为房间内表面面积，m2；a平均吸声系数。</w:t>
            </w:r>
          </w:p>
          <w:p>
            <w:pPr>
              <w:autoSpaceDN w:val="0"/>
              <w:adjustRightInd w:val="0"/>
              <w:snapToGrid w:val="0"/>
              <w:spacing w:line="360" w:lineRule="auto"/>
              <w:ind w:firstLine="1320" w:firstLineChars="550"/>
              <w:jc w:val="left"/>
              <w:rPr>
                <w:sz w:val="24"/>
              </w:rPr>
            </w:pPr>
            <w:r>
              <w:rPr>
                <w:rFonts w:hint="eastAsia"/>
                <w:sz w:val="24"/>
              </w:rPr>
              <w:t>r—声源到靠近围护结构某点处的距离，m。</w:t>
            </w:r>
          </w:p>
          <w:p>
            <w:pPr>
              <w:autoSpaceDN w:val="0"/>
              <w:adjustRightInd w:val="0"/>
              <w:snapToGrid w:val="0"/>
              <w:spacing w:line="360" w:lineRule="auto"/>
              <w:ind w:firstLine="480" w:firstLineChars="200"/>
              <w:jc w:val="left"/>
              <w:rPr>
                <w:sz w:val="24"/>
              </w:rPr>
            </w:pPr>
            <w:r>
              <w:rPr>
                <w:rFonts w:hint="eastAsia"/>
                <w:sz w:val="24"/>
              </w:rPr>
              <w:t>按下式计算出所有室内声源在围护结构处产生的i倍频带叠加声压级：</w:t>
            </w:r>
          </w:p>
          <w:p>
            <w:pPr>
              <w:autoSpaceDN w:val="0"/>
              <w:adjustRightInd w:val="0"/>
              <w:snapToGrid w:val="0"/>
              <w:spacing w:line="360" w:lineRule="auto"/>
              <w:ind w:firstLine="480" w:firstLineChars="200"/>
              <w:jc w:val="left"/>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p1i</m:t>
                    </m:r>
                    <m:ctrlPr>
                      <w:rPr>
                        <w:rFonts w:ascii="Cambria Math" w:hAnsi="Cambria Math"/>
                        <w:sz w:val="24"/>
                      </w:rPr>
                    </m:ctrlPr>
                  </m:sub>
                </m:sSub>
                <m:d>
                  <m:dPr>
                    <m:ctrlPr>
                      <w:rPr>
                        <w:rFonts w:ascii="Cambria Math" w:hAnsi="Cambria Math"/>
                        <w:sz w:val="24"/>
                      </w:rPr>
                    </m:ctrlPr>
                  </m:dPr>
                  <m:e>
                    <m:r>
                      <m:rPr>
                        <m:sty m:val="p"/>
                      </m:rPr>
                      <w:rPr>
                        <w:rFonts w:ascii="Cambria Math" w:hAnsi="Cambria Math"/>
                        <w:sz w:val="24"/>
                      </w:rPr>
                      <m:t>T</m:t>
                    </m:r>
                    <m:ctrlPr>
                      <w:rPr>
                        <w:rFonts w:ascii="Cambria Math" w:hAnsi="Cambria Math"/>
                        <w:sz w:val="24"/>
                      </w:rPr>
                    </m:ctrlPr>
                  </m:e>
                </m:d>
                <m:r>
                  <m:rPr>
                    <m:sty m:val="p"/>
                  </m:rPr>
                  <w:rPr>
                    <w:rFonts w:ascii="Cambria Math" w:hAnsi="Cambria Math"/>
                    <w:sz w:val="24"/>
                  </w:rPr>
                  <m:t>=10lg</m:t>
                </m:r>
                <m:d>
                  <m:dPr>
                    <m:ctrlPr>
                      <w:rPr>
                        <w:rFonts w:ascii="Cambria Math" w:hAnsi="Cambria Math"/>
                        <w:sz w:val="24"/>
                      </w:rPr>
                    </m:ctrlPr>
                  </m:dPr>
                  <m:e>
                    <m:nary>
                      <m:naryPr>
                        <m:chr m:val="∑"/>
                        <m:limLoc m:val="undOvr"/>
                        <m:ctrlPr>
                          <w:rPr>
                            <w:rFonts w:ascii="Cambria Math" w:hAnsi="Cambria Math"/>
                            <w:sz w:val="24"/>
                          </w:rPr>
                        </m:ctrlPr>
                      </m:naryPr>
                      <m:sub>
                        <m:r>
                          <m:rPr>
                            <m:sty m:val="p"/>
                          </m:rPr>
                          <w:rPr>
                            <w:rFonts w:ascii="Cambria Math" w:hAnsi="Cambria Math"/>
                            <w:sz w:val="24"/>
                          </w:rPr>
                          <m:t>j=1</m:t>
                        </m:r>
                        <m:ctrlPr>
                          <w:rPr>
                            <w:rFonts w:ascii="Cambria Math" w:hAnsi="Cambria Math"/>
                            <w:sz w:val="24"/>
                          </w:rPr>
                        </m:ctrlPr>
                      </m:sub>
                      <m:sup>
                        <m:r>
                          <m:rPr>
                            <m:sty m:val="p"/>
                          </m:rPr>
                          <w:rPr>
                            <w:rFonts w:ascii="Cambria Math" w:hAnsi="Cambria Math"/>
                            <w:sz w:val="24"/>
                          </w:rPr>
                          <m:t>N</m:t>
                        </m:r>
                        <m:ctrlPr>
                          <w:rPr>
                            <w:rFonts w:ascii="Cambria Math" w:hAnsi="Cambria Math"/>
                            <w:sz w:val="24"/>
                          </w:rPr>
                        </m:ctrlPr>
                      </m:sup>
                      <m:e>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p1ij</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nary>
                    <m:ctrlPr>
                      <w:rPr>
                        <w:rFonts w:ascii="Cambria Math" w:hAnsi="Cambria Math"/>
                        <w:sz w:val="24"/>
                      </w:rPr>
                    </m:ctrlPr>
                  </m:e>
                </m:d>
              </m:oMath>
            </m:oMathPara>
          </w:p>
          <w:p>
            <w:pPr>
              <w:autoSpaceDN w:val="0"/>
              <w:adjustRightInd w:val="0"/>
              <w:snapToGrid w:val="0"/>
              <w:spacing w:line="360" w:lineRule="auto"/>
              <w:ind w:firstLine="480" w:firstLineChars="200"/>
              <w:jc w:val="left"/>
              <w:rPr>
                <w:sz w:val="24"/>
              </w:rPr>
            </w:pPr>
            <w:r>
              <w:rPr>
                <w:rFonts w:hint="eastAsia"/>
                <w:sz w:val="24"/>
              </w:rPr>
              <w:t>式中：LP1i（T）—靠近维护结构处室内N个声源i倍频带的叠加声压级，dB；</w:t>
            </w:r>
          </w:p>
          <w:p>
            <w:pPr>
              <w:autoSpaceDN w:val="0"/>
              <w:adjustRightInd w:val="0"/>
              <w:snapToGrid w:val="0"/>
              <w:spacing w:line="360" w:lineRule="auto"/>
              <w:ind w:firstLine="1200" w:firstLineChars="500"/>
              <w:jc w:val="left"/>
              <w:rPr>
                <w:sz w:val="24"/>
              </w:rPr>
            </w:pPr>
            <w:r>
              <w:rPr>
                <w:rFonts w:hint="eastAsia"/>
                <w:sz w:val="24"/>
              </w:rPr>
              <w:t>LP1ij—室内j声源i倍频带的声压级，dB；</w:t>
            </w:r>
          </w:p>
          <w:p>
            <w:pPr>
              <w:autoSpaceDN w:val="0"/>
              <w:adjustRightInd w:val="0"/>
              <w:snapToGrid w:val="0"/>
              <w:spacing w:line="360" w:lineRule="auto"/>
              <w:ind w:firstLine="1200" w:firstLineChars="500"/>
              <w:jc w:val="left"/>
              <w:rPr>
                <w:sz w:val="24"/>
              </w:rPr>
            </w:pPr>
            <w:r>
              <w:rPr>
                <w:rFonts w:hint="eastAsia"/>
                <w:sz w:val="24"/>
              </w:rPr>
              <w:t>N—室内声源总数。</w:t>
            </w:r>
          </w:p>
          <w:p>
            <w:pPr>
              <w:autoSpaceDN w:val="0"/>
              <w:adjustRightInd w:val="0"/>
              <w:snapToGrid w:val="0"/>
              <w:spacing w:line="360" w:lineRule="auto"/>
              <w:ind w:firstLine="480" w:firstLineChars="200"/>
              <w:jc w:val="left"/>
              <w:rPr>
                <w:sz w:val="24"/>
              </w:rPr>
            </w:pPr>
            <w:r>
              <w:rPr>
                <w:rFonts w:hint="eastAsia"/>
                <w:sz w:val="24"/>
              </w:rPr>
              <w:t>在室内近似为扩散声场时，按下式计算出靠近室外围护结构处的声压级：</w:t>
            </w:r>
          </w:p>
          <w:p>
            <w:pPr>
              <w:autoSpaceDN w:val="0"/>
              <w:adjustRightInd w:val="0"/>
              <w:snapToGrid w:val="0"/>
              <w:spacing w:line="360" w:lineRule="auto"/>
              <w:ind w:firstLine="480" w:firstLineChars="200"/>
              <w:jc w:val="center"/>
              <w:rPr>
                <w:sz w:val="24"/>
              </w:rPr>
            </w:pPr>
            <w:r>
              <w:rPr>
                <w:rFonts w:hint="eastAsia"/>
                <w:sz w:val="24"/>
              </w:rPr>
              <w:t>LP2i(T)=LP1i(T)－(TLi+6)</w:t>
            </w:r>
          </w:p>
          <w:p>
            <w:pPr>
              <w:autoSpaceDN w:val="0"/>
              <w:adjustRightInd w:val="0"/>
              <w:snapToGrid w:val="0"/>
              <w:spacing w:line="360" w:lineRule="auto"/>
              <w:ind w:firstLine="480" w:firstLineChars="200"/>
              <w:jc w:val="left"/>
              <w:rPr>
                <w:sz w:val="24"/>
              </w:rPr>
            </w:pPr>
            <w:r>
              <w:rPr>
                <w:rFonts w:hint="eastAsia"/>
                <w:sz w:val="24"/>
              </w:rPr>
              <w:t>式中：LP2i（T）—靠近维护结构处室外N个声源i倍频带的叠加声压级，dB；</w:t>
            </w:r>
          </w:p>
          <w:p>
            <w:pPr>
              <w:autoSpaceDN w:val="0"/>
              <w:adjustRightInd w:val="0"/>
              <w:snapToGrid w:val="0"/>
              <w:spacing w:line="360" w:lineRule="auto"/>
              <w:ind w:firstLine="1200" w:firstLineChars="500"/>
              <w:jc w:val="left"/>
              <w:rPr>
                <w:sz w:val="24"/>
              </w:rPr>
            </w:pPr>
            <w:r>
              <w:rPr>
                <w:rFonts w:hint="eastAsia"/>
                <w:sz w:val="24"/>
              </w:rPr>
              <w:t>TLi—维护结构i倍频带的隔声量，dB。</w:t>
            </w:r>
          </w:p>
          <w:p>
            <w:pPr>
              <w:autoSpaceDN w:val="0"/>
              <w:adjustRightInd w:val="0"/>
              <w:snapToGrid w:val="0"/>
              <w:spacing w:line="360" w:lineRule="auto"/>
              <w:ind w:firstLine="480" w:firstLineChars="200"/>
              <w:jc w:val="left"/>
              <w:rPr>
                <w:sz w:val="24"/>
              </w:rPr>
            </w:pPr>
            <w:r>
              <w:rPr>
                <w:rFonts w:hint="eastAsia"/>
                <w:sz w:val="24"/>
              </w:rPr>
              <w:t>然后按下式将室外声源的声压级和透过面积换算成等效的室外声源，计算出中心位置位于透声面积（S）处的等效声源的倍频带声功率级：</w:t>
            </w:r>
          </w:p>
          <w:p>
            <w:pPr>
              <w:autoSpaceDN w:val="0"/>
              <w:adjustRightInd w:val="0"/>
              <w:snapToGrid w:val="0"/>
              <w:spacing w:line="360" w:lineRule="auto"/>
              <w:ind w:firstLine="480" w:firstLineChars="200"/>
              <w:jc w:val="left"/>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w</m:t>
                    </m:r>
                    <m:ctrlPr>
                      <w:rPr>
                        <w:rFonts w:ascii="Cambria Math" w:hAnsi="Cambria Math"/>
                        <w:sz w:val="24"/>
                      </w:rPr>
                    </m:ctrlPr>
                  </m:sub>
                </m:sSub>
                <m:r>
                  <m:rPr>
                    <m:sty m:val="p"/>
                  </m:rPr>
                  <w:rPr>
                    <w:rFonts w:ascii="Cambria Math" w:hAnsi="Cambria Math"/>
                    <w:sz w:val="24"/>
                  </w:rPr>
                  <m:t>=</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p2</m:t>
                    </m:r>
                    <m:ctrlPr>
                      <w:rPr>
                        <w:rFonts w:ascii="Cambria Math" w:hAnsi="Cambria Math"/>
                        <w:sz w:val="24"/>
                      </w:rPr>
                    </m:ctrlPr>
                  </m:sub>
                </m:sSub>
                <m:d>
                  <m:dPr>
                    <m:ctrlPr>
                      <w:rPr>
                        <w:rFonts w:ascii="Cambria Math" w:hAnsi="Cambria Math"/>
                        <w:sz w:val="24"/>
                      </w:rPr>
                    </m:ctrlPr>
                  </m:dPr>
                  <m:e>
                    <m:r>
                      <m:rPr>
                        <m:sty m:val="p"/>
                      </m:rPr>
                      <w:rPr>
                        <w:rFonts w:ascii="Cambria Math" w:hAnsi="Cambria Math"/>
                        <w:sz w:val="24"/>
                      </w:rPr>
                      <m:t>T</m:t>
                    </m:r>
                    <m:ctrlPr>
                      <w:rPr>
                        <w:rFonts w:ascii="Cambria Math" w:hAnsi="Cambria Math"/>
                        <w:sz w:val="24"/>
                      </w:rPr>
                    </m:ctrlPr>
                  </m:e>
                </m:d>
                <m:r>
                  <m:rPr>
                    <m:sty m:val="p"/>
                  </m:rPr>
                  <w:rPr>
                    <w:rFonts w:ascii="Cambria Math" w:hAnsi="Cambria Math"/>
                    <w:sz w:val="24"/>
                  </w:rPr>
                  <m:t>+10lgS</m:t>
                </m:r>
              </m:oMath>
            </m:oMathPara>
          </w:p>
          <w:p>
            <w:pPr>
              <w:autoSpaceDN w:val="0"/>
              <w:adjustRightInd w:val="0"/>
              <w:snapToGrid w:val="0"/>
              <w:spacing w:line="360" w:lineRule="auto"/>
              <w:ind w:firstLine="480" w:firstLineChars="200"/>
              <w:jc w:val="left"/>
              <w:rPr>
                <w:sz w:val="24"/>
              </w:rPr>
            </w:pPr>
            <w:r>
              <w:rPr>
                <w:rFonts w:hint="eastAsia"/>
                <w:sz w:val="24"/>
              </w:rPr>
              <w:t>然后按室外声源预测方法计算预测点处的A声级。</w:t>
            </w:r>
          </w:p>
          <w:p>
            <w:pPr>
              <w:autoSpaceDN w:val="0"/>
              <w:adjustRightInd w:val="0"/>
              <w:snapToGrid w:val="0"/>
              <w:spacing w:line="360" w:lineRule="auto"/>
              <w:ind w:firstLine="480" w:firstLineChars="200"/>
              <w:jc w:val="left"/>
              <w:rPr>
                <w:sz w:val="24"/>
              </w:rPr>
            </w:pPr>
            <w:r>
              <w:rPr>
                <w:rFonts w:hint="eastAsia"/>
                <w:sz w:val="24"/>
              </w:rPr>
              <w:t>2）噪声贡献值计算</w:t>
            </w:r>
          </w:p>
          <w:p>
            <w:pPr>
              <w:autoSpaceDN w:val="0"/>
              <w:adjustRightInd w:val="0"/>
              <w:snapToGrid w:val="0"/>
              <w:spacing w:line="360" w:lineRule="auto"/>
              <w:ind w:firstLine="480" w:firstLineChars="200"/>
              <w:jc w:val="left"/>
              <w:rPr>
                <w:sz w:val="24"/>
              </w:rPr>
            </w:pPr>
            <w:r>
              <w:rPr>
                <w:rFonts w:hint="eastAsia"/>
                <w:sz w:val="24"/>
              </w:rPr>
              <w:t>设第i个室外声源在预测点产生的A声级为LAi，在T时间内该声源工作时间为ti；</w:t>
            </w:r>
          </w:p>
          <w:p>
            <w:pPr>
              <w:autoSpaceDN w:val="0"/>
              <w:adjustRightInd w:val="0"/>
              <w:snapToGrid w:val="0"/>
              <w:spacing w:line="360" w:lineRule="auto"/>
              <w:ind w:firstLine="480" w:firstLineChars="200"/>
              <w:jc w:val="left"/>
              <w:rPr>
                <w:sz w:val="24"/>
              </w:rPr>
            </w:pPr>
            <w:r>
              <w:rPr>
                <w:rFonts w:hint="eastAsia"/>
                <w:sz w:val="24"/>
              </w:rPr>
              <w:t>第j个等效室外声源在预测点产生的A声级为LAj，在T时间内该声源工作时间为tj，则拟建工程声源对预测点产生的贡献值（Leqg）为：</w:t>
            </w:r>
          </w:p>
          <w:p>
            <w:pPr>
              <w:autoSpaceDN w:val="0"/>
              <w:adjustRightInd w:val="0"/>
              <w:snapToGrid w:val="0"/>
              <w:spacing w:line="360" w:lineRule="auto"/>
              <w:jc w:val="left"/>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eqg</m:t>
                    </m:r>
                    <m:ctrlPr>
                      <w:rPr>
                        <w:rFonts w:ascii="Cambria Math" w:hAnsi="Cambria Math"/>
                        <w:sz w:val="24"/>
                      </w:rPr>
                    </m:ctrlPr>
                  </m:sub>
                </m:sSub>
                <m:r>
                  <m:rPr>
                    <m:sty m:val="p"/>
                  </m:rPr>
                  <w:rPr>
                    <w:rFonts w:ascii="Cambria Math" w:hAnsi="Cambria Math"/>
                    <w:sz w:val="24"/>
                  </w:rPr>
                  <m:t>=10lg</m:t>
                </m:r>
                <m:d>
                  <m:dPr>
                    <m:begChr m:val="["/>
                    <m:endChr m:val="]"/>
                    <m:ctrlPr>
                      <w:rPr>
                        <w:rFonts w:ascii="Cambria Math" w:hAnsi="Cambria Math"/>
                        <w:sz w:val="24"/>
                      </w:rPr>
                    </m:ctrlPr>
                  </m:dPr>
                  <m:e>
                    <m:f>
                      <m:fPr>
                        <m:ctrlPr>
                          <w:rPr>
                            <w:rFonts w:ascii="Cambria Math" w:hAnsi="Cambria Math"/>
                            <w:sz w:val="24"/>
                          </w:rPr>
                        </m:ctrlPr>
                      </m:fPr>
                      <m:num>
                        <m:r>
                          <m:rPr>
                            <m:sty m:val="p"/>
                          </m:rPr>
                          <w:rPr>
                            <w:rFonts w:ascii="Cambria Math" w:hAnsi="Cambria Math"/>
                            <w:sz w:val="24"/>
                          </w:rPr>
                          <m:t>1</m:t>
                        </m:r>
                        <m:ctrlPr>
                          <w:rPr>
                            <w:rFonts w:ascii="Cambria Math" w:hAnsi="Cambria Math"/>
                            <w:sz w:val="24"/>
                          </w:rPr>
                        </m:ctrlPr>
                      </m:num>
                      <m:den>
                        <m:r>
                          <m:rPr>
                            <m:sty m:val="p"/>
                          </m:rPr>
                          <w:rPr>
                            <w:rFonts w:ascii="Cambria Math" w:hAnsi="Cambria Math"/>
                            <w:sz w:val="24"/>
                          </w:rPr>
                          <m:t>T</m:t>
                        </m:r>
                        <m:ctrlPr>
                          <w:rPr>
                            <w:rFonts w:ascii="Cambria Math" w:hAnsi="Cambria Math"/>
                            <w:sz w:val="24"/>
                          </w:rPr>
                        </m:ctrlPr>
                      </m:den>
                    </m:f>
                    <m:d>
                      <m:dPr>
                        <m:ctrlPr>
                          <w:rPr>
                            <w:rFonts w:ascii="Cambria Math" w:hAnsi="Cambria Math"/>
                            <w:sz w:val="24"/>
                          </w:rPr>
                        </m:ctrlPr>
                      </m:dPr>
                      <m:e>
                        <m:nary>
                          <m:naryPr>
                            <m:chr m:val="∑"/>
                            <m:limLoc m:val="undOvr"/>
                            <m:ctrlPr>
                              <w:rPr>
                                <w:rFonts w:ascii="Cambria Math" w:hAnsi="Cambria Math"/>
                                <w:sz w:val="24"/>
                              </w:rPr>
                            </m:ctrlPr>
                          </m:naryPr>
                          <m:sub>
                            <m:r>
                              <m:rPr>
                                <m:sty m:val="p"/>
                              </m:rPr>
                              <w:rPr>
                                <w:rFonts w:ascii="Cambria Math" w:hAnsi="Cambria Math"/>
                                <w:sz w:val="24"/>
                              </w:rPr>
                              <m:t>i=1</m:t>
                            </m:r>
                            <m:ctrlPr>
                              <w:rPr>
                                <w:rFonts w:ascii="Cambria Math" w:hAnsi="Cambria Math"/>
                                <w:sz w:val="24"/>
                              </w:rPr>
                            </m:ctrlPr>
                          </m:sub>
                          <m:sup>
                            <m:r>
                              <m:rPr>
                                <m:sty m:val="p"/>
                              </m:rPr>
                              <w:rPr>
                                <w:rFonts w:ascii="Cambria Math" w:hAnsi="Cambria Math"/>
                                <w:sz w:val="24"/>
                              </w:rPr>
                              <m:t>N</m:t>
                            </m:r>
                            <m:ctrlPr>
                              <w:rPr>
                                <w:rFonts w:ascii="Cambria Math" w:hAnsi="Cambria Math"/>
                                <w:sz w:val="24"/>
                              </w:rPr>
                            </m:ctrlPr>
                          </m:sup>
                          <m:e>
                            <m:sSub>
                              <m:sSubPr>
                                <m:ctrlPr>
                                  <w:rPr>
                                    <w:rFonts w:ascii="Cambria Math" w:hAnsi="Cambria Math"/>
                                    <w:sz w:val="24"/>
                                  </w:rPr>
                                </m:ctrlPr>
                              </m:sSubPr>
                              <m:e>
                                <m:r>
                                  <m:rPr>
                                    <m:sty m:val="p"/>
                                  </m:rPr>
                                  <w:rPr>
                                    <w:rFonts w:ascii="Cambria Math" w:hAnsi="Cambria Math"/>
                                    <w:sz w:val="24"/>
                                  </w:rPr>
                                  <m:t>t</m:t>
                                </m:r>
                                <m:ctrlPr>
                                  <w:rPr>
                                    <w:rFonts w:ascii="Cambria Math" w:hAnsi="Cambria Math"/>
                                    <w:sz w:val="24"/>
                                  </w:rPr>
                                </m:ctrlPr>
                              </m:e>
                              <m:sub>
                                <m:r>
                                  <m:rPr>
                                    <m:sty m:val="p"/>
                                  </m:rPr>
                                  <w:rPr>
                                    <w:rFonts w:ascii="Cambria Math" w:hAnsi="Cambria Math"/>
                                    <w:sz w:val="24"/>
                                  </w:rPr>
                                  <m:t>i</m:t>
                                </m:r>
                                <m:ctrlPr>
                                  <w:rPr>
                                    <w:rFonts w:ascii="Cambria Math" w:hAnsi="Cambria Math"/>
                                    <w:sz w:val="24"/>
                                  </w:rPr>
                                </m:ctrlPr>
                              </m:sub>
                            </m:sSub>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Ai</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nary>
                        <m:r>
                          <m:rPr>
                            <m:sty m:val="p"/>
                          </m:rPr>
                          <w:rPr>
                            <w:rFonts w:ascii="Cambria Math" w:hAnsi="Cambria Math"/>
                            <w:sz w:val="24"/>
                          </w:rPr>
                          <m:t>+</m:t>
                        </m:r>
                        <m:nary>
                          <m:naryPr>
                            <m:chr m:val="∑"/>
                            <m:limLoc m:val="undOvr"/>
                            <m:ctrlPr>
                              <w:rPr>
                                <w:rFonts w:ascii="Cambria Math" w:hAnsi="Cambria Math"/>
                                <w:sz w:val="24"/>
                              </w:rPr>
                            </m:ctrlPr>
                          </m:naryPr>
                          <m:sub>
                            <m:r>
                              <m:rPr>
                                <m:sty m:val="p"/>
                              </m:rPr>
                              <w:rPr>
                                <w:rFonts w:ascii="Cambria Math" w:hAnsi="Cambria Math"/>
                                <w:sz w:val="24"/>
                              </w:rPr>
                              <m:t>j=1</m:t>
                            </m:r>
                            <m:ctrlPr>
                              <w:rPr>
                                <w:rFonts w:ascii="Cambria Math" w:hAnsi="Cambria Math"/>
                                <w:sz w:val="24"/>
                              </w:rPr>
                            </m:ctrlPr>
                          </m:sub>
                          <m:sup>
                            <m:r>
                              <m:rPr>
                                <m:sty m:val="p"/>
                              </m:rPr>
                              <w:rPr>
                                <w:rFonts w:ascii="Cambria Math" w:hAnsi="Cambria Math"/>
                                <w:sz w:val="24"/>
                              </w:rPr>
                              <m:t>M</m:t>
                            </m:r>
                            <m:ctrlPr>
                              <w:rPr>
                                <w:rFonts w:ascii="Cambria Math" w:hAnsi="Cambria Math"/>
                                <w:sz w:val="24"/>
                              </w:rPr>
                            </m:ctrlPr>
                          </m:sup>
                          <m:e>
                            <m:sSub>
                              <m:sSubPr>
                                <m:ctrlPr>
                                  <w:rPr>
                                    <w:rFonts w:ascii="Cambria Math" w:hAnsi="Cambria Math"/>
                                    <w:sz w:val="24"/>
                                  </w:rPr>
                                </m:ctrlPr>
                              </m:sSubPr>
                              <m:e>
                                <m:r>
                                  <m:rPr>
                                    <m:sty m:val="p"/>
                                  </m:rPr>
                                  <w:rPr>
                                    <w:rFonts w:ascii="Cambria Math" w:hAnsi="Cambria Math"/>
                                    <w:sz w:val="24"/>
                                  </w:rPr>
                                  <m:t>t</m:t>
                                </m:r>
                                <m:ctrlPr>
                                  <w:rPr>
                                    <w:rFonts w:ascii="Cambria Math" w:hAnsi="Cambria Math"/>
                                    <w:sz w:val="24"/>
                                  </w:rPr>
                                </m:ctrlPr>
                              </m:e>
                              <m:sub>
                                <m:r>
                                  <m:rPr>
                                    <m:sty m:val="p"/>
                                  </m:rPr>
                                  <w:rPr>
                                    <w:rFonts w:ascii="Cambria Math" w:hAnsi="Cambria Math"/>
                                    <w:sz w:val="24"/>
                                  </w:rPr>
                                  <m:t>j</m:t>
                                </m:r>
                                <m:ctrlPr>
                                  <w:rPr>
                                    <w:rFonts w:ascii="Cambria Math" w:hAnsi="Cambria Math"/>
                                    <w:sz w:val="24"/>
                                  </w:rPr>
                                </m:ctrlPr>
                              </m:sub>
                            </m:sSub>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Aj</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nary>
                        <m:ctrlPr>
                          <w:rPr>
                            <w:rFonts w:ascii="Cambria Math" w:hAnsi="Cambria Math"/>
                            <w:sz w:val="24"/>
                          </w:rPr>
                        </m:ctrlPr>
                      </m:e>
                    </m:d>
                    <m:ctrlPr>
                      <w:rPr>
                        <w:rFonts w:ascii="Cambria Math" w:hAnsi="Cambria Math"/>
                        <w:sz w:val="24"/>
                      </w:rPr>
                    </m:ctrlPr>
                  </m:e>
                </m:d>
              </m:oMath>
            </m:oMathPara>
          </w:p>
          <w:p>
            <w:pPr>
              <w:autoSpaceDN w:val="0"/>
              <w:adjustRightInd w:val="0"/>
              <w:snapToGrid w:val="0"/>
              <w:spacing w:line="360" w:lineRule="auto"/>
              <w:ind w:firstLine="480" w:firstLineChars="200"/>
              <w:jc w:val="left"/>
              <w:rPr>
                <w:sz w:val="24"/>
              </w:rPr>
            </w:pPr>
            <w:r>
              <w:rPr>
                <w:rFonts w:hint="eastAsia"/>
                <w:sz w:val="24"/>
              </w:rPr>
              <w:t>式中：ti—在T时间内i声源工作时间，S；</w:t>
            </w:r>
          </w:p>
          <w:p>
            <w:pPr>
              <w:autoSpaceDN w:val="0"/>
              <w:adjustRightInd w:val="0"/>
              <w:snapToGrid w:val="0"/>
              <w:spacing w:line="360" w:lineRule="auto"/>
              <w:ind w:firstLine="1200" w:firstLineChars="500"/>
              <w:jc w:val="left"/>
              <w:rPr>
                <w:sz w:val="24"/>
              </w:rPr>
            </w:pPr>
            <w:r>
              <w:rPr>
                <w:rFonts w:hint="eastAsia"/>
                <w:sz w:val="24"/>
              </w:rPr>
              <w:t>tj—在T时间内j声源工作时间，S；</w:t>
            </w:r>
          </w:p>
          <w:p>
            <w:pPr>
              <w:autoSpaceDN w:val="0"/>
              <w:adjustRightInd w:val="0"/>
              <w:snapToGrid w:val="0"/>
              <w:spacing w:line="360" w:lineRule="auto"/>
              <w:ind w:firstLine="1200" w:firstLineChars="500"/>
              <w:jc w:val="left"/>
              <w:rPr>
                <w:sz w:val="24"/>
              </w:rPr>
            </w:pPr>
            <w:r>
              <w:rPr>
                <w:rFonts w:hint="eastAsia"/>
                <w:sz w:val="24"/>
              </w:rPr>
              <w:t>T—用于计算等效声级的时间，S；</w:t>
            </w:r>
          </w:p>
          <w:p>
            <w:pPr>
              <w:autoSpaceDN w:val="0"/>
              <w:adjustRightInd w:val="0"/>
              <w:snapToGrid w:val="0"/>
              <w:spacing w:line="360" w:lineRule="auto"/>
              <w:ind w:firstLine="1200" w:firstLineChars="500"/>
              <w:jc w:val="left"/>
              <w:rPr>
                <w:sz w:val="24"/>
              </w:rPr>
            </w:pPr>
            <w:r>
              <w:rPr>
                <w:rFonts w:hint="eastAsia"/>
                <w:sz w:val="24"/>
              </w:rPr>
              <w:t>N—室外声源个数；</w:t>
            </w:r>
          </w:p>
          <w:p>
            <w:pPr>
              <w:autoSpaceDN w:val="0"/>
              <w:adjustRightInd w:val="0"/>
              <w:snapToGrid w:val="0"/>
              <w:spacing w:line="360" w:lineRule="auto"/>
              <w:ind w:firstLine="1200" w:firstLineChars="500"/>
              <w:jc w:val="left"/>
              <w:rPr>
                <w:sz w:val="24"/>
              </w:rPr>
            </w:pPr>
            <w:r>
              <w:rPr>
                <w:rFonts w:hint="eastAsia"/>
                <w:sz w:val="24"/>
              </w:rPr>
              <w:t>M—等效室外声源个数。</w:t>
            </w:r>
          </w:p>
          <w:p>
            <w:pPr>
              <w:autoSpaceDN w:val="0"/>
              <w:adjustRightInd w:val="0"/>
              <w:snapToGrid w:val="0"/>
              <w:spacing w:line="360" w:lineRule="auto"/>
              <w:ind w:firstLine="1200" w:firstLineChars="500"/>
              <w:jc w:val="left"/>
              <w:rPr>
                <w:sz w:val="24"/>
              </w:rPr>
            </w:pPr>
            <w:r>
              <w:rPr>
                <w:rFonts w:hint="eastAsia"/>
                <w:sz w:val="24"/>
              </w:rPr>
              <w:t>算某个声源在预测点的声压级</w:t>
            </w:r>
          </w:p>
          <w:p>
            <w:pPr>
              <w:autoSpaceDN w:val="0"/>
              <w:adjustRightInd w:val="0"/>
              <w:snapToGrid w:val="0"/>
              <w:spacing w:line="360" w:lineRule="auto"/>
              <w:ind w:firstLine="480" w:firstLineChars="200"/>
              <w:jc w:val="left"/>
              <w:rPr>
                <w:sz w:val="24"/>
              </w:rPr>
            </w:pPr>
            <w:r>
              <w:rPr>
                <w:rFonts w:hint="eastAsia"/>
                <w:sz w:val="24"/>
              </w:rPr>
              <w:t>③预测值的计算</w:t>
            </w:r>
          </w:p>
          <w:p>
            <w:pPr>
              <w:autoSpaceDN w:val="0"/>
              <w:adjustRightInd w:val="0"/>
              <w:snapToGrid w:val="0"/>
              <w:spacing w:line="360" w:lineRule="auto"/>
              <w:ind w:firstLine="480" w:firstLineChars="200"/>
              <w:jc w:val="left"/>
              <w:rPr>
                <w:sz w:val="24"/>
              </w:rPr>
            </w:pPr>
            <m:oMathPara>
              <m:oMath>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eq</m:t>
                    </m:r>
                    <m:ctrlPr>
                      <w:rPr>
                        <w:rFonts w:ascii="Cambria Math" w:hAnsi="Cambria Math"/>
                        <w:sz w:val="24"/>
                      </w:rPr>
                    </m:ctrlPr>
                  </m:sub>
                </m:sSub>
                <m:r>
                  <m:rPr>
                    <m:sty m:val="p"/>
                  </m:rPr>
                  <w:rPr>
                    <w:rFonts w:ascii="Cambria Math" w:hAnsi="Cambria Math"/>
                    <w:sz w:val="24"/>
                  </w:rPr>
                  <m:t>=10lg</m:t>
                </m:r>
                <m:d>
                  <m:dPr>
                    <m:ctrlPr>
                      <w:rPr>
                        <w:rFonts w:ascii="Cambria Math" w:hAnsi="Cambria Math"/>
                        <w:sz w:val="24"/>
                      </w:rPr>
                    </m:ctrlPr>
                  </m:dPr>
                  <m:e>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eqg</m:t>
                            </m:r>
                            <m:ctrlPr>
                              <w:rPr>
                                <w:rFonts w:ascii="Cambria Math" w:hAnsi="Cambria Math"/>
                                <w:sz w:val="24"/>
                              </w:rPr>
                            </m:ctrlPr>
                          </m:sub>
                        </m:sSub>
                        <m:ctrlPr>
                          <w:rPr>
                            <w:rFonts w:ascii="Cambria Math" w:hAnsi="Cambria Math"/>
                            <w:sz w:val="24"/>
                          </w:rPr>
                        </m:ctrlPr>
                      </m:sup>
                    </m:sSup>
                    <m:r>
                      <m:rPr>
                        <m:sty m:val="p"/>
                      </m:rPr>
                      <w:rPr>
                        <w:rFonts w:ascii="Cambria Math" w:hAnsi="Cambria Math"/>
                        <w:sz w:val="24"/>
                      </w:rPr>
                      <m:t>+</m:t>
                    </m:r>
                    <m:sSup>
                      <m:sSupPr>
                        <m:ctrlPr>
                          <w:rPr>
                            <w:rFonts w:ascii="Cambria Math" w:hAnsi="Cambria Math"/>
                            <w:sz w:val="24"/>
                          </w:rPr>
                        </m:ctrlPr>
                      </m:sSupPr>
                      <m:e>
                        <m:r>
                          <m:rPr>
                            <m:sty m:val="p"/>
                          </m:rPr>
                          <w:rPr>
                            <w:rFonts w:ascii="Cambria Math" w:hAnsi="Cambria Math"/>
                            <w:sz w:val="24"/>
                          </w:rPr>
                          <m:t>10</m:t>
                        </m:r>
                        <m:ctrlPr>
                          <w:rPr>
                            <w:rFonts w:ascii="Cambria Math" w:hAnsi="Cambria Math"/>
                            <w:sz w:val="24"/>
                          </w:rPr>
                        </m:ctrlPr>
                      </m:e>
                      <m:sup>
                        <m:r>
                          <m:rPr>
                            <m:sty m:val="p"/>
                          </m:rPr>
                          <w:rPr>
                            <w:rFonts w:ascii="Cambria Math" w:hAnsi="Cambria Math"/>
                            <w:sz w:val="24"/>
                          </w:rPr>
                          <m:t>0.1</m:t>
                        </m:r>
                        <m:sSub>
                          <m:sSubPr>
                            <m:ctrlPr>
                              <w:rPr>
                                <w:rFonts w:ascii="Cambria Math" w:hAnsi="Cambria Math"/>
                                <w:sz w:val="24"/>
                              </w:rPr>
                            </m:ctrlPr>
                          </m:sSubPr>
                          <m:e>
                            <m:r>
                              <m:rPr>
                                <m:sty m:val="p"/>
                              </m:rPr>
                              <w:rPr>
                                <w:rFonts w:ascii="Cambria Math" w:hAnsi="Cambria Math"/>
                                <w:sz w:val="24"/>
                              </w:rPr>
                              <m:t>L</m:t>
                            </m:r>
                            <m:ctrlPr>
                              <w:rPr>
                                <w:rFonts w:ascii="Cambria Math" w:hAnsi="Cambria Math"/>
                                <w:sz w:val="24"/>
                              </w:rPr>
                            </m:ctrlPr>
                          </m:e>
                          <m:sub>
                            <m:r>
                              <m:rPr>
                                <m:sty m:val="p"/>
                              </m:rPr>
                              <w:rPr>
                                <w:rFonts w:ascii="Cambria Math" w:hAnsi="Cambria Math"/>
                                <w:sz w:val="24"/>
                              </w:rPr>
                              <m:t>eqb</m:t>
                            </m:r>
                            <m:ctrlPr>
                              <w:rPr>
                                <w:rFonts w:ascii="Cambria Math" w:hAnsi="Cambria Math"/>
                                <w:sz w:val="24"/>
                              </w:rPr>
                            </m:ctrlPr>
                          </m:sub>
                        </m:sSub>
                        <m:ctrlPr>
                          <w:rPr>
                            <w:rFonts w:ascii="Cambria Math" w:hAnsi="Cambria Math"/>
                            <w:sz w:val="24"/>
                          </w:rPr>
                        </m:ctrlPr>
                      </m:sup>
                    </m:sSup>
                    <m:ctrlPr>
                      <w:rPr>
                        <w:rFonts w:ascii="Cambria Math" w:hAnsi="Cambria Math"/>
                        <w:sz w:val="24"/>
                      </w:rPr>
                    </m:ctrlPr>
                  </m:e>
                </m:d>
              </m:oMath>
            </m:oMathPara>
          </w:p>
          <w:p>
            <w:pPr>
              <w:adjustRightInd w:val="0"/>
              <w:snapToGrid w:val="0"/>
              <w:spacing w:line="360" w:lineRule="auto"/>
              <w:ind w:firstLine="480" w:firstLineChars="200"/>
              <w:jc w:val="left"/>
              <w:rPr>
                <w:sz w:val="24"/>
              </w:rPr>
            </w:pPr>
            <w:r>
              <w:rPr>
                <w:rFonts w:hint="eastAsia"/>
                <w:sz w:val="24"/>
              </w:rPr>
              <w:t>式中：Leqg—建设项目声源在预测点的等效声级贡献值，dB(A)；</w:t>
            </w:r>
          </w:p>
          <w:p>
            <w:pPr>
              <w:adjustRightInd w:val="0"/>
              <w:snapToGrid w:val="0"/>
              <w:spacing w:line="360" w:lineRule="auto"/>
              <w:ind w:firstLine="1200" w:firstLineChars="500"/>
              <w:jc w:val="left"/>
              <w:rPr>
                <w:sz w:val="24"/>
              </w:rPr>
            </w:pPr>
            <w:r>
              <w:rPr>
                <w:rFonts w:hint="eastAsia"/>
                <w:sz w:val="24"/>
              </w:rPr>
              <w:t>Leqb—预测点的背景值，dB(A)</w:t>
            </w:r>
          </w:p>
          <w:p>
            <w:pPr>
              <w:autoSpaceDN w:val="0"/>
              <w:adjustRightInd w:val="0"/>
              <w:snapToGrid w:val="0"/>
              <w:spacing w:line="360" w:lineRule="auto"/>
              <w:ind w:firstLine="480" w:firstLineChars="200"/>
              <w:jc w:val="left"/>
              <w:rPr>
                <w:sz w:val="24"/>
              </w:rPr>
            </w:pPr>
            <w:r>
              <w:rPr>
                <w:rFonts w:hint="eastAsia"/>
                <w:sz w:val="24"/>
              </w:rPr>
              <w:t>具体预测结果见下表。</w:t>
            </w:r>
          </w:p>
          <w:p>
            <w:pPr>
              <w:adjustRightInd w:val="0"/>
              <w:snapToGrid w:val="0"/>
              <w:spacing w:line="360" w:lineRule="auto"/>
              <w:ind w:firstLine="480" w:firstLineChars="200"/>
              <w:rPr>
                <w:color w:val="000000"/>
                <w:sz w:val="24"/>
              </w:rPr>
            </w:pPr>
            <w:r>
              <w:rPr>
                <w:rFonts w:hint="eastAsia"/>
                <w:color w:val="000000"/>
                <w:sz w:val="24"/>
                <w:lang w:eastAsia="zh-CN"/>
              </w:rPr>
              <w:t>项目</w:t>
            </w:r>
            <w:r>
              <w:rPr>
                <w:color w:val="000000"/>
                <w:sz w:val="24"/>
              </w:rPr>
              <w:t>主要涉及室内源强，主要生产设备及辅助设备位于生产车间内，设备布局较为集中，因此本次评价以各噪声源叠加值进行预测分析。</w:t>
            </w:r>
          </w:p>
          <w:p>
            <w:pPr>
              <w:adjustRightInd w:val="0"/>
              <w:snapToGrid w:val="0"/>
              <w:jc w:val="center"/>
              <w:rPr>
                <w:b/>
                <w:bCs/>
                <w:szCs w:val="21"/>
                <w:lang w:val="zh-CN"/>
              </w:rPr>
            </w:pPr>
            <w:r>
              <w:rPr>
                <w:rFonts w:hint="eastAsia"/>
                <w:b/>
                <w:bCs/>
                <w:szCs w:val="21"/>
                <w:lang w:val="zh-CN"/>
              </w:rPr>
              <w:t>表</w:t>
            </w:r>
            <w:r>
              <w:rPr>
                <w:rFonts w:hint="eastAsia"/>
                <w:b/>
                <w:bCs/>
                <w:szCs w:val="21"/>
              </w:rPr>
              <w:t>4-10</w:t>
            </w:r>
            <w:r>
              <w:rPr>
                <w:rFonts w:hint="eastAsia"/>
                <w:b/>
                <w:bCs/>
                <w:szCs w:val="21"/>
                <w:lang w:val="zh-CN"/>
              </w:rPr>
              <w:t>项目厂界噪声预测结果单位：dB(A)</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01"/>
              <w:gridCol w:w="1691"/>
              <w:gridCol w:w="1687"/>
              <w:gridCol w:w="1542"/>
              <w:gridCol w:w="999"/>
              <w:gridCol w:w="8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restart"/>
                  <w:vAlign w:val="center"/>
                </w:tcPr>
                <w:p>
                  <w:pPr>
                    <w:adjustRightInd w:val="0"/>
                    <w:snapToGrid w:val="0"/>
                    <w:jc w:val="center"/>
                    <w:rPr>
                      <w:b/>
                      <w:bCs/>
                      <w:color w:val="000000"/>
                      <w:szCs w:val="21"/>
                    </w:rPr>
                  </w:pPr>
                  <w:r>
                    <w:rPr>
                      <w:b/>
                      <w:bCs/>
                      <w:color w:val="000000"/>
                      <w:szCs w:val="21"/>
                    </w:rPr>
                    <w:t>评价点位置</w:t>
                  </w:r>
                </w:p>
              </w:tc>
              <w:tc>
                <w:tcPr>
                  <w:tcW w:w="1691" w:type="dxa"/>
                  <w:vAlign w:val="center"/>
                </w:tcPr>
                <w:p>
                  <w:pPr>
                    <w:adjustRightInd w:val="0"/>
                    <w:snapToGrid w:val="0"/>
                    <w:jc w:val="center"/>
                    <w:rPr>
                      <w:b/>
                      <w:bCs/>
                      <w:color w:val="000000"/>
                      <w:szCs w:val="21"/>
                    </w:rPr>
                  </w:pPr>
                  <w:r>
                    <w:rPr>
                      <w:b/>
                      <w:bCs/>
                      <w:color w:val="000000"/>
                      <w:szCs w:val="21"/>
                    </w:rPr>
                    <w:t>噪声贡献值</w:t>
                  </w:r>
                </w:p>
              </w:tc>
              <w:tc>
                <w:tcPr>
                  <w:tcW w:w="1687" w:type="dxa"/>
                  <w:vAlign w:val="center"/>
                </w:tcPr>
                <w:p>
                  <w:pPr>
                    <w:adjustRightInd w:val="0"/>
                    <w:snapToGrid w:val="0"/>
                    <w:jc w:val="center"/>
                    <w:rPr>
                      <w:b/>
                      <w:bCs/>
                      <w:color w:val="000000"/>
                      <w:szCs w:val="21"/>
                    </w:rPr>
                  </w:pPr>
                  <w:r>
                    <w:rPr>
                      <w:b/>
                      <w:bCs/>
                      <w:color w:val="000000"/>
                      <w:szCs w:val="21"/>
                    </w:rPr>
                    <w:t>环境背景值</w:t>
                  </w:r>
                </w:p>
              </w:tc>
              <w:tc>
                <w:tcPr>
                  <w:tcW w:w="1542" w:type="dxa"/>
                  <w:vAlign w:val="center"/>
                </w:tcPr>
                <w:p>
                  <w:pPr>
                    <w:adjustRightInd w:val="0"/>
                    <w:snapToGrid w:val="0"/>
                    <w:jc w:val="center"/>
                    <w:rPr>
                      <w:b/>
                      <w:bCs/>
                      <w:color w:val="000000"/>
                      <w:szCs w:val="21"/>
                    </w:rPr>
                  </w:pPr>
                  <w:r>
                    <w:rPr>
                      <w:b/>
                      <w:bCs/>
                      <w:color w:val="000000"/>
                      <w:szCs w:val="21"/>
                    </w:rPr>
                    <w:t>噪声预测值</w:t>
                  </w:r>
                </w:p>
              </w:tc>
              <w:tc>
                <w:tcPr>
                  <w:tcW w:w="999" w:type="dxa"/>
                  <w:vAlign w:val="center"/>
                </w:tcPr>
                <w:p>
                  <w:pPr>
                    <w:adjustRightInd w:val="0"/>
                    <w:snapToGrid w:val="0"/>
                    <w:jc w:val="center"/>
                    <w:rPr>
                      <w:b/>
                      <w:bCs/>
                      <w:color w:val="000000"/>
                      <w:szCs w:val="21"/>
                    </w:rPr>
                  </w:pPr>
                  <w:r>
                    <w:rPr>
                      <w:b/>
                      <w:bCs/>
                      <w:color w:val="000000"/>
                      <w:szCs w:val="21"/>
                    </w:rPr>
                    <w:t>标准值</w:t>
                  </w:r>
                </w:p>
              </w:tc>
              <w:tc>
                <w:tcPr>
                  <w:tcW w:w="817" w:type="dxa"/>
                  <w:vMerge w:val="restart"/>
                  <w:vAlign w:val="center"/>
                </w:tcPr>
                <w:p>
                  <w:pPr>
                    <w:adjustRightInd w:val="0"/>
                    <w:snapToGrid w:val="0"/>
                    <w:jc w:val="center"/>
                    <w:rPr>
                      <w:b/>
                      <w:bCs/>
                      <w:color w:val="000000"/>
                      <w:szCs w:val="21"/>
                    </w:rPr>
                  </w:pPr>
                  <w:r>
                    <w:rPr>
                      <w:b/>
                      <w:bCs/>
                      <w:color w:val="000000"/>
                      <w:szCs w:val="21"/>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Merge w:val="continue"/>
                  <w:vAlign w:val="center"/>
                </w:tcPr>
                <w:p>
                  <w:pPr>
                    <w:adjustRightInd w:val="0"/>
                    <w:snapToGrid w:val="0"/>
                    <w:jc w:val="center"/>
                    <w:rPr>
                      <w:color w:val="000000"/>
                      <w:szCs w:val="21"/>
                    </w:rPr>
                  </w:pPr>
                </w:p>
              </w:tc>
              <w:tc>
                <w:tcPr>
                  <w:tcW w:w="1691" w:type="dxa"/>
                  <w:vAlign w:val="center"/>
                </w:tcPr>
                <w:p>
                  <w:pPr>
                    <w:adjustRightInd w:val="0"/>
                    <w:snapToGrid w:val="0"/>
                    <w:jc w:val="center"/>
                    <w:rPr>
                      <w:b/>
                      <w:bCs/>
                      <w:color w:val="000000"/>
                      <w:szCs w:val="21"/>
                    </w:rPr>
                  </w:pPr>
                  <w:r>
                    <w:rPr>
                      <w:b/>
                      <w:bCs/>
                      <w:color w:val="000000"/>
                      <w:szCs w:val="21"/>
                    </w:rPr>
                    <w:t>昼间</w:t>
                  </w:r>
                </w:p>
              </w:tc>
              <w:tc>
                <w:tcPr>
                  <w:tcW w:w="1687" w:type="dxa"/>
                  <w:vAlign w:val="center"/>
                </w:tcPr>
                <w:p>
                  <w:pPr>
                    <w:adjustRightInd w:val="0"/>
                    <w:snapToGrid w:val="0"/>
                    <w:jc w:val="center"/>
                    <w:rPr>
                      <w:b/>
                      <w:bCs/>
                      <w:color w:val="000000"/>
                      <w:szCs w:val="21"/>
                    </w:rPr>
                  </w:pPr>
                  <w:r>
                    <w:rPr>
                      <w:b/>
                      <w:bCs/>
                      <w:color w:val="000000"/>
                      <w:szCs w:val="21"/>
                    </w:rPr>
                    <w:t>昼间</w:t>
                  </w:r>
                </w:p>
              </w:tc>
              <w:tc>
                <w:tcPr>
                  <w:tcW w:w="1542" w:type="dxa"/>
                  <w:vAlign w:val="center"/>
                </w:tcPr>
                <w:p>
                  <w:pPr>
                    <w:adjustRightInd w:val="0"/>
                    <w:snapToGrid w:val="0"/>
                    <w:jc w:val="center"/>
                    <w:rPr>
                      <w:b/>
                      <w:bCs/>
                      <w:color w:val="000000"/>
                      <w:szCs w:val="21"/>
                    </w:rPr>
                  </w:pPr>
                  <w:r>
                    <w:rPr>
                      <w:b/>
                      <w:bCs/>
                      <w:color w:val="000000"/>
                      <w:szCs w:val="21"/>
                    </w:rPr>
                    <w:t>昼间</w:t>
                  </w:r>
                </w:p>
              </w:tc>
              <w:tc>
                <w:tcPr>
                  <w:tcW w:w="999" w:type="dxa"/>
                  <w:vAlign w:val="center"/>
                </w:tcPr>
                <w:p>
                  <w:pPr>
                    <w:adjustRightInd w:val="0"/>
                    <w:snapToGrid w:val="0"/>
                    <w:jc w:val="center"/>
                    <w:rPr>
                      <w:b/>
                      <w:bCs/>
                      <w:color w:val="000000"/>
                      <w:szCs w:val="21"/>
                    </w:rPr>
                  </w:pPr>
                  <w:r>
                    <w:rPr>
                      <w:b/>
                      <w:bCs/>
                      <w:color w:val="000000"/>
                      <w:szCs w:val="21"/>
                    </w:rPr>
                    <w:t>昼间</w:t>
                  </w:r>
                </w:p>
              </w:tc>
              <w:tc>
                <w:tcPr>
                  <w:tcW w:w="817"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Align w:val="center"/>
                </w:tcPr>
                <w:p>
                  <w:pPr>
                    <w:pStyle w:val="22"/>
                    <w:adjustRightInd w:val="0"/>
                    <w:snapToGrid w:val="0"/>
                    <w:spacing w:after="0"/>
                    <w:ind w:left="0" w:leftChars="0"/>
                    <w:jc w:val="center"/>
                    <w:rPr>
                      <w:color w:val="000000"/>
                      <w:sz w:val="21"/>
                    </w:rPr>
                  </w:pPr>
                  <w:r>
                    <w:rPr>
                      <w:color w:val="000000"/>
                      <w:sz w:val="21"/>
                    </w:rPr>
                    <w:t>厂界东</w:t>
                  </w:r>
                </w:p>
              </w:tc>
              <w:tc>
                <w:tcPr>
                  <w:tcW w:w="1691" w:type="dxa"/>
                  <w:vAlign w:val="center"/>
                </w:tcPr>
                <w:p>
                  <w:pPr>
                    <w:adjustRightInd w:val="0"/>
                    <w:snapToGrid w:val="0"/>
                    <w:jc w:val="center"/>
                    <w:rPr>
                      <w:color w:val="000000"/>
                      <w:szCs w:val="21"/>
                    </w:rPr>
                  </w:pPr>
                  <w:r>
                    <w:rPr>
                      <w:rFonts w:hint="eastAsia"/>
                      <w:color w:val="000000"/>
                      <w:szCs w:val="21"/>
                    </w:rPr>
                    <w:t>52.9</w:t>
                  </w:r>
                </w:p>
              </w:tc>
              <w:tc>
                <w:tcPr>
                  <w:tcW w:w="1687" w:type="dxa"/>
                  <w:vAlign w:val="center"/>
                </w:tcPr>
                <w:p>
                  <w:pPr>
                    <w:adjustRightInd w:val="0"/>
                    <w:snapToGrid w:val="0"/>
                    <w:jc w:val="center"/>
                    <w:rPr>
                      <w:color w:val="000000"/>
                      <w:szCs w:val="21"/>
                    </w:rPr>
                  </w:pPr>
                  <w:r>
                    <w:rPr>
                      <w:rFonts w:hint="eastAsia"/>
                      <w:color w:val="000000"/>
                      <w:szCs w:val="21"/>
                    </w:rPr>
                    <w:t>/</w:t>
                  </w:r>
                </w:p>
              </w:tc>
              <w:tc>
                <w:tcPr>
                  <w:tcW w:w="1542" w:type="dxa"/>
                  <w:vAlign w:val="center"/>
                </w:tcPr>
                <w:p>
                  <w:pPr>
                    <w:adjustRightInd w:val="0"/>
                    <w:snapToGrid w:val="0"/>
                    <w:jc w:val="center"/>
                    <w:rPr>
                      <w:color w:val="000000"/>
                      <w:szCs w:val="21"/>
                    </w:rPr>
                  </w:pPr>
                  <w:r>
                    <w:rPr>
                      <w:rFonts w:hint="eastAsia"/>
                      <w:color w:val="000000"/>
                      <w:szCs w:val="21"/>
                    </w:rPr>
                    <w:t>52.9</w:t>
                  </w:r>
                </w:p>
              </w:tc>
              <w:tc>
                <w:tcPr>
                  <w:tcW w:w="999" w:type="dxa"/>
                  <w:vAlign w:val="center"/>
                </w:tcPr>
                <w:p>
                  <w:pPr>
                    <w:adjustRightInd w:val="0"/>
                    <w:snapToGrid w:val="0"/>
                    <w:jc w:val="center"/>
                    <w:rPr>
                      <w:color w:val="000000"/>
                      <w:szCs w:val="21"/>
                    </w:rPr>
                  </w:pPr>
                  <w:r>
                    <w:rPr>
                      <w:color w:val="000000"/>
                      <w:szCs w:val="21"/>
                    </w:rPr>
                    <w:t>60</w:t>
                  </w:r>
                </w:p>
              </w:tc>
              <w:tc>
                <w:tcPr>
                  <w:tcW w:w="817" w:type="dxa"/>
                  <w:vMerge w:val="restart"/>
                  <w:vAlign w:val="center"/>
                </w:tcPr>
                <w:p>
                  <w:pPr>
                    <w:adjustRightInd w:val="0"/>
                    <w:snapToGrid w:val="0"/>
                    <w:jc w:val="center"/>
                    <w:rPr>
                      <w:color w:val="000000"/>
                      <w:szCs w:val="21"/>
                    </w:rPr>
                  </w:pPr>
                  <w:r>
                    <w:rPr>
                      <w:color w:val="000000"/>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Align w:val="center"/>
                </w:tcPr>
                <w:p>
                  <w:pPr>
                    <w:pStyle w:val="22"/>
                    <w:adjustRightInd w:val="0"/>
                    <w:snapToGrid w:val="0"/>
                    <w:spacing w:after="0"/>
                    <w:ind w:left="0" w:leftChars="0"/>
                    <w:jc w:val="center"/>
                    <w:rPr>
                      <w:color w:val="000000"/>
                      <w:sz w:val="21"/>
                    </w:rPr>
                  </w:pPr>
                  <w:r>
                    <w:rPr>
                      <w:color w:val="000000"/>
                      <w:sz w:val="21"/>
                    </w:rPr>
                    <w:t>厂界南</w:t>
                  </w:r>
                </w:p>
              </w:tc>
              <w:tc>
                <w:tcPr>
                  <w:tcW w:w="1691" w:type="dxa"/>
                  <w:vAlign w:val="center"/>
                </w:tcPr>
                <w:p>
                  <w:pPr>
                    <w:adjustRightInd w:val="0"/>
                    <w:snapToGrid w:val="0"/>
                    <w:jc w:val="center"/>
                    <w:rPr>
                      <w:color w:val="000000"/>
                      <w:szCs w:val="21"/>
                    </w:rPr>
                  </w:pPr>
                  <w:r>
                    <w:rPr>
                      <w:rFonts w:hint="eastAsia"/>
                      <w:color w:val="000000"/>
                      <w:szCs w:val="21"/>
                    </w:rPr>
                    <w:t>58.0</w:t>
                  </w:r>
                </w:p>
              </w:tc>
              <w:tc>
                <w:tcPr>
                  <w:tcW w:w="1687" w:type="dxa"/>
                  <w:vAlign w:val="center"/>
                </w:tcPr>
                <w:p>
                  <w:pPr>
                    <w:adjustRightInd w:val="0"/>
                    <w:snapToGrid w:val="0"/>
                    <w:jc w:val="center"/>
                    <w:rPr>
                      <w:color w:val="000000"/>
                      <w:szCs w:val="21"/>
                    </w:rPr>
                  </w:pPr>
                  <w:r>
                    <w:rPr>
                      <w:rFonts w:hint="eastAsia"/>
                      <w:color w:val="000000"/>
                      <w:szCs w:val="21"/>
                    </w:rPr>
                    <w:t>/</w:t>
                  </w:r>
                </w:p>
              </w:tc>
              <w:tc>
                <w:tcPr>
                  <w:tcW w:w="1542" w:type="dxa"/>
                  <w:vAlign w:val="center"/>
                </w:tcPr>
                <w:p>
                  <w:pPr>
                    <w:adjustRightInd w:val="0"/>
                    <w:snapToGrid w:val="0"/>
                    <w:jc w:val="center"/>
                    <w:rPr>
                      <w:color w:val="000000"/>
                      <w:szCs w:val="21"/>
                    </w:rPr>
                  </w:pPr>
                  <w:r>
                    <w:rPr>
                      <w:rFonts w:hint="eastAsia"/>
                      <w:color w:val="000000"/>
                      <w:szCs w:val="21"/>
                    </w:rPr>
                    <w:t>58.0</w:t>
                  </w:r>
                </w:p>
              </w:tc>
              <w:tc>
                <w:tcPr>
                  <w:tcW w:w="999" w:type="dxa"/>
                  <w:vAlign w:val="center"/>
                </w:tcPr>
                <w:p>
                  <w:pPr>
                    <w:adjustRightInd w:val="0"/>
                    <w:snapToGrid w:val="0"/>
                    <w:jc w:val="center"/>
                    <w:rPr>
                      <w:color w:val="000000"/>
                      <w:szCs w:val="21"/>
                    </w:rPr>
                  </w:pPr>
                  <w:r>
                    <w:rPr>
                      <w:rFonts w:hint="eastAsia"/>
                      <w:color w:val="000000"/>
                      <w:szCs w:val="21"/>
                    </w:rPr>
                    <w:t>60</w:t>
                  </w:r>
                </w:p>
              </w:tc>
              <w:tc>
                <w:tcPr>
                  <w:tcW w:w="817"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801" w:type="dxa"/>
                  <w:vAlign w:val="center"/>
                </w:tcPr>
                <w:p>
                  <w:pPr>
                    <w:pStyle w:val="22"/>
                    <w:adjustRightInd w:val="0"/>
                    <w:snapToGrid w:val="0"/>
                    <w:spacing w:after="0"/>
                    <w:ind w:left="0" w:leftChars="0"/>
                    <w:jc w:val="center"/>
                    <w:rPr>
                      <w:color w:val="000000"/>
                      <w:sz w:val="21"/>
                    </w:rPr>
                  </w:pPr>
                  <w:r>
                    <w:rPr>
                      <w:color w:val="000000"/>
                      <w:sz w:val="21"/>
                    </w:rPr>
                    <w:t>厂界西</w:t>
                  </w:r>
                </w:p>
              </w:tc>
              <w:tc>
                <w:tcPr>
                  <w:tcW w:w="1691" w:type="dxa"/>
                  <w:vAlign w:val="center"/>
                </w:tcPr>
                <w:p>
                  <w:pPr>
                    <w:adjustRightInd w:val="0"/>
                    <w:snapToGrid w:val="0"/>
                    <w:jc w:val="center"/>
                    <w:rPr>
                      <w:color w:val="000000"/>
                      <w:szCs w:val="21"/>
                    </w:rPr>
                  </w:pPr>
                  <w:r>
                    <w:rPr>
                      <w:rFonts w:hint="eastAsia"/>
                      <w:color w:val="000000"/>
                      <w:szCs w:val="21"/>
                    </w:rPr>
                    <w:t>50.4</w:t>
                  </w:r>
                </w:p>
              </w:tc>
              <w:tc>
                <w:tcPr>
                  <w:tcW w:w="1687" w:type="dxa"/>
                  <w:vAlign w:val="center"/>
                </w:tcPr>
                <w:p>
                  <w:pPr>
                    <w:adjustRightInd w:val="0"/>
                    <w:snapToGrid w:val="0"/>
                    <w:jc w:val="center"/>
                    <w:rPr>
                      <w:color w:val="000000"/>
                      <w:szCs w:val="21"/>
                    </w:rPr>
                  </w:pPr>
                  <w:r>
                    <w:rPr>
                      <w:rFonts w:hint="eastAsia"/>
                      <w:color w:val="000000"/>
                      <w:szCs w:val="21"/>
                    </w:rPr>
                    <w:t>/</w:t>
                  </w:r>
                </w:p>
              </w:tc>
              <w:tc>
                <w:tcPr>
                  <w:tcW w:w="1542" w:type="dxa"/>
                  <w:vAlign w:val="center"/>
                </w:tcPr>
                <w:p>
                  <w:pPr>
                    <w:adjustRightInd w:val="0"/>
                    <w:snapToGrid w:val="0"/>
                    <w:jc w:val="center"/>
                    <w:rPr>
                      <w:color w:val="000000"/>
                      <w:szCs w:val="21"/>
                    </w:rPr>
                  </w:pPr>
                  <w:r>
                    <w:rPr>
                      <w:rFonts w:hint="eastAsia"/>
                      <w:color w:val="000000"/>
                      <w:szCs w:val="21"/>
                    </w:rPr>
                    <w:t>50.4</w:t>
                  </w:r>
                </w:p>
              </w:tc>
              <w:tc>
                <w:tcPr>
                  <w:tcW w:w="999" w:type="dxa"/>
                  <w:vAlign w:val="center"/>
                </w:tcPr>
                <w:p>
                  <w:pPr>
                    <w:adjustRightInd w:val="0"/>
                    <w:snapToGrid w:val="0"/>
                    <w:jc w:val="center"/>
                    <w:rPr>
                      <w:color w:val="000000"/>
                      <w:szCs w:val="21"/>
                    </w:rPr>
                  </w:pPr>
                  <w:r>
                    <w:rPr>
                      <w:rFonts w:hint="eastAsia"/>
                      <w:color w:val="000000"/>
                      <w:szCs w:val="21"/>
                    </w:rPr>
                    <w:t>60</w:t>
                  </w:r>
                </w:p>
              </w:tc>
              <w:tc>
                <w:tcPr>
                  <w:tcW w:w="817" w:type="dxa"/>
                  <w:vMerge w:val="continue"/>
                  <w:vAlign w:val="center"/>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801" w:type="dxa"/>
                  <w:vAlign w:val="center"/>
                </w:tcPr>
                <w:p>
                  <w:pPr>
                    <w:pStyle w:val="22"/>
                    <w:adjustRightInd w:val="0"/>
                    <w:snapToGrid w:val="0"/>
                    <w:spacing w:after="0"/>
                    <w:ind w:left="0" w:leftChars="0"/>
                    <w:jc w:val="center"/>
                    <w:rPr>
                      <w:color w:val="000000"/>
                      <w:sz w:val="21"/>
                    </w:rPr>
                  </w:pPr>
                  <w:r>
                    <w:rPr>
                      <w:color w:val="000000"/>
                      <w:sz w:val="21"/>
                    </w:rPr>
                    <w:t>厂界北</w:t>
                  </w:r>
                </w:p>
              </w:tc>
              <w:tc>
                <w:tcPr>
                  <w:tcW w:w="1691" w:type="dxa"/>
                  <w:vAlign w:val="center"/>
                </w:tcPr>
                <w:p>
                  <w:pPr>
                    <w:adjustRightInd w:val="0"/>
                    <w:snapToGrid w:val="0"/>
                    <w:jc w:val="center"/>
                    <w:rPr>
                      <w:color w:val="000000"/>
                      <w:szCs w:val="21"/>
                    </w:rPr>
                  </w:pPr>
                  <w:r>
                    <w:rPr>
                      <w:rFonts w:hint="eastAsia"/>
                      <w:color w:val="000000"/>
                      <w:szCs w:val="21"/>
                    </w:rPr>
                    <w:t>56.6</w:t>
                  </w:r>
                </w:p>
              </w:tc>
              <w:tc>
                <w:tcPr>
                  <w:tcW w:w="1687" w:type="dxa"/>
                  <w:vAlign w:val="center"/>
                </w:tcPr>
                <w:p>
                  <w:pPr>
                    <w:adjustRightInd w:val="0"/>
                    <w:snapToGrid w:val="0"/>
                    <w:jc w:val="center"/>
                    <w:rPr>
                      <w:color w:val="000000"/>
                      <w:szCs w:val="21"/>
                    </w:rPr>
                  </w:pPr>
                  <w:r>
                    <w:rPr>
                      <w:rFonts w:hint="eastAsia"/>
                      <w:color w:val="000000"/>
                      <w:szCs w:val="21"/>
                    </w:rPr>
                    <w:t>/</w:t>
                  </w:r>
                </w:p>
              </w:tc>
              <w:tc>
                <w:tcPr>
                  <w:tcW w:w="1542" w:type="dxa"/>
                  <w:vAlign w:val="center"/>
                </w:tcPr>
                <w:p>
                  <w:pPr>
                    <w:adjustRightInd w:val="0"/>
                    <w:snapToGrid w:val="0"/>
                    <w:jc w:val="center"/>
                    <w:rPr>
                      <w:color w:val="000000"/>
                      <w:szCs w:val="21"/>
                    </w:rPr>
                  </w:pPr>
                  <w:r>
                    <w:rPr>
                      <w:rFonts w:hint="eastAsia"/>
                      <w:color w:val="000000"/>
                      <w:szCs w:val="21"/>
                    </w:rPr>
                    <w:t>56.6</w:t>
                  </w:r>
                </w:p>
              </w:tc>
              <w:tc>
                <w:tcPr>
                  <w:tcW w:w="999" w:type="dxa"/>
                  <w:vAlign w:val="center"/>
                </w:tcPr>
                <w:p>
                  <w:pPr>
                    <w:adjustRightInd w:val="0"/>
                    <w:snapToGrid w:val="0"/>
                    <w:jc w:val="center"/>
                    <w:rPr>
                      <w:color w:val="000000"/>
                      <w:szCs w:val="21"/>
                    </w:rPr>
                  </w:pPr>
                  <w:r>
                    <w:rPr>
                      <w:rFonts w:hint="eastAsia"/>
                      <w:color w:val="000000"/>
                      <w:szCs w:val="21"/>
                    </w:rPr>
                    <w:t>60</w:t>
                  </w:r>
                </w:p>
              </w:tc>
              <w:tc>
                <w:tcPr>
                  <w:tcW w:w="817" w:type="dxa"/>
                  <w:vMerge w:val="continue"/>
                  <w:vAlign w:val="center"/>
                </w:tcPr>
                <w:p>
                  <w:pPr>
                    <w:adjustRightInd w:val="0"/>
                    <w:snapToGrid w:val="0"/>
                    <w:jc w:val="center"/>
                    <w:rPr>
                      <w:color w:val="000000"/>
                      <w:szCs w:val="21"/>
                    </w:rPr>
                  </w:pPr>
                </w:p>
              </w:tc>
            </w:tr>
          </w:tbl>
          <w:p>
            <w:pPr>
              <w:adjustRightInd w:val="0"/>
              <w:snapToGrid w:val="0"/>
              <w:spacing w:line="360" w:lineRule="auto"/>
              <w:ind w:firstLine="480" w:firstLineChars="200"/>
              <w:rPr>
                <w:color w:val="000000"/>
                <w:sz w:val="24"/>
              </w:rPr>
            </w:pPr>
            <w:r>
              <w:rPr>
                <w:color w:val="000000"/>
                <w:sz w:val="24"/>
              </w:rPr>
              <w:t>由上表可知，项目实施后，在采取相应降噪、隔声以及</w:t>
            </w:r>
            <w:r>
              <w:rPr>
                <w:rFonts w:hint="eastAsia"/>
                <w:color w:val="000000"/>
                <w:sz w:val="24"/>
              </w:rPr>
              <w:t>基础减振</w:t>
            </w:r>
            <w:r>
              <w:rPr>
                <w:color w:val="000000"/>
                <w:sz w:val="24"/>
              </w:rPr>
              <w:t>等措施的情况下，</w:t>
            </w:r>
            <w:r>
              <w:rPr>
                <w:rFonts w:hint="eastAsia"/>
                <w:color w:val="000000"/>
                <w:sz w:val="24"/>
                <w:lang w:eastAsia="zh-CN"/>
              </w:rPr>
              <w:t>项目</w:t>
            </w:r>
            <w:r>
              <w:rPr>
                <w:color w:val="000000"/>
                <w:sz w:val="24"/>
              </w:rPr>
              <w:t>厂界噪声贡献值满足《工业企业厂界环境噪声排放标准》（GB12348-2008）</w:t>
            </w:r>
            <w:r>
              <w:rPr>
                <w:rFonts w:hint="eastAsia"/>
                <w:color w:val="000000"/>
                <w:sz w:val="24"/>
              </w:rPr>
              <w:t>2</w:t>
            </w:r>
            <w:r>
              <w:rPr>
                <w:color w:val="000000"/>
                <w:sz w:val="24"/>
              </w:rPr>
              <w:t>类标准</w:t>
            </w:r>
            <w:r>
              <w:rPr>
                <w:rFonts w:hint="eastAsia"/>
                <w:color w:val="000000"/>
                <w:sz w:val="24"/>
              </w:rPr>
              <w:t>，</w:t>
            </w:r>
            <w:r>
              <w:rPr>
                <w:color w:val="000000"/>
                <w:sz w:val="24"/>
              </w:rPr>
              <w:t>对外环境影响较小。</w:t>
            </w:r>
          </w:p>
          <w:p>
            <w:pPr>
              <w:adjustRightInd w:val="0"/>
              <w:snapToGrid w:val="0"/>
              <w:spacing w:line="360" w:lineRule="auto"/>
              <w:ind w:firstLine="482" w:firstLineChars="200"/>
              <w:rPr>
                <w:b/>
                <w:bCs/>
                <w:sz w:val="24"/>
              </w:rPr>
            </w:pPr>
            <w:r>
              <w:rPr>
                <w:rFonts w:hint="eastAsia"/>
                <w:b/>
                <w:bCs/>
                <w:sz w:val="24"/>
              </w:rPr>
              <w:t>4、监测计划</w:t>
            </w:r>
          </w:p>
          <w:p>
            <w:pPr>
              <w:adjustRightInd w:val="0"/>
              <w:snapToGrid w:val="0"/>
              <w:spacing w:line="360" w:lineRule="auto"/>
              <w:ind w:firstLine="480" w:firstLineChars="200"/>
              <w:rPr>
                <w:sz w:val="24"/>
              </w:rPr>
            </w:pPr>
            <w:r>
              <w:rPr>
                <w:rFonts w:hint="eastAsia"/>
                <w:sz w:val="24"/>
              </w:rPr>
              <w:t>依据《排污单位自行监测技术指南总则》（HJ819-2017）、《排污许可证申请与核发技术规范工业噪声》（HJ1301-2023）、《排污单位自行监测技术指南涂装》（HJ1086-2020）和《排污许可证申请与核发技术规范金属铸造工业》（HJ1115—2020)</w:t>
            </w:r>
            <w:r>
              <w:rPr>
                <w:sz w:val="24"/>
              </w:rPr>
              <w:t>，确定</w:t>
            </w:r>
            <w:r>
              <w:rPr>
                <w:rFonts w:hint="eastAsia"/>
                <w:sz w:val="24"/>
                <w:lang w:eastAsia="zh-CN"/>
              </w:rPr>
              <w:t>项目</w:t>
            </w:r>
            <w:r>
              <w:rPr>
                <w:rFonts w:hint="eastAsia"/>
                <w:sz w:val="24"/>
              </w:rPr>
              <w:t>噪声</w:t>
            </w:r>
            <w:r>
              <w:rPr>
                <w:sz w:val="24"/>
              </w:rPr>
              <w:t>监测计划，见表</w:t>
            </w:r>
            <w:r>
              <w:rPr>
                <w:rFonts w:hint="eastAsia"/>
                <w:sz w:val="24"/>
              </w:rPr>
              <w:t>4-11</w:t>
            </w:r>
            <w:r>
              <w:rPr>
                <w:sz w:val="24"/>
              </w:rPr>
              <w:t>。</w:t>
            </w:r>
          </w:p>
          <w:p>
            <w:pPr>
              <w:adjustRightInd w:val="0"/>
              <w:snapToGrid w:val="0"/>
              <w:jc w:val="center"/>
              <w:rPr>
                <w:b/>
                <w:bCs/>
                <w:szCs w:val="21"/>
                <w:lang w:val="zh-CN"/>
              </w:rPr>
            </w:pPr>
            <w:r>
              <w:rPr>
                <w:rFonts w:hint="eastAsia"/>
                <w:b/>
                <w:bCs/>
                <w:szCs w:val="21"/>
                <w:lang w:val="zh-CN"/>
              </w:rPr>
              <w:t>表</w:t>
            </w:r>
            <w:r>
              <w:rPr>
                <w:rFonts w:hint="eastAsia"/>
                <w:b/>
                <w:bCs/>
                <w:szCs w:val="21"/>
              </w:rPr>
              <w:t>4-11</w:t>
            </w:r>
            <w:r>
              <w:rPr>
                <w:rFonts w:hint="eastAsia"/>
                <w:b/>
                <w:bCs/>
                <w:szCs w:val="21"/>
                <w:lang w:val="zh-CN"/>
              </w:rPr>
              <w:t>噪声监测计划</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0"/>
              <w:gridCol w:w="1275"/>
              <w:gridCol w:w="1158"/>
              <w:gridCol w:w="1174"/>
              <w:gridCol w:w="35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Borders>
                    <w:tl2br w:val="nil"/>
                    <w:tr2bl w:val="nil"/>
                  </w:tcBorders>
                  <w:vAlign w:val="center"/>
                </w:tcPr>
                <w:p>
                  <w:pPr>
                    <w:snapToGrid w:val="0"/>
                    <w:spacing w:line="320" w:lineRule="exact"/>
                    <w:jc w:val="center"/>
                    <w:rPr>
                      <w:b/>
                      <w:bCs/>
                    </w:rPr>
                  </w:pPr>
                  <w:r>
                    <w:rPr>
                      <w:b/>
                      <w:bCs/>
                    </w:rPr>
                    <w:t>污染源名称</w:t>
                  </w:r>
                </w:p>
              </w:tc>
              <w:tc>
                <w:tcPr>
                  <w:tcW w:w="1275" w:type="dxa"/>
                  <w:tcBorders>
                    <w:tl2br w:val="nil"/>
                    <w:tr2bl w:val="nil"/>
                  </w:tcBorders>
                  <w:vAlign w:val="center"/>
                </w:tcPr>
                <w:p>
                  <w:pPr>
                    <w:snapToGrid w:val="0"/>
                    <w:spacing w:line="320" w:lineRule="exact"/>
                    <w:jc w:val="center"/>
                    <w:rPr>
                      <w:b/>
                      <w:bCs/>
                    </w:rPr>
                  </w:pPr>
                  <w:r>
                    <w:rPr>
                      <w:b/>
                      <w:bCs/>
                    </w:rPr>
                    <w:t>监测项目</w:t>
                  </w:r>
                </w:p>
              </w:tc>
              <w:tc>
                <w:tcPr>
                  <w:tcW w:w="1158" w:type="dxa"/>
                  <w:tcBorders>
                    <w:tl2br w:val="nil"/>
                    <w:tr2bl w:val="nil"/>
                  </w:tcBorders>
                  <w:vAlign w:val="center"/>
                </w:tcPr>
                <w:p>
                  <w:pPr>
                    <w:snapToGrid w:val="0"/>
                    <w:spacing w:line="320" w:lineRule="exact"/>
                    <w:jc w:val="center"/>
                    <w:rPr>
                      <w:b/>
                      <w:bCs/>
                    </w:rPr>
                  </w:pPr>
                  <w:r>
                    <w:rPr>
                      <w:b/>
                      <w:bCs/>
                    </w:rPr>
                    <w:t>监测位置</w:t>
                  </w:r>
                </w:p>
              </w:tc>
              <w:tc>
                <w:tcPr>
                  <w:tcW w:w="1174" w:type="dxa"/>
                  <w:tcBorders>
                    <w:tl2br w:val="nil"/>
                    <w:tr2bl w:val="nil"/>
                  </w:tcBorders>
                  <w:vAlign w:val="center"/>
                </w:tcPr>
                <w:p>
                  <w:pPr>
                    <w:snapToGrid w:val="0"/>
                    <w:spacing w:line="320" w:lineRule="exact"/>
                    <w:jc w:val="center"/>
                    <w:rPr>
                      <w:b/>
                      <w:bCs/>
                    </w:rPr>
                  </w:pPr>
                  <w:r>
                    <w:rPr>
                      <w:b/>
                      <w:bCs/>
                    </w:rPr>
                    <w:t>监测频率</w:t>
                  </w:r>
                </w:p>
              </w:tc>
              <w:tc>
                <w:tcPr>
                  <w:tcW w:w="3529" w:type="dxa"/>
                  <w:tcBorders>
                    <w:tl2br w:val="nil"/>
                    <w:tr2bl w:val="nil"/>
                  </w:tcBorders>
                  <w:vAlign w:val="center"/>
                </w:tcPr>
                <w:p>
                  <w:pPr>
                    <w:snapToGrid w:val="0"/>
                    <w:spacing w:line="320" w:lineRule="exact"/>
                    <w:jc w:val="center"/>
                    <w:rPr>
                      <w:b/>
                      <w:bCs/>
                    </w:rPr>
                  </w:pPr>
                  <w:r>
                    <w:rPr>
                      <w:b/>
                      <w:bCs/>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1500" w:type="dxa"/>
                  <w:tcBorders>
                    <w:tl2br w:val="nil"/>
                    <w:tr2bl w:val="nil"/>
                  </w:tcBorders>
                  <w:vAlign w:val="center"/>
                </w:tcPr>
                <w:p>
                  <w:pPr>
                    <w:tabs>
                      <w:tab w:val="left" w:pos="360"/>
                    </w:tabs>
                    <w:adjustRightInd w:val="0"/>
                    <w:snapToGrid w:val="0"/>
                    <w:jc w:val="center"/>
                  </w:pPr>
                  <w:r>
                    <w:t>噪声</w:t>
                  </w:r>
                </w:p>
              </w:tc>
              <w:tc>
                <w:tcPr>
                  <w:tcW w:w="1275" w:type="dxa"/>
                  <w:tcBorders>
                    <w:tl2br w:val="nil"/>
                    <w:tr2bl w:val="nil"/>
                  </w:tcBorders>
                  <w:vAlign w:val="center"/>
                </w:tcPr>
                <w:p>
                  <w:pPr>
                    <w:tabs>
                      <w:tab w:val="left" w:pos="360"/>
                    </w:tabs>
                    <w:adjustRightInd w:val="0"/>
                    <w:snapToGrid w:val="0"/>
                    <w:jc w:val="center"/>
                  </w:pPr>
                  <w:r>
                    <w:t>等效连续A声级</w:t>
                  </w:r>
                </w:p>
              </w:tc>
              <w:tc>
                <w:tcPr>
                  <w:tcW w:w="1158" w:type="dxa"/>
                  <w:tcBorders>
                    <w:tl2br w:val="nil"/>
                    <w:tr2bl w:val="nil"/>
                  </w:tcBorders>
                  <w:vAlign w:val="center"/>
                </w:tcPr>
                <w:p>
                  <w:pPr>
                    <w:tabs>
                      <w:tab w:val="left" w:pos="360"/>
                    </w:tabs>
                    <w:adjustRightInd w:val="0"/>
                    <w:snapToGrid w:val="0"/>
                    <w:jc w:val="center"/>
                  </w:pPr>
                  <w:r>
                    <w:rPr>
                      <w:rFonts w:hint="eastAsia"/>
                    </w:rPr>
                    <w:t>厂界四周</w:t>
                  </w:r>
                </w:p>
              </w:tc>
              <w:tc>
                <w:tcPr>
                  <w:tcW w:w="1174" w:type="dxa"/>
                  <w:tcBorders>
                    <w:tl2br w:val="nil"/>
                    <w:tr2bl w:val="nil"/>
                  </w:tcBorders>
                  <w:vAlign w:val="center"/>
                </w:tcPr>
                <w:p>
                  <w:pPr>
                    <w:tabs>
                      <w:tab w:val="left" w:pos="360"/>
                    </w:tabs>
                    <w:adjustRightInd w:val="0"/>
                    <w:snapToGrid w:val="0"/>
                    <w:jc w:val="center"/>
                  </w:pPr>
                  <w:r>
                    <w:t>1次/季度</w:t>
                  </w:r>
                </w:p>
              </w:tc>
              <w:tc>
                <w:tcPr>
                  <w:tcW w:w="3529" w:type="dxa"/>
                  <w:tcBorders>
                    <w:tl2br w:val="nil"/>
                    <w:tr2bl w:val="nil"/>
                  </w:tcBorders>
                  <w:vAlign w:val="center"/>
                </w:tcPr>
                <w:p>
                  <w:pPr>
                    <w:tabs>
                      <w:tab w:val="left" w:pos="360"/>
                    </w:tabs>
                    <w:adjustRightInd w:val="0"/>
                    <w:snapToGrid w:val="0"/>
                    <w:jc w:val="center"/>
                  </w:pPr>
                  <w:r>
                    <w:t>《工业企业厂界环境噪声排放标准》（GB12348-2008）</w:t>
                  </w:r>
                  <w:r>
                    <w:rPr>
                      <w:rFonts w:hint="eastAsia"/>
                    </w:rPr>
                    <w:t>2</w:t>
                  </w:r>
                  <w:r>
                    <w:t>类标准</w:t>
                  </w:r>
                </w:p>
              </w:tc>
            </w:tr>
          </w:tbl>
          <w:p>
            <w:pPr>
              <w:widowControl/>
              <w:adjustRightInd w:val="0"/>
              <w:snapToGrid w:val="0"/>
              <w:spacing w:line="360" w:lineRule="auto"/>
              <w:ind w:firstLine="482" w:firstLineChars="200"/>
              <w:rPr>
                <w:b/>
                <w:sz w:val="24"/>
              </w:rPr>
            </w:pPr>
            <w:r>
              <w:rPr>
                <w:rFonts w:hint="eastAsia"/>
                <w:b/>
                <w:sz w:val="24"/>
              </w:rPr>
              <w:t>四、</w:t>
            </w:r>
            <w:r>
              <w:rPr>
                <w:b/>
                <w:sz w:val="24"/>
              </w:rPr>
              <w:t>运营期固废环境影响及保护措施</w:t>
            </w:r>
          </w:p>
          <w:p>
            <w:pPr>
              <w:widowControl/>
              <w:adjustRightInd w:val="0"/>
              <w:snapToGrid w:val="0"/>
              <w:spacing w:line="360" w:lineRule="auto"/>
              <w:ind w:firstLine="480" w:firstLineChars="200"/>
              <w:rPr>
                <w:bCs/>
                <w:sz w:val="24"/>
              </w:rPr>
            </w:pPr>
            <w:r>
              <w:rPr>
                <w:rFonts w:hint="eastAsia"/>
                <w:sz w:val="24"/>
                <w:szCs w:val="32"/>
                <w:lang w:eastAsia="zh-CN"/>
              </w:rPr>
              <w:t>项目</w:t>
            </w:r>
            <w:r>
              <w:rPr>
                <w:bCs/>
                <w:sz w:val="24"/>
              </w:rPr>
              <w:t>产生的固体废物主要为生产固废及职工生活垃圾。生产固废分为一般生产固废</w:t>
            </w:r>
            <w:r>
              <w:rPr>
                <w:rFonts w:hint="eastAsia"/>
                <w:bCs/>
                <w:sz w:val="24"/>
              </w:rPr>
              <w:t>和</w:t>
            </w:r>
            <w:r>
              <w:rPr>
                <w:bCs/>
                <w:sz w:val="24"/>
              </w:rPr>
              <w:t>危险废物。</w:t>
            </w:r>
          </w:p>
          <w:p>
            <w:pPr>
              <w:widowControl/>
              <w:adjustRightInd w:val="0"/>
              <w:snapToGrid w:val="0"/>
              <w:spacing w:line="360" w:lineRule="auto"/>
              <w:ind w:firstLine="482" w:firstLineChars="200"/>
              <w:rPr>
                <w:b/>
                <w:sz w:val="24"/>
              </w:rPr>
            </w:pPr>
            <w:r>
              <w:rPr>
                <w:rFonts w:hint="eastAsia"/>
                <w:b/>
                <w:sz w:val="24"/>
              </w:rPr>
              <w:t>1、固体废物产生量</w:t>
            </w:r>
          </w:p>
          <w:p>
            <w:pPr>
              <w:widowControl/>
              <w:numPr>
                <w:ilvl w:val="0"/>
                <w:numId w:val="0"/>
              </w:numPr>
              <w:adjustRightInd w:val="0"/>
              <w:snapToGrid w:val="0"/>
              <w:spacing w:line="360" w:lineRule="auto"/>
              <w:ind w:leftChars="0"/>
              <w:rPr>
                <w:bCs/>
                <w:sz w:val="24"/>
              </w:rPr>
            </w:pPr>
            <w:r>
              <w:rPr>
                <w:rFonts w:hint="eastAsia"/>
                <w:bCs/>
                <w:sz w:val="24"/>
                <w:lang w:val="en-US" w:eastAsia="zh-CN"/>
              </w:rPr>
              <w:t xml:space="preserve">    （1）</w:t>
            </w:r>
            <w:r>
              <w:rPr>
                <w:rFonts w:hint="eastAsia"/>
                <w:bCs/>
                <w:sz w:val="24"/>
              </w:rPr>
              <w:t>生活垃圾</w:t>
            </w:r>
          </w:p>
          <w:p>
            <w:pPr>
              <w:widowControl/>
              <w:adjustRightInd w:val="0"/>
              <w:snapToGrid w:val="0"/>
              <w:spacing w:line="360" w:lineRule="auto"/>
              <w:ind w:firstLine="480" w:firstLineChars="200"/>
              <w:rPr>
                <w:bCs/>
                <w:sz w:val="24"/>
              </w:rPr>
            </w:pPr>
            <w:r>
              <w:rPr>
                <w:bCs/>
                <w:sz w:val="24"/>
              </w:rPr>
              <w:t>厂区共有劳动定员</w:t>
            </w:r>
            <w:r>
              <w:rPr>
                <w:rFonts w:hint="eastAsia"/>
                <w:bCs/>
                <w:sz w:val="24"/>
              </w:rPr>
              <w:t>40</w:t>
            </w:r>
            <w:r>
              <w:rPr>
                <w:bCs/>
                <w:sz w:val="24"/>
              </w:rPr>
              <w:t>人，生活垃圾按0.5kg/人•天，则产生量为</w:t>
            </w:r>
            <w:r>
              <w:rPr>
                <w:rFonts w:hint="eastAsia"/>
                <w:bCs/>
                <w:sz w:val="24"/>
              </w:rPr>
              <w:t>20</w:t>
            </w:r>
            <w:r>
              <w:rPr>
                <w:bCs/>
                <w:sz w:val="24"/>
              </w:rPr>
              <w:t>kg/d（</w:t>
            </w:r>
            <w:r>
              <w:rPr>
                <w:rFonts w:hint="eastAsia"/>
                <w:bCs/>
                <w:sz w:val="24"/>
              </w:rPr>
              <w:t>6</w:t>
            </w:r>
            <w:r>
              <w:rPr>
                <w:bCs/>
                <w:sz w:val="24"/>
              </w:rPr>
              <w:t>t/a），厂区内设生活垃圾桶，集中收集至垃圾桶内，定期由环卫部门定期清运。</w:t>
            </w:r>
          </w:p>
          <w:p>
            <w:pPr>
              <w:pStyle w:val="35"/>
              <w:snapToGrid w:val="0"/>
              <w:spacing w:line="360" w:lineRule="auto"/>
              <w:ind w:firstLine="480" w:firstLineChars="200"/>
              <w:rPr>
                <w:rFonts w:ascii="Times New Roman"/>
                <w:color w:val="auto"/>
              </w:rPr>
            </w:pPr>
            <w:r>
              <w:rPr>
                <w:rFonts w:hint="eastAsia" w:ascii="Times New Roman"/>
                <w:color w:val="auto"/>
              </w:rPr>
              <w:t>（2）一般固废</w:t>
            </w:r>
          </w:p>
          <w:p>
            <w:pPr>
              <w:pStyle w:val="35"/>
              <w:snapToGrid w:val="0"/>
              <w:spacing w:line="360" w:lineRule="auto"/>
              <w:ind w:firstLine="480" w:firstLineChars="200"/>
              <w:rPr>
                <w:rFonts w:ascii="Times New Roman"/>
                <w:color w:val="auto"/>
              </w:rPr>
            </w:pPr>
            <w:r>
              <w:rPr>
                <w:rFonts w:ascii="Times New Roman"/>
                <w:color w:val="auto"/>
              </w:rPr>
              <w:t>1）废边角料</w:t>
            </w:r>
          </w:p>
          <w:p>
            <w:pPr>
              <w:pStyle w:val="35"/>
              <w:snapToGrid w:val="0"/>
              <w:spacing w:line="360" w:lineRule="auto"/>
              <w:ind w:firstLine="480" w:firstLineChars="200"/>
              <w:rPr>
                <w:rFonts w:ascii="Times New Roman"/>
                <w:color w:val="auto"/>
              </w:rPr>
            </w:pPr>
            <w:r>
              <w:rPr>
                <w:rFonts w:ascii="Times New Roman"/>
                <w:color w:val="auto"/>
              </w:rPr>
              <w:t>边角废料主要来源于下料过程中产生的边角余料，根据生产行业经验，金属边角余料产生量平均取原材料用量的0.1%，项目原材料总用量为</w:t>
            </w:r>
            <w:r>
              <w:rPr>
                <w:rFonts w:hint="eastAsia" w:ascii="Times New Roman"/>
                <w:color w:val="auto"/>
              </w:rPr>
              <w:t>1417.38</w:t>
            </w:r>
            <w:r>
              <w:rPr>
                <w:rFonts w:ascii="Times New Roman"/>
                <w:color w:val="auto"/>
              </w:rPr>
              <w:t>吨，则项目边角料、废金属屑产生量</w:t>
            </w:r>
            <w:r>
              <w:rPr>
                <w:rFonts w:hint="eastAsia" w:ascii="Times New Roman"/>
                <w:color w:val="auto"/>
              </w:rPr>
              <w:t>约1.42</w:t>
            </w:r>
            <w:r>
              <w:rPr>
                <w:rFonts w:ascii="Times New Roman"/>
                <w:color w:val="auto"/>
              </w:rPr>
              <w:t>t/a，收集后外售综合利用。</w:t>
            </w:r>
          </w:p>
          <w:p>
            <w:pPr>
              <w:pStyle w:val="35"/>
              <w:snapToGrid w:val="0"/>
              <w:spacing w:line="360" w:lineRule="auto"/>
              <w:ind w:firstLine="480" w:firstLineChars="200"/>
              <w:rPr>
                <w:rFonts w:ascii="Times New Roman"/>
                <w:color w:val="auto"/>
              </w:rPr>
            </w:pPr>
            <w:r>
              <w:rPr>
                <w:rFonts w:ascii="Times New Roman"/>
                <w:color w:val="auto"/>
              </w:rPr>
              <w:t>2）</w:t>
            </w:r>
            <w:r>
              <w:rPr>
                <w:rFonts w:hint="eastAsia" w:ascii="Times New Roman"/>
                <w:color w:val="auto"/>
              </w:rPr>
              <w:t>废包装材料</w:t>
            </w:r>
          </w:p>
          <w:p>
            <w:pPr>
              <w:pStyle w:val="35"/>
              <w:snapToGrid w:val="0"/>
              <w:spacing w:line="360" w:lineRule="auto"/>
              <w:ind w:firstLine="480" w:firstLineChars="200"/>
              <w:rPr>
                <w:rFonts w:ascii="Times New Roman"/>
                <w:color w:val="auto"/>
              </w:rPr>
            </w:pPr>
            <w:r>
              <w:rPr>
                <w:rFonts w:hint="eastAsia" w:ascii="Times New Roman"/>
                <w:color w:val="auto"/>
              </w:rPr>
              <w:t>根据建设单位提供资料，废包装材料的</w:t>
            </w:r>
            <w:r>
              <w:rPr>
                <w:rFonts w:ascii="Times New Roman"/>
                <w:color w:val="auto"/>
              </w:rPr>
              <w:t>产生</w:t>
            </w:r>
            <w:r>
              <w:rPr>
                <w:rFonts w:hint="eastAsia" w:ascii="Times New Roman"/>
                <w:color w:val="auto"/>
              </w:rPr>
              <w:t>量</w:t>
            </w:r>
            <w:r>
              <w:rPr>
                <w:rFonts w:ascii="Times New Roman"/>
                <w:color w:val="auto"/>
              </w:rPr>
              <w:t>约</w:t>
            </w:r>
            <w:r>
              <w:rPr>
                <w:rFonts w:hint="eastAsia" w:ascii="Times New Roman"/>
                <w:color w:val="auto"/>
              </w:rPr>
              <w:t>0.5</w:t>
            </w:r>
            <w:r>
              <w:rPr>
                <w:rFonts w:ascii="Times New Roman"/>
                <w:color w:val="auto"/>
              </w:rPr>
              <w:t>t/a</w:t>
            </w:r>
            <w:r>
              <w:rPr>
                <w:rFonts w:hint="eastAsia" w:ascii="Times New Roman"/>
                <w:color w:val="auto"/>
              </w:rPr>
              <w:t>，</w:t>
            </w:r>
            <w:r>
              <w:rPr>
                <w:rFonts w:ascii="Times New Roman"/>
                <w:color w:val="auto"/>
              </w:rPr>
              <w:t>收集外售</w:t>
            </w:r>
            <w:r>
              <w:rPr>
                <w:rFonts w:hint="eastAsia" w:ascii="Times New Roman"/>
                <w:color w:val="auto"/>
              </w:rPr>
              <w:t>综合利用</w:t>
            </w:r>
            <w:r>
              <w:rPr>
                <w:rFonts w:ascii="Times New Roman"/>
                <w:color w:val="auto"/>
              </w:rPr>
              <w:t>。</w:t>
            </w:r>
          </w:p>
          <w:p>
            <w:pPr>
              <w:pStyle w:val="35"/>
              <w:snapToGrid w:val="0"/>
              <w:spacing w:line="360" w:lineRule="auto"/>
              <w:ind w:firstLine="480" w:firstLineChars="200"/>
              <w:rPr>
                <w:rFonts w:ascii="Times New Roman"/>
                <w:color w:val="auto"/>
              </w:rPr>
            </w:pPr>
            <w:r>
              <w:rPr>
                <w:rFonts w:hint="eastAsia" w:ascii="Times New Roman"/>
                <w:color w:val="auto"/>
                <w:lang w:val="en-US" w:eastAsia="zh-CN"/>
              </w:rPr>
              <w:t>3</w:t>
            </w:r>
            <w:r>
              <w:rPr>
                <w:rFonts w:ascii="Times New Roman"/>
                <w:color w:val="auto"/>
              </w:rPr>
              <w:t>）</w:t>
            </w:r>
            <w:r>
              <w:rPr>
                <w:rFonts w:hint="eastAsia" w:ascii="Times New Roman"/>
                <w:color w:val="auto"/>
              </w:rPr>
              <w:t>废渗透膜</w:t>
            </w:r>
          </w:p>
          <w:p>
            <w:pPr>
              <w:pStyle w:val="35"/>
              <w:snapToGrid w:val="0"/>
              <w:spacing w:line="360" w:lineRule="auto"/>
              <w:ind w:firstLine="480" w:firstLineChars="200"/>
              <w:rPr>
                <w:rFonts w:ascii="Times New Roman"/>
                <w:color w:val="auto"/>
              </w:rPr>
            </w:pPr>
            <w:r>
              <w:rPr>
                <w:rFonts w:hint="eastAsia" w:ascii="Times New Roman"/>
                <w:color w:val="auto"/>
              </w:rPr>
              <w:t>根据建设单位提供资料，废渗透膜的产生量约0.02</w:t>
            </w:r>
            <w:r>
              <w:rPr>
                <w:rFonts w:ascii="Times New Roman"/>
                <w:color w:val="auto"/>
              </w:rPr>
              <w:t>t/a</w:t>
            </w:r>
            <w:r>
              <w:rPr>
                <w:rFonts w:hint="eastAsia" w:ascii="Times New Roman"/>
                <w:color w:val="auto"/>
              </w:rPr>
              <w:t>，由厂家回收进行处置。</w:t>
            </w:r>
          </w:p>
          <w:p>
            <w:pPr>
              <w:pStyle w:val="35"/>
              <w:numPr>
                <w:ilvl w:val="0"/>
                <w:numId w:val="0"/>
              </w:numPr>
              <w:snapToGrid w:val="0"/>
              <w:spacing w:line="360" w:lineRule="auto"/>
              <w:ind w:left="420" w:leftChars="0"/>
              <w:rPr>
                <w:rFonts w:ascii="Times New Roman"/>
                <w:color w:val="auto"/>
              </w:rPr>
            </w:pPr>
            <w:r>
              <w:rPr>
                <w:rFonts w:hint="eastAsia" w:ascii="Times New Roman"/>
                <w:color w:val="auto"/>
                <w:lang w:val="en-US" w:eastAsia="zh-CN"/>
              </w:rPr>
              <w:t>4）</w:t>
            </w:r>
            <w:r>
              <w:rPr>
                <w:rFonts w:hint="eastAsia" w:ascii="Times New Roman"/>
                <w:color w:val="auto"/>
              </w:rPr>
              <w:t>废树脂</w:t>
            </w:r>
          </w:p>
          <w:p>
            <w:pPr>
              <w:pStyle w:val="35"/>
              <w:snapToGrid w:val="0"/>
              <w:spacing w:line="360" w:lineRule="auto"/>
              <w:ind w:firstLine="480" w:firstLineChars="200"/>
              <w:rPr>
                <w:rFonts w:hint="eastAsia" w:ascii="Times New Roman"/>
                <w:color w:val="auto"/>
              </w:rPr>
            </w:pPr>
            <w:r>
              <w:rPr>
                <w:rFonts w:hint="eastAsia" w:ascii="Times New Roman"/>
                <w:color w:val="auto"/>
              </w:rPr>
              <w:t>根据建设单位提供资料，废树脂的产生量约0.02</w:t>
            </w:r>
            <w:r>
              <w:rPr>
                <w:rFonts w:ascii="Times New Roman"/>
                <w:color w:val="auto"/>
              </w:rPr>
              <w:t>t/a</w:t>
            </w:r>
            <w:r>
              <w:rPr>
                <w:rFonts w:hint="eastAsia" w:ascii="Times New Roman"/>
                <w:color w:val="auto"/>
              </w:rPr>
              <w:t>，由厂家回收进行处置。</w:t>
            </w:r>
          </w:p>
          <w:p>
            <w:pPr>
              <w:pStyle w:val="35"/>
              <w:snapToGrid w:val="0"/>
              <w:spacing w:line="360" w:lineRule="auto"/>
              <w:ind w:firstLine="480" w:firstLineChars="200"/>
              <w:rPr>
                <w:rFonts w:ascii="Times New Roman"/>
                <w:color w:val="auto"/>
              </w:rPr>
            </w:pPr>
            <w:r>
              <w:rPr>
                <w:rFonts w:hint="eastAsia" w:ascii="Times New Roman"/>
                <w:color w:val="auto"/>
                <w:lang w:val="en-US" w:eastAsia="zh-CN"/>
              </w:rPr>
              <w:t>5</w:t>
            </w:r>
            <w:r>
              <w:rPr>
                <w:rFonts w:hint="eastAsia" w:ascii="Times New Roman"/>
                <w:color w:val="auto"/>
                <w:lang w:eastAsia="zh-CN"/>
              </w:rPr>
              <w:t>）</w:t>
            </w:r>
            <w:r>
              <w:rPr>
                <w:rFonts w:hint="eastAsia" w:ascii="Times New Roman"/>
                <w:color w:val="auto"/>
              </w:rPr>
              <w:t>废塑粉</w:t>
            </w:r>
          </w:p>
          <w:p>
            <w:pPr>
              <w:pStyle w:val="35"/>
              <w:snapToGrid w:val="0"/>
              <w:spacing w:line="360" w:lineRule="auto"/>
              <w:ind w:left="420" w:leftChars="200"/>
              <w:rPr>
                <w:rFonts w:ascii="Times New Roman"/>
                <w:color w:val="auto"/>
              </w:rPr>
            </w:pPr>
            <w:r>
              <w:rPr>
                <w:rFonts w:hint="eastAsia" w:ascii="Times New Roman"/>
                <w:color w:val="auto"/>
                <w:lang w:val="en-US" w:eastAsia="zh-CN"/>
              </w:rPr>
              <w:t>根据废气治理效率效核算</w:t>
            </w:r>
            <w:r>
              <w:rPr>
                <w:rFonts w:hint="eastAsia" w:ascii="Times New Roman"/>
                <w:color w:val="auto"/>
              </w:rPr>
              <w:t>，</w:t>
            </w:r>
            <w:r>
              <w:rPr>
                <w:rFonts w:hint="eastAsia" w:ascii="Times New Roman"/>
                <w:color w:val="auto"/>
                <w:lang w:eastAsia="zh-CN"/>
              </w:rPr>
              <w:t>旋风</w:t>
            </w:r>
            <w:r>
              <w:rPr>
                <w:rFonts w:hint="eastAsia" w:ascii="Times New Roman"/>
                <w:color w:val="auto"/>
              </w:rPr>
              <w:t>收集的废塑粉</w:t>
            </w:r>
            <w:r>
              <w:rPr>
                <w:rFonts w:ascii="Times New Roman"/>
                <w:color w:val="auto"/>
              </w:rPr>
              <w:t>量</w:t>
            </w:r>
            <w:r>
              <w:rPr>
                <w:rFonts w:hint="eastAsia" w:ascii="Times New Roman"/>
                <w:color w:val="auto"/>
              </w:rPr>
              <w:t>约</w:t>
            </w:r>
            <w:r>
              <w:rPr>
                <w:rFonts w:ascii="Times New Roman"/>
                <w:color w:val="auto"/>
              </w:rPr>
              <w:t>为</w:t>
            </w:r>
            <w:r>
              <w:rPr>
                <w:rFonts w:hint="eastAsia" w:ascii="Times New Roman"/>
                <w:color w:val="auto"/>
              </w:rPr>
              <w:t>0.41</w:t>
            </w:r>
            <w:r>
              <w:rPr>
                <w:rFonts w:ascii="Times New Roman"/>
                <w:color w:val="auto"/>
              </w:rPr>
              <w:t>t/a</w:t>
            </w:r>
            <w:r>
              <w:rPr>
                <w:rFonts w:hint="eastAsia" w:ascii="Times New Roman"/>
                <w:color w:val="auto"/>
              </w:rPr>
              <w:t>，</w:t>
            </w:r>
            <w:r>
              <w:rPr>
                <w:rFonts w:ascii="Times New Roman"/>
                <w:color w:val="auto"/>
              </w:rPr>
              <w:t>收集后外售综合利用。</w:t>
            </w:r>
          </w:p>
          <w:p>
            <w:pPr>
              <w:widowControl/>
              <w:adjustRightInd w:val="0"/>
              <w:snapToGrid w:val="0"/>
              <w:spacing w:line="360" w:lineRule="auto"/>
              <w:ind w:firstLine="480" w:firstLineChars="200"/>
              <w:rPr>
                <w:bCs/>
                <w:sz w:val="24"/>
              </w:rPr>
            </w:pPr>
            <w:r>
              <w:rPr>
                <w:rFonts w:hint="eastAsia"/>
                <w:bCs/>
                <w:sz w:val="24"/>
              </w:rPr>
              <w:t>（3）</w:t>
            </w:r>
            <w:r>
              <w:rPr>
                <w:bCs/>
                <w:sz w:val="24"/>
              </w:rPr>
              <w:t>危险废物</w:t>
            </w:r>
          </w:p>
          <w:p>
            <w:pPr>
              <w:pStyle w:val="35"/>
              <w:snapToGrid w:val="0"/>
              <w:spacing w:line="360" w:lineRule="auto"/>
              <w:ind w:firstLine="480" w:firstLineChars="200"/>
              <w:rPr>
                <w:rFonts w:ascii="Times New Roman"/>
                <w:color w:val="auto"/>
              </w:rPr>
            </w:pPr>
            <w:r>
              <w:rPr>
                <w:rFonts w:hint="eastAsia" w:ascii="Times New Roman"/>
                <w:color w:val="auto"/>
                <w:lang w:eastAsia="zh-CN"/>
              </w:rPr>
              <w:t>项目</w:t>
            </w:r>
            <w:r>
              <w:rPr>
                <w:rFonts w:ascii="Times New Roman"/>
                <w:color w:val="auto"/>
              </w:rPr>
              <w:t>危险废物包括废</w:t>
            </w:r>
            <w:r>
              <w:rPr>
                <w:rFonts w:hint="eastAsia" w:ascii="Times New Roman"/>
                <w:color w:val="auto"/>
              </w:rPr>
              <w:t>机油</w:t>
            </w:r>
            <w:r>
              <w:rPr>
                <w:rFonts w:ascii="Times New Roman"/>
                <w:color w:val="auto"/>
              </w:rPr>
              <w:t>、</w:t>
            </w:r>
            <w:r>
              <w:rPr>
                <w:rFonts w:hint="eastAsia" w:ascii="Times New Roman"/>
                <w:color w:val="auto"/>
              </w:rPr>
              <w:t>废液压油、废含有油抹布及手套、废活性炭、废吸附棉、废渣及泥饼</w:t>
            </w:r>
            <w:r>
              <w:rPr>
                <w:rFonts w:hint="eastAsia" w:ascii="Times New Roman"/>
                <w:color w:val="auto"/>
                <w:lang w:eastAsia="zh-CN"/>
              </w:rPr>
              <w:t>、</w:t>
            </w:r>
            <w:r>
              <w:rPr>
                <w:rFonts w:hint="eastAsia" w:ascii="Times New Roman"/>
                <w:color w:val="auto"/>
                <w:lang w:val="en-US" w:eastAsia="zh-CN"/>
              </w:rPr>
              <w:t>铝材表面处理废液</w:t>
            </w:r>
            <w:r>
              <w:rPr>
                <w:rFonts w:ascii="Times New Roman"/>
                <w:color w:val="auto"/>
              </w:rPr>
              <w:t>。</w:t>
            </w:r>
          </w:p>
          <w:p>
            <w:pPr>
              <w:pStyle w:val="35"/>
              <w:snapToGrid w:val="0"/>
              <w:spacing w:line="360" w:lineRule="auto"/>
              <w:ind w:firstLine="480" w:firstLineChars="200"/>
              <w:rPr>
                <w:rFonts w:ascii="Times New Roman"/>
                <w:color w:val="auto"/>
              </w:rPr>
            </w:pPr>
            <w:r>
              <w:rPr>
                <w:rFonts w:hint="eastAsia" w:ascii="Times New Roman"/>
                <w:color w:val="auto"/>
                <w:szCs w:val="32"/>
                <w:lang w:val="en-US" w:eastAsia="zh-CN"/>
              </w:rPr>
              <w:t>1）</w:t>
            </w:r>
            <w:r>
              <w:rPr>
                <w:rFonts w:hint="eastAsia" w:ascii="Times New Roman"/>
                <w:color w:val="auto"/>
                <w:szCs w:val="32"/>
              </w:rPr>
              <w:t>液压油</w:t>
            </w:r>
          </w:p>
          <w:p>
            <w:pPr>
              <w:adjustRightInd w:val="0"/>
              <w:snapToGrid w:val="0"/>
              <w:spacing w:line="360" w:lineRule="auto"/>
              <w:ind w:firstLine="480" w:firstLineChars="200"/>
              <w:rPr>
                <w:sz w:val="24"/>
                <w:szCs w:val="32"/>
              </w:rPr>
            </w:pPr>
            <w:r>
              <w:rPr>
                <w:rFonts w:hint="eastAsia"/>
                <w:sz w:val="24"/>
                <w:szCs w:val="32"/>
              </w:rPr>
              <w:t>液压设备维修更换产生废液压油的量为0.02</w:t>
            </w:r>
            <w:r>
              <w:rPr>
                <w:sz w:val="24"/>
                <w:szCs w:val="32"/>
              </w:rPr>
              <w:t>t/a</w:t>
            </w:r>
            <w:r>
              <w:rPr>
                <w:rFonts w:hint="eastAsia"/>
                <w:sz w:val="24"/>
                <w:szCs w:val="32"/>
              </w:rPr>
              <w:t>，</w:t>
            </w:r>
            <w:r>
              <w:rPr>
                <w:sz w:val="24"/>
                <w:szCs w:val="32"/>
              </w:rPr>
              <w:t>根据《国家危险废物名录》(2021版)，属于危险废物（废物类别为</w:t>
            </w:r>
            <w:r>
              <w:rPr>
                <w:rFonts w:hint="eastAsia"/>
                <w:sz w:val="24"/>
                <w:szCs w:val="32"/>
              </w:rPr>
              <w:t>HW08，废物代码900-218-08液压设备维护、更换和拆解过程中产生的废液压油），须将其收集后暂存于为危废贮存库，交由</w:t>
            </w:r>
            <w:r>
              <w:rPr>
                <w:rFonts w:hint="eastAsia"/>
                <w:sz w:val="24"/>
                <w:szCs w:val="32"/>
                <w:lang w:eastAsia="zh-CN"/>
              </w:rPr>
              <w:t>陕西新天地固体废物综合处置公司</w:t>
            </w:r>
            <w:r>
              <w:rPr>
                <w:rFonts w:hint="eastAsia"/>
                <w:sz w:val="24"/>
                <w:szCs w:val="32"/>
              </w:rPr>
              <w:t>处置。</w:t>
            </w:r>
          </w:p>
          <w:p>
            <w:pPr>
              <w:pStyle w:val="35"/>
              <w:numPr>
                <w:ilvl w:val="0"/>
                <w:numId w:val="0"/>
              </w:numPr>
              <w:snapToGrid w:val="0"/>
              <w:spacing w:line="360" w:lineRule="auto"/>
              <w:ind w:left="630" w:leftChars="0"/>
              <w:rPr>
                <w:rFonts w:hAnsi="宋体" w:cs="宋体"/>
                <w:color w:val="auto"/>
                <w:szCs w:val="32"/>
              </w:rPr>
            </w:pPr>
            <w:r>
              <w:rPr>
                <w:rFonts w:hint="eastAsia" w:hAnsi="宋体" w:cs="宋体"/>
                <w:color w:val="auto"/>
                <w:szCs w:val="32"/>
                <w:lang w:val="en-US" w:eastAsia="zh-CN"/>
              </w:rPr>
              <w:t>2）</w:t>
            </w:r>
            <w:r>
              <w:rPr>
                <w:rFonts w:hint="eastAsia" w:hAnsi="宋体" w:cs="宋体"/>
                <w:color w:val="auto"/>
                <w:szCs w:val="32"/>
              </w:rPr>
              <w:t>废机油</w:t>
            </w:r>
          </w:p>
          <w:p>
            <w:pPr>
              <w:adjustRightInd w:val="0"/>
              <w:snapToGrid w:val="0"/>
              <w:spacing w:line="360" w:lineRule="auto"/>
              <w:ind w:firstLine="480" w:firstLineChars="200"/>
              <w:rPr>
                <w:sz w:val="24"/>
                <w:szCs w:val="32"/>
              </w:rPr>
            </w:pPr>
            <w:r>
              <w:rPr>
                <w:rFonts w:hint="eastAsia"/>
                <w:sz w:val="24"/>
                <w:szCs w:val="32"/>
              </w:rPr>
              <w:t>设备维修更换产生机油的量为0.05</w:t>
            </w:r>
            <w:r>
              <w:rPr>
                <w:sz w:val="24"/>
                <w:szCs w:val="32"/>
              </w:rPr>
              <w:t>t/a</w:t>
            </w:r>
            <w:r>
              <w:rPr>
                <w:rFonts w:hint="eastAsia"/>
                <w:sz w:val="24"/>
                <w:szCs w:val="32"/>
              </w:rPr>
              <w:t>，</w:t>
            </w:r>
            <w:r>
              <w:rPr>
                <w:sz w:val="24"/>
                <w:szCs w:val="32"/>
              </w:rPr>
              <w:t>根据《国家危险废物名录》(2021版)，属于危险废物（废物类别为HW08，废物代码900-249-08其他生产、销售、使用过程中产生的废矿物油及沾染矿物油的废弃包装物），须将其收集后暂存于</w:t>
            </w:r>
            <w:r>
              <w:rPr>
                <w:rFonts w:hint="eastAsia"/>
                <w:sz w:val="24"/>
                <w:szCs w:val="32"/>
              </w:rPr>
              <w:t>为危废贮存库</w:t>
            </w:r>
            <w:r>
              <w:rPr>
                <w:sz w:val="24"/>
                <w:szCs w:val="32"/>
              </w:rPr>
              <w:t>，</w:t>
            </w:r>
            <w:r>
              <w:rPr>
                <w:rFonts w:hint="eastAsia"/>
                <w:sz w:val="24"/>
                <w:szCs w:val="32"/>
              </w:rPr>
              <w:t>交由</w:t>
            </w:r>
            <w:r>
              <w:rPr>
                <w:rFonts w:hint="eastAsia"/>
                <w:sz w:val="24"/>
                <w:szCs w:val="32"/>
                <w:lang w:eastAsia="zh-CN"/>
              </w:rPr>
              <w:t>陕西新天地固体废物综合处置公司</w:t>
            </w:r>
            <w:r>
              <w:rPr>
                <w:rFonts w:hint="eastAsia"/>
                <w:sz w:val="24"/>
                <w:szCs w:val="32"/>
              </w:rPr>
              <w:t>处置。</w:t>
            </w:r>
          </w:p>
          <w:p>
            <w:pPr>
              <w:pStyle w:val="38"/>
              <w:numPr>
                <w:ilvl w:val="0"/>
                <w:numId w:val="0"/>
              </w:numPr>
              <w:adjustRightInd w:val="0"/>
              <w:snapToGrid w:val="0"/>
              <w:spacing w:line="360" w:lineRule="auto"/>
              <w:ind w:left="630" w:leftChars="0"/>
              <w:rPr>
                <w:rFonts w:hAnsi="宋体" w:cs="宋体"/>
                <w:b w:val="0"/>
                <w:bCs w:val="0"/>
                <w:sz w:val="24"/>
              </w:rPr>
            </w:pPr>
            <w:r>
              <w:rPr>
                <w:rFonts w:hint="eastAsia" w:hAnsi="宋体" w:cs="宋体"/>
                <w:b w:val="0"/>
                <w:bCs w:val="0"/>
                <w:sz w:val="24"/>
                <w:lang w:val="en-US" w:eastAsia="zh-CN"/>
              </w:rPr>
              <w:t>3）</w:t>
            </w:r>
            <w:r>
              <w:rPr>
                <w:rFonts w:hint="eastAsia" w:hAnsi="宋体" w:cs="宋体"/>
                <w:b w:val="0"/>
                <w:bCs w:val="0"/>
                <w:sz w:val="24"/>
              </w:rPr>
              <w:t>废含有手套及抹布</w:t>
            </w:r>
          </w:p>
          <w:p>
            <w:pPr>
              <w:adjustRightInd w:val="0"/>
              <w:snapToGrid w:val="0"/>
              <w:spacing w:line="360" w:lineRule="auto"/>
              <w:ind w:firstLine="480" w:firstLineChars="200"/>
              <w:rPr>
                <w:sz w:val="24"/>
                <w:szCs w:val="32"/>
              </w:rPr>
            </w:pPr>
            <w:r>
              <w:rPr>
                <w:sz w:val="24"/>
              </w:rPr>
              <w:t>项目在生产过程和设备维修会产生一定量的废含油抹布、含油手套，产生量约为0.0</w:t>
            </w:r>
            <w:r>
              <w:rPr>
                <w:rFonts w:hint="eastAsia"/>
                <w:sz w:val="24"/>
              </w:rPr>
              <w:t>2</w:t>
            </w:r>
            <w:r>
              <w:rPr>
                <w:sz w:val="24"/>
              </w:rPr>
              <w:t>t/a，</w:t>
            </w:r>
            <w:r>
              <w:rPr>
                <w:sz w:val="24"/>
                <w:szCs w:val="32"/>
              </w:rPr>
              <w:t>根据《国家危险废物名录》(2021版)</w:t>
            </w:r>
            <w:r>
              <w:rPr>
                <w:rFonts w:hint="eastAsia"/>
                <w:sz w:val="24"/>
                <w:szCs w:val="32"/>
              </w:rPr>
              <w:t>，</w:t>
            </w:r>
            <w:r>
              <w:rPr>
                <w:sz w:val="24"/>
              </w:rPr>
              <w:t>属危险性废物（废物类别为HW</w:t>
            </w:r>
            <w:r>
              <w:rPr>
                <w:rFonts w:hint="eastAsia"/>
                <w:sz w:val="24"/>
              </w:rPr>
              <w:t>49</w:t>
            </w:r>
            <w:r>
              <w:rPr>
                <w:sz w:val="24"/>
              </w:rPr>
              <w:t>，废物代码900-</w:t>
            </w:r>
            <w:r>
              <w:rPr>
                <w:rFonts w:hint="eastAsia"/>
                <w:sz w:val="24"/>
              </w:rPr>
              <w:t>041</w:t>
            </w:r>
            <w:r>
              <w:rPr>
                <w:sz w:val="24"/>
              </w:rPr>
              <w:t>-</w:t>
            </w:r>
            <w:r>
              <w:rPr>
                <w:rFonts w:hint="eastAsia"/>
                <w:sz w:val="24"/>
              </w:rPr>
              <w:t>49含有或沾染毒性、感染性危险废物的废弃包装物、容器、过滤吸附介质</w:t>
            </w:r>
            <w:r>
              <w:rPr>
                <w:sz w:val="24"/>
              </w:rPr>
              <w:t>）</w:t>
            </w:r>
            <w:r>
              <w:rPr>
                <w:sz w:val="24"/>
                <w:szCs w:val="32"/>
              </w:rPr>
              <w:t>，须将其收集后暂存于</w:t>
            </w:r>
            <w:r>
              <w:rPr>
                <w:rFonts w:hint="eastAsia"/>
                <w:sz w:val="24"/>
                <w:szCs w:val="32"/>
              </w:rPr>
              <w:t>为危废贮存库</w:t>
            </w:r>
            <w:r>
              <w:rPr>
                <w:sz w:val="24"/>
                <w:szCs w:val="32"/>
              </w:rPr>
              <w:t>，</w:t>
            </w:r>
            <w:r>
              <w:rPr>
                <w:rFonts w:hint="eastAsia"/>
                <w:sz w:val="24"/>
                <w:szCs w:val="32"/>
              </w:rPr>
              <w:t>由</w:t>
            </w:r>
            <w:r>
              <w:rPr>
                <w:rFonts w:hint="eastAsia"/>
                <w:sz w:val="24"/>
                <w:szCs w:val="32"/>
                <w:lang w:eastAsia="zh-CN"/>
              </w:rPr>
              <w:t>陕西新天地固体废物综合处置公司</w:t>
            </w:r>
            <w:r>
              <w:rPr>
                <w:rFonts w:hint="eastAsia"/>
                <w:sz w:val="24"/>
                <w:szCs w:val="32"/>
              </w:rPr>
              <w:t>处置。</w:t>
            </w:r>
          </w:p>
          <w:p>
            <w:pPr>
              <w:adjustRightInd w:val="0"/>
              <w:snapToGrid w:val="0"/>
              <w:spacing w:line="360" w:lineRule="auto"/>
              <w:ind w:firstLine="480" w:firstLineChars="200"/>
              <w:rPr>
                <w:rFonts w:ascii="宋体" w:hAnsi="宋体" w:cs="宋体"/>
                <w:sz w:val="24"/>
                <w:szCs w:val="32"/>
              </w:rPr>
            </w:pPr>
            <w:r>
              <w:rPr>
                <w:rFonts w:hint="eastAsia" w:ascii="宋体" w:hAnsi="宋体" w:cs="宋体"/>
                <w:sz w:val="24"/>
                <w:szCs w:val="32"/>
              </w:rPr>
              <w:t>4）废活性炭</w:t>
            </w:r>
          </w:p>
          <w:p>
            <w:pPr>
              <w:adjustRightInd w:val="0"/>
              <w:snapToGrid w:val="0"/>
              <w:spacing w:line="360" w:lineRule="auto"/>
              <w:ind w:firstLine="480" w:firstLineChars="200"/>
              <w:rPr>
                <w:sz w:val="24"/>
              </w:rPr>
            </w:pPr>
            <w:r>
              <w:rPr>
                <w:rFonts w:hint="eastAsia"/>
                <w:sz w:val="24"/>
                <w:lang w:eastAsia="zh-CN"/>
              </w:rPr>
              <w:t>项目</w:t>
            </w:r>
            <w:r>
              <w:rPr>
                <w:sz w:val="24"/>
              </w:rPr>
              <w:t>采用活性炭吸附装置处理非甲烷总烃。1kg活性炭可吸附0.25kg废气</w:t>
            </w:r>
            <w:r>
              <w:rPr>
                <w:rFonts w:hint="eastAsia"/>
                <w:sz w:val="24"/>
              </w:rPr>
              <w:t>，</w:t>
            </w:r>
            <w:r>
              <w:rPr>
                <w:sz w:val="24"/>
              </w:rPr>
              <w:t>（根据</w:t>
            </w:r>
            <w:r>
              <w:rPr>
                <w:rFonts w:hint="eastAsia"/>
                <w:sz w:val="24"/>
              </w:rPr>
              <w:t>《关于开展涉活性炭挥发性有机物专项整治行动的通知》号要求复核活性炭相关要求</w:t>
            </w:r>
            <w:r>
              <w:rPr>
                <w:sz w:val="24"/>
              </w:rPr>
              <w:t>，使用活性炭吸附技术治理有机废气的企业，</w:t>
            </w:r>
            <w:r>
              <w:rPr>
                <w:rFonts w:hint="eastAsia"/>
                <w:sz w:val="24"/>
              </w:rPr>
              <w:t>风机风量在10000-20000m³/h，VOCs初始浓度在100mg/m³以下的，活性炭最少填充量为0.5t，</w:t>
            </w:r>
            <w:r>
              <w:rPr>
                <w:sz w:val="24"/>
              </w:rPr>
              <w:t>碘吸附值应</w:t>
            </w:r>
            <w:r>
              <w:rPr>
                <w:rFonts w:hint="eastAsia"/>
                <w:sz w:val="24"/>
              </w:rPr>
              <w:t>不</w:t>
            </w:r>
            <w:r>
              <w:rPr>
                <w:sz w:val="24"/>
              </w:rPr>
              <w:t>低于800mg/g</w:t>
            </w:r>
            <w:r>
              <w:rPr>
                <w:rFonts w:hint="eastAsia"/>
                <w:sz w:val="24"/>
              </w:rPr>
              <w:t>。</w:t>
            </w:r>
          </w:p>
          <w:p>
            <w:pPr>
              <w:adjustRightInd w:val="0"/>
              <w:snapToGrid w:val="0"/>
              <w:spacing w:line="360" w:lineRule="auto"/>
              <w:ind w:firstLine="480" w:firstLineChars="200"/>
              <w:outlineLvl w:val="1"/>
              <w:rPr>
                <w:sz w:val="24"/>
              </w:rPr>
            </w:pPr>
            <w:r>
              <w:rPr>
                <w:sz w:val="24"/>
              </w:rPr>
              <w:t>一般活性炭的比重为0.5，</w:t>
            </w:r>
            <w:r>
              <w:rPr>
                <w:rFonts w:hint="eastAsia"/>
                <w:sz w:val="24"/>
                <w:lang w:eastAsia="zh-CN"/>
              </w:rPr>
              <w:t>项目</w:t>
            </w:r>
            <w:r>
              <w:rPr>
                <w:sz w:val="24"/>
              </w:rPr>
              <w:t>拟设</w:t>
            </w:r>
            <w:r>
              <w:rPr>
                <w:rFonts w:hint="eastAsia"/>
                <w:sz w:val="24"/>
              </w:rPr>
              <w:t>2</w:t>
            </w:r>
            <w:r>
              <w:rPr>
                <w:sz w:val="24"/>
              </w:rPr>
              <w:t>个活性炭吸附箱，总容积约</w:t>
            </w:r>
            <w:r>
              <w:rPr>
                <w:rFonts w:hint="eastAsia"/>
                <w:sz w:val="24"/>
              </w:rPr>
              <w:t>1</w:t>
            </w:r>
            <w:r>
              <w:rPr>
                <w:sz w:val="24"/>
              </w:rPr>
              <w:t>m</w:t>
            </w:r>
            <w:r>
              <w:rPr>
                <w:sz w:val="24"/>
                <w:vertAlign w:val="superscript"/>
              </w:rPr>
              <w:t>3</w:t>
            </w:r>
            <w:r>
              <w:rPr>
                <w:sz w:val="24"/>
              </w:rPr>
              <w:t>，充填度60%，</w:t>
            </w:r>
            <w:r>
              <w:rPr>
                <w:rFonts w:hint="eastAsia"/>
                <w:sz w:val="24"/>
              </w:rPr>
              <w:t>三个月更换一次，产生的废气量为0.027t，初始浓度为25.2mg/m³，单次活性炭的填充量为0.5t，每次更换的废活性炭的产生量为0.527t，</w:t>
            </w:r>
            <w:r>
              <w:rPr>
                <w:rFonts w:hint="eastAsia"/>
                <w:kern w:val="21"/>
                <w:sz w:val="24"/>
                <w:lang w:eastAsia="zh-CN"/>
              </w:rPr>
              <w:t>项目</w:t>
            </w:r>
            <w:r>
              <w:rPr>
                <w:kern w:val="21"/>
                <w:sz w:val="24"/>
              </w:rPr>
              <w:t>废活性炭产生量约为</w:t>
            </w:r>
            <w:r>
              <w:rPr>
                <w:rFonts w:hint="eastAsia"/>
                <w:kern w:val="21"/>
                <w:sz w:val="24"/>
              </w:rPr>
              <w:t>2.108</w:t>
            </w:r>
            <w:r>
              <w:rPr>
                <w:kern w:val="21"/>
                <w:sz w:val="24"/>
              </w:rPr>
              <w:t>t/a</w:t>
            </w:r>
            <w:r>
              <w:rPr>
                <w:sz w:val="24"/>
              </w:rPr>
              <w:t>。</w:t>
            </w:r>
          </w:p>
          <w:p>
            <w:pPr>
              <w:adjustRightInd w:val="0"/>
              <w:snapToGrid w:val="0"/>
              <w:spacing w:line="360" w:lineRule="auto"/>
              <w:ind w:firstLine="480" w:firstLineChars="200"/>
              <w:rPr>
                <w:sz w:val="24"/>
                <w:szCs w:val="32"/>
              </w:rPr>
            </w:pPr>
            <w:r>
              <w:rPr>
                <w:rFonts w:hint="eastAsia"/>
                <w:sz w:val="24"/>
                <w:lang w:eastAsia="zh-CN"/>
              </w:rPr>
              <w:t>项目</w:t>
            </w:r>
            <w:r>
              <w:rPr>
                <w:rFonts w:hint="eastAsia"/>
                <w:sz w:val="24"/>
              </w:rPr>
              <w:t>拟定</w:t>
            </w:r>
            <w:r>
              <w:rPr>
                <w:sz w:val="24"/>
              </w:rPr>
              <w:t>三个月更换一次</w:t>
            </w:r>
            <w:r>
              <w:rPr>
                <w:rFonts w:hint="eastAsia"/>
                <w:sz w:val="24"/>
              </w:rPr>
              <w:t>活性炭</w:t>
            </w:r>
            <w:r>
              <w:rPr>
                <w:sz w:val="24"/>
              </w:rPr>
              <w:t>，更换下来的废活性炭属于危险废物（HW49，900-039-49），</w:t>
            </w:r>
            <w:r>
              <w:rPr>
                <w:sz w:val="24"/>
                <w:szCs w:val="32"/>
              </w:rPr>
              <w:t>须将其收集后暂存于</w:t>
            </w:r>
            <w:r>
              <w:rPr>
                <w:rFonts w:hint="eastAsia"/>
                <w:sz w:val="24"/>
                <w:szCs w:val="32"/>
              </w:rPr>
              <w:t>为危废贮存库</w:t>
            </w:r>
            <w:r>
              <w:rPr>
                <w:sz w:val="24"/>
                <w:szCs w:val="32"/>
              </w:rPr>
              <w:t>，</w:t>
            </w:r>
            <w:r>
              <w:rPr>
                <w:rFonts w:hint="eastAsia"/>
                <w:sz w:val="24"/>
                <w:szCs w:val="32"/>
              </w:rPr>
              <w:t>由</w:t>
            </w:r>
            <w:r>
              <w:rPr>
                <w:rFonts w:hint="eastAsia"/>
                <w:sz w:val="24"/>
                <w:szCs w:val="32"/>
                <w:lang w:eastAsia="zh-CN"/>
              </w:rPr>
              <w:t>陕西新天地固体废物综合处置公司</w:t>
            </w:r>
            <w:r>
              <w:rPr>
                <w:rFonts w:hint="eastAsia"/>
                <w:sz w:val="24"/>
                <w:szCs w:val="32"/>
              </w:rPr>
              <w:t>处置。</w:t>
            </w:r>
          </w:p>
          <w:p>
            <w:pPr>
              <w:adjustRightInd w:val="0"/>
              <w:snapToGrid w:val="0"/>
              <w:spacing w:line="360" w:lineRule="auto"/>
              <w:ind w:firstLine="480" w:firstLineChars="200"/>
              <w:jc w:val="left"/>
              <w:rPr>
                <w:sz w:val="24"/>
              </w:rPr>
            </w:pPr>
            <w:r>
              <w:rPr>
                <w:rFonts w:hint="eastAsia"/>
                <w:sz w:val="24"/>
              </w:rPr>
              <w:t>5）废吸附棉</w:t>
            </w:r>
          </w:p>
          <w:p>
            <w:pPr>
              <w:adjustRightInd w:val="0"/>
              <w:snapToGrid w:val="0"/>
              <w:spacing w:line="360" w:lineRule="auto"/>
              <w:ind w:firstLine="480" w:firstLineChars="200"/>
              <w:rPr>
                <w:sz w:val="24"/>
                <w:szCs w:val="32"/>
              </w:rPr>
            </w:pPr>
            <w:r>
              <w:rPr>
                <w:rFonts w:hint="eastAsia"/>
                <w:sz w:val="24"/>
                <w:lang w:eastAsia="zh-CN"/>
              </w:rPr>
              <w:t>项目</w:t>
            </w:r>
            <w:r>
              <w:rPr>
                <w:rFonts w:hint="eastAsia"/>
                <w:sz w:val="24"/>
              </w:rPr>
              <w:t>废吸附棉</w:t>
            </w:r>
            <w:r>
              <w:rPr>
                <w:sz w:val="24"/>
              </w:rPr>
              <w:t>产生量为</w:t>
            </w:r>
            <w:r>
              <w:rPr>
                <w:rFonts w:hint="eastAsia"/>
                <w:sz w:val="24"/>
              </w:rPr>
              <w:t>0.008t/a</w:t>
            </w:r>
            <w:r>
              <w:rPr>
                <w:sz w:val="24"/>
              </w:rPr>
              <w:t>，</w:t>
            </w:r>
            <w:r>
              <w:rPr>
                <w:rFonts w:hint="eastAsia"/>
                <w:sz w:val="24"/>
                <w:lang w:eastAsia="zh-CN"/>
              </w:rPr>
              <w:t>项目</w:t>
            </w:r>
            <w:r>
              <w:rPr>
                <w:rFonts w:hint="eastAsia"/>
                <w:sz w:val="24"/>
              </w:rPr>
              <w:t>拟定</w:t>
            </w:r>
            <w:r>
              <w:rPr>
                <w:sz w:val="24"/>
              </w:rPr>
              <w:t>三个月更换一次</w:t>
            </w:r>
            <w:r>
              <w:rPr>
                <w:rFonts w:hint="eastAsia"/>
                <w:sz w:val="24"/>
              </w:rPr>
              <w:t>废吸附棉</w:t>
            </w:r>
            <w:r>
              <w:rPr>
                <w:sz w:val="24"/>
              </w:rPr>
              <w:t>，更换下来的</w:t>
            </w:r>
            <w:r>
              <w:rPr>
                <w:rFonts w:hint="eastAsia"/>
                <w:sz w:val="24"/>
              </w:rPr>
              <w:t>废吸附棉</w:t>
            </w:r>
            <w:r>
              <w:rPr>
                <w:sz w:val="24"/>
              </w:rPr>
              <w:t>属于危险废物（HW49，900-0</w:t>
            </w:r>
            <w:r>
              <w:rPr>
                <w:rFonts w:hint="eastAsia"/>
                <w:sz w:val="24"/>
              </w:rPr>
              <w:t>41-</w:t>
            </w:r>
            <w:r>
              <w:rPr>
                <w:sz w:val="24"/>
              </w:rPr>
              <w:t>49），</w:t>
            </w:r>
            <w:r>
              <w:rPr>
                <w:sz w:val="24"/>
                <w:szCs w:val="32"/>
              </w:rPr>
              <w:t>须将其收集后暂存于</w:t>
            </w:r>
            <w:r>
              <w:rPr>
                <w:rFonts w:hint="eastAsia"/>
                <w:sz w:val="24"/>
                <w:szCs w:val="32"/>
              </w:rPr>
              <w:t>为危废贮存库</w:t>
            </w:r>
            <w:r>
              <w:rPr>
                <w:sz w:val="24"/>
                <w:szCs w:val="32"/>
              </w:rPr>
              <w:t>，</w:t>
            </w:r>
            <w:r>
              <w:rPr>
                <w:rFonts w:hint="eastAsia"/>
                <w:sz w:val="24"/>
                <w:szCs w:val="32"/>
              </w:rPr>
              <w:t>由</w:t>
            </w:r>
            <w:r>
              <w:rPr>
                <w:rFonts w:hint="eastAsia"/>
                <w:sz w:val="24"/>
                <w:szCs w:val="32"/>
                <w:lang w:eastAsia="zh-CN"/>
              </w:rPr>
              <w:t>陕西新天地固体废物综合处置公司</w:t>
            </w:r>
            <w:r>
              <w:rPr>
                <w:rFonts w:hint="eastAsia"/>
                <w:sz w:val="24"/>
                <w:szCs w:val="32"/>
              </w:rPr>
              <w:t>处置。</w:t>
            </w:r>
          </w:p>
          <w:p>
            <w:pPr>
              <w:adjustRightInd w:val="0"/>
              <w:snapToGrid w:val="0"/>
              <w:spacing w:line="360" w:lineRule="auto"/>
              <w:ind w:firstLine="480" w:firstLineChars="200"/>
              <w:jc w:val="left"/>
              <w:rPr>
                <w:sz w:val="24"/>
              </w:rPr>
            </w:pPr>
            <w:r>
              <w:rPr>
                <w:rFonts w:hint="eastAsia"/>
                <w:sz w:val="24"/>
              </w:rPr>
              <w:t>6）泥饼及废渣</w:t>
            </w:r>
          </w:p>
          <w:p>
            <w:pPr>
              <w:adjustRightInd w:val="0"/>
              <w:snapToGrid w:val="0"/>
              <w:spacing w:line="360" w:lineRule="auto"/>
              <w:ind w:firstLine="480" w:firstLineChars="200"/>
              <w:rPr>
                <w:rFonts w:hint="eastAsia"/>
                <w:sz w:val="24"/>
                <w:szCs w:val="32"/>
              </w:rPr>
            </w:pPr>
            <w:r>
              <w:rPr>
                <w:sz w:val="24"/>
              </w:rPr>
              <w:t>根据建设单位提供资料，</w:t>
            </w:r>
            <w:r>
              <w:rPr>
                <w:rFonts w:hint="eastAsia"/>
                <w:sz w:val="24"/>
              </w:rPr>
              <w:t>废渣及泥饼的产生量约为12.5t/a，</w:t>
            </w:r>
            <w:r>
              <w:rPr>
                <w:sz w:val="24"/>
                <w:szCs w:val="32"/>
              </w:rPr>
              <w:t>根据《国家危险废物名录》(2021版)</w:t>
            </w:r>
            <w:r>
              <w:rPr>
                <w:rFonts w:hint="eastAsia"/>
                <w:sz w:val="24"/>
                <w:szCs w:val="32"/>
              </w:rPr>
              <w:t>，</w:t>
            </w:r>
            <w:r>
              <w:rPr>
                <w:sz w:val="24"/>
              </w:rPr>
              <w:t>属危险性废物（废物类别为HW</w:t>
            </w:r>
            <w:r>
              <w:rPr>
                <w:rFonts w:hint="eastAsia"/>
                <w:sz w:val="24"/>
              </w:rPr>
              <w:t>17</w:t>
            </w:r>
            <w:r>
              <w:rPr>
                <w:sz w:val="24"/>
              </w:rPr>
              <w:t>废物代码：</w:t>
            </w:r>
            <w:r>
              <w:rPr>
                <w:rFonts w:hint="eastAsia"/>
                <w:sz w:val="24"/>
              </w:rPr>
              <w:t>336</w:t>
            </w:r>
            <w:r>
              <w:rPr>
                <w:sz w:val="24"/>
              </w:rPr>
              <w:t>-0</w:t>
            </w:r>
            <w:r>
              <w:rPr>
                <w:rFonts w:hint="eastAsia"/>
                <w:sz w:val="24"/>
              </w:rPr>
              <w:t>64</w:t>
            </w:r>
            <w:r>
              <w:rPr>
                <w:sz w:val="24"/>
              </w:rPr>
              <w:t>-</w:t>
            </w:r>
            <w:r>
              <w:rPr>
                <w:rFonts w:hint="eastAsia"/>
                <w:sz w:val="24"/>
              </w:rPr>
              <w:t>17，金属或塑料表面酸（碱）洗、除油、除锈、洗涤、磷化、出光、化抛工艺产生的废腐蚀液、废洗涤液、废槽液、槽渣和废水处理污泥（不包括：铝、镁材（板）表面酸（碱）洗、粗化、硫酸阳极处理、磷酸化学抛光废水处理污泥，铝电解电容器用铝电极箔化学腐蚀、非硼酸系化成液化成废水处理污泥，铝材挤压加工模具碱洗（煲模）废水处理污泥，碳钢酸洗除锈废水处理污泥）</w:t>
            </w:r>
            <w:r>
              <w:rPr>
                <w:sz w:val="24"/>
              </w:rPr>
              <w:t>，</w:t>
            </w:r>
            <w:r>
              <w:rPr>
                <w:sz w:val="24"/>
                <w:szCs w:val="32"/>
              </w:rPr>
              <w:t>须将其收集后暂存于</w:t>
            </w:r>
            <w:r>
              <w:rPr>
                <w:rFonts w:hint="eastAsia"/>
                <w:sz w:val="24"/>
                <w:szCs w:val="32"/>
              </w:rPr>
              <w:t>为危废贮存库</w:t>
            </w:r>
            <w:r>
              <w:rPr>
                <w:sz w:val="24"/>
                <w:szCs w:val="32"/>
              </w:rPr>
              <w:t>，</w:t>
            </w:r>
            <w:r>
              <w:rPr>
                <w:rFonts w:hint="eastAsia"/>
                <w:sz w:val="24"/>
                <w:szCs w:val="32"/>
              </w:rPr>
              <w:t>由</w:t>
            </w:r>
            <w:r>
              <w:rPr>
                <w:rFonts w:hint="eastAsia"/>
                <w:sz w:val="24"/>
                <w:szCs w:val="32"/>
                <w:lang w:eastAsia="zh-CN"/>
              </w:rPr>
              <w:t>陕西新天地固体废物综合处置公司</w:t>
            </w:r>
            <w:r>
              <w:rPr>
                <w:rFonts w:hint="eastAsia"/>
                <w:sz w:val="24"/>
                <w:szCs w:val="32"/>
              </w:rPr>
              <w:t>处置。</w:t>
            </w:r>
          </w:p>
          <w:p>
            <w:pPr>
              <w:adjustRightInd w:val="0"/>
              <w:snapToGrid w:val="0"/>
              <w:spacing w:line="360" w:lineRule="auto"/>
              <w:ind w:firstLine="480" w:firstLineChars="200"/>
              <w:rPr>
                <w:rFonts w:hint="default" w:eastAsia="宋体"/>
                <w:sz w:val="24"/>
                <w:szCs w:val="32"/>
                <w:lang w:val="en-US" w:eastAsia="zh-CN"/>
              </w:rPr>
            </w:pPr>
            <w:r>
              <w:rPr>
                <w:rFonts w:hint="eastAsia"/>
                <w:sz w:val="24"/>
                <w:szCs w:val="32"/>
                <w:lang w:val="en-US" w:eastAsia="zh-CN"/>
              </w:rPr>
              <w:t>7）铝材表面处理废液</w:t>
            </w:r>
          </w:p>
          <w:p>
            <w:pPr>
              <w:widowControl/>
              <w:adjustRightInd w:val="0"/>
              <w:snapToGrid w:val="0"/>
              <w:spacing w:line="360" w:lineRule="auto"/>
              <w:ind w:firstLine="480" w:firstLineChars="200"/>
              <w:rPr>
                <w:rFonts w:hint="default" w:eastAsia="宋体"/>
                <w:sz w:val="24"/>
                <w:lang w:val="en-US" w:eastAsia="zh-CN"/>
              </w:rPr>
            </w:pPr>
            <w:r>
              <w:rPr>
                <w:sz w:val="24"/>
              </w:rPr>
              <w:t>根据建设单位提供资料，</w:t>
            </w:r>
            <w:r>
              <w:rPr>
                <w:rFonts w:hint="eastAsia"/>
                <w:sz w:val="24"/>
                <w:lang w:val="en-US" w:eastAsia="zh-CN"/>
              </w:rPr>
              <w:t>铝材表面处理工序预脱脂、脱脂、钝化槽每7天补充试剂和水，预脱脂、脱脂、钝化废液每年处理一次，不满足厂区污水处理站进水要求的危废贮存库暂存，定期交有资质单位处置，铝材表面处理废液的产生量为0.2m³/a。</w:t>
            </w:r>
          </w:p>
          <w:p>
            <w:pPr>
              <w:widowControl/>
              <w:adjustRightInd w:val="0"/>
              <w:snapToGrid w:val="0"/>
              <w:spacing w:line="360" w:lineRule="auto"/>
              <w:ind w:firstLine="480" w:firstLineChars="200"/>
              <w:rPr>
                <w:b/>
                <w:bCs/>
              </w:rPr>
            </w:pPr>
            <w:r>
              <w:rPr>
                <w:rFonts w:hint="eastAsia"/>
                <w:sz w:val="24"/>
                <w:lang w:eastAsia="zh-CN"/>
              </w:rPr>
              <w:t>项目</w:t>
            </w:r>
            <w:r>
              <w:rPr>
                <w:sz w:val="24"/>
              </w:rPr>
              <w:t>固体废物产生环节、属性及危险特性、排放量、贮存方式、利用处置方式及环境管理要求见表4-</w:t>
            </w:r>
            <w:r>
              <w:rPr>
                <w:rFonts w:hint="eastAsia"/>
                <w:sz w:val="24"/>
              </w:rPr>
              <w:t>12</w:t>
            </w:r>
            <w:r>
              <w:rPr>
                <w:sz w:val="24"/>
              </w:rPr>
              <w:t>。</w:t>
            </w:r>
          </w:p>
          <w:p>
            <w:pPr>
              <w:adjustRightInd w:val="0"/>
              <w:snapToGrid w:val="0"/>
              <w:jc w:val="center"/>
              <w:rPr>
                <w:b/>
                <w:bCs/>
              </w:rPr>
            </w:pPr>
            <w:r>
              <w:rPr>
                <w:b/>
                <w:bCs/>
              </w:rPr>
              <w:t>表4-</w:t>
            </w:r>
            <w:r>
              <w:rPr>
                <w:rFonts w:hint="eastAsia"/>
                <w:b/>
                <w:bCs/>
              </w:rPr>
              <w:t>12</w:t>
            </w:r>
            <w:r>
              <w:rPr>
                <w:b/>
                <w:bCs/>
              </w:rPr>
              <w:t>项目固体废物产生量及分析结果汇总表</w:t>
            </w:r>
            <w:r>
              <w:rPr>
                <w:rFonts w:hint="eastAsia"/>
                <w:b/>
                <w:bCs/>
              </w:rPr>
              <w:t>(单位：</w:t>
            </w:r>
            <w:r>
              <w:rPr>
                <w:b/>
                <w:bCs/>
              </w:rPr>
              <w:t>t/a</w:t>
            </w:r>
            <w:r>
              <w:rPr>
                <w:rFonts w:hint="eastAsia"/>
                <w:b/>
                <w:bCs/>
              </w:rPr>
              <w:t>)</w:t>
            </w:r>
          </w:p>
          <w:tbl>
            <w:tblPr>
              <w:tblStyle w:val="29"/>
              <w:tblW w:w="86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500"/>
              <w:gridCol w:w="1409"/>
              <w:gridCol w:w="674"/>
              <w:gridCol w:w="889"/>
              <w:gridCol w:w="889"/>
              <w:gridCol w:w="1276"/>
              <w:gridCol w:w="922"/>
              <w:gridCol w:w="113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tcBorders>
                    <w:tl2br w:val="nil"/>
                    <w:tr2bl w:val="nil"/>
                  </w:tcBorders>
                  <w:vAlign w:val="center"/>
                </w:tcPr>
                <w:p>
                  <w:pPr>
                    <w:adjustRightInd w:val="0"/>
                    <w:snapToGrid w:val="0"/>
                    <w:jc w:val="center"/>
                    <w:rPr>
                      <w:b/>
                      <w:bCs/>
                    </w:rPr>
                  </w:pPr>
                  <w:r>
                    <w:rPr>
                      <w:b/>
                      <w:bCs/>
                    </w:rPr>
                    <w:t>污染源</w:t>
                  </w:r>
                </w:p>
              </w:tc>
              <w:tc>
                <w:tcPr>
                  <w:tcW w:w="1409" w:type="dxa"/>
                  <w:tcBorders>
                    <w:tl2br w:val="nil"/>
                    <w:tr2bl w:val="nil"/>
                  </w:tcBorders>
                  <w:vAlign w:val="center"/>
                </w:tcPr>
                <w:p>
                  <w:pPr>
                    <w:adjustRightInd w:val="0"/>
                    <w:snapToGrid w:val="0"/>
                    <w:jc w:val="center"/>
                    <w:rPr>
                      <w:b/>
                      <w:bCs/>
                    </w:rPr>
                  </w:pPr>
                  <w:r>
                    <w:rPr>
                      <w:b/>
                      <w:bCs/>
                    </w:rPr>
                    <w:t>污染物</w:t>
                  </w:r>
                </w:p>
              </w:tc>
              <w:tc>
                <w:tcPr>
                  <w:tcW w:w="674" w:type="dxa"/>
                  <w:tcBorders>
                    <w:tl2br w:val="nil"/>
                    <w:tr2bl w:val="nil"/>
                  </w:tcBorders>
                  <w:vAlign w:val="center"/>
                </w:tcPr>
                <w:p>
                  <w:pPr>
                    <w:adjustRightInd w:val="0"/>
                    <w:snapToGrid w:val="0"/>
                    <w:jc w:val="center"/>
                    <w:rPr>
                      <w:b/>
                      <w:bCs/>
                    </w:rPr>
                  </w:pPr>
                  <w:r>
                    <w:rPr>
                      <w:rFonts w:hint="eastAsia"/>
                      <w:b/>
                      <w:bCs/>
                    </w:rPr>
                    <w:t>形态</w:t>
                  </w:r>
                </w:p>
              </w:tc>
              <w:tc>
                <w:tcPr>
                  <w:tcW w:w="889" w:type="dxa"/>
                  <w:tcBorders>
                    <w:tl2br w:val="nil"/>
                    <w:tr2bl w:val="nil"/>
                  </w:tcBorders>
                  <w:vAlign w:val="center"/>
                </w:tcPr>
                <w:p>
                  <w:pPr>
                    <w:adjustRightInd w:val="0"/>
                    <w:snapToGrid w:val="0"/>
                    <w:jc w:val="center"/>
                    <w:rPr>
                      <w:b/>
                      <w:bCs/>
                    </w:rPr>
                  </w:pPr>
                  <w:r>
                    <w:rPr>
                      <w:rFonts w:hint="eastAsia"/>
                      <w:b/>
                      <w:bCs/>
                    </w:rPr>
                    <w:t>属性</w:t>
                  </w:r>
                </w:p>
              </w:tc>
              <w:tc>
                <w:tcPr>
                  <w:tcW w:w="889" w:type="dxa"/>
                  <w:tcBorders>
                    <w:tl2br w:val="nil"/>
                    <w:tr2bl w:val="nil"/>
                  </w:tcBorders>
                  <w:vAlign w:val="center"/>
                </w:tcPr>
                <w:p>
                  <w:pPr>
                    <w:adjustRightInd w:val="0"/>
                    <w:snapToGrid w:val="0"/>
                    <w:jc w:val="center"/>
                    <w:rPr>
                      <w:b/>
                      <w:bCs/>
                    </w:rPr>
                  </w:pPr>
                  <w:r>
                    <w:rPr>
                      <w:rFonts w:hint="eastAsia"/>
                      <w:b/>
                      <w:bCs/>
                    </w:rPr>
                    <w:t>危险特性</w:t>
                  </w:r>
                </w:p>
              </w:tc>
              <w:tc>
                <w:tcPr>
                  <w:tcW w:w="1276" w:type="dxa"/>
                  <w:tcBorders>
                    <w:tl2br w:val="nil"/>
                    <w:tr2bl w:val="nil"/>
                  </w:tcBorders>
                  <w:vAlign w:val="center"/>
                </w:tcPr>
                <w:p>
                  <w:pPr>
                    <w:adjustRightInd w:val="0"/>
                    <w:snapToGrid w:val="0"/>
                    <w:jc w:val="center"/>
                    <w:rPr>
                      <w:b/>
                      <w:bCs/>
                    </w:rPr>
                  </w:pPr>
                  <w:r>
                    <w:rPr>
                      <w:b/>
                      <w:bCs/>
                    </w:rPr>
                    <w:t>类别代码</w:t>
                  </w:r>
                </w:p>
              </w:tc>
              <w:tc>
                <w:tcPr>
                  <w:tcW w:w="922" w:type="dxa"/>
                  <w:tcBorders>
                    <w:tl2br w:val="nil"/>
                    <w:tr2bl w:val="nil"/>
                  </w:tcBorders>
                  <w:vAlign w:val="center"/>
                </w:tcPr>
                <w:p>
                  <w:pPr>
                    <w:adjustRightInd w:val="0"/>
                    <w:snapToGrid w:val="0"/>
                    <w:jc w:val="center"/>
                  </w:pPr>
                  <w:r>
                    <w:rPr>
                      <w:b/>
                      <w:bCs/>
                    </w:rPr>
                    <w:t>产生量</w:t>
                  </w:r>
                </w:p>
              </w:tc>
              <w:tc>
                <w:tcPr>
                  <w:tcW w:w="1138" w:type="dxa"/>
                  <w:tcBorders>
                    <w:tl2br w:val="nil"/>
                    <w:tr2bl w:val="nil"/>
                  </w:tcBorders>
                  <w:vAlign w:val="center"/>
                </w:tcPr>
                <w:p>
                  <w:pPr>
                    <w:adjustRightInd w:val="0"/>
                    <w:snapToGrid w:val="0"/>
                    <w:jc w:val="center"/>
                    <w:rPr>
                      <w:b/>
                      <w:bCs/>
                    </w:rPr>
                  </w:pPr>
                  <w:r>
                    <w:rPr>
                      <w:b/>
                      <w:bCs/>
                    </w:rPr>
                    <w:t>处置去向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tcBorders>
                    <w:tl2br w:val="nil"/>
                    <w:tr2bl w:val="nil"/>
                  </w:tcBorders>
                  <w:vAlign w:val="center"/>
                </w:tcPr>
                <w:p>
                  <w:pPr>
                    <w:adjustRightInd w:val="0"/>
                    <w:snapToGrid w:val="0"/>
                    <w:jc w:val="center"/>
                  </w:pPr>
                  <w:r>
                    <w:t>办公生活</w:t>
                  </w:r>
                </w:p>
              </w:tc>
              <w:tc>
                <w:tcPr>
                  <w:tcW w:w="1409" w:type="dxa"/>
                  <w:tcBorders>
                    <w:tl2br w:val="nil"/>
                    <w:tr2bl w:val="nil"/>
                  </w:tcBorders>
                  <w:vAlign w:val="center"/>
                </w:tcPr>
                <w:p>
                  <w:pPr>
                    <w:adjustRightInd w:val="0"/>
                    <w:snapToGrid w:val="0"/>
                    <w:jc w:val="center"/>
                  </w:pPr>
                  <w:r>
                    <w:t>生活垃圾</w:t>
                  </w:r>
                </w:p>
              </w:tc>
              <w:tc>
                <w:tcPr>
                  <w:tcW w:w="674" w:type="dxa"/>
                  <w:tcBorders>
                    <w:tl2br w:val="nil"/>
                    <w:tr2bl w:val="nil"/>
                  </w:tcBorders>
                  <w:vAlign w:val="center"/>
                </w:tcPr>
                <w:p>
                  <w:pPr>
                    <w:adjustRightInd w:val="0"/>
                    <w:snapToGrid w:val="0"/>
                    <w:jc w:val="center"/>
                  </w:pPr>
                  <w:r>
                    <w:rPr>
                      <w:rFonts w:hint="eastAsia"/>
                    </w:rPr>
                    <w:t>半固</w:t>
                  </w:r>
                </w:p>
              </w:tc>
              <w:tc>
                <w:tcPr>
                  <w:tcW w:w="889" w:type="dxa"/>
                  <w:tcBorders>
                    <w:tl2br w:val="nil"/>
                    <w:tr2bl w:val="nil"/>
                  </w:tcBorders>
                  <w:shd w:val="clear" w:color="auto" w:fill="auto"/>
                  <w:vAlign w:val="center"/>
                </w:tcPr>
                <w:p>
                  <w:pPr>
                    <w:adjustRightInd w:val="0"/>
                    <w:snapToGrid w:val="0"/>
                    <w:jc w:val="center"/>
                  </w:pPr>
                  <w:r>
                    <w:rPr>
                      <w:rFonts w:hint="eastAsia"/>
                    </w:rPr>
                    <w:t>生活垃圾</w:t>
                  </w:r>
                </w:p>
              </w:tc>
              <w:tc>
                <w:tcPr>
                  <w:tcW w:w="889" w:type="dxa"/>
                  <w:tcBorders>
                    <w:tl2br w:val="nil"/>
                    <w:tr2bl w:val="nil"/>
                  </w:tcBorders>
                  <w:shd w:val="clear" w:color="auto" w:fill="auto"/>
                  <w:vAlign w:val="center"/>
                </w:tcPr>
                <w:p>
                  <w:pPr>
                    <w:adjustRightInd w:val="0"/>
                    <w:snapToGrid w:val="0"/>
                    <w:jc w:val="center"/>
                  </w:pPr>
                  <w:r>
                    <w:rPr>
                      <w:rFonts w:hint="eastAsia"/>
                    </w:rPr>
                    <w:t>/</w:t>
                  </w:r>
                </w:p>
              </w:tc>
              <w:tc>
                <w:tcPr>
                  <w:tcW w:w="1276" w:type="dxa"/>
                  <w:tcBorders>
                    <w:tl2br w:val="nil"/>
                    <w:tr2bl w:val="nil"/>
                  </w:tcBorders>
                  <w:shd w:val="clear" w:color="auto" w:fill="auto"/>
                  <w:vAlign w:val="center"/>
                </w:tcPr>
                <w:p>
                  <w:pPr>
                    <w:adjustRightInd w:val="0"/>
                    <w:snapToGrid w:val="0"/>
                    <w:jc w:val="center"/>
                  </w:pPr>
                  <w:r>
                    <w:t>/</w:t>
                  </w:r>
                </w:p>
              </w:tc>
              <w:tc>
                <w:tcPr>
                  <w:tcW w:w="922" w:type="dxa"/>
                  <w:tcBorders>
                    <w:tl2br w:val="nil"/>
                    <w:tr2bl w:val="nil"/>
                  </w:tcBorders>
                  <w:vAlign w:val="center"/>
                </w:tcPr>
                <w:p>
                  <w:pPr>
                    <w:adjustRightInd w:val="0"/>
                    <w:snapToGrid w:val="0"/>
                    <w:jc w:val="center"/>
                  </w:pPr>
                  <w:r>
                    <w:rPr>
                      <w:rFonts w:hint="eastAsia"/>
                    </w:rPr>
                    <w:t>6</w:t>
                  </w:r>
                </w:p>
              </w:tc>
              <w:tc>
                <w:tcPr>
                  <w:tcW w:w="1138" w:type="dxa"/>
                  <w:tcBorders>
                    <w:tl2br w:val="nil"/>
                    <w:tr2bl w:val="nil"/>
                  </w:tcBorders>
                  <w:vAlign w:val="center"/>
                </w:tcPr>
                <w:p>
                  <w:pPr>
                    <w:adjustRightInd w:val="0"/>
                    <w:snapToGrid w:val="0"/>
                    <w:jc w:val="center"/>
                  </w:pPr>
                  <w:r>
                    <w:t>环卫部门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restart"/>
                  <w:tcBorders>
                    <w:tl2br w:val="nil"/>
                    <w:tr2bl w:val="nil"/>
                  </w:tcBorders>
                  <w:vAlign w:val="center"/>
                </w:tcPr>
                <w:p>
                  <w:pPr>
                    <w:adjustRightInd w:val="0"/>
                    <w:snapToGrid w:val="0"/>
                    <w:jc w:val="center"/>
                  </w:pPr>
                  <w:r>
                    <w:t>生产车间</w:t>
                  </w:r>
                </w:p>
              </w:tc>
              <w:tc>
                <w:tcPr>
                  <w:tcW w:w="1409" w:type="dxa"/>
                  <w:tcBorders>
                    <w:tl2br w:val="nil"/>
                    <w:tr2bl w:val="nil"/>
                  </w:tcBorders>
                  <w:vAlign w:val="center"/>
                </w:tcPr>
                <w:p>
                  <w:pPr>
                    <w:adjustRightInd w:val="0"/>
                    <w:snapToGrid w:val="0"/>
                    <w:jc w:val="center"/>
                  </w:pPr>
                  <w:r>
                    <w:t>废边角料</w:t>
                  </w:r>
                </w:p>
              </w:tc>
              <w:tc>
                <w:tcPr>
                  <w:tcW w:w="674" w:type="dxa"/>
                  <w:tcBorders>
                    <w:tl2br w:val="nil"/>
                    <w:tr2bl w:val="nil"/>
                  </w:tcBorders>
                  <w:vAlign w:val="center"/>
                </w:tcPr>
                <w:p>
                  <w:pPr>
                    <w:adjustRightInd w:val="0"/>
                    <w:snapToGrid w:val="0"/>
                    <w:jc w:val="center"/>
                  </w:pPr>
                  <w:r>
                    <w:rPr>
                      <w:rFonts w:hint="eastAsia"/>
                    </w:rPr>
                    <w:t>固</w:t>
                  </w:r>
                </w:p>
              </w:tc>
              <w:tc>
                <w:tcPr>
                  <w:tcW w:w="1778" w:type="dxa"/>
                  <w:gridSpan w:val="2"/>
                  <w:vMerge w:val="restart"/>
                  <w:tcBorders>
                    <w:tl2br w:val="nil"/>
                    <w:tr2bl w:val="nil"/>
                  </w:tcBorders>
                  <w:shd w:val="clear" w:color="auto" w:fill="auto"/>
                  <w:vAlign w:val="center"/>
                </w:tcPr>
                <w:p>
                  <w:pPr>
                    <w:adjustRightInd w:val="0"/>
                    <w:snapToGrid w:val="0"/>
                    <w:jc w:val="center"/>
                  </w:pPr>
                  <w:r>
                    <w:rPr>
                      <w:rFonts w:hint="eastAsia"/>
                    </w:rPr>
                    <w:t>一般固废</w:t>
                  </w:r>
                </w:p>
                <w:p>
                  <w:pPr>
                    <w:adjustRightInd w:val="0"/>
                    <w:snapToGrid w:val="0"/>
                    <w:jc w:val="center"/>
                  </w:pPr>
                </w:p>
              </w:tc>
              <w:tc>
                <w:tcPr>
                  <w:tcW w:w="1276" w:type="dxa"/>
                  <w:tcBorders>
                    <w:tl2br w:val="nil"/>
                    <w:tr2bl w:val="nil"/>
                  </w:tcBorders>
                  <w:shd w:val="clear" w:color="auto" w:fill="auto"/>
                  <w:vAlign w:val="center"/>
                </w:tcPr>
                <w:p>
                  <w:pPr>
                    <w:adjustRightInd w:val="0"/>
                    <w:snapToGrid w:val="0"/>
                    <w:jc w:val="center"/>
                  </w:pPr>
                  <w:r>
                    <w:t>900-999-99</w:t>
                  </w:r>
                </w:p>
              </w:tc>
              <w:tc>
                <w:tcPr>
                  <w:tcW w:w="922" w:type="dxa"/>
                  <w:tcBorders>
                    <w:tl2br w:val="nil"/>
                    <w:tr2bl w:val="nil"/>
                  </w:tcBorders>
                  <w:vAlign w:val="center"/>
                </w:tcPr>
                <w:p>
                  <w:pPr>
                    <w:adjustRightInd w:val="0"/>
                    <w:snapToGrid w:val="0"/>
                    <w:jc w:val="center"/>
                  </w:pPr>
                  <w:r>
                    <w:rPr>
                      <w:rFonts w:hint="eastAsia"/>
                    </w:rPr>
                    <w:t>1.42</w:t>
                  </w:r>
                </w:p>
              </w:tc>
              <w:tc>
                <w:tcPr>
                  <w:tcW w:w="1138" w:type="dxa"/>
                  <w:vMerge w:val="restart"/>
                  <w:tcBorders>
                    <w:tl2br w:val="nil"/>
                    <w:tr2bl w:val="nil"/>
                  </w:tcBorders>
                  <w:vAlign w:val="center"/>
                </w:tcPr>
                <w:p>
                  <w:pPr>
                    <w:adjustRightInd w:val="0"/>
                    <w:snapToGrid w:val="0"/>
                    <w:jc w:val="center"/>
                  </w:pPr>
                  <w:r>
                    <w:t>统一收集后外售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rPr>
                      <w:rFonts w:hint="eastAsia"/>
                    </w:rPr>
                    <w:t>废包装材料</w:t>
                  </w:r>
                </w:p>
              </w:tc>
              <w:tc>
                <w:tcPr>
                  <w:tcW w:w="674" w:type="dxa"/>
                  <w:tcBorders>
                    <w:tl2br w:val="nil"/>
                    <w:tr2bl w:val="nil"/>
                  </w:tcBorders>
                  <w:vAlign w:val="center"/>
                </w:tcPr>
                <w:p>
                  <w:pPr>
                    <w:adjustRightInd w:val="0"/>
                    <w:snapToGrid w:val="0"/>
                    <w:jc w:val="center"/>
                  </w:pPr>
                  <w:r>
                    <w:rPr>
                      <w:rFonts w:hint="eastAsia"/>
                    </w:rPr>
                    <w:t>固</w:t>
                  </w:r>
                </w:p>
              </w:tc>
              <w:tc>
                <w:tcPr>
                  <w:tcW w:w="1778" w:type="dxa"/>
                  <w:gridSpan w:val="2"/>
                  <w:vMerge w:val="continue"/>
                  <w:tcBorders>
                    <w:tl2br w:val="nil"/>
                    <w:tr2bl w:val="nil"/>
                  </w:tcBorders>
                  <w:shd w:val="clear" w:color="auto" w:fill="auto"/>
                  <w:vAlign w:val="center"/>
                </w:tcPr>
                <w:p>
                  <w:pPr>
                    <w:adjustRightInd w:val="0"/>
                    <w:snapToGrid w:val="0"/>
                    <w:jc w:val="center"/>
                  </w:pPr>
                </w:p>
              </w:tc>
              <w:tc>
                <w:tcPr>
                  <w:tcW w:w="1276" w:type="dxa"/>
                  <w:tcBorders>
                    <w:tl2br w:val="nil"/>
                    <w:tr2bl w:val="nil"/>
                  </w:tcBorders>
                  <w:shd w:val="clear" w:color="auto" w:fill="auto"/>
                  <w:vAlign w:val="center"/>
                </w:tcPr>
                <w:p>
                  <w:pPr>
                    <w:adjustRightInd w:val="0"/>
                    <w:snapToGrid w:val="0"/>
                    <w:jc w:val="center"/>
                  </w:pPr>
                  <w:r>
                    <w:t>900-999-99</w:t>
                  </w:r>
                </w:p>
              </w:tc>
              <w:tc>
                <w:tcPr>
                  <w:tcW w:w="922" w:type="dxa"/>
                  <w:tcBorders>
                    <w:tl2br w:val="nil"/>
                    <w:tr2bl w:val="nil"/>
                  </w:tcBorders>
                  <w:vAlign w:val="center"/>
                </w:tcPr>
                <w:p>
                  <w:pPr>
                    <w:adjustRightInd w:val="0"/>
                    <w:snapToGrid w:val="0"/>
                    <w:jc w:val="center"/>
                  </w:pPr>
                  <w:r>
                    <w:rPr>
                      <w:rFonts w:hint="eastAsia"/>
                    </w:rPr>
                    <w:t>0.5</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rPr>
                      <w:rFonts w:hint="eastAsia"/>
                    </w:rPr>
                    <w:t>废木纹转印纸</w:t>
                  </w:r>
                </w:p>
              </w:tc>
              <w:tc>
                <w:tcPr>
                  <w:tcW w:w="674" w:type="dxa"/>
                  <w:tcBorders>
                    <w:tl2br w:val="nil"/>
                    <w:tr2bl w:val="nil"/>
                  </w:tcBorders>
                  <w:vAlign w:val="center"/>
                </w:tcPr>
                <w:p>
                  <w:pPr>
                    <w:adjustRightInd w:val="0"/>
                    <w:snapToGrid w:val="0"/>
                    <w:jc w:val="center"/>
                  </w:pPr>
                  <w:r>
                    <w:rPr>
                      <w:rFonts w:hint="eastAsia"/>
                    </w:rPr>
                    <w:t>固</w:t>
                  </w:r>
                </w:p>
              </w:tc>
              <w:tc>
                <w:tcPr>
                  <w:tcW w:w="1778" w:type="dxa"/>
                  <w:gridSpan w:val="2"/>
                  <w:vMerge w:val="continue"/>
                  <w:tcBorders>
                    <w:tl2br w:val="nil"/>
                    <w:tr2bl w:val="nil"/>
                  </w:tcBorders>
                  <w:shd w:val="clear" w:color="auto" w:fill="auto"/>
                  <w:vAlign w:val="center"/>
                </w:tcPr>
                <w:p>
                  <w:pPr>
                    <w:adjustRightInd w:val="0"/>
                    <w:snapToGrid w:val="0"/>
                    <w:jc w:val="center"/>
                  </w:pPr>
                </w:p>
              </w:tc>
              <w:tc>
                <w:tcPr>
                  <w:tcW w:w="1276" w:type="dxa"/>
                  <w:tcBorders>
                    <w:tl2br w:val="nil"/>
                    <w:tr2bl w:val="nil"/>
                  </w:tcBorders>
                  <w:shd w:val="clear" w:color="auto" w:fill="auto"/>
                  <w:vAlign w:val="center"/>
                </w:tcPr>
                <w:p>
                  <w:pPr>
                    <w:adjustRightInd w:val="0"/>
                    <w:snapToGrid w:val="0"/>
                    <w:jc w:val="center"/>
                  </w:pPr>
                  <w:r>
                    <w:t>900-999-66</w:t>
                  </w:r>
                </w:p>
              </w:tc>
              <w:tc>
                <w:tcPr>
                  <w:tcW w:w="922" w:type="dxa"/>
                  <w:tcBorders>
                    <w:tl2br w:val="nil"/>
                    <w:tr2bl w:val="nil"/>
                  </w:tcBorders>
                  <w:shd w:val="clear" w:color="auto" w:fill="auto"/>
                  <w:vAlign w:val="center"/>
                </w:tcPr>
                <w:p>
                  <w:pPr>
                    <w:adjustRightInd w:val="0"/>
                    <w:snapToGrid w:val="0"/>
                    <w:jc w:val="center"/>
                  </w:pPr>
                  <w:r>
                    <w:rPr>
                      <w:rFonts w:hint="eastAsia"/>
                    </w:rPr>
                    <w:t>0.01</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rPr>
                      <w:rFonts w:hint="eastAsia"/>
                    </w:rPr>
                    <w:t>废塑粉</w:t>
                  </w:r>
                </w:p>
              </w:tc>
              <w:tc>
                <w:tcPr>
                  <w:tcW w:w="674" w:type="dxa"/>
                  <w:tcBorders>
                    <w:tl2br w:val="nil"/>
                    <w:tr2bl w:val="nil"/>
                  </w:tcBorders>
                  <w:vAlign w:val="center"/>
                </w:tcPr>
                <w:p>
                  <w:pPr>
                    <w:adjustRightInd w:val="0"/>
                    <w:snapToGrid w:val="0"/>
                    <w:jc w:val="center"/>
                  </w:pPr>
                  <w:r>
                    <w:rPr>
                      <w:rFonts w:hint="eastAsia"/>
                    </w:rPr>
                    <w:t>固</w:t>
                  </w:r>
                </w:p>
              </w:tc>
              <w:tc>
                <w:tcPr>
                  <w:tcW w:w="1778" w:type="dxa"/>
                  <w:gridSpan w:val="2"/>
                  <w:vMerge w:val="continue"/>
                  <w:tcBorders>
                    <w:tl2br w:val="nil"/>
                    <w:tr2bl w:val="nil"/>
                  </w:tcBorders>
                  <w:shd w:val="clear" w:color="auto" w:fill="auto"/>
                  <w:vAlign w:val="center"/>
                </w:tcPr>
                <w:p>
                  <w:pPr>
                    <w:adjustRightInd w:val="0"/>
                    <w:snapToGrid w:val="0"/>
                    <w:jc w:val="center"/>
                  </w:pPr>
                </w:p>
              </w:tc>
              <w:tc>
                <w:tcPr>
                  <w:tcW w:w="1276" w:type="dxa"/>
                  <w:tcBorders>
                    <w:tl2br w:val="nil"/>
                    <w:tr2bl w:val="nil"/>
                  </w:tcBorders>
                  <w:shd w:val="clear" w:color="auto" w:fill="auto"/>
                  <w:vAlign w:val="center"/>
                </w:tcPr>
                <w:p>
                  <w:pPr>
                    <w:adjustRightInd w:val="0"/>
                    <w:snapToGrid w:val="0"/>
                    <w:jc w:val="center"/>
                  </w:pPr>
                  <w:r>
                    <w:t>900-999-99</w:t>
                  </w:r>
                </w:p>
              </w:tc>
              <w:tc>
                <w:tcPr>
                  <w:tcW w:w="922" w:type="dxa"/>
                  <w:tcBorders>
                    <w:tl2br w:val="nil"/>
                    <w:tr2bl w:val="nil"/>
                  </w:tcBorders>
                  <w:shd w:val="clear" w:color="auto" w:fill="auto"/>
                  <w:vAlign w:val="center"/>
                </w:tcPr>
                <w:p>
                  <w:pPr>
                    <w:adjustRightInd w:val="0"/>
                    <w:snapToGrid w:val="0"/>
                    <w:jc w:val="center"/>
                  </w:pPr>
                  <w:r>
                    <w:rPr>
                      <w:rFonts w:hint="eastAsia"/>
                    </w:rPr>
                    <w:t>0.41</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restart"/>
                  <w:tcBorders>
                    <w:tl2br w:val="nil"/>
                    <w:tr2bl w:val="nil"/>
                  </w:tcBorders>
                  <w:vAlign w:val="center"/>
                </w:tcPr>
                <w:p>
                  <w:pPr>
                    <w:adjustRightInd w:val="0"/>
                    <w:snapToGrid w:val="0"/>
                    <w:jc w:val="center"/>
                  </w:pPr>
                  <w:r>
                    <w:t>制水</w:t>
                  </w:r>
                </w:p>
              </w:tc>
              <w:tc>
                <w:tcPr>
                  <w:tcW w:w="1409" w:type="dxa"/>
                  <w:tcBorders>
                    <w:tl2br w:val="nil"/>
                    <w:tr2bl w:val="nil"/>
                  </w:tcBorders>
                  <w:vAlign w:val="center"/>
                </w:tcPr>
                <w:p>
                  <w:pPr>
                    <w:adjustRightInd w:val="0"/>
                    <w:snapToGrid w:val="0"/>
                    <w:jc w:val="center"/>
                  </w:pPr>
                  <w:r>
                    <w:rPr>
                      <w:rFonts w:hint="eastAsia"/>
                    </w:rPr>
                    <w:t>废渗透膜</w:t>
                  </w:r>
                </w:p>
              </w:tc>
              <w:tc>
                <w:tcPr>
                  <w:tcW w:w="674" w:type="dxa"/>
                  <w:tcBorders>
                    <w:tl2br w:val="nil"/>
                    <w:tr2bl w:val="nil"/>
                  </w:tcBorders>
                  <w:vAlign w:val="center"/>
                </w:tcPr>
                <w:p>
                  <w:pPr>
                    <w:adjustRightInd w:val="0"/>
                    <w:snapToGrid w:val="0"/>
                    <w:jc w:val="center"/>
                  </w:pPr>
                  <w:r>
                    <w:rPr>
                      <w:rFonts w:hint="eastAsia"/>
                    </w:rPr>
                    <w:t>固</w:t>
                  </w:r>
                </w:p>
              </w:tc>
              <w:tc>
                <w:tcPr>
                  <w:tcW w:w="1778" w:type="dxa"/>
                  <w:gridSpan w:val="2"/>
                  <w:vMerge w:val="continue"/>
                  <w:tcBorders>
                    <w:tl2br w:val="nil"/>
                    <w:tr2bl w:val="nil"/>
                  </w:tcBorders>
                  <w:shd w:val="clear" w:color="auto" w:fill="auto"/>
                  <w:vAlign w:val="center"/>
                </w:tcPr>
                <w:p>
                  <w:pPr>
                    <w:adjustRightInd w:val="0"/>
                    <w:snapToGrid w:val="0"/>
                    <w:jc w:val="center"/>
                  </w:pPr>
                </w:p>
              </w:tc>
              <w:tc>
                <w:tcPr>
                  <w:tcW w:w="1276" w:type="dxa"/>
                  <w:tcBorders>
                    <w:tl2br w:val="nil"/>
                    <w:tr2bl w:val="nil"/>
                  </w:tcBorders>
                  <w:shd w:val="clear" w:color="auto" w:fill="auto"/>
                  <w:vAlign w:val="center"/>
                </w:tcPr>
                <w:p>
                  <w:pPr>
                    <w:adjustRightInd w:val="0"/>
                    <w:snapToGrid w:val="0"/>
                    <w:jc w:val="center"/>
                  </w:pPr>
                  <w:r>
                    <w:t>900-999-66</w:t>
                  </w:r>
                </w:p>
              </w:tc>
              <w:tc>
                <w:tcPr>
                  <w:tcW w:w="922" w:type="dxa"/>
                  <w:tcBorders>
                    <w:tl2br w:val="nil"/>
                    <w:tr2bl w:val="nil"/>
                  </w:tcBorders>
                  <w:shd w:val="clear" w:color="auto" w:fill="auto"/>
                  <w:vAlign w:val="center"/>
                </w:tcPr>
                <w:p>
                  <w:pPr>
                    <w:adjustRightInd w:val="0"/>
                    <w:snapToGrid w:val="0"/>
                    <w:jc w:val="center"/>
                  </w:pPr>
                  <w:r>
                    <w:rPr>
                      <w:rFonts w:hint="eastAsia"/>
                    </w:rPr>
                    <w:t>0.02</w:t>
                  </w:r>
                </w:p>
              </w:tc>
              <w:tc>
                <w:tcPr>
                  <w:tcW w:w="1138" w:type="dxa"/>
                  <w:vMerge w:val="restart"/>
                  <w:tcBorders>
                    <w:tl2br w:val="nil"/>
                    <w:tr2bl w:val="nil"/>
                  </w:tcBorders>
                  <w:vAlign w:val="center"/>
                </w:tcPr>
                <w:p>
                  <w:pPr>
                    <w:pStyle w:val="19"/>
                    <w:spacing w:line="240" w:lineRule="auto"/>
                    <w:ind w:firstLine="0"/>
                    <w:jc w:val="center"/>
                    <w:textAlignment w:val="auto"/>
                    <w:rPr>
                      <w:rFonts w:ascii="Times New Roman" w:hAnsi="Times New Roman"/>
                      <w:kern w:val="2"/>
                      <w:sz w:val="21"/>
                      <w:szCs w:val="24"/>
                    </w:rPr>
                  </w:pPr>
                  <w:r>
                    <w:rPr>
                      <w:rFonts w:hint="eastAsia" w:ascii="Times New Roman" w:hAnsi="Times New Roman"/>
                      <w:kern w:val="2"/>
                      <w:sz w:val="21"/>
                      <w:szCs w:val="24"/>
                    </w:rPr>
                    <w:t>厂家回收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rPr>
                      <w:rFonts w:hint="eastAsia"/>
                    </w:rPr>
                    <w:t>废树脂</w:t>
                  </w:r>
                </w:p>
              </w:tc>
              <w:tc>
                <w:tcPr>
                  <w:tcW w:w="674" w:type="dxa"/>
                  <w:tcBorders>
                    <w:tl2br w:val="nil"/>
                    <w:tr2bl w:val="nil"/>
                  </w:tcBorders>
                  <w:vAlign w:val="center"/>
                </w:tcPr>
                <w:p>
                  <w:pPr>
                    <w:adjustRightInd w:val="0"/>
                    <w:snapToGrid w:val="0"/>
                    <w:jc w:val="center"/>
                  </w:pPr>
                  <w:r>
                    <w:rPr>
                      <w:rFonts w:hint="eastAsia"/>
                    </w:rPr>
                    <w:t>固</w:t>
                  </w:r>
                </w:p>
              </w:tc>
              <w:tc>
                <w:tcPr>
                  <w:tcW w:w="1778" w:type="dxa"/>
                  <w:gridSpan w:val="2"/>
                  <w:vMerge w:val="continue"/>
                  <w:tcBorders>
                    <w:tl2br w:val="nil"/>
                    <w:tr2bl w:val="nil"/>
                  </w:tcBorders>
                  <w:shd w:val="clear" w:color="auto" w:fill="auto"/>
                  <w:vAlign w:val="center"/>
                </w:tcPr>
                <w:p>
                  <w:pPr>
                    <w:adjustRightInd w:val="0"/>
                    <w:snapToGrid w:val="0"/>
                    <w:jc w:val="center"/>
                  </w:pPr>
                </w:p>
              </w:tc>
              <w:tc>
                <w:tcPr>
                  <w:tcW w:w="1276" w:type="dxa"/>
                  <w:tcBorders>
                    <w:tl2br w:val="nil"/>
                    <w:tr2bl w:val="nil"/>
                  </w:tcBorders>
                  <w:shd w:val="clear" w:color="auto" w:fill="auto"/>
                  <w:vAlign w:val="center"/>
                </w:tcPr>
                <w:p>
                  <w:pPr>
                    <w:adjustRightInd w:val="0"/>
                    <w:snapToGrid w:val="0"/>
                    <w:jc w:val="center"/>
                  </w:pPr>
                  <w:r>
                    <w:t>900-999-66</w:t>
                  </w:r>
                </w:p>
              </w:tc>
              <w:tc>
                <w:tcPr>
                  <w:tcW w:w="922" w:type="dxa"/>
                  <w:tcBorders>
                    <w:tl2br w:val="nil"/>
                    <w:tr2bl w:val="nil"/>
                  </w:tcBorders>
                  <w:shd w:val="clear" w:color="auto" w:fill="auto"/>
                  <w:vAlign w:val="center"/>
                </w:tcPr>
                <w:p>
                  <w:pPr>
                    <w:adjustRightInd w:val="0"/>
                    <w:snapToGrid w:val="0"/>
                    <w:jc w:val="center"/>
                  </w:pPr>
                  <w:r>
                    <w:rPr>
                      <w:rFonts w:hint="eastAsia"/>
                    </w:rPr>
                    <w:t>0.02</w:t>
                  </w:r>
                </w:p>
              </w:tc>
              <w:tc>
                <w:tcPr>
                  <w:tcW w:w="1138" w:type="dxa"/>
                  <w:vMerge w:val="continue"/>
                  <w:tcBorders>
                    <w:tl2br w:val="nil"/>
                    <w:tr2bl w:val="nil"/>
                  </w:tcBorders>
                  <w:vAlign w:val="center"/>
                </w:tcPr>
                <w:p>
                  <w:pPr>
                    <w:pStyle w:val="19"/>
                    <w:spacing w:line="240" w:lineRule="auto"/>
                    <w:ind w:firstLine="0"/>
                    <w:jc w:val="center"/>
                    <w:textAlignment w:val="auto"/>
                    <w:rPr>
                      <w:rFonts w:ascii="Times New Roman" w:hAnsi="Times New Roman"/>
                      <w:kern w:val="2"/>
                      <w:sz w:val="21"/>
                      <w:szCs w:val="24"/>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restart"/>
                  <w:tcBorders>
                    <w:tl2br w:val="nil"/>
                    <w:tr2bl w:val="nil"/>
                  </w:tcBorders>
                  <w:vAlign w:val="center"/>
                </w:tcPr>
                <w:p>
                  <w:pPr>
                    <w:adjustRightInd w:val="0"/>
                    <w:snapToGrid w:val="0"/>
                    <w:jc w:val="center"/>
                  </w:pPr>
                  <w:r>
                    <w:t>设备维护</w:t>
                  </w:r>
                </w:p>
              </w:tc>
              <w:tc>
                <w:tcPr>
                  <w:tcW w:w="1409" w:type="dxa"/>
                  <w:tcBorders>
                    <w:tl2br w:val="nil"/>
                    <w:tr2bl w:val="nil"/>
                  </w:tcBorders>
                  <w:vAlign w:val="center"/>
                </w:tcPr>
                <w:p>
                  <w:pPr>
                    <w:adjustRightInd w:val="0"/>
                    <w:snapToGrid w:val="0"/>
                    <w:jc w:val="center"/>
                  </w:pPr>
                  <w:r>
                    <w:t>废</w:t>
                  </w:r>
                  <w:r>
                    <w:rPr>
                      <w:rFonts w:hint="eastAsia"/>
                    </w:rPr>
                    <w:t>液压</w:t>
                  </w:r>
                  <w:r>
                    <w:t>油</w:t>
                  </w:r>
                </w:p>
              </w:tc>
              <w:tc>
                <w:tcPr>
                  <w:tcW w:w="674" w:type="dxa"/>
                  <w:tcBorders>
                    <w:tl2br w:val="nil"/>
                    <w:tr2bl w:val="nil"/>
                  </w:tcBorders>
                  <w:vAlign w:val="center"/>
                </w:tcPr>
                <w:p>
                  <w:pPr>
                    <w:adjustRightInd w:val="0"/>
                    <w:snapToGrid w:val="0"/>
                    <w:jc w:val="center"/>
                  </w:pPr>
                  <w:r>
                    <w:rPr>
                      <w:rFonts w:hint="eastAsia"/>
                    </w:rPr>
                    <w:t>液</w:t>
                  </w:r>
                </w:p>
              </w:tc>
              <w:tc>
                <w:tcPr>
                  <w:tcW w:w="889" w:type="dxa"/>
                  <w:vMerge w:val="restart"/>
                  <w:tcBorders>
                    <w:tl2br w:val="nil"/>
                    <w:tr2bl w:val="nil"/>
                  </w:tcBorders>
                  <w:vAlign w:val="center"/>
                </w:tcPr>
                <w:p>
                  <w:pPr>
                    <w:adjustRightInd w:val="0"/>
                    <w:snapToGrid w:val="0"/>
                    <w:jc w:val="center"/>
                  </w:pPr>
                  <w:r>
                    <w:t>危险废物</w:t>
                  </w:r>
                </w:p>
              </w:tc>
              <w:tc>
                <w:tcPr>
                  <w:tcW w:w="889" w:type="dxa"/>
                  <w:tcBorders>
                    <w:tl2br w:val="nil"/>
                    <w:tr2bl w:val="nil"/>
                  </w:tcBorders>
                  <w:vAlign w:val="center"/>
                </w:tcPr>
                <w:p>
                  <w:pPr>
                    <w:adjustRightInd w:val="0"/>
                    <w:snapToGrid w:val="0"/>
                    <w:jc w:val="center"/>
                  </w:pPr>
                  <w:r>
                    <w:rPr>
                      <w:rFonts w:hint="eastAsia"/>
                    </w:rPr>
                    <w:t>T/I</w:t>
                  </w:r>
                </w:p>
              </w:tc>
              <w:tc>
                <w:tcPr>
                  <w:tcW w:w="1276" w:type="dxa"/>
                  <w:tcBorders>
                    <w:tl2br w:val="nil"/>
                    <w:tr2bl w:val="nil"/>
                  </w:tcBorders>
                  <w:vAlign w:val="center"/>
                </w:tcPr>
                <w:p>
                  <w:pPr>
                    <w:adjustRightInd w:val="0"/>
                    <w:snapToGrid w:val="0"/>
                    <w:jc w:val="center"/>
                  </w:pPr>
                  <w:r>
                    <w:rPr>
                      <w:rFonts w:hint="eastAsia"/>
                    </w:rPr>
                    <w:t>HW08</w:t>
                  </w:r>
                </w:p>
                <w:p>
                  <w:pPr>
                    <w:pStyle w:val="35"/>
                    <w:snapToGrid w:val="0"/>
                    <w:ind w:firstLine="210" w:firstLineChars="100"/>
                  </w:pPr>
                  <w:r>
                    <w:rPr>
                      <w:rFonts w:ascii="Times New Roman"/>
                      <w:color w:val="auto"/>
                      <w:sz w:val="21"/>
                    </w:rPr>
                    <w:t>900-2</w:t>
                  </w:r>
                  <w:r>
                    <w:rPr>
                      <w:rFonts w:hint="eastAsia" w:ascii="Times New Roman"/>
                      <w:color w:val="auto"/>
                      <w:sz w:val="21"/>
                    </w:rPr>
                    <w:t>18</w:t>
                  </w:r>
                  <w:r>
                    <w:rPr>
                      <w:rFonts w:ascii="Times New Roman"/>
                      <w:color w:val="auto"/>
                      <w:sz w:val="21"/>
                    </w:rPr>
                    <w:t>-08</w:t>
                  </w:r>
                </w:p>
              </w:tc>
              <w:tc>
                <w:tcPr>
                  <w:tcW w:w="922" w:type="dxa"/>
                  <w:tcBorders>
                    <w:tl2br w:val="nil"/>
                    <w:tr2bl w:val="nil"/>
                  </w:tcBorders>
                  <w:vAlign w:val="center"/>
                </w:tcPr>
                <w:p>
                  <w:pPr>
                    <w:adjustRightInd w:val="0"/>
                    <w:snapToGrid w:val="0"/>
                    <w:jc w:val="center"/>
                  </w:pPr>
                  <w:r>
                    <w:t>0.0</w:t>
                  </w:r>
                  <w:r>
                    <w:rPr>
                      <w:rFonts w:hint="eastAsia"/>
                    </w:rPr>
                    <w:t>2</w:t>
                  </w:r>
                </w:p>
              </w:tc>
              <w:tc>
                <w:tcPr>
                  <w:tcW w:w="1138" w:type="dxa"/>
                  <w:vMerge w:val="restart"/>
                  <w:tcBorders>
                    <w:tl2br w:val="nil"/>
                    <w:tr2bl w:val="nil"/>
                  </w:tcBorders>
                  <w:vAlign w:val="center"/>
                </w:tcPr>
                <w:p>
                  <w:pPr>
                    <w:adjustRightInd w:val="0"/>
                    <w:snapToGrid w:val="0"/>
                    <w:jc w:val="center"/>
                    <w:rPr>
                      <w:rFonts w:hint="eastAsia"/>
                      <w:lang w:eastAsia="zh-CN"/>
                    </w:rPr>
                  </w:pPr>
                  <w:r>
                    <w:rPr>
                      <w:rFonts w:hint="eastAsia"/>
                    </w:rPr>
                    <w:t>须将其收集后暂存于为危废贮存库，由</w:t>
                  </w:r>
                  <w:r>
                    <w:rPr>
                      <w:rFonts w:hint="eastAsia"/>
                      <w:lang w:eastAsia="zh-CN"/>
                    </w:rPr>
                    <w:t>陕西新天地固体废物综合处置公司</w:t>
                  </w:r>
                  <w:r>
                    <w:rPr>
                      <w:rFonts w:hint="eastAsia"/>
                    </w:rPr>
                    <w:t>处置</w:t>
                  </w:r>
                  <w:r>
                    <w:rPr>
                      <w:rFonts w:hint="eastAsia"/>
                      <w:lang w:eastAsia="zh-CN"/>
                    </w:rPr>
                    <w:t>（已签订危废处置合同，详见附件</w:t>
                  </w:r>
                  <w:r>
                    <w:rPr>
                      <w:rFonts w:hint="eastAsia"/>
                      <w:lang w:val="en-US" w:eastAsia="zh-CN"/>
                    </w:rPr>
                    <w:t>14</w:t>
                  </w:r>
                  <w:r>
                    <w:rPr>
                      <w:rFonts w:hint="eastAsia"/>
                      <w:lang w:eastAsia="zh-CN"/>
                    </w:rPr>
                    <w:t>）</w:t>
                  </w:r>
                </w:p>
                <w:p>
                  <w:pPr>
                    <w:adjustRightInd w:val="0"/>
                    <w:snapToGrid w:val="0"/>
                    <w:spacing w:line="360" w:lineRule="auto"/>
                    <w:ind w:firstLine="420" w:firstLineChars="200"/>
                    <w:rPr>
                      <w:rFonts w:hint="eastAsia" w:eastAsia="宋体"/>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rPr>
                      <w:rFonts w:hint="eastAsia"/>
                    </w:rPr>
                    <w:t>废</w:t>
                  </w:r>
                  <w:r>
                    <w:t>机</w:t>
                  </w:r>
                  <w:r>
                    <w:rPr>
                      <w:rFonts w:hint="eastAsia"/>
                    </w:rPr>
                    <w:t>油</w:t>
                  </w:r>
                </w:p>
              </w:tc>
              <w:tc>
                <w:tcPr>
                  <w:tcW w:w="674" w:type="dxa"/>
                  <w:tcBorders>
                    <w:tl2br w:val="nil"/>
                    <w:tr2bl w:val="nil"/>
                  </w:tcBorders>
                  <w:vAlign w:val="center"/>
                </w:tcPr>
                <w:p>
                  <w:pPr>
                    <w:adjustRightInd w:val="0"/>
                    <w:snapToGrid w:val="0"/>
                    <w:jc w:val="center"/>
                  </w:pPr>
                  <w:r>
                    <w:rPr>
                      <w:rFonts w:hint="eastAsia"/>
                    </w:rPr>
                    <w:t>液</w:t>
                  </w:r>
                </w:p>
              </w:tc>
              <w:tc>
                <w:tcPr>
                  <w:tcW w:w="889" w:type="dxa"/>
                  <w:vMerge w:val="continue"/>
                  <w:tcBorders>
                    <w:tl2br w:val="nil"/>
                    <w:tr2bl w:val="nil"/>
                  </w:tcBorders>
                  <w:vAlign w:val="center"/>
                </w:tcPr>
                <w:p>
                  <w:pPr>
                    <w:adjustRightInd w:val="0"/>
                    <w:snapToGrid w:val="0"/>
                    <w:jc w:val="center"/>
                  </w:pPr>
                </w:p>
              </w:tc>
              <w:tc>
                <w:tcPr>
                  <w:tcW w:w="889" w:type="dxa"/>
                  <w:tcBorders>
                    <w:tl2br w:val="nil"/>
                    <w:tr2bl w:val="nil"/>
                  </w:tcBorders>
                  <w:vAlign w:val="center"/>
                </w:tcPr>
                <w:p>
                  <w:pPr>
                    <w:adjustRightInd w:val="0"/>
                    <w:snapToGrid w:val="0"/>
                    <w:jc w:val="center"/>
                  </w:pPr>
                  <w:r>
                    <w:rPr>
                      <w:rFonts w:hint="eastAsia"/>
                    </w:rPr>
                    <w:t>T/I</w:t>
                  </w:r>
                </w:p>
              </w:tc>
              <w:tc>
                <w:tcPr>
                  <w:tcW w:w="1276" w:type="dxa"/>
                  <w:tcBorders>
                    <w:tl2br w:val="nil"/>
                    <w:tr2bl w:val="nil"/>
                  </w:tcBorders>
                  <w:vAlign w:val="center"/>
                </w:tcPr>
                <w:p>
                  <w:pPr>
                    <w:adjustRightInd w:val="0"/>
                    <w:snapToGrid w:val="0"/>
                    <w:jc w:val="center"/>
                  </w:pPr>
                  <w:r>
                    <w:rPr>
                      <w:rFonts w:hint="eastAsia"/>
                    </w:rPr>
                    <w:t>HW08</w:t>
                  </w:r>
                </w:p>
                <w:p>
                  <w:pPr>
                    <w:adjustRightInd w:val="0"/>
                    <w:snapToGrid w:val="0"/>
                    <w:jc w:val="center"/>
                  </w:pPr>
                  <w:r>
                    <w:t>900-249-08</w:t>
                  </w:r>
                </w:p>
              </w:tc>
              <w:tc>
                <w:tcPr>
                  <w:tcW w:w="922" w:type="dxa"/>
                  <w:tcBorders>
                    <w:tl2br w:val="nil"/>
                    <w:tr2bl w:val="nil"/>
                  </w:tcBorders>
                  <w:vAlign w:val="center"/>
                </w:tcPr>
                <w:p>
                  <w:pPr>
                    <w:adjustRightInd w:val="0"/>
                    <w:snapToGrid w:val="0"/>
                    <w:jc w:val="center"/>
                  </w:pPr>
                  <w:r>
                    <w:rPr>
                      <w:rFonts w:hint="eastAsia"/>
                    </w:rPr>
                    <w:t>0.05</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rPr>
                      <w:rFonts w:hint="eastAsia"/>
                    </w:rPr>
                    <w:t>废</w:t>
                  </w:r>
                  <w:r>
                    <w:t>含油抹布</w:t>
                  </w:r>
                  <w:r>
                    <w:rPr>
                      <w:rFonts w:hint="eastAsia"/>
                    </w:rPr>
                    <w:t>及</w:t>
                  </w:r>
                  <w:r>
                    <w:t>手套</w:t>
                  </w:r>
                </w:p>
              </w:tc>
              <w:tc>
                <w:tcPr>
                  <w:tcW w:w="674" w:type="dxa"/>
                  <w:tcBorders>
                    <w:tl2br w:val="nil"/>
                    <w:tr2bl w:val="nil"/>
                  </w:tcBorders>
                  <w:vAlign w:val="center"/>
                </w:tcPr>
                <w:p>
                  <w:pPr>
                    <w:adjustRightInd w:val="0"/>
                    <w:snapToGrid w:val="0"/>
                    <w:jc w:val="center"/>
                  </w:pPr>
                  <w:r>
                    <w:rPr>
                      <w:rFonts w:hint="eastAsia"/>
                    </w:rPr>
                    <w:t>固</w:t>
                  </w:r>
                </w:p>
              </w:tc>
              <w:tc>
                <w:tcPr>
                  <w:tcW w:w="889" w:type="dxa"/>
                  <w:vMerge w:val="continue"/>
                  <w:tcBorders>
                    <w:tl2br w:val="nil"/>
                    <w:tr2bl w:val="nil"/>
                  </w:tcBorders>
                  <w:vAlign w:val="center"/>
                </w:tcPr>
                <w:p>
                  <w:pPr>
                    <w:adjustRightInd w:val="0"/>
                    <w:snapToGrid w:val="0"/>
                    <w:jc w:val="center"/>
                  </w:pPr>
                </w:p>
              </w:tc>
              <w:tc>
                <w:tcPr>
                  <w:tcW w:w="889" w:type="dxa"/>
                  <w:tcBorders>
                    <w:tl2br w:val="nil"/>
                    <w:tr2bl w:val="nil"/>
                  </w:tcBorders>
                  <w:vAlign w:val="center"/>
                </w:tcPr>
                <w:p>
                  <w:pPr>
                    <w:adjustRightInd w:val="0"/>
                    <w:snapToGrid w:val="0"/>
                    <w:jc w:val="center"/>
                  </w:pPr>
                  <w:r>
                    <w:rPr>
                      <w:rFonts w:hint="eastAsia"/>
                    </w:rPr>
                    <w:t>T/In</w:t>
                  </w:r>
                </w:p>
              </w:tc>
              <w:tc>
                <w:tcPr>
                  <w:tcW w:w="1276" w:type="dxa"/>
                  <w:tcBorders>
                    <w:tl2br w:val="nil"/>
                    <w:tr2bl w:val="nil"/>
                  </w:tcBorders>
                  <w:vAlign w:val="center"/>
                </w:tcPr>
                <w:p>
                  <w:pPr>
                    <w:adjustRightInd w:val="0"/>
                    <w:snapToGrid w:val="0"/>
                    <w:jc w:val="center"/>
                  </w:pPr>
                  <w:r>
                    <w:rPr>
                      <w:rFonts w:hint="eastAsia"/>
                    </w:rPr>
                    <w:t>HW49</w:t>
                  </w:r>
                </w:p>
                <w:p>
                  <w:pPr>
                    <w:adjustRightInd w:val="0"/>
                    <w:snapToGrid w:val="0"/>
                    <w:jc w:val="center"/>
                  </w:pPr>
                  <w:r>
                    <w:rPr>
                      <w:rFonts w:hint="eastAsia"/>
                    </w:rPr>
                    <w:t>900-041-49</w:t>
                  </w:r>
                </w:p>
              </w:tc>
              <w:tc>
                <w:tcPr>
                  <w:tcW w:w="922" w:type="dxa"/>
                  <w:tcBorders>
                    <w:tl2br w:val="nil"/>
                    <w:tr2bl w:val="nil"/>
                  </w:tcBorders>
                  <w:vAlign w:val="center"/>
                </w:tcPr>
                <w:p>
                  <w:pPr>
                    <w:adjustRightInd w:val="0"/>
                    <w:snapToGrid w:val="0"/>
                    <w:jc w:val="center"/>
                  </w:pPr>
                  <w:r>
                    <w:t>0.0</w:t>
                  </w:r>
                  <w:r>
                    <w:rPr>
                      <w:rFonts w:hint="eastAsia"/>
                    </w:rPr>
                    <w:t>2</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restart"/>
                  <w:tcBorders>
                    <w:tl2br w:val="nil"/>
                    <w:tr2bl w:val="nil"/>
                  </w:tcBorders>
                  <w:vAlign w:val="center"/>
                </w:tcPr>
                <w:p>
                  <w:pPr>
                    <w:adjustRightInd w:val="0"/>
                    <w:snapToGrid w:val="0"/>
                    <w:jc w:val="center"/>
                  </w:pPr>
                  <w:r>
                    <w:t>废气处理</w:t>
                  </w:r>
                </w:p>
              </w:tc>
              <w:tc>
                <w:tcPr>
                  <w:tcW w:w="1409" w:type="dxa"/>
                  <w:tcBorders>
                    <w:tl2br w:val="nil"/>
                    <w:tr2bl w:val="nil"/>
                  </w:tcBorders>
                  <w:vAlign w:val="center"/>
                </w:tcPr>
                <w:p>
                  <w:pPr>
                    <w:adjustRightInd w:val="0"/>
                    <w:snapToGrid w:val="0"/>
                    <w:jc w:val="center"/>
                  </w:pPr>
                  <w:r>
                    <w:rPr>
                      <w:rFonts w:hint="eastAsia"/>
                    </w:rPr>
                    <w:t>废吸附棉</w:t>
                  </w:r>
                </w:p>
              </w:tc>
              <w:tc>
                <w:tcPr>
                  <w:tcW w:w="674" w:type="dxa"/>
                  <w:tcBorders>
                    <w:tl2br w:val="nil"/>
                    <w:tr2bl w:val="nil"/>
                  </w:tcBorders>
                  <w:vAlign w:val="center"/>
                </w:tcPr>
                <w:p>
                  <w:pPr>
                    <w:adjustRightInd w:val="0"/>
                    <w:snapToGrid w:val="0"/>
                    <w:ind w:firstLine="210" w:firstLineChars="100"/>
                  </w:pPr>
                  <w:r>
                    <w:rPr>
                      <w:rFonts w:hint="eastAsia"/>
                    </w:rPr>
                    <w:t>固</w:t>
                  </w:r>
                </w:p>
              </w:tc>
              <w:tc>
                <w:tcPr>
                  <w:tcW w:w="889" w:type="dxa"/>
                  <w:vMerge w:val="continue"/>
                  <w:tcBorders>
                    <w:tl2br w:val="nil"/>
                    <w:tr2bl w:val="nil"/>
                  </w:tcBorders>
                  <w:vAlign w:val="center"/>
                </w:tcPr>
                <w:p>
                  <w:pPr>
                    <w:adjustRightInd w:val="0"/>
                    <w:snapToGrid w:val="0"/>
                    <w:jc w:val="center"/>
                  </w:pPr>
                </w:p>
              </w:tc>
              <w:tc>
                <w:tcPr>
                  <w:tcW w:w="889" w:type="dxa"/>
                  <w:tcBorders>
                    <w:tl2br w:val="nil"/>
                    <w:tr2bl w:val="nil"/>
                  </w:tcBorders>
                  <w:vAlign w:val="center"/>
                </w:tcPr>
                <w:p>
                  <w:pPr>
                    <w:adjustRightInd w:val="0"/>
                    <w:snapToGrid w:val="0"/>
                    <w:jc w:val="center"/>
                  </w:pPr>
                  <w:r>
                    <w:rPr>
                      <w:rFonts w:hint="eastAsia"/>
                    </w:rPr>
                    <w:t>T/In</w:t>
                  </w:r>
                </w:p>
              </w:tc>
              <w:tc>
                <w:tcPr>
                  <w:tcW w:w="1276" w:type="dxa"/>
                  <w:tcBorders>
                    <w:tl2br w:val="nil"/>
                    <w:tr2bl w:val="nil"/>
                  </w:tcBorders>
                  <w:vAlign w:val="center"/>
                </w:tcPr>
                <w:p>
                  <w:pPr>
                    <w:adjustRightInd w:val="0"/>
                    <w:snapToGrid w:val="0"/>
                    <w:jc w:val="center"/>
                  </w:pPr>
                  <w:r>
                    <w:t>HW49，900-0</w:t>
                  </w:r>
                  <w:r>
                    <w:rPr>
                      <w:rFonts w:hint="eastAsia"/>
                    </w:rPr>
                    <w:t>41-</w:t>
                  </w:r>
                  <w:r>
                    <w:t>49</w:t>
                  </w:r>
                </w:p>
              </w:tc>
              <w:tc>
                <w:tcPr>
                  <w:tcW w:w="922" w:type="dxa"/>
                  <w:tcBorders>
                    <w:tl2br w:val="nil"/>
                    <w:tr2bl w:val="nil"/>
                  </w:tcBorders>
                  <w:vAlign w:val="center"/>
                </w:tcPr>
                <w:p>
                  <w:pPr>
                    <w:adjustRightInd w:val="0"/>
                    <w:snapToGrid w:val="0"/>
                    <w:jc w:val="center"/>
                  </w:pPr>
                  <w:r>
                    <w:rPr>
                      <w:rFonts w:hint="eastAsia"/>
                    </w:rPr>
                    <w:t>0.008</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vMerge w:val="continue"/>
                  <w:tcBorders>
                    <w:tl2br w:val="nil"/>
                    <w:tr2bl w:val="nil"/>
                  </w:tcBorders>
                  <w:vAlign w:val="center"/>
                </w:tcPr>
                <w:p>
                  <w:pPr>
                    <w:adjustRightInd w:val="0"/>
                    <w:snapToGrid w:val="0"/>
                    <w:jc w:val="center"/>
                  </w:pPr>
                </w:p>
              </w:tc>
              <w:tc>
                <w:tcPr>
                  <w:tcW w:w="1409" w:type="dxa"/>
                  <w:tcBorders>
                    <w:tl2br w:val="nil"/>
                    <w:tr2bl w:val="nil"/>
                  </w:tcBorders>
                  <w:vAlign w:val="center"/>
                </w:tcPr>
                <w:p>
                  <w:pPr>
                    <w:adjustRightInd w:val="0"/>
                    <w:snapToGrid w:val="0"/>
                    <w:jc w:val="center"/>
                  </w:pPr>
                  <w:r>
                    <w:t>废活性炭</w:t>
                  </w:r>
                </w:p>
              </w:tc>
              <w:tc>
                <w:tcPr>
                  <w:tcW w:w="674" w:type="dxa"/>
                  <w:tcBorders>
                    <w:tl2br w:val="nil"/>
                    <w:tr2bl w:val="nil"/>
                  </w:tcBorders>
                  <w:vAlign w:val="center"/>
                </w:tcPr>
                <w:p>
                  <w:pPr>
                    <w:adjustRightInd w:val="0"/>
                    <w:snapToGrid w:val="0"/>
                    <w:ind w:firstLine="210" w:firstLineChars="100"/>
                  </w:pPr>
                  <w:r>
                    <w:rPr>
                      <w:rFonts w:hint="eastAsia"/>
                    </w:rPr>
                    <w:t>固</w:t>
                  </w:r>
                </w:p>
              </w:tc>
              <w:tc>
                <w:tcPr>
                  <w:tcW w:w="889" w:type="dxa"/>
                  <w:vMerge w:val="continue"/>
                  <w:tcBorders>
                    <w:tl2br w:val="nil"/>
                    <w:tr2bl w:val="nil"/>
                  </w:tcBorders>
                  <w:vAlign w:val="center"/>
                </w:tcPr>
                <w:p>
                  <w:pPr>
                    <w:adjustRightInd w:val="0"/>
                    <w:snapToGrid w:val="0"/>
                    <w:jc w:val="center"/>
                  </w:pPr>
                </w:p>
              </w:tc>
              <w:tc>
                <w:tcPr>
                  <w:tcW w:w="889" w:type="dxa"/>
                  <w:tcBorders>
                    <w:tl2br w:val="nil"/>
                    <w:tr2bl w:val="nil"/>
                  </w:tcBorders>
                  <w:vAlign w:val="center"/>
                </w:tcPr>
                <w:p>
                  <w:pPr>
                    <w:adjustRightInd w:val="0"/>
                    <w:snapToGrid w:val="0"/>
                    <w:jc w:val="center"/>
                  </w:pPr>
                  <w:r>
                    <w:rPr>
                      <w:rFonts w:hint="eastAsia"/>
                    </w:rPr>
                    <w:t>T</w:t>
                  </w:r>
                </w:p>
              </w:tc>
              <w:tc>
                <w:tcPr>
                  <w:tcW w:w="1276" w:type="dxa"/>
                  <w:tcBorders>
                    <w:tl2br w:val="nil"/>
                    <w:tr2bl w:val="nil"/>
                  </w:tcBorders>
                  <w:vAlign w:val="center"/>
                </w:tcPr>
                <w:p>
                  <w:pPr>
                    <w:adjustRightInd w:val="0"/>
                    <w:snapToGrid w:val="0"/>
                    <w:jc w:val="center"/>
                  </w:pPr>
                  <w:r>
                    <w:rPr>
                      <w:rFonts w:hint="eastAsia"/>
                    </w:rPr>
                    <w:t>HW49</w:t>
                  </w:r>
                </w:p>
                <w:p>
                  <w:pPr>
                    <w:adjustRightInd w:val="0"/>
                    <w:snapToGrid w:val="0"/>
                    <w:jc w:val="center"/>
                  </w:pPr>
                  <w:r>
                    <w:rPr>
                      <w:rFonts w:hint="eastAsia"/>
                    </w:rPr>
                    <w:t>900-039-49</w:t>
                  </w:r>
                </w:p>
              </w:tc>
              <w:tc>
                <w:tcPr>
                  <w:tcW w:w="922" w:type="dxa"/>
                  <w:tcBorders>
                    <w:tl2br w:val="nil"/>
                    <w:tr2bl w:val="nil"/>
                  </w:tcBorders>
                  <w:vAlign w:val="center"/>
                </w:tcPr>
                <w:p>
                  <w:pPr>
                    <w:adjustRightInd w:val="0"/>
                    <w:snapToGrid w:val="0"/>
                    <w:jc w:val="center"/>
                  </w:pPr>
                  <w:r>
                    <w:rPr>
                      <w:rFonts w:hint="eastAsia"/>
                    </w:rPr>
                    <w:t>2.108</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tcBorders>
                    <w:tl2br w:val="nil"/>
                    <w:tr2bl w:val="nil"/>
                  </w:tcBorders>
                  <w:vAlign w:val="center"/>
                </w:tcPr>
                <w:p>
                  <w:pPr>
                    <w:adjustRightInd w:val="0"/>
                    <w:snapToGrid w:val="0"/>
                    <w:jc w:val="center"/>
                  </w:pPr>
                  <w:r>
                    <w:rPr>
                      <w:rFonts w:hint="eastAsia"/>
                    </w:rPr>
                    <w:t>废水处理</w:t>
                  </w:r>
                </w:p>
              </w:tc>
              <w:tc>
                <w:tcPr>
                  <w:tcW w:w="1409" w:type="dxa"/>
                  <w:tcBorders>
                    <w:tl2br w:val="nil"/>
                    <w:tr2bl w:val="nil"/>
                  </w:tcBorders>
                  <w:vAlign w:val="center"/>
                </w:tcPr>
                <w:p>
                  <w:pPr>
                    <w:adjustRightInd w:val="0"/>
                    <w:snapToGrid w:val="0"/>
                    <w:jc w:val="center"/>
                  </w:pPr>
                  <w:r>
                    <w:rPr>
                      <w:rFonts w:hint="eastAsia"/>
                    </w:rPr>
                    <w:t>泥饼及槽渣</w:t>
                  </w:r>
                </w:p>
              </w:tc>
              <w:tc>
                <w:tcPr>
                  <w:tcW w:w="674" w:type="dxa"/>
                  <w:tcBorders>
                    <w:tl2br w:val="nil"/>
                    <w:tr2bl w:val="nil"/>
                  </w:tcBorders>
                  <w:vAlign w:val="center"/>
                </w:tcPr>
                <w:p>
                  <w:pPr>
                    <w:adjustRightInd w:val="0"/>
                    <w:snapToGrid w:val="0"/>
                    <w:jc w:val="center"/>
                  </w:pPr>
                  <w:r>
                    <w:rPr>
                      <w:rFonts w:hint="eastAsia"/>
                    </w:rPr>
                    <w:t>半固</w:t>
                  </w:r>
                </w:p>
              </w:tc>
              <w:tc>
                <w:tcPr>
                  <w:tcW w:w="889" w:type="dxa"/>
                  <w:vMerge w:val="continue"/>
                  <w:tcBorders>
                    <w:tl2br w:val="nil"/>
                    <w:tr2bl w:val="nil"/>
                  </w:tcBorders>
                  <w:vAlign w:val="center"/>
                </w:tcPr>
                <w:p>
                  <w:pPr>
                    <w:adjustRightInd w:val="0"/>
                    <w:snapToGrid w:val="0"/>
                    <w:jc w:val="center"/>
                  </w:pPr>
                </w:p>
              </w:tc>
              <w:tc>
                <w:tcPr>
                  <w:tcW w:w="889" w:type="dxa"/>
                  <w:tcBorders>
                    <w:tl2br w:val="nil"/>
                    <w:tr2bl w:val="nil"/>
                  </w:tcBorders>
                  <w:vAlign w:val="center"/>
                </w:tcPr>
                <w:p>
                  <w:pPr>
                    <w:adjustRightInd w:val="0"/>
                    <w:snapToGrid w:val="0"/>
                    <w:ind w:firstLine="210" w:firstLineChars="100"/>
                  </w:pPr>
                  <w:r>
                    <w:rPr>
                      <w:rFonts w:hint="eastAsia"/>
                    </w:rPr>
                    <w:t>T/C</w:t>
                  </w:r>
                </w:p>
              </w:tc>
              <w:tc>
                <w:tcPr>
                  <w:tcW w:w="1276" w:type="dxa"/>
                  <w:tcBorders>
                    <w:tl2br w:val="nil"/>
                    <w:tr2bl w:val="nil"/>
                  </w:tcBorders>
                  <w:vAlign w:val="center"/>
                </w:tcPr>
                <w:p>
                  <w:pPr>
                    <w:adjustRightInd w:val="0"/>
                    <w:snapToGrid w:val="0"/>
                    <w:jc w:val="center"/>
                  </w:pPr>
                  <w:r>
                    <w:rPr>
                      <w:rFonts w:hint="eastAsia"/>
                    </w:rPr>
                    <w:t>HW17</w:t>
                  </w:r>
                </w:p>
                <w:p>
                  <w:pPr>
                    <w:adjustRightInd w:val="0"/>
                    <w:snapToGrid w:val="0"/>
                    <w:jc w:val="center"/>
                  </w:pPr>
                  <w:r>
                    <w:rPr>
                      <w:rFonts w:hint="eastAsia"/>
                    </w:rPr>
                    <w:t>336-064-17</w:t>
                  </w:r>
                </w:p>
              </w:tc>
              <w:tc>
                <w:tcPr>
                  <w:tcW w:w="922" w:type="dxa"/>
                  <w:tcBorders>
                    <w:tl2br w:val="nil"/>
                    <w:tr2bl w:val="nil"/>
                  </w:tcBorders>
                  <w:vAlign w:val="center"/>
                </w:tcPr>
                <w:p>
                  <w:pPr>
                    <w:adjustRightInd w:val="0"/>
                    <w:snapToGrid w:val="0"/>
                    <w:jc w:val="center"/>
                  </w:pPr>
                  <w:r>
                    <w:rPr>
                      <w:rFonts w:hint="eastAsia"/>
                    </w:rPr>
                    <w:t>12.5</w:t>
                  </w:r>
                </w:p>
              </w:tc>
              <w:tc>
                <w:tcPr>
                  <w:tcW w:w="1138" w:type="dxa"/>
                  <w:vMerge w:val="continue"/>
                  <w:tcBorders>
                    <w:tl2br w:val="nil"/>
                    <w:tr2bl w:val="nil"/>
                  </w:tcBorders>
                  <w:vAlign w:val="center"/>
                </w:tcPr>
                <w:p>
                  <w:pPr>
                    <w:adjustRightInd w:val="0"/>
                    <w:snapToGrid w:val="0"/>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1500" w:type="dxa"/>
                  <w:tcBorders>
                    <w:tl2br w:val="nil"/>
                    <w:tr2bl w:val="nil"/>
                  </w:tcBorders>
                  <w:vAlign w:val="center"/>
                </w:tcPr>
                <w:p>
                  <w:pPr>
                    <w:adjustRightInd w:val="0"/>
                    <w:snapToGrid w:val="0"/>
                    <w:jc w:val="center"/>
                    <w:rPr>
                      <w:rFonts w:hint="default" w:eastAsia="宋体"/>
                      <w:lang w:val="en-US" w:eastAsia="zh-CN"/>
                    </w:rPr>
                  </w:pPr>
                  <w:r>
                    <w:rPr>
                      <w:rFonts w:hint="eastAsia"/>
                      <w:lang w:val="en-US" w:eastAsia="zh-CN"/>
                    </w:rPr>
                    <w:t>铝材表面处理</w:t>
                  </w:r>
                </w:p>
              </w:tc>
              <w:tc>
                <w:tcPr>
                  <w:tcW w:w="1409" w:type="dxa"/>
                  <w:tcBorders>
                    <w:tl2br w:val="nil"/>
                    <w:tr2bl w:val="nil"/>
                  </w:tcBorders>
                  <w:vAlign w:val="center"/>
                </w:tcPr>
                <w:p>
                  <w:pPr>
                    <w:adjustRightInd w:val="0"/>
                    <w:snapToGrid w:val="0"/>
                    <w:jc w:val="center"/>
                    <w:rPr>
                      <w:rFonts w:hint="default"/>
                      <w:lang w:val="en-US"/>
                    </w:rPr>
                  </w:pPr>
                  <w:r>
                    <w:rPr>
                      <w:rFonts w:hint="eastAsia"/>
                      <w:lang w:val="en-US" w:eastAsia="zh-CN"/>
                    </w:rPr>
                    <w:t>铝材表面处理废液</w:t>
                  </w:r>
                </w:p>
              </w:tc>
              <w:tc>
                <w:tcPr>
                  <w:tcW w:w="674" w:type="dxa"/>
                  <w:tcBorders>
                    <w:tl2br w:val="nil"/>
                    <w:tr2bl w:val="nil"/>
                  </w:tcBorders>
                  <w:vAlign w:val="center"/>
                </w:tcPr>
                <w:p>
                  <w:pPr>
                    <w:adjustRightInd w:val="0"/>
                    <w:snapToGrid w:val="0"/>
                    <w:jc w:val="center"/>
                    <w:rPr>
                      <w:rFonts w:hint="eastAsia" w:eastAsia="宋体"/>
                      <w:lang w:val="en-US" w:eastAsia="zh-CN"/>
                    </w:rPr>
                  </w:pPr>
                  <w:r>
                    <w:rPr>
                      <w:rFonts w:hint="eastAsia"/>
                      <w:lang w:val="en-US" w:eastAsia="zh-CN"/>
                    </w:rPr>
                    <w:t>液</w:t>
                  </w:r>
                </w:p>
              </w:tc>
              <w:tc>
                <w:tcPr>
                  <w:tcW w:w="889" w:type="dxa"/>
                  <w:vMerge w:val="continue"/>
                  <w:tcBorders>
                    <w:tl2br w:val="nil"/>
                    <w:tr2bl w:val="nil"/>
                  </w:tcBorders>
                  <w:vAlign w:val="center"/>
                </w:tcPr>
                <w:p>
                  <w:pPr>
                    <w:adjustRightInd w:val="0"/>
                    <w:snapToGrid w:val="0"/>
                    <w:jc w:val="center"/>
                  </w:pPr>
                </w:p>
              </w:tc>
              <w:tc>
                <w:tcPr>
                  <w:tcW w:w="889" w:type="dxa"/>
                  <w:tcBorders>
                    <w:tl2br w:val="nil"/>
                    <w:tr2bl w:val="nil"/>
                  </w:tcBorders>
                  <w:vAlign w:val="center"/>
                </w:tcPr>
                <w:p>
                  <w:pPr>
                    <w:adjustRightInd w:val="0"/>
                    <w:snapToGrid w:val="0"/>
                    <w:ind w:firstLine="210" w:firstLineChars="100"/>
                    <w:rPr>
                      <w:rFonts w:hint="eastAsia"/>
                    </w:rPr>
                  </w:pPr>
                  <w:r>
                    <w:rPr>
                      <w:rFonts w:hint="eastAsia"/>
                    </w:rPr>
                    <w:t>T/C</w:t>
                  </w:r>
                </w:p>
              </w:tc>
              <w:tc>
                <w:tcPr>
                  <w:tcW w:w="1276" w:type="dxa"/>
                  <w:tcBorders>
                    <w:tl2br w:val="nil"/>
                    <w:tr2bl w:val="nil"/>
                  </w:tcBorders>
                  <w:vAlign w:val="center"/>
                </w:tcPr>
                <w:p>
                  <w:pPr>
                    <w:adjustRightInd w:val="0"/>
                    <w:snapToGrid w:val="0"/>
                    <w:jc w:val="center"/>
                  </w:pPr>
                  <w:r>
                    <w:rPr>
                      <w:rFonts w:hint="eastAsia"/>
                    </w:rPr>
                    <w:t>HW17</w:t>
                  </w:r>
                </w:p>
                <w:p>
                  <w:pPr>
                    <w:adjustRightInd w:val="0"/>
                    <w:snapToGrid w:val="0"/>
                    <w:jc w:val="center"/>
                    <w:rPr>
                      <w:rFonts w:hint="eastAsia"/>
                    </w:rPr>
                  </w:pPr>
                  <w:r>
                    <w:rPr>
                      <w:rFonts w:hint="eastAsia"/>
                    </w:rPr>
                    <w:t>336-064-17</w:t>
                  </w:r>
                </w:p>
              </w:tc>
              <w:tc>
                <w:tcPr>
                  <w:tcW w:w="922" w:type="dxa"/>
                  <w:tcBorders>
                    <w:tl2br w:val="nil"/>
                    <w:tr2bl w:val="nil"/>
                  </w:tcBorders>
                  <w:vAlign w:val="center"/>
                </w:tcPr>
                <w:p>
                  <w:pPr>
                    <w:adjustRightInd w:val="0"/>
                    <w:snapToGrid w:val="0"/>
                    <w:jc w:val="center"/>
                    <w:rPr>
                      <w:rFonts w:hint="default" w:eastAsia="宋体"/>
                      <w:lang w:val="en-US" w:eastAsia="zh-CN"/>
                    </w:rPr>
                  </w:pPr>
                  <w:r>
                    <w:rPr>
                      <w:rFonts w:hint="eastAsia"/>
                      <w:lang w:val="en-US" w:eastAsia="zh-CN"/>
                    </w:rPr>
                    <w:t>0.002</w:t>
                  </w:r>
                </w:p>
              </w:tc>
              <w:tc>
                <w:tcPr>
                  <w:tcW w:w="1138" w:type="dxa"/>
                  <w:vMerge w:val="continue"/>
                  <w:tcBorders>
                    <w:tl2br w:val="nil"/>
                    <w:tr2bl w:val="nil"/>
                  </w:tcBorders>
                  <w:vAlign w:val="center"/>
                </w:tcPr>
                <w:p>
                  <w:pPr>
                    <w:adjustRightInd w:val="0"/>
                    <w:snapToGrid w:val="0"/>
                    <w:jc w:val="center"/>
                  </w:pPr>
                </w:p>
              </w:tc>
            </w:tr>
          </w:tbl>
          <w:p>
            <w:pPr>
              <w:pStyle w:val="4"/>
              <w:numPr>
                <w:ilvl w:val="2"/>
                <w:numId w:val="0"/>
              </w:numPr>
              <w:adjustRightInd w:val="0"/>
              <w:snapToGrid w:val="0"/>
              <w:spacing w:before="0" w:after="0" w:line="360" w:lineRule="auto"/>
              <w:ind w:firstLine="480" w:firstLineChars="200"/>
              <w:rPr>
                <w:b w:val="0"/>
                <w:bCs/>
                <w:sz w:val="24"/>
                <w:szCs w:val="21"/>
              </w:rPr>
            </w:pPr>
            <w:r>
              <w:rPr>
                <w:b w:val="0"/>
                <w:bCs/>
                <w:sz w:val="24"/>
                <w:szCs w:val="21"/>
              </w:rPr>
              <w:t>由上表可知，</w:t>
            </w:r>
            <w:r>
              <w:rPr>
                <w:rFonts w:hint="eastAsia"/>
                <w:b w:val="0"/>
                <w:bCs/>
                <w:sz w:val="24"/>
                <w:szCs w:val="21"/>
                <w:lang w:eastAsia="zh-CN"/>
              </w:rPr>
              <w:t>项目</w:t>
            </w:r>
            <w:r>
              <w:rPr>
                <w:b w:val="0"/>
                <w:bCs/>
                <w:sz w:val="24"/>
                <w:szCs w:val="21"/>
              </w:rPr>
              <w:t>产生的固体废物均得到合理处置，因此</w:t>
            </w:r>
            <w:r>
              <w:rPr>
                <w:rFonts w:hint="eastAsia"/>
                <w:b w:val="0"/>
                <w:bCs/>
                <w:sz w:val="24"/>
                <w:szCs w:val="21"/>
                <w:lang w:eastAsia="zh-CN"/>
              </w:rPr>
              <w:t>项目</w:t>
            </w:r>
            <w:r>
              <w:rPr>
                <w:b w:val="0"/>
                <w:bCs/>
                <w:sz w:val="24"/>
                <w:szCs w:val="21"/>
              </w:rPr>
              <w:t>产生的固体废物对环境影响较小。</w:t>
            </w:r>
          </w:p>
          <w:p>
            <w:pPr>
              <w:adjustRightInd w:val="0"/>
              <w:snapToGrid w:val="0"/>
              <w:spacing w:line="360" w:lineRule="auto"/>
              <w:ind w:firstLine="482" w:firstLineChars="200"/>
              <w:rPr>
                <w:b/>
                <w:bCs/>
                <w:sz w:val="24"/>
              </w:rPr>
            </w:pPr>
            <w:r>
              <w:rPr>
                <w:rFonts w:hint="eastAsia"/>
                <w:b/>
                <w:bCs/>
                <w:sz w:val="24"/>
              </w:rPr>
              <w:t>2、一般固废管理要求</w:t>
            </w:r>
          </w:p>
          <w:p>
            <w:pPr>
              <w:adjustRightInd w:val="0"/>
              <w:snapToGrid w:val="0"/>
              <w:spacing w:line="360" w:lineRule="auto"/>
              <w:ind w:firstLine="480" w:firstLineChars="200"/>
              <w:rPr>
                <w:sz w:val="24"/>
              </w:rPr>
            </w:pPr>
            <w:r>
              <w:rPr>
                <w:rFonts w:hint="eastAsia"/>
                <w:sz w:val="24"/>
              </w:rPr>
              <w:t>根据《中华人民共和国固体废物污染环境防治法》（2020年9月1日）、《一般工业固体废物贮存和填埋污染控制标准》（GB18599-2020）等相关法律法规的要求，针对项目一般工业固废贮存提出如下要求：</w:t>
            </w:r>
          </w:p>
          <w:p>
            <w:pPr>
              <w:adjustRightInd w:val="0"/>
              <w:snapToGrid w:val="0"/>
              <w:spacing w:line="360" w:lineRule="auto"/>
              <w:ind w:firstLine="480" w:firstLineChars="200"/>
              <w:rPr>
                <w:sz w:val="24"/>
              </w:rPr>
            </w:pPr>
            <w:r>
              <w:rPr>
                <w:rFonts w:hint="eastAsia"/>
                <w:sz w:val="24"/>
              </w:rPr>
              <w:t>A、贮存场所地面硬化，设顶棚、围墙，达到防扬散、防流失、防渗漏等要求，不得擅自倾倒、堆放、丢弃、遗撒固体废物；</w:t>
            </w:r>
          </w:p>
          <w:p>
            <w:pPr>
              <w:adjustRightInd w:val="0"/>
              <w:snapToGrid w:val="0"/>
              <w:spacing w:line="360" w:lineRule="auto"/>
              <w:ind w:firstLine="480" w:firstLineChars="200"/>
              <w:rPr>
                <w:sz w:val="24"/>
              </w:rPr>
            </w:pPr>
            <w:r>
              <w:rPr>
                <w:rFonts w:hint="eastAsia"/>
                <w:sz w:val="24"/>
              </w:rPr>
              <w:t>B、贮存场所应按《环境保护图形标志-固体废物贮存（处置）场》（GB15562.2-1995）设置环境保护图形标志，并定期检查和维护；</w:t>
            </w:r>
          </w:p>
          <w:p>
            <w:pPr>
              <w:adjustRightInd w:val="0"/>
              <w:snapToGrid w:val="0"/>
              <w:spacing w:line="360" w:lineRule="auto"/>
              <w:ind w:firstLine="480" w:firstLineChars="200"/>
              <w:rPr>
                <w:sz w:val="24"/>
              </w:rPr>
            </w:pPr>
            <w:r>
              <w:rPr>
                <w:rFonts w:hint="eastAsia"/>
                <w:sz w:val="24"/>
              </w:rPr>
              <w:t>C、贮存场所应制定运行计划；</w:t>
            </w:r>
          </w:p>
          <w:p>
            <w:pPr>
              <w:adjustRightInd w:val="0"/>
              <w:snapToGrid w:val="0"/>
              <w:spacing w:line="360" w:lineRule="auto"/>
              <w:ind w:firstLine="480" w:firstLineChars="200"/>
              <w:rPr>
                <w:sz w:val="24"/>
              </w:rPr>
            </w:pPr>
            <w:r>
              <w:rPr>
                <w:rFonts w:hint="eastAsia"/>
                <w:sz w:val="24"/>
              </w:rPr>
              <w:t>D、落实一般工业固体废物处置方案，签订协议，尽可能及时外运，避免长期堆存；</w:t>
            </w:r>
          </w:p>
          <w:p>
            <w:pPr>
              <w:adjustRightInd w:val="0"/>
              <w:snapToGrid w:val="0"/>
              <w:spacing w:line="360" w:lineRule="auto"/>
              <w:ind w:firstLine="480" w:firstLineChars="200"/>
              <w:rPr>
                <w:sz w:val="24"/>
              </w:rPr>
            </w:pPr>
            <w:r>
              <w:rPr>
                <w:rFonts w:hint="eastAsia"/>
                <w:sz w:val="24"/>
              </w:rPr>
              <w:t>E、一般工业固体废物贮存、处置场所，禁止危险废物和生活垃圾混入。</w:t>
            </w:r>
          </w:p>
          <w:p>
            <w:pPr>
              <w:adjustRightInd w:val="0"/>
              <w:snapToGrid w:val="0"/>
              <w:spacing w:line="360" w:lineRule="auto"/>
              <w:ind w:firstLine="482" w:firstLineChars="200"/>
              <w:rPr>
                <w:b/>
                <w:bCs/>
                <w:sz w:val="24"/>
              </w:rPr>
            </w:pPr>
            <w:r>
              <w:rPr>
                <w:rFonts w:hint="eastAsia"/>
                <w:b/>
                <w:bCs/>
                <w:sz w:val="24"/>
              </w:rPr>
              <w:t>3、危险废物管理要求</w:t>
            </w:r>
          </w:p>
          <w:p>
            <w:pPr>
              <w:adjustRightInd w:val="0"/>
              <w:snapToGrid w:val="0"/>
              <w:spacing w:line="360" w:lineRule="auto"/>
              <w:ind w:firstLine="480" w:firstLineChars="200"/>
              <w:rPr>
                <w:sz w:val="24"/>
              </w:rPr>
            </w:pPr>
            <w:r>
              <w:rPr>
                <w:rFonts w:hint="eastAsia"/>
                <w:sz w:val="24"/>
              </w:rPr>
              <w:t>危险废物的收集、贮存、转运必须严格按照危险废物相关法律、法规、规范、政策进行全过程控制。</w:t>
            </w:r>
          </w:p>
          <w:p>
            <w:pPr>
              <w:adjustRightInd w:val="0"/>
              <w:snapToGrid w:val="0"/>
              <w:spacing w:line="360" w:lineRule="auto"/>
              <w:ind w:firstLine="480" w:firstLineChars="200"/>
              <w:rPr>
                <w:sz w:val="24"/>
              </w:rPr>
            </w:pPr>
            <w:r>
              <w:rPr>
                <w:rFonts w:hint="eastAsia"/>
                <w:sz w:val="24"/>
              </w:rPr>
              <w:t>A、危废的收集</w:t>
            </w:r>
          </w:p>
          <w:p>
            <w:pPr>
              <w:pStyle w:val="2"/>
              <w:keepLines w:val="0"/>
              <w:overflowPunct w:val="0"/>
              <w:adjustRightInd w:val="0"/>
              <w:snapToGrid w:val="0"/>
              <w:spacing w:before="0" w:after="0" w:line="360" w:lineRule="auto"/>
              <w:ind w:firstLine="480" w:firstLineChars="200"/>
              <w:rPr>
                <w:sz w:val="24"/>
                <w:szCs w:val="24"/>
              </w:rPr>
            </w:pPr>
            <w:r>
              <w:rPr>
                <w:rFonts w:hint="eastAsia"/>
                <w:b w:val="0"/>
                <w:bCs w:val="0"/>
                <w:kern w:val="2"/>
                <w:sz w:val="24"/>
                <w:szCs w:val="24"/>
              </w:rPr>
              <w:t>1）</w:t>
            </w:r>
            <w:r>
              <w:rPr>
                <w:rFonts w:hint="eastAsia"/>
                <w:kern w:val="2"/>
                <w:sz w:val="24"/>
                <w:szCs w:val="24"/>
              </w:rPr>
              <w:t>根据《危险废物收集贮存运输技术规范》（HJ2025-2012）及《危险废物识别标志设置技术规范》（HJ1276-2022）</w:t>
            </w:r>
            <w:r>
              <w:rPr>
                <w:rFonts w:hint="eastAsia"/>
                <w:sz w:val="24"/>
                <w:szCs w:val="24"/>
              </w:rPr>
              <w:t>要求，项目产生的各类危废应分类收集，采用专用容器收集，盛装危险废物的容器在醒目位置必须粘贴参照执行《危险废物贮存污染控制标准》（GB18597-</w:t>
            </w:r>
            <w:r>
              <w:rPr>
                <w:sz w:val="24"/>
                <w:szCs w:val="24"/>
              </w:rPr>
              <w:t>2023</w:t>
            </w:r>
            <w:r>
              <w:rPr>
                <w:rFonts w:hint="eastAsia"/>
                <w:sz w:val="24"/>
                <w:szCs w:val="24"/>
              </w:rPr>
              <w:t>）附录A所示的标签，在标签上详细标明危险废物的名称、重量、成分、特性以及发生泄漏、扩散污染事故时的应急措施和补救方法；</w:t>
            </w:r>
          </w:p>
          <w:p>
            <w:pPr>
              <w:adjustRightInd w:val="0"/>
              <w:snapToGrid w:val="0"/>
              <w:spacing w:line="360" w:lineRule="auto"/>
              <w:ind w:firstLine="480" w:firstLineChars="200"/>
              <w:rPr>
                <w:rFonts w:hint="eastAsia" w:eastAsia="宋体"/>
                <w:sz w:val="24"/>
                <w:lang w:eastAsia="zh-CN"/>
              </w:rPr>
            </w:pPr>
            <w:r>
              <w:rPr>
                <w:rFonts w:hint="eastAsia"/>
                <w:sz w:val="24"/>
              </w:rPr>
              <w:t>2）危险废物的收集和厂内转运过程中，应采取防泄漏、防飞扬、防雨等防止污染环境的措施；</w:t>
            </w:r>
          </w:p>
          <w:p>
            <w:pPr>
              <w:adjustRightInd w:val="0"/>
              <w:snapToGrid w:val="0"/>
              <w:spacing w:line="360" w:lineRule="auto"/>
              <w:ind w:firstLine="480" w:firstLineChars="200"/>
              <w:rPr>
                <w:rFonts w:hint="eastAsia" w:eastAsia="宋体"/>
                <w:sz w:val="24"/>
                <w:lang w:eastAsia="zh-CN"/>
              </w:rPr>
            </w:pPr>
            <w:r>
              <w:rPr>
                <w:rFonts w:hint="eastAsia"/>
                <w:sz w:val="24"/>
              </w:rPr>
              <w:t>3）危险废物内部转运应采用专用工具，同时按照《危险废物收集贮存运输技术规范》（HJ2025-2012）附录B填写《危险废物厂内转运记录表》；</w:t>
            </w:r>
          </w:p>
          <w:p>
            <w:pPr>
              <w:adjustRightInd w:val="0"/>
              <w:snapToGrid w:val="0"/>
              <w:spacing w:line="360" w:lineRule="auto"/>
              <w:ind w:firstLine="480" w:firstLineChars="200"/>
              <w:rPr>
                <w:sz w:val="24"/>
              </w:rPr>
            </w:pPr>
            <w:r>
              <w:rPr>
                <w:rFonts w:hint="eastAsia"/>
                <w:sz w:val="24"/>
              </w:rPr>
              <w:t>4）危险废物内部转运结束后，应对转运路线进行检查和清理，确保无危险废物遗失在转运路线上。</w:t>
            </w:r>
          </w:p>
          <w:p>
            <w:pPr>
              <w:adjustRightInd w:val="0"/>
              <w:snapToGrid w:val="0"/>
              <w:spacing w:line="360" w:lineRule="auto"/>
              <w:ind w:firstLine="480" w:firstLineChars="200"/>
              <w:rPr>
                <w:sz w:val="24"/>
              </w:rPr>
            </w:pPr>
            <w:r>
              <w:rPr>
                <w:rFonts w:hint="eastAsia"/>
                <w:sz w:val="24"/>
              </w:rPr>
              <w:t>B、危险废物的贮存</w:t>
            </w:r>
          </w:p>
          <w:p>
            <w:pPr>
              <w:adjustRightInd w:val="0"/>
              <w:snapToGrid w:val="0"/>
              <w:spacing w:line="360" w:lineRule="auto"/>
              <w:ind w:firstLine="480" w:firstLineChars="200"/>
              <w:rPr>
                <w:sz w:val="24"/>
              </w:rPr>
            </w:pPr>
            <w:r>
              <w:rPr>
                <w:rFonts w:hint="eastAsia"/>
                <w:sz w:val="24"/>
              </w:rPr>
              <w:t>危险废物必须在为危废贮存库内分类贮存。为了满足</w:t>
            </w:r>
            <w:r>
              <w:rPr>
                <w:rFonts w:hint="eastAsia"/>
                <w:sz w:val="24"/>
                <w:lang w:eastAsia="zh-CN"/>
              </w:rPr>
              <w:t>项目</w:t>
            </w:r>
            <w:r>
              <w:rPr>
                <w:rFonts w:hint="eastAsia"/>
                <w:sz w:val="24"/>
              </w:rPr>
              <w:t>危废的暂存，</w:t>
            </w:r>
            <w:r>
              <w:rPr>
                <w:rFonts w:hint="eastAsia"/>
                <w:sz w:val="24"/>
                <w:lang w:eastAsia="zh-CN"/>
              </w:rPr>
              <w:t>项目</w:t>
            </w:r>
            <w:r>
              <w:rPr>
                <w:rFonts w:hint="eastAsia"/>
                <w:sz w:val="24"/>
              </w:rPr>
              <w:t>设计危废贮存库位于药品室东侧，建筑面积6m</w:t>
            </w:r>
            <w:r>
              <w:rPr>
                <w:rFonts w:hint="eastAsia"/>
                <w:sz w:val="24"/>
                <w:vertAlign w:val="superscript"/>
              </w:rPr>
              <w:t>2</w:t>
            </w:r>
            <w:r>
              <w:rPr>
                <w:rFonts w:hint="eastAsia"/>
                <w:sz w:val="24"/>
              </w:rPr>
              <w:t>。环评要求：危废贮存库建设应严格参照执行《危险废物贮存污染控制标准》（GB18597-</w:t>
            </w:r>
            <w:r>
              <w:rPr>
                <w:sz w:val="24"/>
              </w:rPr>
              <w:t>2023</w:t>
            </w:r>
            <w:r>
              <w:rPr>
                <w:rFonts w:hint="eastAsia"/>
                <w:sz w:val="24"/>
              </w:rPr>
              <w:t>），临时存放场的要求如下：</w:t>
            </w:r>
          </w:p>
          <w:p>
            <w:pPr>
              <w:adjustRightInd w:val="0"/>
              <w:snapToGrid w:val="0"/>
              <w:spacing w:line="360" w:lineRule="auto"/>
              <w:ind w:firstLine="480" w:firstLineChars="200"/>
              <w:rPr>
                <w:sz w:val="24"/>
              </w:rPr>
            </w:pPr>
            <w:r>
              <w:rPr>
                <w:rFonts w:hint="eastAsia"/>
                <w:sz w:val="24"/>
              </w:rPr>
              <w:t>1）贮存设施应根据危险废物的形态、物理化学性质、包装形式和污染物迁移途径，采取必要的防风、防晒、防雨、防漏、防渗、防腐以及其他环境污染防治措施，不应露天堆放危险废物。</w:t>
            </w:r>
          </w:p>
          <w:p>
            <w:pPr>
              <w:adjustRightInd w:val="0"/>
              <w:snapToGrid w:val="0"/>
              <w:spacing w:line="360" w:lineRule="auto"/>
              <w:ind w:firstLine="480" w:firstLineChars="200"/>
              <w:rPr>
                <w:sz w:val="24"/>
              </w:rPr>
            </w:pPr>
            <w:r>
              <w:rPr>
                <w:rFonts w:hint="eastAsia"/>
                <w:sz w:val="24"/>
              </w:rPr>
              <w:t>2）贮存设施应根据危险废物的类别、数量、形态、物理化学性质和污染防治等要求设置必要的贮存分区，避免不相容的危险废物接触、混合。</w:t>
            </w:r>
          </w:p>
          <w:p>
            <w:pPr>
              <w:adjustRightInd w:val="0"/>
              <w:snapToGrid w:val="0"/>
              <w:spacing w:line="360" w:lineRule="auto"/>
              <w:ind w:firstLine="480" w:firstLineChars="200"/>
              <w:rPr>
                <w:sz w:val="24"/>
              </w:rPr>
            </w:pPr>
            <w:r>
              <w:rPr>
                <w:rFonts w:hint="eastAsia"/>
                <w:sz w:val="24"/>
              </w:rPr>
              <w:t>3）贮存设施或贮存分区内地面、墙面裙脚、堵截泄漏的围堰、接触危险废物的隔板和墙体等应采用坚固的材料建造，表面无裂缝。</w:t>
            </w:r>
          </w:p>
          <w:p>
            <w:pPr>
              <w:adjustRightInd w:val="0"/>
              <w:snapToGrid w:val="0"/>
              <w:spacing w:line="360" w:lineRule="auto"/>
              <w:ind w:firstLine="480" w:firstLineChars="200"/>
              <w:rPr>
                <w:sz w:val="24"/>
              </w:rPr>
            </w:pPr>
            <w:r>
              <w:rPr>
                <w:rFonts w:hint="eastAsia"/>
                <w:sz w:val="24"/>
              </w:rPr>
              <w:t>4）贮存设施地面与裙脚应采取表面防渗措施；表面防渗材料应与所接触的物料或污染物相容，可采用抗渗混凝土、高密度聚乙烯膜、钠基膨润土防水毯或其他防渗性能等效的材料。贮存的危险废物直接接触地面的，还应进行基础防渗，防渗层为至少1m厚黏土层（渗透系数不大于10</w:t>
            </w:r>
            <w:r>
              <w:rPr>
                <w:rFonts w:hint="eastAsia"/>
                <w:sz w:val="24"/>
                <w:vertAlign w:val="superscript"/>
              </w:rPr>
              <w:t>-7</w:t>
            </w:r>
            <w:r>
              <w:rPr>
                <w:rFonts w:hint="eastAsia"/>
                <w:sz w:val="24"/>
              </w:rPr>
              <w:t>cm/s），或至少2mm厚高密度聚乙烯膜等人工防渗材料（渗透系数不大于10</w:t>
            </w:r>
            <w:r>
              <w:rPr>
                <w:rFonts w:hint="eastAsia"/>
                <w:sz w:val="24"/>
                <w:vertAlign w:val="superscript"/>
              </w:rPr>
              <w:t>-10</w:t>
            </w:r>
            <w:r>
              <w:rPr>
                <w:rFonts w:hint="eastAsia"/>
                <w:sz w:val="24"/>
              </w:rPr>
              <w:t>cm/s），或其他防渗性能等效的材料。</w:t>
            </w:r>
          </w:p>
          <w:p>
            <w:pPr>
              <w:adjustRightInd w:val="0"/>
              <w:snapToGrid w:val="0"/>
              <w:spacing w:line="360" w:lineRule="auto"/>
              <w:ind w:firstLine="480" w:firstLineChars="200"/>
              <w:rPr>
                <w:sz w:val="24"/>
              </w:rPr>
            </w:pPr>
            <w:r>
              <w:rPr>
                <w:rFonts w:hint="eastAsia"/>
                <w:sz w:val="24"/>
              </w:rPr>
              <w:t>5）同一贮存设施宜采用相同的防渗、防腐工艺（包括防渗、防腐结构或材料），防渗、防腐材料应覆盖所有可能与废物及其渗滤液、渗漏液等接触的构筑物表面；采用不同防渗、防腐工艺应分别建设贮存分区。</w:t>
            </w:r>
          </w:p>
          <w:p>
            <w:pPr>
              <w:adjustRightInd w:val="0"/>
              <w:snapToGrid w:val="0"/>
              <w:spacing w:line="360" w:lineRule="auto"/>
              <w:ind w:firstLine="480" w:firstLineChars="200"/>
              <w:rPr>
                <w:sz w:val="24"/>
              </w:rPr>
            </w:pPr>
            <w:r>
              <w:rPr>
                <w:rFonts w:hint="eastAsia"/>
                <w:sz w:val="24"/>
              </w:rPr>
              <w:t>6）贮存设施应采取技术和管理措施防止无关人员进入。</w:t>
            </w:r>
          </w:p>
          <w:p>
            <w:pPr>
              <w:adjustRightInd w:val="0"/>
              <w:snapToGrid w:val="0"/>
              <w:spacing w:line="360" w:lineRule="auto"/>
              <w:ind w:firstLine="480" w:firstLineChars="200"/>
              <w:rPr>
                <w:sz w:val="24"/>
              </w:rPr>
            </w:pPr>
            <w:r>
              <w:rPr>
                <w:rFonts w:hint="eastAsia"/>
                <w:sz w:val="24"/>
              </w:rPr>
              <w:t>7）贮存库内不同贮存分区之间应采取隔离措施。隔离措施可根据危险废物特性采用过道、隔板或隔墙等方式。</w:t>
            </w:r>
          </w:p>
          <w:p>
            <w:pPr>
              <w:adjustRightInd w:val="0"/>
              <w:snapToGrid w:val="0"/>
              <w:spacing w:line="360" w:lineRule="auto"/>
              <w:ind w:firstLine="480" w:firstLineChars="200"/>
              <w:rPr>
                <w:sz w:val="24"/>
              </w:rPr>
            </w:pPr>
            <w:r>
              <w:rPr>
                <w:rFonts w:hint="eastAsia"/>
                <w:sz w:val="24"/>
              </w:rPr>
              <w:t>8）在贮存库内或通过贮存分区方式贮存液态危险废物的，应具有液体泄漏堵截设施，堵截设施最小容积不应低于对应贮存区域最大液态废物容器容积或液态废物总储量1/10（二者取较大者）；用于贮存可能产生渗滤液的危险废物的贮存库或贮存分区应设计渗滤液收集设施，收集设施容积应满足渗滤液的收集要求。</w:t>
            </w:r>
          </w:p>
          <w:p>
            <w:pPr>
              <w:adjustRightInd w:val="0"/>
              <w:snapToGrid w:val="0"/>
              <w:spacing w:line="360" w:lineRule="auto"/>
              <w:ind w:firstLine="480" w:firstLineChars="200"/>
              <w:rPr>
                <w:sz w:val="24"/>
              </w:rPr>
            </w:pPr>
            <w:r>
              <w:rPr>
                <w:rFonts w:hint="eastAsia"/>
                <w:sz w:val="24"/>
              </w:rPr>
              <w:t>C、危险废物的处置</w:t>
            </w:r>
          </w:p>
          <w:p>
            <w:pPr>
              <w:adjustRightInd w:val="0"/>
              <w:snapToGrid w:val="0"/>
              <w:spacing w:line="360" w:lineRule="auto"/>
              <w:ind w:firstLine="480" w:firstLineChars="200"/>
              <w:rPr>
                <w:sz w:val="24"/>
              </w:rPr>
            </w:pPr>
            <w:r>
              <w:rPr>
                <w:rFonts w:hint="eastAsia"/>
                <w:sz w:val="24"/>
              </w:rPr>
              <w:t>1）对于危废，企业应履行申报的登记制度、建立危险废物台账制度，认真、仔细记录危险废物产生、贮存、转移处置或利用情况，对每批出入暂存场所的废物要进行清点计量。台账应留存备查，台账应至少保留</w:t>
            </w:r>
            <w:r>
              <w:rPr>
                <w:rFonts w:hint="eastAsia"/>
                <w:sz w:val="24"/>
                <w:lang w:val="en-US" w:eastAsia="zh-CN"/>
              </w:rPr>
              <w:t>10</w:t>
            </w:r>
            <w:r>
              <w:rPr>
                <w:rFonts w:hint="eastAsia"/>
                <w:sz w:val="24"/>
              </w:rPr>
              <w:t>年。</w:t>
            </w:r>
          </w:p>
          <w:p>
            <w:pPr>
              <w:adjustRightInd w:val="0"/>
              <w:snapToGrid w:val="0"/>
              <w:spacing w:line="360" w:lineRule="auto"/>
              <w:ind w:firstLine="480" w:firstLineChars="200"/>
              <w:rPr>
                <w:sz w:val="24"/>
              </w:rPr>
            </w:pPr>
            <w:r>
              <w:rPr>
                <w:rFonts w:hint="eastAsia"/>
                <w:sz w:val="24"/>
              </w:rPr>
              <w:t>2危险废物委托有资质和处置能力的单位进行处置。</w:t>
            </w:r>
          </w:p>
          <w:p>
            <w:pPr>
              <w:adjustRightInd w:val="0"/>
              <w:snapToGrid w:val="0"/>
              <w:spacing w:line="360" w:lineRule="auto"/>
              <w:ind w:firstLine="480" w:firstLineChars="200"/>
              <w:rPr>
                <w:sz w:val="24"/>
              </w:rPr>
            </w:pPr>
            <w:r>
              <w:rPr>
                <w:rFonts w:hint="eastAsia"/>
                <w:sz w:val="24"/>
              </w:rPr>
              <w:t>3）要严格执行危险废物转移报批制度，按照国家有关规定报批危险废物转移计划。</w:t>
            </w:r>
          </w:p>
          <w:p>
            <w:pPr>
              <w:adjustRightInd w:val="0"/>
              <w:snapToGrid w:val="0"/>
              <w:spacing w:line="360" w:lineRule="auto"/>
              <w:ind w:firstLine="480" w:firstLineChars="200"/>
              <w:rPr>
                <w:sz w:val="24"/>
              </w:rPr>
            </w:pPr>
            <w:r>
              <w:rPr>
                <w:rFonts w:hint="eastAsia"/>
                <w:sz w:val="24"/>
              </w:rPr>
              <w:t>4）要严格执行危险废物转移联单制度。每转移一车（次）同类危险废物均要认真填写转移五联单，并必须按规定委托有盖有道路危险货物运输专用章的《道路运输经营许可证》和《道路运输营运证》的单位运输。</w:t>
            </w:r>
          </w:p>
          <w:p>
            <w:pPr>
              <w:adjustRightInd w:val="0"/>
              <w:snapToGrid w:val="0"/>
              <w:spacing w:line="360" w:lineRule="auto"/>
              <w:ind w:firstLine="480" w:firstLineChars="200"/>
              <w:rPr>
                <w:rFonts w:hint="eastAsia" w:eastAsia="宋体"/>
                <w:sz w:val="24"/>
                <w:lang w:eastAsia="zh-CN"/>
              </w:rPr>
            </w:pPr>
            <w:r>
              <w:rPr>
                <w:rFonts w:hint="eastAsia"/>
                <w:sz w:val="24"/>
              </w:rPr>
              <w:t>5）企业要加强对危险废物的日常管理，配备专职管理人员，明确岗位职责，健全危险废物管理制度和管理台帐；定期对危险废物收集、贮存、利用、转移、处置等环节的安全防范措施进行检查，防止散、洒、滴、漏等现象发生。</w:t>
            </w:r>
          </w:p>
          <w:p>
            <w:pPr>
              <w:adjustRightInd w:val="0"/>
              <w:snapToGrid w:val="0"/>
              <w:spacing w:line="360" w:lineRule="auto"/>
              <w:ind w:firstLine="480" w:firstLineChars="200"/>
              <w:rPr>
                <w:sz w:val="24"/>
              </w:rPr>
            </w:pPr>
            <w:r>
              <w:rPr>
                <w:rFonts w:hint="eastAsia"/>
                <w:sz w:val="24"/>
              </w:rPr>
              <w:t>综上所述，项目运营期各类固体废物均得到合理的处置，不会对环境造成影响。</w:t>
            </w:r>
          </w:p>
          <w:p>
            <w:pPr>
              <w:adjustRightInd w:val="0"/>
              <w:snapToGrid w:val="0"/>
              <w:spacing w:line="360" w:lineRule="auto"/>
              <w:ind w:firstLine="482" w:firstLineChars="200"/>
              <w:rPr>
                <w:b/>
                <w:bCs/>
                <w:sz w:val="24"/>
              </w:rPr>
            </w:pPr>
            <w:r>
              <w:rPr>
                <w:rFonts w:hint="eastAsia"/>
                <w:b/>
                <w:bCs/>
                <w:sz w:val="24"/>
              </w:rPr>
              <w:t>五、地下水和土壤</w:t>
            </w:r>
          </w:p>
          <w:p>
            <w:pPr>
              <w:adjustRightInd w:val="0"/>
              <w:snapToGrid w:val="0"/>
              <w:spacing w:line="360" w:lineRule="auto"/>
              <w:ind w:firstLine="482" w:firstLineChars="200"/>
              <w:rPr>
                <w:b/>
                <w:bCs/>
                <w:sz w:val="24"/>
              </w:rPr>
            </w:pPr>
            <w:r>
              <w:rPr>
                <w:rFonts w:hint="eastAsia"/>
                <w:b/>
                <w:bCs/>
                <w:sz w:val="24"/>
              </w:rPr>
              <w:t>1、污染源及污染途径</w:t>
            </w:r>
          </w:p>
          <w:p>
            <w:pPr>
              <w:adjustRightInd w:val="0"/>
              <w:snapToGrid w:val="0"/>
              <w:spacing w:line="360" w:lineRule="auto"/>
              <w:ind w:firstLine="480" w:firstLineChars="200"/>
              <w:rPr>
                <w:sz w:val="24"/>
              </w:rPr>
            </w:pPr>
            <w:r>
              <w:rPr>
                <w:rFonts w:hint="eastAsia"/>
                <w:sz w:val="24"/>
                <w:lang w:eastAsia="zh-CN"/>
              </w:rPr>
              <w:t>项目</w:t>
            </w:r>
            <w:r>
              <w:rPr>
                <w:rFonts w:hint="eastAsia"/>
                <w:sz w:val="24"/>
              </w:rPr>
              <w:t>地下水和土壤污染情况见下表。</w:t>
            </w:r>
          </w:p>
          <w:p>
            <w:pPr>
              <w:adjustRightInd w:val="0"/>
              <w:snapToGrid w:val="0"/>
              <w:jc w:val="center"/>
              <w:rPr>
                <w:b/>
                <w:bCs/>
                <w:szCs w:val="21"/>
                <w:lang w:val="zh-CN"/>
              </w:rPr>
            </w:pPr>
            <w:r>
              <w:rPr>
                <w:rFonts w:hint="eastAsia"/>
                <w:b/>
                <w:bCs/>
                <w:szCs w:val="21"/>
                <w:lang w:val="zh-CN"/>
              </w:rPr>
              <w:t>表</w:t>
            </w:r>
            <w:r>
              <w:rPr>
                <w:rFonts w:hint="eastAsia"/>
                <w:b/>
                <w:bCs/>
                <w:szCs w:val="21"/>
              </w:rPr>
              <w:t>4-13</w:t>
            </w:r>
            <w:r>
              <w:rPr>
                <w:rFonts w:hint="eastAsia"/>
                <w:b/>
                <w:bCs/>
                <w:szCs w:val="21"/>
                <w:lang w:val="zh-CN"/>
              </w:rPr>
              <w:t>地下水和土壤环境影响因子识别</w:t>
            </w:r>
          </w:p>
          <w:tbl>
            <w:tblPr>
              <w:tblStyle w:val="30"/>
              <w:tblW w:w="8667" w:type="dxa"/>
              <w:tblInd w:w="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1560"/>
              <w:gridCol w:w="1080"/>
              <w:gridCol w:w="1596"/>
              <w:gridCol w:w="1512"/>
              <w:gridCol w:w="8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33"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b/>
                      <w:bCs/>
                      <w:szCs w:val="21"/>
                    </w:rPr>
                    <w:t>污染源</w:t>
                  </w:r>
                </w:p>
              </w:tc>
              <w:tc>
                <w:tcPr>
                  <w:tcW w:w="1560"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b/>
                      <w:bCs/>
                      <w:szCs w:val="21"/>
                    </w:rPr>
                    <w:t>产污节点</w:t>
                  </w:r>
                </w:p>
              </w:tc>
              <w:tc>
                <w:tcPr>
                  <w:tcW w:w="1080"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b/>
                      <w:bCs/>
                      <w:szCs w:val="21"/>
                    </w:rPr>
                    <w:t>污染途径</w:t>
                  </w:r>
                </w:p>
              </w:tc>
              <w:tc>
                <w:tcPr>
                  <w:tcW w:w="1596"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b/>
                      <w:bCs/>
                      <w:szCs w:val="21"/>
                    </w:rPr>
                    <w:t>污染物指标</w:t>
                  </w:r>
                </w:p>
              </w:tc>
              <w:tc>
                <w:tcPr>
                  <w:tcW w:w="1512"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b/>
                      <w:bCs/>
                      <w:szCs w:val="21"/>
                    </w:rPr>
                    <w:t>特征污染因子</w:t>
                  </w:r>
                </w:p>
              </w:tc>
              <w:tc>
                <w:tcPr>
                  <w:tcW w:w="886"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33" w:type="dxa"/>
                  <w:tcBorders>
                    <w:tl2br w:val="nil"/>
                    <w:tr2bl w:val="nil"/>
                  </w:tcBorders>
                  <w:vAlign w:val="center"/>
                </w:tcPr>
                <w:p>
                  <w:pPr>
                    <w:adjustRightInd w:val="0"/>
                    <w:snapToGrid w:val="0"/>
                    <w:jc w:val="center"/>
                    <w:rPr>
                      <w:rFonts w:ascii="Calibri" w:hAnsi="Calibri" w:cs="Calibri"/>
                      <w:b/>
                      <w:bCs/>
                      <w:szCs w:val="21"/>
                    </w:rPr>
                  </w:pPr>
                  <w:r>
                    <w:rPr>
                      <w:rFonts w:hint="eastAsia" w:ascii="Calibri" w:hAnsi="Calibri" w:cs="Calibri"/>
                      <w:szCs w:val="21"/>
                    </w:rPr>
                    <w:t>废机油、废液压油、废含有抹布及手套</w:t>
                  </w:r>
                </w:p>
              </w:tc>
              <w:tc>
                <w:tcPr>
                  <w:tcW w:w="1560" w:type="dxa"/>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设备维修</w:t>
                  </w:r>
                </w:p>
              </w:tc>
              <w:tc>
                <w:tcPr>
                  <w:tcW w:w="1080" w:type="dxa"/>
                  <w:vMerge w:val="restart"/>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垂直入渗</w:t>
                  </w:r>
                </w:p>
              </w:tc>
              <w:tc>
                <w:tcPr>
                  <w:tcW w:w="1596" w:type="dxa"/>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石油类、石油烃</w:t>
                  </w:r>
                </w:p>
              </w:tc>
              <w:tc>
                <w:tcPr>
                  <w:tcW w:w="1512" w:type="dxa"/>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石油类、石油烃</w:t>
                  </w:r>
                </w:p>
              </w:tc>
              <w:tc>
                <w:tcPr>
                  <w:tcW w:w="886" w:type="dxa"/>
                  <w:vMerge w:val="restart"/>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事故状态渗漏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33" w:type="dxa"/>
                  <w:tcBorders>
                    <w:tl2br w:val="nil"/>
                    <w:tr2bl w:val="nil"/>
                  </w:tcBorders>
                </w:tcPr>
                <w:p>
                  <w:pPr>
                    <w:adjustRightInd w:val="0"/>
                    <w:snapToGrid w:val="0"/>
                    <w:jc w:val="center"/>
                    <w:rPr>
                      <w:rFonts w:hint="eastAsia" w:ascii="Calibri" w:hAnsi="Calibri" w:eastAsia="宋体" w:cs="Calibri"/>
                      <w:szCs w:val="21"/>
                      <w:lang w:eastAsia="zh-CN"/>
                    </w:rPr>
                  </w:pPr>
                  <w:r>
                    <w:rPr>
                      <w:rFonts w:hint="eastAsia" w:ascii="Calibri" w:hAnsi="Calibri" w:cs="Calibri"/>
                      <w:szCs w:val="21"/>
                      <w:lang w:eastAsia="zh-CN"/>
                    </w:rPr>
                    <w:t>铝材表面处理废水和清洗废水</w:t>
                  </w:r>
                </w:p>
              </w:tc>
              <w:tc>
                <w:tcPr>
                  <w:tcW w:w="1560" w:type="dxa"/>
                  <w:tcBorders>
                    <w:tl2br w:val="nil"/>
                    <w:tr2bl w:val="nil"/>
                  </w:tcBorders>
                </w:tcPr>
                <w:p>
                  <w:pPr>
                    <w:adjustRightInd w:val="0"/>
                    <w:snapToGrid w:val="0"/>
                    <w:jc w:val="center"/>
                    <w:rPr>
                      <w:rFonts w:ascii="Calibri" w:hAnsi="Calibri" w:cs="Calibri"/>
                      <w:szCs w:val="21"/>
                    </w:rPr>
                  </w:pPr>
                  <w:r>
                    <w:rPr>
                      <w:rFonts w:hint="eastAsia" w:ascii="Calibri" w:hAnsi="Calibri" w:cs="Calibri"/>
                      <w:szCs w:val="21"/>
                    </w:rPr>
                    <w:t>清洗</w:t>
                  </w:r>
                </w:p>
              </w:tc>
              <w:tc>
                <w:tcPr>
                  <w:tcW w:w="1080" w:type="dxa"/>
                  <w:vMerge w:val="continue"/>
                  <w:tcBorders>
                    <w:tl2br w:val="nil"/>
                    <w:tr2bl w:val="nil"/>
                  </w:tcBorders>
                </w:tcPr>
                <w:p>
                  <w:pPr>
                    <w:adjustRightInd w:val="0"/>
                    <w:snapToGrid w:val="0"/>
                    <w:jc w:val="center"/>
                    <w:rPr>
                      <w:rFonts w:ascii="Calibri" w:hAnsi="Calibri" w:cs="Calibri"/>
                      <w:szCs w:val="21"/>
                    </w:rPr>
                  </w:pPr>
                </w:p>
              </w:tc>
              <w:tc>
                <w:tcPr>
                  <w:tcW w:w="1596" w:type="dxa"/>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废水</w:t>
                  </w:r>
                </w:p>
              </w:tc>
              <w:tc>
                <w:tcPr>
                  <w:tcW w:w="1512" w:type="dxa"/>
                  <w:tcBorders>
                    <w:tl2br w:val="nil"/>
                    <w:tr2bl w:val="nil"/>
                  </w:tcBorders>
                  <w:vAlign w:val="center"/>
                </w:tcPr>
                <w:p>
                  <w:pPr>
                    <w:adjustRightInd w:val="0"/>
                    <w:snapToGrid w:val="0"/>
                    <w:jc w:val="center"/>
                    <w:rPr>
                      <w:rFonts w:ascii="Calibri" w:hAnsi="Calibri" w:cs="Calibri"/>
                      <w:szCs w:val="21"/>
                    </w:rPr>
                  </w:pPr>
                  <w:r>
                    <w:rPr>
                      <w:rFonts w:hint="eastAsia" w:ascii="Calibri" w:hAnsi="Calibri" w:cs="Calibri"/>
                      <w:szCs w:val="21"/>
                    </w:rPr>
                    <w:t>COD、石油类、SS</w:t>
                  </w:r>
                </w:p>
              </w:tc>
              <w:tc>
                <w:tcPr>
                  <w:tcW w:w="886" w:type="dxa"/>
                  <w:vMerge w:val="continue"/>
                  <w:tcBorders>
                    <w:tl2br w:val="nil"/>
                    <w:tr2bl w:val="nil"/>
                  </w:tcBorders>
                </w:tcPr>
                <w:p>
                  <w:pPr>
                    <w:adjustRightInd w:val="0"/>
                    <w:snapToGrid w:val="0"/>
                    <w:rPr>
                      <w:rFonts w:ascii="Calibri" w:hAnsi="Calibri" w:cs="Calibri"/>
                      <w:szCs w:val="21"/>
                    </w:rPr>
                  </w:pPr>
                </w:p>
              </w:tc>
            </w:tr>
          </w:tbl>
          <w:p>
            <w:pPr>
              <w:adjustRightInd w:val="0"/>
              <w:snapToGrid w:val="0"/>
              <w:spacing w:line="360" w:lineRule="auto"/>
              <w:ind w:firstLine="482" w:firstLineChars="200"/>
              <w:rPr>
                <w:b/>
                <w:bCs/>
                <w:sz w:val="24"/>
              </w:rPr>
            </w:pPr>
            <w:r>
              <w:rPr>
                <w:rFonts w:hint="eastAsia"/>
                <w:b/>
                <w:bCs/>
                <w:sz w:val="24"/>
              </w:rPr>
              <w:t>2、环境影响分析</w:t>
            </w:r>
          </w:p>
          <w:p>
            <w:pPr>
              <w:adjustRightInd w:val="0"/>
              <w:snapToGrid w:val="0"/>
              <w:spacing w:line="360" w:lineRule="auto"/>
              <w:ind w:firstLine="480" w:firstLineChars="200"/>
              <w:rPr>
                <w:sz w:val="24"/>
              </w:rPr>
            </w:pPr>
            <w:r>
              <w:rPr>
                <w:rFonts w:hint="eastAsia"/>
                <w:sz w:val="24"/>
              </w:rPr>
              <w:t>废机油、废液压油、废</w:t>
            </w:r>
            <w:r>
              <w:rPr>
                <w:sz w:val="24"/>
              </w:rPr>
              <w:t>含油抹布</w:t>
            </w:r>
            <w:r>
              <w:rPr>
                <w:rFonts w:hint="eastAsia"/>
                <w:sz w:val="24"/>
              </w:rPr>
              <w:t>及</w:t>
            </w:r>
            <w:r>
              <w:rPr>
                <w:sz w:val="24"/>
              </w:rPr>
              <w:t>手套</w:t>
            </w:r>
            <w:r>
              <w:rPr>
                <w:rFonts w:hint="eastAsia"/>
                <w:sz w:val="24"/>
              </w:rPr>
              <w:t>收集后暂存于为危废贮存库内，废渣、泥饼、清洗水位于污水处理站，项目生产车间采用混凝土硬化，污水处理站及危废贮存库按照要求采取环氧树脂对地面进行了防渗处理，不会对土壤及地下水环境产生影响。</w:t>
            </w:r>
          </w:p>
          <w:p>
            <w:pPr>
              <w:adjustRightInd w:val="0"/>
              <w:snapToGrid w:val="0"/>
              <w:spacing w:line="360" w:lineRule="auto"/>
              <w:ind w:firstLine="482" w:firstLineChars="200"/>
              <w:rPr>
                <w:b/>
                <w:bCs/>
                <w:sz w:val="24"/>
              </w:rPr>
            </w:pPr>
            <w:r>
              <w:rPr>
                <w:rFonts w:hint="eastAsia"/>
                <w:b/>
                <w:bCs/>
                <w:sz w:val="24"/>
              </w:rPr>
              <w:t>3、污染防控措施</w:t>
            </w:r>
          </w:p>
          <w:p>
            <w:pPr>
              <w:adjustRightInd w:val="0"/>
              <w:snapToGrid w:val="0"/>
              <w:spacing w:line="360" w:lineRule="auto"/>
              <w:ind w:firstLine="480" w:firstLineChars="200"/>
              <w:rPr>
                <w:sz w:val="24"/>
                <w:lang w:val="zh-CN"/>
              </w:rPr>
            </w:pPr>
            <w:r>
              <w:rPr>
                <w:rFonts w:hint="eastAsia"/>
                <w:sz w:val="24"/>
              </w:rPr>
              <w:t>A、</w:t>
            </w:r>
            <w:r>
              <w:rPr>
                <w:rFonts w:hint="eastAsia"/>
                <w:sz w:val="24"/>
                <w:lang w:val="zh-CN"/>
              </w:rPr>
              <w:t>源头防治措施</w:t>
            </w:r>
          </w:p>
          <w:p>
            <w:pPr>
              <w:adjustRightInd w:val="0"/>
              <w:snapToGrid w:val="0"/>
              <w:spacing w:line="360" w:lineRule="auto"/>
              <w:ind w:firstLine="480" w:firstLineChars="200"/>
              <w:rPr>
                <w:sz w:val="24"/>
                <w:lang w:val="zh-CN"/>
              </w:rPr>
            </w:pPr>
            <w:r>
              <w:rPr>
                <w:rFonts w:hint="eastAsia"/>
                <w:sz w:val="24"/>
                <w:lang w:val="zh-CN"/>
              </w:rPr>
              <w:t>①加强废机油等危废暂存收容措施，定期清运，减少储存量。</w:t>
            </w:r>
          </w:p>
          <w:p>
            <w:pPr>
              <w:adjustRightInd w:val="0"/>
              <w:snapToGrid w:val="0"/>
              <w:spacing w:line="360" w:lineRule="auto"/>
              <w:ind w:firstLine="480" w:firstLineChars="200"/>
              <w:rPr>
                <w:sz w:val="24"/>
                <w:lang w:val="zh-CN"/>
              </w:rPr>
            </w:pPr>
            <w:r>
              <w:rPr>
                <w:rFonts w:hint="eastAsia"/>
                <w:sz w:val="24"/>
                <w:lang w:val="zh-CN"/>
              </w:rPr>
              <w:t>②加强生产设备检修，杜绝</w:t>
            </w:r>
            <w:r>
              <w:rPr>
                <w:rFonts w:hint="eastAsia"/>
                <w:sz w:val="24"/>
              </w:rPr>
              <w:t>机油</w:t>
            </w:r>
            <w:r>
              <w:rPr>
                <w:rFonts w:hint="eastAsia"/>
                <w:sz w:val="24"/>
                <w:lang w:val="zh-CN"/>
              </w:rPr>
              <w:t>的跑冒滴漏。</w:t>
            </w:r>
          </w:p>
          <w:p>
            <w:pPr>
              <w:adjustRightInd w:val="0"/>
              <w:snapToGrid w:val="0"/>
              <w:spacing w:line="360" w:lineRule="auto"/>
              <w:ind w:firstLine="480" w:firstLineChars="200"/>
              <w:rPr>
                <w:sz w:val="24"/>
                <w:lang w:val="zh-CN"/>
              </w:rPr>
            </w:pPr>
            <w:r>
              <w:rPr>
                <w:rFonts w:hint="eastAsia"/>
                <w:sz w:val="24"/>
              </w:rPr>
              <w:t>B、</w:t>
            </w:r>
            <w:r>
              <w:rPr>
                <w:rFonts w:hint="eastAsia"/>
                <w:sz w:val="24"/>
                <w:lang w:val="zh-CN"/>
              </w:rPr>
              <w:t>防渗措施</w:t>
            </w:r>
          </w:p>
          <w:p>
            <w:pPr>
              <w:adjustRightInd w:val="0"/>
              <w:snapToGrid w:val="0"/>
              <w:spacing w:line="360" w:lineRule="auto"/>
              <w:ind w:firstLine="480" w:firstLineChars="200"/>
              <w:rPr>
                <w:sz w:val="24"/>
              </w:rPr>
            </w:pPr>
            <w:r>
              <w:rPr>
                <w:rFonts w:hint="eastAsia"/>
                <w:sz w:val="24"/>
                <w:lang w:val="zh-CN"/>
              </w:rPr>
              <w:t>本次环评按照一般防渗区要求对生产车间进行防渗处理，要求如下。</w:t>
            </w:r>
          </w:p>
          <w:p>
            <w:pPr>
              <w:adjustRightInd w:val="0"/>
              <w:snapToGrid w:val="0"/>
              <w:jc w:val="center"/>
              <w:rPr>
                <w:b/>
                <w:bCs/>
                <w:szCs w:val="21"/>
                <w:lang w:val="zh-CN"/>
              </w:rPr>
            </w:pPr>
            <w:r>
              <w:rPr>
                <w:rFonts w:hint="eastAsia"/>
                <w:b/>
                <w:bCs/>
                <w:szCs w:val="21"/>
                <w:lang w:val="zh-CN"/>
              </w:rPr>
              <w:t>表</w:t>
            </w:r>
            <w:r>
              <w:rPr>
                <w:rFonts w:hint="eastAsia"/>
                <w:b/>
                <w:bCs/>
                <w:szCs w:val="21"/>
              </w:rPr>
              <w:t>4-14</w:t>
            </w:r>
            <w:r>
              <w:rPr>
                <w:rFonts w:hint="eastAsia"/>
                <w:b/>
                <w:bCs/>
                <w:szCs w:val="21"/>
                <w:lang w:val="zh-CN"/>
              </w:rPr>
              <w:t>防渗措施要求</w:t>
            </w:r>
          </w:p>
          <w:tbl>
            <w:tblPr>
              <w:tblStyle w:val="29"/>
              <w:tblW w:w="86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320"/>
              <w:gridCol w:w="1016"/>
              <w:gridCol w:w="4126"/>
              <w:gridCol w:w="14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814" w:type="dxa"/>
                  <w:vAlign w:val="center"/>
                </w:tcPr>
                <w:p>
                  <w:pPr>
                    <w:adjustRightInd w:val="0"/>
                    <w:snapToGrid w:val="0"/>
                    <w:jc w:val="center"/>
                    <w:rPr>
                      <w:b/>
                      <w:bCs/>
                    </w:rPr>
                  </w:pPr>
                  <w:r>
                    <w:rPr>
                      <w:rFonts w:hint="eastAsia"/>
                      <w:b/>
                      <w:bCs/>
                    </w:rPr>
                    <w:t>序号</w:t>
                  </w:r>
                </w:p>
              </w:tc>
              <w:tc>
                <w:tcPr>
                  <w:tcW w:w="1320" w:type="dxa"/>
                  <w:vAlign w:val="center"/>
                </w:tcPr>
                <w:p>
                  <w:pPr>
                    <w:adjustRightInd w:val="0"/>
                    <w:snapToGrid w:val="0"/>
                    <w:jc w:val="center"/>
                    <w:rPr>
                      <w:b/>
                      <w:bCs/>
                    </w:rPr>
                  </w:pPr>
                  <w:r>
                    <w:rPr>
                      <w:b/>
                      <w:bCs/>
                    </w:rPr>
                    <w:t>污染</w:t>
                  </w:r>
                  <w:r>
                    <w:rPr>
                      <w:rFonts w:hint="eastAsia"/>
                      <w:b/>
                      <w:bCs/>
                    </w:rPr>
                    <w:t>分区</w:t>
                  </w:r>
                </w:p>
              </w:tc>
              <w:tc>
                <w:tcPr>
                  <w:tcW w:w="1016" w:type="dxa"/>
                  <w:vAlign w:val="center"/>
                </w:tcPr>
                <w:p>
                  <w:pPr>
                    <w:adjustRightInd w:val="0"/>
                    <w:snapToGrid w:val="0"/>
                    <w:jc w:val="center"/>
                    <w:rPr>
                      <w:b/>
                      <w:bCs/>
                    </w:rPr>
                  </w:pPr>
                  <w:r>
                    <w:rPr>
                      <w:rFonts w:hint="eastAsia"/>
                      <w:b/>
                      <w:bCs/>
                    </w:rPr>
                    <w:t>名称</w:t>
                  </w:r>
                </w:p>
              </w:tc>
              <w:tc>
                <w:tcPr>
                  <w:tcW w:w="4126" w:type="dxa"/>
                  <w:vAlign w:val="center"/>
                </w:tcPr>
                <w:p>
                  <w:pPr>
                    <w:adjustRightInd w:val="0"/>
                    <w:snapToGrid w:val="0"/>
                    <w:jc w:val="center"/>
                    <w:rPr>
                      <w:b/>
                      <w:bCs/>
                    </w:rPr>
                  </w:pPr>
                  <w:r>
                    <w:rPr>
                      <w:rFonts w:hint="eastAsia"/>
                      <w:b/>
                      <w:bCs/>
                    </w:rPr>
                    <w:t>防渗及防腐措施</w:t>
                  </w:r>
                </w:p>
              </w:tc>
              <w:tc>
                <w:tcPr>
                  <w:tcW w:w="1401" w:type="dxa"/>
                  <w:vAlign w:val="center"/>
                </w:tcPr>
                <w:p>
                  <w:pPr>
                    <w:adjustRightInd w:val="0"/>
                    <w:snapToGrid w:val="0"/>
                    <w:jc w:val="center"/>
                    <w:rPr>
                      <w:b/>
                      <w:bCs/>
                    </w:rPr>
                  </w:pPr>
                  <w:r>
                    <w:rPr>
                      <w:rFonts w:hint="eastAsia"/>
                      <w:b/>
                      <w:bCs/>
                    </w:rPr>
                    <w:t>防渗效果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03" w:hRule="atLeast"/>
                <w:jc w:val="center"/>
              </w:trPr>
              <w:tc>
                <w:tcPr>
                  <w:tcW w:w="814" w:type="dxa"/>
                  <w:vAlign w:val="center"/>
                </w:tcPr>
                <w:p>
                  <w:pPr>
                    <w:tabs>
                      <w:tab w:val="left" w:pos="360"/>
                    </w:tabs>
                    <w:adjustRightInd w:val="0"/>
                    <w:snapToGrid w:val="0"/>
                    <w:jc w:val="center"/>
                  </w:pPr>
                  <w:r>
                    <w:rPr>
                      <w:rFonts w:hint="eastAsia"/>
                    </w:rPr>
                    <w:t>1</w:t>
                  </w:r>
                </w:p>
              </w:tc>
              <w:tc>
                <w:tcPr>
                  <w:tcW w:w="1320" w:type="dxa"/>
                  <w:vAlign w:val="center"/>
                </w:tcPr>
                <w:p>
                  <w:pPr>
                    <w:tabs>
                      <w:tab w:val="left" w:pos="360"/>
                    </w:tabs>
                    <w:adjustRightInd w:val="0"/>
                    <w:snapToGrid w:val="0"/>
                    <w:jc w:val="center"/>
                  </w:pPr>
                  <w:r>
                    <w:rPr>
                      <w:rFonts w:hint="eastAsia"/>
                    </w:rPr>
                    <w:t>一般防渗区</w:t>
                  </w:r>
                </w:p>
              </w:tc>
              <w:tc>
                <w:tcPr>
                  <w:tcW w:w="1016" w:type="dxa"/>
                  <w:vAlign w:val="center"/>
                </w:tcPr>
                <w:p>
                  <w:pPr>
                    <w:tabs>
                      <w:tab w:val="left" w:pos="360"/>
                    </w:tabs>
                    <w:adjustRightInd w:val="0"/>
                    <w:snapToGrid w:val="0"/>
                    <w:jc w:val="center"/>
                  </w:pPr>
                  <w:r>
                    <w:rPr>
                      <w:rFonts w:hint="eastAsia"/>
                    </w:rPr>
                    <w:t>生产车间、办公区</w:t>
                  </w:r>
                </w:p>
              </w:tc>
              <w:tc>
                <w:tcPr>
                  <w:tcW w:w="4126" w:type="dxa"/>
                  <w:vAlign w:val="center"/>
                </w:tcPr>
                <w:p>
                  <w:pPr>
                    <w:tabs>
                      <w:tab w:val="left" w:pos="360"/>
                    </w:tabs>
                    <w:adjustRightInd w:val="0"/>
                    <w:snapToGrid w:val="0"/>
                    <w:jc w:val="center"/>
                  </w:pPr>
                  <w:r>
                    <w:rPr>
                      <w:rFonts w:hint="eastAsia"/>
                      <w:lang w:val="zh-CN"/>
                    </w:rPr>
                    <w:t>车间地面</w:t>
                  </w:r>
                  <w:r>
                    <w:rPr>
                      <w:rFonts w:hint="eastAsia"/>
                    </w:rPr>
                    <w:t>采用C25等级混凝土硬化处理，厚度不小于100mm</w:t>
                  </w:r>
                </w:p>
              </w:tc>
              <w:tc>
                <w:tcPr>
                  <w:tcW w:w="1401" w:type="dxa"/>
                  <w:vAlign w:val="center"/>
                </w:tcPr>
                <w:p>
                  <w:pPr>
                    <w:widowControl/>
                    <w:adjustRightInd w:val="0"/>
                    <w:snapToGrid w:val="0"/>
                    <w:jc w:val="center"/>
                  </w:pPr>
                  <w:r>
                    <w:rPr>
                      <w:rFonts w:hint="eastAsia" w:ascii="宋体" w:hAnsi="宋体" w:cs="宋体"/>
                      <w:kern w:val="0"/>
                      <w:szCs w:val="21"/>
                      <w:lang w:bidi="ar"/>
                    </w:rPr>
                    <w:t>防渗性能应与</w:t>
                  </w:r>
                  <w:r>
                    <w:rPr>
                      <w:kern w:val="0"/>
                      <w:szCs w:val="21"/>
                      <w:lang w:bidi="ar"/>
                    </w:rPr>
                    <w:t>1.5m</w:t>
                  </w:r>
                </w:p>
                <w:p>
                  <w:pPr>
                    <w:widowControl/>
                    <w:adjustRightInd w:val="0"/>
                    <w:snapToGrid w:val="0"/>
                    <w:jc w:val="center"/>
                  </w:pPr>
                  <w:r>
                    <w:rPr>
                      <w:rFonts w:hint="eastAsia" w:ascii="宋体" w:hAnsi="宋体" w:cs="宋体"/>
                      <w:kern w:val="0"/>
                      <w:szCs w:val="21"/>
                      <w:lang w:bidi="ar"/>
                    </w:rPr>
                    <w:t>厚粘土层（渗透系数</w:t>
                  </w:r>
                </w:p>
                <w:p>
                  <w:pPr>
                    <w:widowControl/>
                    <w:adjustRightInd w:val="0"/>
                    <w:snapToGrid w:val="0"/>
                    <w:jc w:val="center"/>
                  </w:pPr>
                  <w:r>
                    <w:rPr>
                      <w:kern w:val="0"/>
                      <w:szCs w:val="21"/>
                      <w:lang w:bidi="ar"/>
                    </w:rPr>
                    <w:t>≤1.0×10</w:t>
                  </w:r>
                  <w:r>
                    <w:rPr>
                      <w:kern w:val="0"/>
                      <w:szCs w:val="21"/>
                      <w:vertAlign w:val="superscript"/>
                      <w:lang w:bidi="ar"/>
                    </w:rPr>
                    <w:t>-7</w:t>
                  </w:r>
                  <w:r>
                    <w:rPr>
                      <w:kern w:val="0"/>
                      <w:szCs w:val="21"/>
                      <w:lang w:bidi="ar"/>
                    </w:rPr>
                    <w:t>cm/s</w:t>
                  </w:r>
                  <w:r>
                    <w:rPr>
                      <w:rFonts w:hint="eastAsia" w:ascii="宋体" w:hAnsi="宋体" w:cs="宋体"/>
                      <w:kern w:val="0"/>
                      <w:szCs w:val="21"/>
                      <w:lang w:bidi="ar"/>
                    </w:rPr>
                    <w:t>）等效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814" w:type="dxa"/>
                  <w:vAlign w:val="center"/>
                </w:tcPr>
                <w:p>
                  <w:pPr>
                    <w:tabs>
                      <w:tab w:val="left" w:pos="360"/>
                    </w:tabs>
                    <w:adjustRightInd w:val="0"/>
                    <w:snapToGrid w:val="0"/>
                    <w:jc w:val="center"/>
                  </w:pPr>
                  <w:r>
                    <w:rPr>
                      <w:rFonts w:hint="eastAsia"/>
                    </w:rPr>
                    <w:t>2</w:t>
                  </w:r>
                </w:p>
              </w:tc>
              <w:tc>
                <w:tcPr>
                  <w:tcW w:w="1320" w:type="dxa"/>
                  <w:vAlign w:val="center"/>
                </w:tcPr>
                <w:p>
                  <w:pPr>
                    <w:tabs>
                      <w:tab w:val="left" w:pos="360"/>
                    </w:tabs>
                    <w:adjustRightInd w:val="0"/>
                    <w:snapToGrid w:val="0"/>
                    <w:jc w:val="center"/>
                  </w:pPr>
                  <w:r>
                    <w:rPr>
                      <w:rFonts w:hint="eastAsia"/>
                    </w:rPr>
                    <w:t>重点防渗区</w:t>
                  </w:r>
                </w:p>
              </w:tc>
              <w:tc>
                <w:tcPr>
                  <w:tcW w:w="1016" w:type="dxa"/>
                  <w:vAlign w:val="center"/>
                </w:tcPr>
                <w:p>
                  <w:pPr>
                    <w:tabs>
                      <w:tab w:val="left" w:pos="360"/>
                    </w:tabs>
                    <w:adjustRightInd w:val="0"/>
                    <w:snapToGrid w:val="0"/>
                    <w:jc w:val="center"/>
                  </w:pPr>
                  <w:r>
                    <w:rPr>
                      <w:rFonts w:hint="eastAsia"/>
                    </w:rPr>
                    <w:t>污水处理站、危废贮存库、药品室</w:t>
                  </w:r>
                </w:p>
              </w:tc>
              <w:tc>
                <w:tcPr>
                  <w:tcW w:w="4126" w:type="dxa"/>
                  <w:vAlign w:val="center"/>
                </w:tcPr>
                <w:p>
                  <w:pPr>
                    <w:tabs>
                      <w:tab w:val="left" w:pos="360"/>
                    </w:tabs>
                    <w:adjustRightInd w:val="0"/>
                    <w:snapToGrid w:val="0"/>
                    <w:jc w:val="center"/>
                    <w:rPr>
                      <w:lang w:val="zh-CN"/>
                    </w:rPr>
                  </w:pPr>
                  <w:r>
                    <w:rPr>
                      <w:rFonts w:hint="eastAsia"/>
                      <w:lang w:val="zh-CN"/>
                    </w:rPr>
                    <w:t>暂存间地面采取底部用三合土铺底，再用水泥硬化，采用15~20cm抗渗钢筋混凝土浇筑，并铺设防渗材料和耐腐蚀材料，</w:t>
                  </w:r>
                  <w:r>
                    <w:rPr>
                      <w:rFonts w:hint="eastAsia"/>
                    </w:rPr>
                    <w:t>渗透系数小于10</w:t>
                  </w:r>
                  <w:r>
                    <w:rPr>
                      <w:rFonts w:hint="eastAsia"/>
                      <w:vertAlign w:val="superscript"/>
                    </w:rPr>
                    <w:t>-10</w:t>
                  </w:r>
                  <w:r>
                    <w:rPr>
                      <w:rFonts w:hint="eastAsia"/>
                    </w:rPr>
                    <w:t>cm/s，防渗材料按石油化工防渗工程技术规范（GBT50934-2013）相关要求选取</w:t>
                  </w:r>
                </w:p>
              </w:tc>
              <w:tc>
                <w:tcPr>
                  <w:tcW w:w="1401" w:type="dxa"/>
                  <w:vAlign w:val="center"/>
                </w:tcPr>
                <w:p>
                  <w:pPr>
                    <w:tabs>
                      <w:tab w:val="left" w:pos="360"/>
                    </w:tabs>
                    <w:adjustRightInd w:val="0"/>
                    <w:snapToGrid w:val="0"/>
                    <w:jc w:val="center"/>
                  </w:pPr>
                  <w:r>
                    <w:rPr>
                      <w:rFonts w:hint="eastAsia"/>
                    </w:rPr>
                    <w:t>渗透系数≤10</w:t>
                  </w:r>
                  <w:r>
                    <w:rPr>
                      <w:rFonts w:hint="eastAsia"/>
                      <w:vertAlign w:val="superscript"/>
                    </w:rPr>
                    <w:t>-10</w:t>
                  </w:r>
                  <w:r>
                    <w:rPr>
                      <w:rFonts w:hint="eastAsia"/>
                    </w:rPr>
                    <w:t>cm/s</w:t>
                  </w:r>
                </w:p>
              </w:tc>
            </w:tr>
          </w:tbl>
          <w:p>
            <w:pPr>
              <w:adjustRightInd w:val="0"/>
              <w:snapToGrid w:val="0"/>
              <w:spacing w:line="360" w:lineRule="auto"/>
              <w:ind w:firstLine="480" w:firstLineChars="200"/>
              <w:rPr>
                <w:sz w:val="24"/>
              </w:rPr>
            </w:pPr>
            <w:r>
              <w:rPr>
                <w:rFonts w:hint="eastAsia"/>
                <w:sz w:val="24"/>
              </w:rPr>
              <w:t>采取上述措施后，项目固废均能够得到合理妥善处置，不产生二次污染，对外环境影响较小。</w:t>
            </w:r>
          </w:p>
          <w:p>
            <w:pPr>
              <w:adjustRightInd w:val="0"/>
              <w:snapToGrid w:val="0"/>
              <w:spacing w:line="360" w:lineRule="auto"/>
              <w:ind w:firstLine="482" w:firstLineChars="200"/>
              <w:rPr>
                <w:b/>
                <w:bCs/>
                <w:sz w:val="24"/>
              </w:rPr>
            </w:pPr>
            <w:r>
              <w:rPr>
                <w:rFonts w:hint="eastAsia"/>
                <w:b/>
                <w:bCs/>
                <w:sz w:val="24"/>
              </w:rPr>
              <w:t>六、环境风险</w:t>
            </w:r>
          </w:p>
          <w:p>
            <w:pPr>
              <w:adjustRightInd w:val="0"/>
              <w:snapToGrid w:val="0"/>
              <w:spacing w:line="360" w:lineRule="auto"/>
              <w:ind w:firstLine="482" w:firstLineChars="200"/>
              <w:rPr>
                <w:b/>
                <w:bCs/>
                <w:sz w:val="24"/>
              </w:rPr>
            </w:pPr>
            <w:r>
              <w:rPr>
                <w:rFonts w:hint="eastAsia"/>
                <w:b/>
                <w:bCs/>
                <w:sz w:val="24"/>
              </w:rPr>
              <w:t>1、风险物质及储存情况</w:t>
            </w:r>
          </w:p>
          <w:p>
            <w:pPr>
              <w:adjustRightInd w:val="0"/>
              <w:snapToGrid w:val="0"/>
              <w:spacing w:line="360" w:lineRule="auto"/>
              <w:ind w:firstLine="480" w:firstLineChars="200"/>
              <w:rPr>
                <w:sz w:val="24"/>
              </w:rPr>
            </w:pPr>
            <w:r>
              <w:rPr>
                <w:rFonts w:hint="eastAsia"/>
                <w:sz w:val="24"/>
              </w:rPr>
              <w:t>根据《建设项目环境风险评价技术导则》（HJ169-2018），</w:t>
            </w:r>
            <w:r>
              <w:rPr>
                <w:rFonts w:hint="eastAsia"/>
                <w:sz w:val="24"/>
                <w:lang w:eastAsia="zh-CN"/>
              </w:rPr>
              <w:t>项目</w:t>
            </w:r>
            <w:r>
              <w:rPr>
                <w:rFonts w:hint="eastAsia"/>
                <w:sz w:val="24"/>
              </w:rPr>
              <w:t>主要危险物质为废液压油、废机油</w:t>
            </w:r>
            <w:r>
              <w:rPr>
                <w:rFonts w:hint="eastAsia"/>
                <w:sz w:val="24"/>
                <w:lang w:eastAsia="zh-CN"/>
              </w:rPr>
              <w:t>、</w:t>
            </w:r>
            <w:r>
              <w:rPr>
                <w:rFonts w:hint="eastAsia"/>
                <w:sz w:val="24"/>
                <w:lang w:val="en-US" w:eastAsia="zh-CN"/>
              </w:rPr>
              <w:t>铝材表面处理废水和清洗废水、铝材表面处理废液、硫酸、氢氟酸</w:t>
            </w:r>
            <w:r>
              <w:rPr>
                <w:rFonts w:hint="eastAsia"/>
                <w:sz w:val="24"/>
              </w:rPr>
              <w:t>等。</w:t>
            </w:r>
          </w:p>
          <w:p>
            <w:pPr>
              <w:adjustRightInd w:val="0"/>
              <w:snapToGrid w:val="0"/>
              <w:jc w:val="center"/>
              <w:rPr>
                <w:b/>
                <w:bCs/>
                <w:szCs w:val="21"/>
                <w:lang w:val="zh-CN"/>
              </w:rPr>
            </w:pPr>
            <w:r>
              <w:rPr>
                <w:b/>
                <w:bCs/>
                <w:szCs w:val="21"/>
                <w:lang w:val="zh-CN"/>
              </w:rPr>
              <w:t>表</w:t>
            </w:r>
            <w:r>
              <w:rPr>
                <w:b/>
                <w:bCs/>
                <w:szCs w:val="21"/>
              </w:rPr>
              <w:t>4-</w:t>
            </w:r>
            <w:r>
              <w:rPr>
                <w:rFonts w:hint="eastAsia"/>
                <w:b/>
                <w:bCs/>
                <w:szCs w:val="21"/>
              </w:rPr>
              <w:t>15</w:t>
            </w:r>
            <w:r>
              <w:rPr>
                <w:b/>
                <w:bCs/>
                <w:szCs w:val="21"/>
                <w:lang w:val="zh-CN"/>
              </w:rPr>
              <w:t>环境风险物质临界量判定表</w:t>
            </w:r>
          </w:p>
          <w:tbl>
            <w:tblPr>
              <w:tblStyle w:val="30"/>
              <w:tblW w:w="869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44"/>
              <w:gridCol w:w="1945"/>
              <w:gridCol w:w="2382"/>
              <w:gridCol w:w="14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85" w:type="dxa"/>
                  <w:tcBorders>
                    <w:tl2br w:val="nil"/>
                    <w:tr2bl w:val="nil"/>
                  </w:tcBorders>
                  <w:vAlign w:val="center"/>
                </w:tcPr>
                <w:p>
                  <w:pPr>
                    <w:jc w:val="center"/>
                    <w:rPr>
                      <w:rFonts w:ascii="Calibri" w:hAnsi="Calibri" w:cs="Calibri"/>
                      <w:b/>
                      <w:bCs/>
                      <w:szCs w:val="21"/>
                    </w:rPr>
                  </w:pPr>
                  <w:r>
                    <w:rPr>
                      <w:rFonts w:ascii="Calibri" w:hAnsi="Calibri" w:cs="Calibri"/>
                      <w:b/>
                      <w:bCs/>
                      <w:szCs w:val="21"/>
                    </w:rPr>
                    <w:t>序号</w:t>
                  </w:r>
                </w:p>
              </w:tc>
              <w:tc>
                <w:tcPr>
                  <w:tcW w:w="2144" w:type="dxa"/>
                  <w:tcBorders>
                    <w:tl2br w:val="nil"/>
                    <w:tr2bl w:val="nil"/>
                  </w:tcBorders>
                  <w:vAlign w:val="center"/>
                </w:tcPr>
                <w:p>
                  <w:pPr>
                    <w:jc w:val="center"/>
                    <w:rPr>
                      <w:rFonts w:ascii="Calibri" w:hAnsi="Calibri" w:cs="Calibri"/>
                      <w:b/>
                      <w:bCs/>
                      <w:szCs w:val="21"/>
                    </w:rPr>
                  </w:pPr>
                  <w:r>
                    <w:rPr>
                      <w:rFonts w:hint="eastAsia" w:ascii="Calibri" w:hAnsi="Calibri" w:cs="Calibri"/>
                      <w:b/>
                      <w:bCs/>
                      <w:szCs w:val="21"/>
                    </w:rPr>
                    <w:t>风险</w:t>
                  </w:r>
                  <w:r>
                    <w:rPr>
                      <w:rFonts w:ascii="Calibri" w:hAnsi="Calibri" w:cs="Calibri"/>
                      <w:b/>
                      <w:bCs/>
                      <w:szCs w:val="21"/>
                    </w:rPr>
                    <w:t>物质</w:t>
                  </w:r>
                </w:p>
              </w:tc>
              <w:tc>
                <w:tcPr>
                  <w:tcW w:w="1945" w:type="dxa"/>
                  <w:tcBorders>
                    <w:tl2br w:val="nil"/>
                    <w:tr2bl w:val="nil"/>
                  </w:tcBorders>
                  <w:vAlign w:val="center"/>
                </w:tcPr>
                <w:p>
                  <w:pPr>
                    <w:jc w:val="center"/>
                    <w:rPr>
                      <w:rFonts w:ascii="Calibri" w:hAnsi="Calibri" w:cs="Calibri"/>
                      <w:b/>
                      <w:bCs/>
                      <w:szCs w:val="21"/>
                    </w:rPr>
                  </w:pPr>
                  <w:r>
                    <w:rPr>
                      <w:rFonts w:ascii="Calibri" w:hAnsi="Calibri" w:cs="Calibri"/>
                      <w:b/>
                      <w:bCs/>
                      <w:szCs w:val="21"/>
                    </w:rPr>
                    <w:t>临界量（t）</w:t>
                  </w:r>
                </w:p>
              </w:tc>
              <w:tc>
                <w:tcPr>
                  <w:tcW w:w="2382" w:type="dxa"/>
                  <w:tcBorders>
                    <w:tl2br w:val="nil"/>
                    <w:tr2bl w:val="nil"/>
                  </w:tcBorders>
                  <w:vAlign w:val="center"/>
                </w:tcPr>
                <w:p>
                  <w:pPr>
                    <w:jc w:val="center"/>
                    <w:rPr>
                      <w:rFonts w:ascii="Calibri" w:hAnsi="Calibri" w:cs="Calibri"/>
                      <w:b/>
                      <w:bCs/>
                      <w:szCs w:val="21"/>
                    </w:rPr>
                  </w:pPr>
                  <w:r>
                    <w:rPr>
                      <w:rFonts w:hint="eastAsia" w:ascii="Calibri" w:hAnsi="Calibri" w:cs="Calibri"/>
                      <w:b/>
                      <w:bCs/>
                      <w:szCs w:val="21"/>
                    </w:rPr>
                    <w:t>最大储存</w:t>
                  </w:r>
                  <w:r>
                    <w:rPr>
                      <w:rFonts w:ascii="Calibri" w:hAnsi="Calibri" w:cs="Calibri"/>
                      <w:b/>
                      <w:bCs/>
                      <w:szCs w:val="21"/>
                    </w:rPr>
                    <w:t>量(t)</w:t>
                  </w:r>
                </w:p>
              </w:tc>
              <w:tc>
                <w:tcPr>
                  <w:tcW w:w="1441" w:type="dxa"/>
                  <w:tcBorders>
                    <w:tl2br w:val="nil"/>
                    <w:tr2bl w:val="nil"/>
                  </w:tcBorders>
                  <w:vAlign w:val="center"/>
                </w:tcPr>
                <w:p>
                  <w:pPr>
                    <w:jc w:val="center"/>
                    <w:rPr>
                      <w:rFonts w:ascii="Calibri" w:hAnsi="Calibri" w:cs="Calibri"/>
                      <w:b/>
                      <w:bCs/>
                      <w:szCs w:val="21"/>
                    </w:rPr>
                  </w:pPr>
                  <w:r>
                    <w:rPr>
                      <w:rFonts w:ascii="Calibri" w:hAnsi="Calibri" w:cs="Calibri"/>
                      <w:b/>
                      <w:bCs/>
                      <w:szCs w:val="21"/>
                    </w:rPr>
                    <w:t>Q值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85" w:type="dxa"/>
                  <w:tcBorders>
                    <w:tl2br w:val="nil"/>
                    <w:tr2bl w:val="nil"/>
                  </w:tcBorders>
                  <w:vAlign w:val="center"/>
                </w:tcPr>
                <w:p>
                  <w:pPr>
                    <w:jc w:val="center"/>
                    <w:rPr>
                      <w:rFonts w:ascii="Calibri" w:hAnsi="Calibri" w:cs="Calibri"/>
                      <w:szCs w:val="21"/>
                    </w:rPr>
                  </w:pPr>
                  <w:r>
                    <w:rPr>
                      <w:rFonts w:hint="eastAsia" w:ascii="Calibri" w:hAnsi="Calibri" w:cs="Calibri"/>
                      <w:szCs w:val="21"/>
                    </w:rPr>
                    <w:t>1</w:t>
                  </w:r>
                </w:p>
              </w:tc>
              <w:tc>
                <w:tcPr>
                  <w:tcW w:w="2144" w:type="dxa"/>
                  <w:tcBorders>
                    <w:tl2br w:val="nil"/>
                    <w:tr2bl w:val="nil"/>
                  </w:tcBorders>
                  <w:vAlign w:val="center"/>
                </w:tcPr>
                <w:p>
                  <w:pPr>
                    <w:jc w:val="center"/>
                    <w:rPr>
                      <w:rFonts w:ascii="Calibri" w:hAnsi="Calibri" w:cs="Calibri"/>
                      <w:szCs w:val="21"/>
                    </w:rPr>
                  </w:pPr>
                  <w:r>
                    <w:rPr>
                      <w:rFonts w:hint="eastAsia" w:ascii="Calibri" w:hAnsi="Calibri" w:cs="Calibri"/>
                      <w:szCs w:val="21"/>
                    </w:rPr>
                    <w:t>废机油</w:t>
                  </w:r>
                </w:p>
              </w:tc>
              <w:tc>
                <w:tcPr>
                  <w:tcW w:w="1945" w:type="dxa"/>
                  <w:tcBorders>
                    <w:tl2br w:val="nil"/>
                    <w:tr2bl w:val="nil"/>
                  </w:tcBorders>
                  <w:vAlign w:val="center"/>
                </w:tcPr>
                <w:p>
                  <w:pPr>
                    <w:jc w:val="center"/>
                    <w:rPr>
                      <w:rFonts w:ascii="Calibri" w:hAnsi="Calibri" w:cs="Calibri"/>
                      <w:szCs w:val="21"/>
                    </w:rPr>
                  </w:pPr>
                  <w:r>
                    <w:rPr>
                      <w:rFonts w:hint="eastAsia" w:ascii="Calibri" w:hAnsi="Calibri" w:cs="Calibri"/>
                      <w:szCs w:val="21"/>
                    </w:rPr>
                    <w:t>2500</w:t>
                  </w:r>
                </w:p>
              </w:tc>
              <w:tc>
                <w:tcPr>
                  <w:tcW w:w="2382" w:type="dxa"/>
                  <w:tcBorders>
                    <w:tl2br w:val="nil"/>
                    <w:tr2bl w:val="nil"/>
                  </w:tcBorders>
                  <w:vAlign w:val="center"/>
                </w:tcPr>
                <w:p>
                  <w:pPr>
                    <w:jc w:val="center"/>
                    <w:rPr>
                      <w:rFonts w:ascii="Calibri" w:hAnsi="Calibri" w:cs="Calibri"/>
                      <w:szCs w:val="21"/>
                    </w:rPr>
                  </w:pPr>
                  <w:r>
                    <w:rPr>
                      <w:rFonts w:hint="eastAsia" w:ascii="Calibri" w:hAnsi="Calibri" w:cs="Calibri"/>
                      <w:szCs w:val="21"/>
                    </w:rPr>
                    <w:t>0.05</w:t>
                  </w:r>
                </w:p>
              </w:tc>
              <w:tc>
                <w:tcPr>
                  <w:tcW w:w="1441" w:type="dxa"/>
                  <w:tcBorders>
                    <w:tl2br w:val="nil"/>
                    <w:tr2bl w:val="nil"/>
                  </w:tcBorders>
                  <w:vAlign w:val="center"/>
                </w:tcPr>
                <w:p>
                  <w:pPr>
                    <w:jc w:val="center"/>
                    <w:rPr>
                      <w:rFonts w:ascii="Calibri" w:hAnsi="Calibri" w:cs="Calibri"/>
                      <w:szCs w:val="21"/>
                    </w:rPr>
                  </w:pPr>
                  <w:r>
                    <w:rPr>
                      <w:rFonts w:hint="eastAsia" w:ascii="Calibri" w:hAnsi="Calibri" w:cs="Calibri"/>
                      <w:szCs w:val="21"/>
                    </w:rPr>
                    <w:t>0.00002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85" w:type="dxa"/>
                  <w:tcBorders>
                    <w:tl2br w:val="nil"/>
                    <w:tr2bl w:val="nil"/>
                  </w:tcBorders>
                  <w:vAlign w:val="center"/>
                </w:tcPr>
                <w:p>
                  <w:pPr>
                    <w:jc w:val="center"/>
                    <w:rPr>
                      <w:rFonts w:ascii="Calibri" w:hAnsi="Calibri" w:cs="Calibri"/>
                      <w:szCs w:val="21"/>
                    </w:rPr>
                  </w:pPr>
                  <w:r>
                    <w:rPr>
                      <w:rFonts w:hint="eastAsia" w:ascii="Calibri" w:hAnsi="Calibri" w:cs="Calibri"/>
                      <w:szCs w:val="21"/>
                    </w:rPr>
                    <w:t>2</w:t>
                  </w:r>
                </w:p>
              </w:tc>
              <w:tc>
                <w:tcPr>
                  <w:tcW w:w="2144" w:type="dxa"/>
                  <w:tcBorders>
                    <w:tl2br w:val="nil"/>
                    <w:tr2bl w:val="nil"/>
                  </w:tcBorders>
                  <w:vAlign w:val="center"/>
                </w:tcPr>
                <w:p>
                  <w:pPr>
                    <w:jc w:val="center"/>
                    <w:rPr>
                      <w:rFonts w:ascii="Calibri" w:hAnsi="Calibri" w:cs="Calibri"/>
                      <w:szCs w:val="21"/>
                    </w:rPr>
                  </w:pPr>
                  <w:r>
                    <w:rPr>
                      <w:rFonts w:hint="eastAsia" w:ascii="Calibri" w:hAnsi="Calibri" w:cs="Calibri"/>
                      <w:szCs w:val="21"/>
                    </w:rPr>
                    <w:t>废液压油</w:t>
                  </w:r>
                </w:p>
              </w:tc>
              <w:tc>
                <w:tcPr>
                  <w:tcW w:w="1945" w:type="dxa"/>
                  <w:tcBorders>
                    <w:tl2br w:val="nil"/>
                    <w:tr2bl w:val="nil"/>
                  </w:tcBorders>
                  <w:vAlign w:val="center"/>
                </w:tcPr>
                <w:p>
                  <w:pPr>
                    <w:jc w:val="center"/>
                    <w:rPr>
                      <w:rFonts w:ascii="Calibri" w:hAnsi="Calibri" w:cs="Calibri"/>
                      <w:szCs w:val="21"/>
                    </w:rPr>
                  </w:pPr>
                  <w:r>
                    <w:rPr>
                      <w:rFonts w:hint="eastAsia" w:ascii="Calibri" w:hAnsi="Calibri" w:cs="Calibri"/>
                      <w:szCs w:val="21"/>
                    </w:rPr>
                    <w:t>2500</w:t>
                  </w:r>
                </w:p>
              </w:tc>
              <w:tc>
                <w:tcPr>
                  <w:tcW w:w="2382" w:type="dxa"/>
                  <w:tcBorders>
                    <w:tl2br w:val="nil"/>
                    <w:tr2bl w:val="nil"/>
                  </w:tcBorders>
                  <w:vAlign w:val="center"/>
                </w:tcPr>
                <w:p>
                  <w:pPr>
                    <w:jc w:val="center"/>
                    <w:rPr>
                      <w:rFonts w:ascii="Calibri" w:hAnsi="Calibri" w:cs="Calibri"/>
                      <w:szCs w:val="21"/>
                    </w:rPr>
                  </w:pPr>
                  <w:r>
                    <w:rPr>
                      <w:rFonts w:hint="eastAsia" w:ascii="Calibri" w:hAnsi="Calibri" w:cs="Calibri"/>
                      <w:szCs w:val="21"/>
                    </w:rPr>
                    <w:t>0.02</w:t>
                  </w:r>
                </w:p>
              </w:tc>
              <w:tc>
                <w:tcPr>
                  <w:tcW w:w="1441" w:type="dxa"/>
                  <w:tcBorders>
                    <w:tl2br w:val="nil"/>
                    <w:tr2bl w:val="nil"/>
                  </w:tcBorders>
                  <w:vAlign w:val="center"/>
                </w:tcPr>
                <w:p>
                  <w:pPr>
                    <w:jc w:val="center"/>
                    <w:rPr>
                      <w:rFonts w:ascii="Calibri" w:hAnsi="Calibri" w:cs="Calibri"/>
                      <w:szCs w:val="21"/>
                    </w:rPr>
                  </w:pPr>
                  <w:r>
                    <w:rPr>
                      <w:rFonts w:hint="eastAsia" w:ascii="Calibri" w:hAnsi="Calibri" w:cs="Calibri"/>
                      <w:szCs w:val="21"/>
                    </w:rPr>
                    <w:t>0.000008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85" w:type="dxa"/>
                  <w:tcBorders>
                    <w:tl2br w:val="nil"/>
                    <w:tr2bl w:val="nil"/>
                  </w:tcBorders>
                  <w:vAlign w:val="center"/>
                </w:tcPr>
                <w:p>
                  <w:pPr>
                    <w:jc w:val="center"/>
                    <w:rPr>
                      <w:rFonts w:ascii="Calibri" w:hAnsi="Calibri" w:cs="Calibri"/>
                      <w:szCs w:val="21"/>
                    </w:rPr>
                  </w:pPr>
                  <w:r>
                    <w:rPr>
                      <w:rFonts w:hint="eastAsia" w:ascii="Calibri" w:hAnsi="Calibri" w:cs="Calibri"/>
                      <w:szCs w:val="21"/>
                    </w:rPr>
                    <w:t>3</w:t>
                  </w:r>
                </w:p>
              </w:tc>
              <w:tc>
                <w:tcPr>
                  <w:tcW w:w="2144" w:type="dxa"/>
                  <w:tcBorders>
                    <w:tl2br w:val="nil"/>
                    <w:tr2bl w:val="nil"/>
                  </w:tcBorders>
                  <w:vAlign w:val="center"/>
                </w:tcPr>
                <w:p>
                  <w:pPr>
                    <w:jc w:val="center"/>
                    <w:rPr>
                      <w:rFonts w:hint="default" w:ascii="Calibri" w:hAnsi="Calibri" w:eastAsia="宋体" w:cs="Calibri"/>
                      <w:szCs w:val="21"/>
                      <w:lang w:val="en-US" w:eastAsia="zh-CN"/>
                    </w:rPr>
                  </w:pPr>
                  <w:r>
                    <w:rPr>
                      <w:rFonts w:hint="eastAsia"/>
                      <w:lang w:val="en-US" w:eastAsia="zh-CN"/>
                    </w:rPr>
                    <w:t>铝材表面处理废水和清洗废水</w:t>
                  </w:r>
                </w:p>
              </w:tc>
              <w:tc>
                <w:tcPr>
                  <w:tcW w:w="1945" w:type="dxa"/>
                  <w:tcBorders>
                    <w:tl2br w:val="nil"/>
                    <w:tr2bl w:val="nil"/>
                  </w:tcBorders>
                  <w:vAlign w:val="center"/>
                </w:tcPr>
                <w:p>
                  <w:pPr>
                    <w:jc w:val="center"/>
                    <w:rPr>
                      <w:rFonts w:ascii="Calibri" w:hAnsi="Calibri" w:cs="Calibri"/>
                      <w:szCs w:val="21"/>
                    </w:rPr>
                  </w:pPr>
                  <w:r>
                    <w:rPr>
                      <w:rFonts w:hint="eastAsia" w:ascii="Calibri" w:hAnsi="Calibri" w:cs="Calibri"/>
                      <w:szCs w:val="21"/>
                    </w:rPr>
                    <w:t>100</w:t>
                  </w:r>
                </w:p>
              </w:tc>
              <w:tc>
                <w:tcPr>
                  <w:tcW w:w="2382" w:type="dxa"/>
                  <w:tcBorders>
                    <w:tl2br w:val="nil"/>
                    <w:tr2bl w:val="nil"/>
                  </w:tcBorders>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30</w:t>
                  </w:r>
                </w:p>
              </w:tc>
              <w:tc>
                <w:tcPr>
                  <w:tcW w:w="1441" w:type="dxa"/>
                  <w:tcBorders>
                    <w:tl2br w:val="nil"/>
                    <w:tr2bl w:val="nil"/>
                  </w:tcBorders>
                  <w:vAlign w:val="center"/>
                </w:tcPr>
                <w:p>
                  <w:pPr>
                    <w:jc w:val="center"/>
                    <w:rPr>
                      <w:rFonts w:hint="eastAsia" w:ascii="Calibri" w:hAnsi="Calibri" w:eastAsia="宋体" w:cs="Calibri"/>
                      <w:szCs w:val="21"/>
                      <w:lang w:eastAsia="zh-CN"/>
                    </w:rPr>
                  </w:pPr>
                  <w:r>
                    <w:rPr>
                      <w:rFonts w:hint="eastAsia" w:ascii="Calibri" w:hAnsi="Calibri" w:cs="Calibri"/>
                      <w:szCs w:val="21"/>
                    </w:rPr>
                    <w:t>0.</w:t>
                  </w:r>
                  <w:r>
                    <w:rPr>
                      <w:rFonts w:hint="eastAsia" w:ascii="Calibri" w:hAnsi="Calibri" w:cs="Calibri"/>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85" w:type="dxa"/>
                  <w:tcBorders>
                    <w:tl2br w:val="nil"/>
                    <w:tr2bl w:val="nil"/>
                  </w:tcBorders>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4</w:t>
                  </w:r>
                </w:p>
              </w:tc>
              <w:tc>
                <w:tcPr>
                  <w:tcW w:w="2144" w:type="dxa"/>
                  <w:tcBorders>
                    <w:tl2br w:val="nil"/>
                    <w:tr2bl w:val="nil"/>
                  </w:tcBorders>
                  <w:vAlign w:val="center"/>
                </w:tcPr>
                <w:p>
                  <w:pPr>
                    <w:jc w:val="center"/>
                    <w:rPr>
                      <w:rFonts w:hint="default" w:ascii="Calibri" w:hAnsi="Calibri" w:cs="Calibri"/>
                      <w:szCs w:val="21"/>
                      <w:lang w:val="en-US"/>
                    </w:rPr>
                  </w:pPr>
                  <w:r>
                    <w:rPr>
                      <w:rFonts w:hint="eastAsia"/>
                      <w:lang w:val="en-US" w:eastAsia="zh-CN"/>
                    </w:rPr>
                    <w:t>铝材表面处理废液</w:t>
                  </w:r>
                </w:p>
              </w:tc>
              <w:tc>
                <w:tcPr>
                  <w:tcW w:w="1945" w:type="dxa"/>
                  <w:tcBorders>
                    <w:tl2br w:val="nil"/>
                    <w:tr2bl w:val="nil"/>
                  </w:tcBorders>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100</w:t>
                  </w:r>
                </w:p>
              </w:tc>
              <w:tc>
                <w:tcPr>
                  <w:tcW w:w="2382" w:type="dxa"/>
                  <w:tcBorders>
                    <w:tl2br w:val="nil"/>
                    <w:tr2bl w:val="nil"/>
                  </w:tcBorders>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0.18</w:t>
                  </w:r>
                </w:p>
              </w:tc>
              <w:tc>
                <w:tcPr>
                  <w:tcW w:w="1441" w:type="dxa"/>
                  <w:tcBorders>
                    <w:tl2br w:val="nil"/>
                    <w:tr2bl w:val="nil"/>
                  </w:tcBorders>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0.018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85" w:type="dxa"/>
                  <w:tcBorders>
                    <w:tl2br w:val="nil"/>
                    <w:tr2bl w:val="nil"/>
                  </w:tcBorders>
                  <w:vAlign w:val="center"/>
                </w:tcPr>
                <w:p>
                  <w:pPr>
                    <w:jc w:val="center"/>
                    <w:rPr>
                      <w:rFonts w:hint="eastAsia" w:ascii="Calibri" w:hAnsi="Calibri" w:eastAsia="宋体" w:cs="Calibri"/>
                      <w:szCs w:val="21"/>
                      <w:lang w:eastAsia="zh-CN"/>
                    </w:rPr>
                  </w:pPr>
                  <w:r>
                    <w:rPr>
                      <w:rFonts w:hint="eastAsia" w:ascii="Calibri" w:hAnsi="Calibri" w:cs="Calibri"/>
                      <w:szCs w:val="21"/>
                      <w:lang w:val="en-US" w:eastAsia="zh-CN"/>
                    </w:rPr>
                    <w:t>5</w:t>
                  </w:r>
                </w:p>
              </w:tc>
              <w:tc>
                <w:tcPr>
                  <w:tcW w:w="2144" w:type="dxa"/>
                  <w:tcBorders>
                    <w:tl2br w:val="nil"/>
                    <w:tr2bl w:val="nil"/>
                  </w:tcBorders>
                  <w:vAlign w:val="center"/>
                </w:tcPr>
                <w:p>
                  <w:pPr>
                    <w:jc w:val="center"/>
                    <w:rPr>
                      <w:rFonts w:hint="eastAsia" w:ascii="Calibri" w:hAnsi="Calibri" w:cs="Calibri"/>
                      <w:szCs w:val="21"/>
                    </w:rPr>
                  </w:pPr>
                  <w:r>
                    <w:rPr>
                      <w:rFonts w:hint="eastAsia" w:ascii="Calibri" w:hAnsi="Calibri" w:cs="Calibri"/>
                      <w:szCs w:val="21"/>
                    </w:rPr>
                    <w:t>硫酸</w:t>
                  </w:r>
                </w:p>
              </w:tc>
              <w:tc>
                <w:tcPr>
                  <w:tcW w:w="1945" w:type="dxa"/>
                  <w:tcBorders>
                    <w:tl2br w:val="nil"/>
                    <w:tr2bl w:val="nil"/>
                  </w:tcBorders>
                  <w:vAlign w:val="center"/>
                </w:tcPr>
                <w:p>
                  <w:pPr>
                    <w:jc w:val="center"/>
                    <w:rPr>
                      <w:rFonts w:hint="eastAsia" w:ascii="Calibri" w:hAnsi="Calibri" w:cs="Calibri"/>
                      <w:szCs w:val="21"/>
                    </w:rPr>
                  </w:pPr>
                  <w:r>
                    <w:rPr>
                      <w:rFonts w:hint="eastAsia" w:ascii="Calibri" w:hAnsi="Calibri" w:cs="Calibri"/>
                      <w:szCs w:val="21"/>
                    </w:rPr>
                    <w:t>10</w:t>
                  </w:r>
                </w:p>
              </w:tc>
              <w:tc>
                <w:tcPr>
                  <w:tcW w:w="2382" w:type="dxa"/>
                  <w:tcBorders>
                    <w:tl2br w:val="nil"/>
                    <w:tr2bl w:val="nil"/>
                  </w:tcBorders>
                  <w:vAlign w:val="center"/>
                </w:tcPr>
                <w:p>
                  <w:pPr>
                    <w:jc w:val="center"/>
                    <w:rPr>
                      <w:rFonts w:hint="eastAsia" w:ascii="Calibri" w:hAnsi="Calibri" w:cs="Calibri"/>
                      <w:szCs w:val="21"/>
                    </w:rPr>
                  </w:pPr>
                  <w:r>
                    <w:rPr>
                      <w:rFonts w:hint="eastAsia" w:ascii="Calibri" w:hAnsi="Calibri" w:cs="Calibri"/>
                      <w:szCs w:val="21"/>
                    </w:rPr>
                    <w:t>0.043（折算为98.3%）</w:t>
                  </w:r>
                </w:p>
              </w:tc>
              <w:tc>
                <w:tcPr>
                  <w:tcW w:w="1441" w:type="dxa"/>
                  <w:tcBorders>
                    <w:tl2br w:val="nil"/>
                    <w:tr2bl w:val="nil"/>
                  </w:tcBorders>
                  <w:vAlign w:val="center"/>
                </w:tcPr>
                <w:p>
                  <w:pPr>
                    <w:jc w:val="center"/>
                    <w:rPr>
                      <w:rFonts w:hint="eastAsia" w:ascii="Calibri" w:hAnsi="Calibri" w:cs="Calibri"/>
                      <w:szCs w:val="21"/>
                    </w:rPr>
                  </w:pPr>
                  <w:r>
                    <w:rPr>
                      <w:rFonts w:hint="eastAsia" w:ascii="Calibri" w:hAnsi="Calibri" w:cs="Calibri"/>
                      <w:szCs w:val="21"/>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785" w:type="dxa"/>
                  <w:tcBorders>
                    <w:tl2br w:val="nil"/>
                    <w:tr2bl w:val="nil"/>
                  </w:tcBorders>
                  <w:vAlign w:val="center"/>
                </w:tcPr>
                <w:p>
                  <w:pPr>
                    <w:jc w:val="center"/>
                    <w:rPr>
                      <w:rFonts w:hint="eastAsia" w:ascii="Calibri" w:hAnsi="Calibri" w:eastAsia="宋体" w:cs="Calibri"/>
                      <w:szCs w:val="21"/>
                      <w:lang w:eastAsia="zh-CN"/>
                    </w:rPr>
                  </w:pPr>
                  <w:r>
                    <w:rPr>
                      <w:rFonts w:hint="eastAsia" w:ascii="Calibri" w:hAnsi="Calibri" w:cs="Calibri"/>
                      <w:szCs w:val="21"/>
                      <w:lang w:val="en-US" w:eastAsia="zh-CN"/>
                    </w:rPr>
                    <w:t>6</w:t>
                  </w:r>
                </w:p>
              </w:tc>
              <w:tc>
                <w:tcPr>
                  <w:tcW w:w="2144" w:type="dxa"/>
                  <w:tcBorders>
                    <w:tl2br w:val="nil"/>
                    <w:tr2bl w:val="nil"/>
                  </w:tcBorders>
                  <w:vAlign w:val="center"/>
                </w:tcPr>
                <w:p>
                  <w:pPr>
                    <w:jc w:val="center"/>
                    <w:rPr>
                      <w:rFonts w:ascii="Calibri" w:hAnsi="Calibri" w:cs="Calibri"/>
                      <w:szCs w:val="21"/>
                    </w:rPr>
                  </w:pPr>
                  <w:r>
                    <w:rPr>
                      <w:rFonts w:hint="eastAsia" w:ascii="Calibri" w:hAnsi="Calibri" w:cs="Calibri"/>
                      <w:szCs w:val="21"/>
                    </w:rPr>
                    <w:t>氢氟酸</w:t>
                  </w:r>
                </w:p>
              </w:tc>
              <w:tc>
                <w:tcPr>
                  <w:tcW w:w="1945" w:type="dxa"/>
                  <w:tcBorders>
                    <w:tl2br w:val="nil"/>
                    <w:tr2bl w:val="nil"/>
                  </w:tcBorders>
                  <w:vAlign w:val="center"/>
                </w:tcPr>
                <w:p>
                  <w:pPr>
                    <w:jc w:val="center"/>
                    <w:rPr>
                      <w:rFonts w:ascii="Calibri" w:hAnsi="Calibri" w:cs="Calibri"/>
                      <w:szCs w:val="21"/>
                    </w:rPr>
                  </w:pPr>
                  <w:r>
                    <w:rPr>
                      <w:rFonts w:hint="eastAsia" w:ascii="Calibri" w:hAnsi="Calibri" w:cs="Calibri"/>
                      <w:szCs w:val="21"/>
                    </w:rPr>
                    <w:t>1</w:t>
                  </w:r>
                </w:p>
              </w:tc>
              <w:tc>
                <w:tcPr>
                  <w:tcW w:w="2382" w:type="dxa"/>
                  <w:tcBorders>
                    <w:tl2br w:val="nil"/>
                    <w:tr2bl w:val="nil"/>
                  </w:tcBorders>
                  <w:vAlign w:val="center"/>
                </w:tcPr>
                <w:p>
                  <w:pPr>
                    <w:jc w:val="center"/>
                    <w:rPr>
                      <w:rFonts w:ascii="Calibri" w:hAnsi="Calibri" w:cs="Calibri"/>
                      <w:szCs w:val="21"/>
                    </w:rPr>
                  </w:pPr>
                  <w:r>
                    <w:rPr>
                      <w:rFonts w:hint="eastAsia" w:ascii="Calibri" w:hAnsi="Calibri" w:cs="Calibri"/>
                      <w:szCs w:val="21"/>
                    </w:rPr>
                    <w:t>0.064（折算为40%）</w:t>
                  </w:r>
                </w:p>
              </w:tc>
              <w:tc>
                <w:tcPr>
                  <w:tcW w:w="1441" w:type="dxa"/>
                  <w:tcBorders>
                    <w:tl2br w:val="nil"/>
                    <w:tr2bl w:val="nil"/>
                  </w:tcBorders>
                  <w:vAlign w:val="center"/>
                </w:tcPr>
                <w:p>
                  <w:pPr>
                    <w:jc w:val="center"/>
                    <w:rPr>
                      <w:rFonts w:ascii="Calibri" w:hAnsi="Calibri" w:cs="Calibri"/>
                      <w:szCs w:val="21"/>
                    </w:rPr>
                  </w:pPr>
                  <w:r>
                    <w:rPr>
                      <w:rFonts w:hint="eastAsia" w:ascii="Calibri" w:hAnsi="Calibri" w:cs="Calibri"/>
                      <w:szCs w:val="21"/>
                    </w:rPr>
                    <w:t>0.064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256" w:type="dxa"/>
                  <w:gridSpan w:val="4"/>
                  <w:tcBorders>
                    <w:tl2br w:val="nil"/>
                    <w:tr2bl w:val="nil"/>
                  </w:tcBorders>
                  <w:vAlign w:val="center"/>
                </w:tcPr>
                <w:p>
                  <w:pPr>
                    <w:jc w:val="center"/>
                    <w:rPr>
                      <w:rFonts w:ascii="Calibri" w:hAnsi="Calibri" w:cs="Calibri"/>
                      <w:szCs w:val="21"/>
                    </w:rPr>
                  </w:pPr>
                  <w:r>
                    <w:rPr>
                      <w:rFonts w:ascii="Calibri" w:hAnsi="Calibri" w:cs="Calibri"/>
                      <w:szCs w:val="21"/>
                    </w:rPr>
                    <w:t>合计</w:t>
                  </w:r>
                </w:p>
              </w:tc>
              <w:tc>
                <w:tcPr>
                  <w:tcW w:w="1441" w:type="dxa"/>
                  <w:tcBorders>
                    <w:tl2br w:val="nil"/>
                    <w:tr2bl w:val="nil"/>
                  </w:tcBorders>
                  <w:vAlign w:val="center"/>
                </w:tcPr>
                <w:p>
                  <w:pPr>
                    <w:jc w:val="center"/>
                    <w:rPr>
                      <w:rFonts w:hint="default" w:ascii="Calibri" w:hAnsi="Calibri" w:eastAsia="宋体" w:cs="Calibri"/>
                      <w:szCs w:val="21"/>
                      <w:lang w:val="en-US" w:eastAsia="zh-CN"/>
                    </w:rPr>
                  </w:pPr>
                  <w:r>
                    <w:rPr>
                      <w:rFonts w:hint="eastAsia" w:ascii="Calibri" w:hAnsi="Calibri" w:cs="Calibri"/>
                      <w:szCs w:val="21"/>
                      <w:lang w:val="en-US" w:eastAsia="zh-CN"/>
                    </w:rPr>
                    <w:t>0.3860248</w:t>
                  </w:r>
                </w:p>
              </w:tc>
            </w:tr>
          </w:tbl>
          <w:p>
            <w:pPr>
              <w:adjustRightInd w:val="0"/>
              <w:snapToGrid w:val="0"/>
              <w:spacing w:line="360" w:lineRule="auto"/>
              <w:ind w:firstLine="480" w:firstLineChars="200"/>
              <w:rPr>
                <w:sz w:val="24"/>
              </w:rPr>
            </w:pPr>
            <w:r>
              <w:rPr>
                <w:sz w:val="24"/>
              </w:rPr>
              <w:t>经计算，风险物质与临界量比值：Q=</w:t>
            </w:r>
            <w:r>
              <w:rPr>
                <w:rFonts w:hint="eastAsia"/>
                <w:sz w:val="24"/>
              </w:rPr>
              <w:t>0.</w:t>
            </w:r>
            <w:r>
              <w:rPr>
                <w:rFonts w:hint="eastAsia"/>
                <w:sz w:val="24"/>
                <w:lang w:val="en-US" w:eastAsia="zh-CN"/>
              </w:rPr>
              <w:t>386028</w:t>
            </w:r>
            <w:r>
              <w:rPr>
                <w:sz w:val="24"/>
              </w:rPr>
              <w:t>＜1，因此，</w:t>
            </w:r>
            <w:r>
              <w:rPr>
                <w:rFonts w:hint="eastAsia"/>
                <w:sz w:val="24"/>
                <w:lang w:eastAsia="zh-CN"/>
              </w:rPr>
              <w:t>项目</w:t>
            </w:r>
            <w:r>
              <w:rPr>
                <w:sz w:val="24"/>
              </w:rPr>
              <w:t>环境风险潜势为Ⅰ，仅做简单分析即可。</w:t>
            </w:r>
          </w:p>
          <w:p>
            <w:pPr>
              <w:adjustRightInd w:val="0"/>
              <w:snapToGrid w:val="0"/>
              <w:spacing w:line="360" w:lineRule="auto"/>
              <w:ind w:firstLine="482" w:firstLineChars="200"/>
              <w:jc w:val="left"/>
              <w:rPr>
                <w:b/>
                <w:bCs/>
                <w:sz w:val="24"/>
              </w:rPr>
            </w:pPr>
            <w:r>
              <w:rPr>
                <w:rFonts w:hint="eastAsia"/>
                <w:b/>
                <w:bCs/>
                <w:sz w:val="24"/>
              </w:rPr>
              <w:t>2、</w:t>
            </w:r>
            <w:r>
              <w:rPr>
                <w:b/>
                <w:bCs/>
                <w:sz w:val="24"/>
              </w:rPr>
              <w:t>环境风险分析</w:t>
            </w:r>
          </w:p>
          <w:p>
            <w:pPr>
              <w:adjustRightInd w:val="0"/>
              <w:snapToGrid w:val="0"/>
              <w:spacing w:line="360" w:lineRule="auto"/>
              <w:ind w:firstLine="480" w:firstLineChars="200"/>
              <w:rPr>
                <w:sz w:val="24"/>
              </w:rPr>
            </w:pPr>
            <w:r>
              <w:rPr>
                <w:rFonts w:hint="eastAsia"/>
                <w:sz w:val="24"/>
                <w:lang w:eastAsia="zh-CN"/>
              </w:rPr>
              <w:t>项目</w:t>
            </w:r>
            <w:r>
              <w:rPr>
                <w:rFonts w:hint="eastAsia"/>
                <w:sz w:val="24"/>
              </w:rPr>
              <w:t>废液压油、废机油</w:t>
            </w:r>
            <w:r>
              <w:rPr>
                <w:sz w:val="24"/>
              </w:rPr>
              <w:t>泄漏引发火灾，</w:t>
            </w:r>
            <w:r>
              <w:rPr>
                <w:rFonts w:hint="eastAsia"/>
                <w:sz w:val="24"/>
              </w:rPr>
              <w:t>火灾产生</w:t>
            </w:r>
            <w:r>
              <w:rPr>
                <w:sz w:val="24"/>
              </w:rPr>
              <w:t>大量消防水产生，</w:t>
            </w:r>
            <w:r>
              <w:rPr>
                <w:rFonts w:hint="eastAsia"/>
                <w:sz w:val="24"/>
              </w:rPr>
              <w:t>以及脱脂和钝化液泄漏</w:t>
            </w:r>
            <w:r>
              <w:rPr>
                <w:sz w:val="24"/>
              </w:rPr>
              <w:t>会对土壤和水体造成影响。若未得到及时控制，会排入地表水，对水体造成污染。</w:t>
            </w:r>
          </w:p>
          <w:p>
            <w:pPr>
              <w:adjustRightInd w:val="0"/>
              <w:snapToGrid w:val="0"/>
              <w:spacing w:line="360" w:lineRule="auto"/>
              <w:ind w:firstLine="480" w:firstLineChars="200"/>
              <w:rPr>
                <w:sz w:val="24"/>
              </w:rPr>
            </w:pPr>
            <w:r>
              <w:rPr>
                <w:sz w:val="24"/>
              </w:rPr>
              <w:t>（1）</w:t>
            </w:r>
            <w:r>
              <w:rPr>
                <w:rFonts w:hint="eastAsia"/>
                <w:sz w:val="24"/>
              </w:rPr>
              <w:t>废液压油、废机油、</w:t>
            </w:r>
            <w:r>
              <w:rPr>
                <w:rFonts w:hint="eastAsia"/>
                <w:sz w:val="24"/>
                <w:lang w:val="en-US" w:eastAsia="zh-CN"/>
              </w:rPr>
              <w:t>铝材表面处理废水和清洗废水、铝材表面处理废液</w:t>
            </w:r>
            <w:r>
              <w:rPr>
                <w:sz w:val="24"/>
              </w:rPr>
              <w:t>防控措施</w:t>
            </w:r>
          </w:p>
          <w:p>
            <w:pPr>
              <w:adjustRightInd w:val="0"/>
              <w:snapToGrid w:val="0"/>
              <w:spacing w:line="360" w:lineRule="auto"/>
              <w:ind w:firstLine="480" w:firstLineChars="200"/>
              <w:rPr>
                <w:sz w:val="24"/>
              </w:rPr>
            </w:pPr>
            <w:r>
              <w:rPr>
                <w:sz w:val="24"/>
              </w:rPr>
              <w:t>①</w:t>
            </w:r>
            <w:r>
              <w:rPr>
                <w:rFonts w:hint="eastAsia"/>
                <w:sz w:val="24"/>
              </w:rPr>
              <w:t>危废贮存库、污水处理站、药品室</w:t>
            </w:r>
            <w:r>
              <w:rPr>
                <w:sz w:val="24"/>
              </w:rPr>
              <w:t>的</w:t>
            </w:r>
            <w:r>
              <w:rPr>
                <w:rFonts w:hint="eastAsia"/>
                <w:sz w:val="24"/>
              </w:rPr>
              <w:t>防渗要求</w:t>
            </w:r>
            <w:r>
              <w:rPr>
                <w:sz w:val="24"/>
              </w:rPr>
              <w:t>需达到相关标准。</w:t>
            </w:r>
          </w:p>
          <w:p>
            <w:pPr>
              <w:adjustRightInd w:val="0"/>
              <w:snapToGrid w:val="0"/>
              <w:spacing w:line="360" w:lineRule="auto"/>
              <w:ind w:firstLine="480" w:firstLineChars="200"/>
              <w:rPr>
                <w:sz w:val="24"/>
              </w:rPr>
            </w:pPr>
            <w:r>
              <w:rPr>
                <w:sz w:val="24"/>
              </w:rPr>
              <w:t>②公司厂区建立完善的危废管理制度</w:t>
            </w:r>
            <w:r>
              <w:rPr>
                <w:rFonts w:hint="eastAsia"/>
                <w:sz w:val="24"/>
              </w:rPr>
              <w:t>、药品室管理制度、污水处理站运行管理制度</w:t>
            </w:r>
            <w:r>
              <w:rPr>
                <w:sz w:val="24"/>
              </w:rPr>
              <w:t>，有专人负责进行管理，对危废储存种类、数量</w:t>
            </w:r>
            <w:r>
              <w:rPr>
                <w:rFonts w:hint="eastAsia"/>
                <w:sz w:val="24"/>
              </w:rPr>
              <w:t>及污水处理站药品种类、数量等进行定期检查并</w:t>
            </w:r>
            <w:r>
              <w:rPr>
                <w:sz w:val="24"/>
              </w:rPr>
              <w:t>进行台账管理。危废经收集暂存在</w:t>
            </w:r>
            <w:r>
              <w:rPr>
                <w:rFonts w:hint="eastAsia"/>
                <w:sz w:val="24"/>
              </w:rPr>
              <w:t>为废暂存库内</w:t>
            </w:r>
            <w:r>
              <w:rPr>
                <w:sz w:val="24"/>
              </w:rPr>
              <w:t>，分类放置，满足环保相关要求。</w:t>
            </w:r>
          </w:p>
          <w:p>
            <w:pPr>
              <w:adjustRightInd w:val="0"/>
              <w:snapToGrid w:val="0"/>
              <w:spacing w:line="360" w:lineRule="auto"/>
              <w:ind w:firstLine="480" w:firstLineChars="200"/>
              <w:rPr>
                <w:sz w:val="24"/>
              </w:rPr>
            </w:pPr>
            <w:r>
              <w:rPr>
                <w:sz w:val="24"/>
              </w:rPr>
              <w:t>③危废不得随意丢弃，统一分类暂存于</w:t>
            </w:r>
            <w:r>
              <w:rPr>
                <w:rFonts w:hint="eastAsia"/>
                <w:sz w:val="24"/>
              </w:rPr>
              <w:t>废暂存库</w:t>
            </w:r>
            <w:r>
              <w:rPr>
                <w:sz w:val="24"/>
              </w:rPr>
              <w:t>。</w:t>
            </w:r>
          </w:p>
          <w:p>
            <w:pPr>
              <w:adjustRightInd w:val="0"/>
              <w:snapToGrid w:val="0"/>
              <w:spacing w:line="360" w:lineRule="auto"/>
              <w:ind w:firstLine="480" w:firstLineChars="200"/>
              <w:rPr>
                <w:sz w:val="24"/>
              </w:rPr>
            </w:pPr>
            <w:r>
              <w:rPr>
                <w:sz w:val="24"/>
              </w:rPr>
              <w:t>（</w:t>
            </w:r>
            <w:r>
              <w:rPr>
                <w:rFonts w:hint="eastAsia"/>
                <w:sz w:val="24"/>
              </w:rPr>
              <w:t>2</w:t>
            </w:r>
            <w:r>
              <w:rPr>
                <w:sz w:val="24"/>
              </w:rPr>
              <w:t>）火灾防控措施</w:t>
            </w:r>
          </w:p>
          <w:p>
            <w:pPr>
              <w:adjustRightInd w:val="0"/>
              <w:snapToGrid w:val="0"/>
              <w:spacing w:line="360" w:lineRule="auto"/>
              <w:ind w:firstLine="480" w:firstLineChars="200"/>
              <w:rPr>
                <w:sz w:val="24"/>
              </w:rPr>
            </w:pPr>
            <w:r>
              <w:rPr>
                <w:sz w:val="24"/>
              </w:rPr>
              <w:t>一旦发生火灾事故时，引发次生环境问题主要表现为含风险物质的消防水可能排出厂外、对厂区及周边环境空气造成污染。企业应急救援指挥中心指挥应急救援队伍在事发地周围迅速设置沙袋围堰进行先期处理，防止消防水排出厂界；及时上报</w:t>
            </w:r>
            <w:r>
              <w:rPr>
                <w:rFonts w:hint="eastAsia"/>
                <w:sz w:val="24"/>
              </w:rPr>
              <w:t>当地生态环境部门</w:t>
            </w:r>
            <w:r>
              <w:rPr>
                <w:sz w:val="24"/>
              </w:rPr>
              <w:t>。在政府部门的指挥下，对消防水围堵并进行处理，防止废水外流。企业应建立事故应急计划，事故应急计划包括预防措施、应急措施及事故善后处理三方面。</w:t>
            </w:r>
          </w:p>
          <w:p>
            <w:pPr>
              <w:adjustRightInd w:val="0"/>
              <w:snapToGrid w:val="0"/>
              <w:spacing w:line="360" w:lineRule="auto"/>
              <w:ind w:firstLine="480" w:firstLineChars="200"/>
              <w:rPr>
                <w:sz w:val="24"/>
              </w:rPr>
            </w:pPr>
            <w:r>
              <w:rPr>
                <w:sz w:val="24"/>
              </w:rPr>
              <w:t>①预防措施内容：一旦出现风险物质泄漏事故，应有对泄漏物料进行拦截、吸附、收集并合理暂存处置措施；出现火灾事故，引发次生消防水外排事件，应有对外排水进行拦截、处理、合理处置措施；配备处理泄漏事件、火灾等引发的次生水环境事件时的器材、物品，一旦出现突发环境事件，可立即投入使用。</w:t>
            </w:r>
          </w:p>
          <w:p>
            <w:pPr>
              <w:adjustRightInd w:val="0"/>
              <w:snapToGrid w:val="0"/>
              <w:spacing w:line="360" w:lineRule="auto"/>
              <w:ind w:firstLine="480" w:firstLineChars="200"/>
              <w:rPr>
                <w:sz w:val="24"/>
              </w:rPr>
            </w:pPr>
            <w:r>
              <w:rPr>
                <w:sz w:val="24"/>
              </w:rPr>
              <w:t>②应急措施内容：一旦出现突发环境事件，立即由平时的生产管理体制转为事件处理管理体制，应付处理事件的指挥决策。对于火灾等事故引发的次生水环境事件，应急措施主要是沙土围堰拦截（防止扩散）、上报（上报政府相关部门）、消防废水综合处理后达标排放。</w:t>
            </w:r>
          </w:p>
          <w:p>
            <w:pPr>
              <w:adjustRightInd w:val="0"/>
              <w:snapToGrid w:val="0"/>
              <w:spacing w:line="360" w:lineRule="auto"/>
              <w:ind w:firstLine="480" w:firstLineChars="200"/>
              <w:rPr>
                <w:sz w:val="24"/>
              </w:rPr>
            </w:pPr>
            <w:r>
              <w:rPr>
                <w:sz w:val="24"/>
              </w:rPr>
              <w:t>③事件善后处理内容：清理现场、维修设备、查清事故原因，处理人员伤亡事件，了解现场及周围环境污染程度并及时处理污染事件。</w:t>
            </w:r>
          </w:p>
          <w:p>
            <w:pPr>
              <w:adjustRightInd w:val="0"/>
              <w:snapToGrid w:val="0"/>
              <w:spacing w:line="360" w:lineRule="auto"/>
              <w:ind w:firstLine="482" w:firstLineChars="200"/>
              <w:rPr>
                <w:b/>
                <w:bCs/>
                <w:sz w:val="24"/>
              </w:rPr>
            </w:pPr>
            <w:r>
              <w:rPr>
                <w:rFonts w:hint="eastAsia"/>
                <w:b/>
                <w:bCs/>
                <w:sz w:val="24"/>
              </w:rPr>
              <w:t>4、</w:t>
            </w:r>
            <w:r>
              <w:rPr>
                <w:b/>
                <w:bCs/>
                <w:sz w:val="24"/>
              </w:rPr>
              <w:t>环境风险评价结论</w:t>
            </w:r>
          </w:p>
          <w:p>
            <w:pPr>
              <w:adjustRightInd w:val="0"/>
              <w:snapToGrid w:val="0"/>
              <w:spacing w:line="360" w:lineRule="auto"/>
              <w:ind w:firstLine="480" w:firstLineChars="200"/>
            </w:pPr>
            <w:r>
              <w:rPr>
                <w:rFonts w:hint="eastAsia"/>
                <w:sz w:val="24"/>
                <w:lang w:eastAsia="zh-CN"/>
              </w:rPr>
              <w:t>项目</w:t>
            </w:r>
            <w:r>
              <w:rPr>
                <w:sz w:val="24"/>
              </w:rPr>
              <w:t>潜在的危害较大的环境风险事故为：</w:t>
            </w:r>
            <w:r>
              <w:rPr>
                <w:rFonts w:hint="eastAsia"/>
                <w:sz w:val="24"/>
              </w:rPr>
              <w:t>废液压油、废机油泄漏引发火灾事故</w:t>
            </w:r>
            <w:r>
              <w:rPr>
                <w:sz w:val="24"/>
              </w:rPr>
              <w:t>。建设单位制定完善安全管理、降低风险规章制度，在管理、控制及监督、生产和维护方面采取成熟的降低事故风险的经验和措施。在落实各项措施的前提下，项目安全性将得到有效的保证，环境风险事故发生概率较小，环境风险属可接受水平。</w:t>
            </w:r>
          </w:p>
        </w:tc>
      </w:tr>
    </w:tbl>
    <w:p>
      <w:pPr>
        <w:pStyle w:val="2"/>
        <w:spacing w:before="0" w:after="0" w:line="240" w:lineRule="auto"/>
        <w:jc w:val="center"/>
        <w:rPr>
          <w:rFonts w:ascii="宋体" w:hAnsi="宋体" w:cs="宋体"/>
          <w:bCs w:val="0"/>
          <w:sz w:val="32"/>
          <w:szCs w:val="32"/>
        </w:rPr>
        <w:sectPr>
          <w:footerReference r:id="rId4" w:type="default"/>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9" w:charSpace="0"/>
        </w:sectPr>
      </w:pPr>
    </w:p>
    <w:p>
      <w:pPr>
        <w:pStyle w:val="2"/>
        <w:spacing w:before="0" w:after="0" w:line="240" w:lineRule="auto"/>
        <w:jc w:val="center"/>
        <w:rPr>
          <w:rFonts w:ascii="宋体" w:hAnsi="宋体" w:cs="宋体"/>
          <w:bCs w:val="0"/>
          <w:sz w:val="32"/>
          <w:szCs w:val="32"/>
        </w:rPr>
      </w:pPr>
      <w:r>
        <w:rPr>
          <w:rFonts w:hint="eastAsia" w:ascii="宋体" w:hAnsi="宋体" w:cs="宋体"/>
          <w:bCs w:val="0"/>
          <w:sz w:val="32"/>
          <w:szCs w:val="32"/>
        </w:rPr>
        <w:t>五、</w:t>
      </w:r>
      <w:bookmarkStart w:id="1" w:name="_Hlk54167917"/>
      <w:r>
        <w:rPr>
          <w:rFonts w:hint="eastAsia" w:ascii="宋体" w:hAnsi="宋体" w:cs="宋体"/>
          <w:bCs w:val="0"/>
          <w:sz w:val="32"/>
          <w:szCs w:val="32"/>
        </w:rPr>
        <w:t>环境保护措施监督检查清单</w:t>
      </w:r>
      <w:bookmarkEnd w:id="1"/>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455"/>
        <w:gridCol w:w="1297"/>
        <w:gridCol w:w="3208"/>
        <w:gridCol w:w="2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610" w:type="pct"/>
            <w:tcBorders>
              <w:tl2br w:val="single" w:color="auto" w:sz="4" w:space="0"/>
            </w:tcBorders>
            <w:vAlign w:val="center"/>
          </w:tcPr>
          <w:p>
            <w:pPr>
              <w:ind w:firstLine="480"/>
              <w:rPr>
                <w:sz w:val="24"/>
                <w:szCs w:val="24"/>
              </w:rPr>
            </w:pPr>
            <w:r>
              <w:rPr>
                <w:sz w:val="24"/>
                <w:szCs w:val="24"/>
              </w:rPr>
              <w:t>内容</w:t>
            </w:r>
          </w:p>
          <w:p>
            <w:pPr>
              <w:rPr>
                <w:sz w:val="24"/>
                <w:szCs w:val="24"/>
              </w:rPr>
            </w:pPr>
            <w:r>
              <w:rPr>
                <w:sz w:val="24"/>
                <w:szCs w:val="24"/>
              </w:rPr>
              <w:t>要素</w:t>
            </w:r>
          </w:p>
        </w:tc>
        <w:tc>
          <w:tcPr>
            <w:tcW w:w="783" w:type="pct"/>
            <w:vAlign w:val="center"/>
          </w:tcPr>
          <w:p>
            <w:pPr>
              <w:jc w:val="center"/>
              <w:rPr>
                <w:sz w:val="24"/>
                <w:szCs w:val="24"/>
              </w:rPr>
            </w:pPr>
            <w:r>
              <w:rPr>
                <w:sz w:val="24"/>
                <w:szCs w:val="24"/>
              </w:rPr>
              <w:t>排放口（编号、名称）/污染源</w:t>
            </w:r>
          </w:p>
        </w:tc>
        <w:tc>
          <w:tcPr>
            <w:tcW w:w="698" w:type="pct"/>
            <w:vAlign w:val="center"/>
          </w:tcPr>
          <w:p>
            <w:pPr>
              <w:jc w:val="center"/>
              <w:rPr>
                <w:sz w:val="24"/>
                <w:szCs w:val="24"/>
              </w:rPr>
            </w:pPr>
            <w:r>
              <w:rPr>
                <w:sz w:val="24"/>
                <w:szCs w:val="24"/>
              </w:rPr>
              <w:t>污染物项目</w:t>
            </w:r>
          </w:p>
        </w:tc>
        <w:tc>
          <w:tcPr>
            <w:tcW w:w="1727" w:type="pct"/>
            <w:vAlign w:val="center"/>
          </w:tcPr>
          <w:p>
            <w:pPr>
              <w:jc w:val="center"/>
              <w:rPr>
                <w:sz w:val="24"/>
                <w:szCs w:val="24"/>
              </w:rPr>
            </w:pPr>
            <w:r>
              <w:rPr>
                <w:sz w:val="24"/>
                <w:szCs w:val="24"/>
              </w:rPr>
              <w:t>环境保护措施</w:t>
            </w:r>
          </w:p>
        </w:tc>
        <w:tc>
          <w:tcPr>
            <w:tcW w:w="1179" w:type="pct"/>
            <w:vAlign w:val="center"/>
          </w:tcPr>
          <w:p>
            <w:pPr>
              <w:jc w:val="center"/>
              <w:rPr>
                <w:sz w:val="24"/>
                <w:szCs w:val="24"/>
              </w:rPr>
            </w:pPr>
            <w:r>
              <w:rPr>
                <w:sz w:val="24"/>
                <w:szCs w:val="24"/>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610" w:type="pct"/>
            <w:vMerge w:val="restart"/>
            <w:vAlign w:val="center"/>
          </w:tcPr>
          <w:p>
            <w:pPr>
              <w:jc w:val="center"/>
              <w:rPr>
                <w:sz w:val="24"/>
                <w:szCs w:val="24"/>
              </w:rPr>
            </w:pPr>
            <w:r>
              <w:rPr>
                <w:rFonts w:hint="eastAsia"/>
                <w:sz w:val="24"/>
                <w:szCs w:val="24"/>
              </w:rPr>
              <w:t>废气</w:t>
            </w:r>
          </w:p>
        </w:tc>
        <w:tc>
          <w:tcPr>
            <w:tcW w:w="783" w:type="pct"/>
            <w:vAlign w:val="center"/>
          </w:tcPr>
          <w:p>
            <w:pPr>
              <w:widowControl/>
              <w:wordWrap w:val="0"/>
              <w:spacing w:line="288" w:lineRule="auto"/>
              <w:ind w:left="-105" w:leftChars="-50" w:right="-105" w:rightChars="-50"/>
              <w:jc w:val="center"/>
              <w:rPr>
                <w:kern w:val="21"/>
                <w:sz w:val="24"/>
                <w:szCs w:val="24"/>
              </w:rPr>
            </w:pPr>
            <w:r>
              <w:rPr>
                <w:rFonts w:hint="eastAsia"/>
                <w:kern w:val="21"/>
                <w:sz w:val="24"/>
                <w:szCs w:val="24"/>
              </w:rPr>
              <w:t>喷塑颗粒物</w:t>
            </w:r>
          </w:p>
        </w:tc>
        <w:tc>
          <w:tcPr>
            <w:tcW w:w="698" w:type="pct"/>
            <w:vAlign w:val="center"/>
          </w:tcPr>
          <w:p>
            <w:pPr>
              <w:widowControl/>
              <w:wordWrap w:val="0"/>
              <w:spacing w:line="288" w:lineRule="auto"/>
              <w:ind w:left="-105" w:leftChars="-50" w:right="-105" w:rightChars="-50"/>
              <w:jc w:val="center"/>
              <w:rPr>
                <w:kern w:val="21"/>
                <w:sz w:val="24"/>
                <w:szCs w:val="24"/>
              </w:rPr>
            </w:pPr>
            <w:r>
              <w:rPr>
                <w:kern w:val="21"/>
                <w:sz w:val="24"/>
                <w:szCs w:val="24"/>
              </w:rPr>
              <w:t>颗粒物</w:t>
            </w:r>
          </w:p>
        </w:tc>
        <w:tc>
          <w:tcPr>
            <w:tcW w:w="1727" w:type="pct"/>
            <w:vAlign w:val="center"/>
          </w:tcPr>
          <w:p>
            <w:pPr>
              <w:widowControl/>
              <w:wordWrap w:val="0"/>
              <w:spacing w:line="288" w:lineRule="auto"/>
              <w:ind w:left="-105" w:leftChars="-50" w:right="-105" w:rightChars="-50"/>
              <w:jc w:val="center"/>
              <w:rPr>
                <w:kern w:val="21"/>
                <w:sz w:val="24"/>
                <w:szCs w:val="24"/>
              </w:rPr>
            </w:pPr>
            <w:r>
              <w:rPr>
                <w:kern w:val="21"/>
                <w:sz w:val="24"/>
                <w:szCs w:val="24"/>
              </w:rPr>
              <w:t>集气罩+旋风除尘系统（滤筒</w:t>
            </w:r>
            <w:r>
              <w:rPr>
                <w:rFonts w:hint="eastAsia"/>
                <w:kern w:val="21"/>
                <w:sz w:val="24"/>
                <w:szCs w:val="24"/>
                <w:lang w:val="en-US" w:eastAsia="zh-CN"/>
              </w:rPr>
              <w:t>+</w:t>
            </w:r>
            <w:r>
              <w:rPr>
                <w:kern w:val="21"/>
                <w:sz w:val="24"/>
                <w:szCs w:val="24"/>
              </w:rPr>
              <w:t>旋风除尘器）+15m排气筒</w:t>
            </w:r>
            <w:r>
              <w:rPr>
                <w:rFonts w:hint="eastAsia"/>
                <w:kern w:val="21"/>
                <w:sz w:val="24"/>
                <w:szCs w:val="24"/>
              </w:rPr>
              <w:t>（DA001）</w:t>
            </w:r>
          </w:p>
        </w:tc>
        <w:tc>
          <w:tcPr>
            <w:tcW w:w="1179" w:type="pct"/>
            <w:vAlign w:val="center"/>
          </w:tcPr>
          <w:p>
            <w:pPr>
              <w:widowControl/>
              <w:wordWrap w:val="0"/>
              <w:spacing w:line="288" w:lineRule="auto"/>
              <w:ind w:left="-105" w:leftChars="-50" w:right="-105" w:rightChars="-50"/>
              <w:jc w:val="center"/>
              <w:rPr>
                <w:kern w:val="21"/>
                <w:sz w:val="24"/>
                <w:szCs w:val="24"/>
              </w:rPr>
            </w:pPr>
            <w:r>
              <w:rPr>
                <w:kern w:val="21"/>
                <w:sz w:val="24"/>
                <w:szCs w:val="24"/>
              </w:rPr>
              <w:t>《大气污染物综合排放标准》（GB16297-1996）中的浓度限值要求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10" w:type="pct"/>
            <w:vMerge w:val="continue"/>
            <w:vAlign w:val="center"/>
          </w:tcPr>
          <w:p>
            <w:pPr>
              <w:jc w:val="center"/>
              <w:rPr>
                <w:sz w:val="24"/>
                <w:szCs w:val="24"/>
              </w:rPr>
            </w:pPr>
          </w:p>
        </w:tc>
        <w:tc>
          <w:tcPr>
            <w:tcW w:w="783" w:type="pct"/>
            <w:vAlign w:val="center"/>
          </w:tcPr>
          <w:p>
            <w:pPr>
              <w:widowControl/>
              <w:wordWrap w:val="0"/>
              <w:spacing w:line="288" w:lineRule="auto"/>
              <w:ind w:left="-105" w:leftChars="-50" w:right="-105" w:rightChars="-50"/>
              <w:jc w:val="center"/>
              <w:rPr>
                <w:kern w:val="21"/>
                <w:sz w:val="24"/>
                <w:szCs w:val="24"/>
              </w:rPr>
            </w:pPr>
            <w:r>
              <w:rPr>
                <w:kern w:val="21"/>
                <w:sz w:val="24"/>
                <w:szCs w:val="24"/>
              </w:rPr>
              <w:t>热固化废气、木纹转印废气、覆膜废气</w:t>
            </w:r>
          </w:p>
        </w:tc>
        <w:tc>
          <w:tcPr>
            <w:tcW w:w="698" w:type="pct"/>
            <w:vAlign w:val="center"/>
          </w:tcPr>
          <w:p>
            <w:pPr>
              <w:widowControl/>
              <w:wordWrap w:val="0"/>
              <w:spacing w:line="288" w:lineRule="auto"/>
              <w:ind w:left="-105" w:leftChars="-50" w:right="-105" w:rightChars="-50"/>
              <w:jc w:val="center"/>
              <w:rPr>
                <w:kern w:val="21"/>
                <w:sz w:val="24"/>
                <w:szCs w:val="24"/>
              </w:rPr>
            </w:pPr>
            <w:r>
              <w:rPr>
                <w:kern w:val="21"/>
                <w:sz w:val="24"/>
                <w:szCs w:val="24"/>
              </w:rPr>
              <w:t>非甲烷总烃</w:t>
            </w:r>
          </w:p>
        </w:tc>
        <w:tc>
          <w:tcPr>
            <w:tcW w:w="1727" w:type="pct"/>
            <w:vAlign w:val="center"/>
          </w:tcPr>
          <w:p>
            <w:pPr>
              <w:widowControl/>
              <w:wordWrap w:val="0"/>
              <w:spacing w:line="288" w:lineRule="auto"/>
              <w:ind w:left="-105" w:leftChars="-50" w:right="-105" w:rightChars="-50"/>
              <w:jc w:val="center"/>
              <w:rPr>
                <w:kern w:val="21"/>
                <w:sz w:val="24"/>
                <w:szCs w:val="24"/>
              </w:rPr>
            </w:pPr>
            <w:r>
              <w:rPr>
                <w:sz w:val="24"/>
                <w:szCs w:val="24"/>
              </w:rPr>
              <w:t>固化工序在工件进出口、木纹转印工件进出口、覆膜出料口分别设置5个集气罩+喷淋塔+过滤棉+二级活性炭对非甲烷总烃</w:t>
            </w:r>
            <w:r>
              <w:rPr>
                <w:rFonts w:hint="eastAsia"/>
                <w:sz w:val="24"/>
                <w:szCs w:val="24"/>
              </w:rPr>
              <w:t>处理达标后通过</w:t>
            </w:r>
            <w:r>
              <w:rPr>
                <w:sz w:val="24"/>
                <w:szCs w:val="24"/>
              </w:rPr>
              <w:t>15m排气筒（DA002）</w:t>
            </w:r>
          </w:p>
        </w:tc>
        <w:tc>
          <w:tcPr>
            <w:tcW w:w="1179" w:type="pct"/>
            <w:vAlign w:val="center"/>
          </w:tcPr>
          <w:p>
            <w:pPr>
              <w:widowControl/>
              <w:wordWrap w:val="0"/>
              <w:spacing w:line="288" w:lineRule="auto"/>
              <w:ind w:left="-105" w:leftChars="-50" w:right="-105" w:rightChars="-50"/>
              <w:jc w:val="center"/>
              <w:rPr>
                <w:kern w:val="21"/>
                <w:sz w:val="24"/>
                <w:szCs w:val="24"/>
              </w:rPr>
            </w:pPr>
            <w:r>
              <w:rPr>
                <w:kern w:val="21"/>
                <w:sz w:val="24"/>
                <w:szCs w:val="24"/>
              </w:rPr>
              <w:t>有组织排放及厂界排放执行《挥发性有机物排放控制标准》（DB61/T1061-2017）</w:t>
            </w:r>
            <w:r>
              <w:rPr>
                <w:rFonts w:hint="eastAsia"/>
                <w:kern w:val="21"/>
                <w:sz w:val="24"/>
                <w:szCs w:val="24"/>
              </w:rPr>
              <w:t>表面涂装行业及</w:t>
            </w:r>
            <w:r>
              <w:rPr>
                <w:rFonts w:hint="eastAsia"/>
                <w:sz w:val="24"/>
                <w:szCs w:val="24"/>
              </w:rPr>
              <w:t>《重污染天气重点行业应急减排措施制定技术指南》（</w:t>
            </w:r>
            <w:r>
              <w:rPr>
                <w:sz w:val="24"/>
                <w:szCs w:val="24"/>
              </w:rPr>
              <w:t>2020</w:t>
            </w:r>
            <w:r>
              <w:rPr>
                <w:rFonts w:hint="eastAsia"/>
                <w:sz w:val="24"/>
                <w:szCs w:val="24"/>
              </w:rPr>
              <w:t>年修订版）》人工业涂装行业绩效分级A级企业指标（30</w:t>
            </w:r>
            <w:r>
              <w:rPr>
                <w:sz w:val="24"/>
                <w:szCs w:val="24"/>
              </w:rPr>
              <w:t>mg/m³</w:t>
            </w:r>
            <w:r>
              <w:rPr>
                <w:rFonts w:hint="eastAsia"/>
                <w:sz w:val="24"/>
                <w:szCs w:val="24"/>
              </w:rPr>
              <w:t>）</w:t>
            </w:r>
            <w:r>
              <w:rPr>
                <w:kern w:val="21"/>
                <w:sz w:val="24"/>
                <w:szCs w:val="24"/>
              </w:rPr>
              <w:t>；厂区内无组织监测点排放执行《挥发性有机物无组织排放控制标准》（GB37822—2019）中的表A.1中的特别排放限值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10" w:type="pct"/>
            <w:vMerge w:val="continue"/>
            <w:vAlign w:val="center"/>
          </w:tcPr>
          <w:p>
            <w:pPr>
              <w:jc w:val="center"/>
              <w:rPr>
                <w:sz w:val="24"/>
                <w:szCs w:val="24"/>
              </w:rPr>
            </w:pPr>
          </w:p>
        </w:tc>
        <w:tc>
          <w:tcPr>
            <w:tcW w:w="783" w:type="pct"/>
            <w:vMerge w:val="restart"/>
            <w:vAlign w:val="center"/>
          </w:tcPr>
          <w:p>
            <w:pPr>
              <w:widowControl/>
              <w:wordWrap w:val="0"/>
              <w:spacing w:line="288" w:lineRule="auto"/>
              <w:ind w:left="-105" w:leftChars="-50" w:right="-105" w:rightChars="-50"/>
              <w:jc w:val="center"/>
              <w:rPr>
                <w:kern w:val="21"/>
                <w:sz w:val="24"/>
                <w:szCs w:val="24"/>
              </w:rPr>
            </w:pPr>
            <w:r>
              <w:rPr>
                <w:kern w:val="21"/>
                <w:sz w:val="24"/>
                <w:szCs w:val="24"/>
              </w:rPr>
              <w:t>天然气燃烧废气</w:t>
            </w:r>
          </w:p>
        </w:tc>
        <w:tc>
          <w:tcPr>
            <w:tcW w:w="698" w:type="pct"/>
            <w:vAlign w:val="center"/>
          </w:tcPr>
          <w:p>
            <w:pPr>
              <w:widowControl/>
              <w:wordWrap w:val="0"/>
              <w:spacing w:line="288" w:lineRule="auto"/>
              <w:ind w:left="-105" w:leftChars="-50" w:right="-105" w:rightChars="-50"/>
              <w:jc w:val="center"/>
              <w:rPr>
                <w:kern w:val="21"/>
                <w:sz w:val="24"/>
                <w:szCs w:val="24"/>
              </w:rPr>
            </w:pPr>
            <w:r>
              <w:rPr>
                <w:kern w:val="21"/>
                <w:sz w:val="24"/>
                <w:szCs w:val="24"/>
              </w:rPr>
              <w:t>颗粒物、SO</w:t>
            </w:r>
            <w:r>
              <w:rPr>
                <w:kern w:val="21"/>
                <w:sz w:val="24"/>
                <w:szCs w:val="24"/>
                <w:vertAlign w:val="subscript"/>
              </w:rPr>
              <w:t>2</w:t>
            </w:r>
            <w:r>
              <w:rPr>
                <w:kern w:val="21"/>
                <w:sz w:val="24"/>
                <w:szCs w:val="24"/>
              </w:rPr>
              <w:t>、NO</w:t>
            </w:r>
            <w:r>
              <w:rPr>
                <w:kern w:val="21"/>
                <w:sz w:val="24"/>
                <w:szCs w:val="24"/>
                <w:vertAlign w:val="subscript"/>
              </w:rPr>
              <w:t>X</w:t>
            </w:r>
          </w:p>
        </w:tc>
        <w:tc>
          <w:tcPr>
            <w:tcW w:w="1727" w:type="pct"/>
            <w:vAlign w:val="center"/>
          </w:tcPr>
          <w:p>
            <w:pPr>
              <w:widowControl/>
              <w:wordWrap w:val="0"/>
              <w:spacing w:line="288" w:lineRule="auto"/>
              <w:ind w:left="-105" w:leftChars="-50" w:right="-105" w:rightChars="-50"/>
              <w:jc w:val="center"/>
              <w:rPr>
                <w:kern w:val="21"/>
                <w:sz w:val="24"/>
                <w:szCs w:val="24"/>
              </w:rPr>
            </w:pPr>
            <w:r>
              <w:rPr>
                <w:sz w:val="24"/>
                <w:szCs w:val="24"/>
              </w:rPr>
              <w:t>天然气燃烧废气进行处理</w:t>
            </w:r>
            <w:r>
              <w:rPr>
                <w:rFonts w:hint="eastAsia"/>
                <w:sz w:val="24"/>
                <w:szCs w:val="24"/>
              </w:rPr>
              <w:t>达标</w:t>
            </w:r>
            <w:r>
              <w:rPr>
                <w:sz w:val="24"/>
                <w:szCs w:val="24"/>
              </w:rPr>
              <w:t>气通过15m排气筒（DA002）</w:t>
            </w:r>
          </w:p>
        </w:tc>
        <w:tc>
          <w:tcPr>
            <w:tcW w:w="1179" w:type="pct"/>
            <w:vAlign w:val="center"/>
          </w:tcPr>
          <w:p>
            <w:pPr>
              <w:widowControl/>
              <w:wordWrap w:val="0"/>
              <w:spacing w:line="288" w:lineRule="auto"/>
              <w:ind w:left="-105" w:leftChars="-50" w:right="-105" w:rightChars="-50"/>
              <w:jc w:val="center"/>
              <w:rPr>
                <w:kern w:val="21"/>
                <w:sz w:val="24"/>
                <w:szCs w:val="24"/>
              </w:rPr>
            </w:pPr>
            <w:r>
              <w:rPr>
                <w:kern w:val="21"/>
                <w:sz w:val="24"/>
                <w:szCs w:val="24"/>
              </w:rPr>
              <w:t>《工业炉窑大气污染综合治理方案》（环大气[2019]56号）中重点区域相关标准。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10" w:type="pct"/>
            <w:vMerge w:val="continue"/>
            <w:vAlign w:val="center"/>
          </w:tcPr>
          <w:p>
            <w:pPr>
              <w:jc w:val="center"/>
              <w:rPr>
                <w:sz w:val="24"/>
                <w:szCs w:val="24"/>
              </w:rPr>
            </w:pPr>
          </w:p>
        </w:tc>
        <w:tc>
          <w:tcPr>
            <w:tcW w:w="783" w:type="pct"/>
            <w:vMerge w:val="continue"/>
            <w:vAlign w:val="center"/>
          </w:tcPr>
          <w:p>
            <w:pPr>
              <w:widowControl/>
              <w:wordWrap w:val="0"/>
              <w:spacing w:line="288" w:lineRule="auto"/>
              <w:ind w:left="-105" w:leftChars="-50" w:right="-105" w:rightChars="-50"/>
              <w:jc w:val="center"/>
              <w:rPr>
                <w:kern w:val="21"/>
                <w:sz w:val="24"/>
                <w:szCs w:val="24"/>
              </w:rPr>
            </w:pPr>
          </w:p>
        </w:tc>
        <w:tc>
          <w:tcPr>
            <w:tcW w:w="698" w:type="pct"/>
            <w:vAlign w:val="center"/>
          </w:tcPr>
          <w:p>
            <w:pPr>
              <w:widowControl/>
              <w:wordWrap w:val="0"/>
              <w:spacing w:line="288" w:lineRule="auto"/>
              <w:ind w:left="-105" w:leftChars="-50" w:right="-105" w:rightChars="-50"/>
              <w:jc w:val="center"/>
              <w:rPr>
                <w:kern w:val="21"/>
                <w:sz w:val="24"/>
                <w:szCs w:val="24"/>
              </w:rPr>
            </w:pPr>
            <w:r>
              <w:rPr>
                <w:rFonts w:hint="eastAsia"/>
                <w:kern w:val="21"/>
                <w:sz w:val="24"/>
                <w:szCs w:val="24"/>
              </w:rPr>
              <w:t>林格曼黑度</w:t>
            </w:r>
          </w:p>
        </w:tc>
        <w:tc>
          <w:tcPr>
            <w:tcW w:w="1727" w:type="pct"/>
            <w:vAlign w:val="center"/>
          </w:tcPr>
          <w:p>
            <w:pPr>
              <w:widowControl/>
              <w:wordWrap w:val="0"/>
              <w:spacing w:line="288" w:lineRule="auto"/>
              <w:ind w:left="-105" w:leftChars="-50" w:right="-105" w:rightChars="-50"/>
              <w:jc w:val="center"/>
              <w:rPr>
                <w:kern w:val="21"/>
                <w:sz w:val="24"/>
                <w:szCs w:val="24"/>
              </w:rPr>
            </w:pPr>
            <w:r>
              <w:rPr>
                <w:rFonts w:hint="eastAsia"/>
                <w:kern w:val="21"/>
                <w:sz w:val="24"/>
                <w:szCs w:val="24"/>
              </w:rPr>
              <w:t>/</w:t>
            </w:r>
          </w:p>
        </w:tc>
        <w:tc>
          <w:tcPr>
            <w:tcW w:w="1179" w:type="pct"/>
            <w:vAlign w:val="center"/>
          </w:tcPr>
          <w:p>
            <w:pPr>
              <w:widowControl/>
              <w:wordWrap w:val="0"/>
              <w:spacing w:line="288" w:lineRule="auto"/>
              <w:ind w:left="-105" w:leftChars="-50" w:right="-105" w:rightChars="-50"/>
              <w:jc w:val="center"/>
              <w:rPr>
                <w:kern w:val="21"/>
                <w:sz w:val="24"/>
                <w:szCs w:val="24"/>
              </w:rPr>
            </w:pPr>
            <w:r>
              <w:rPr>
                <w:rFonts w:hint="eastAsia"/>
                <w:sz w:val="24"/>
                <w:szCs w:val="24"/>
              </w:rPr>
              <w:t>《工业炉窑大气污染物排放标准》（GB9078-1996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jc w:val="center"/>
        </w:trPr>
        <w:tc>
          <w:tcPr>
            <w:tcW w:w="610" w:type="pct"/>
            <w:vMerge w:val="restart"/>
            <w:vAlign w:val="center"/>
          </w:tcPr>
          <w:p>
            <w:pPr>
              <w:jc w:val="center"/>
              <w:rPr>
                <w:sz w:val="24"/>
                <w:szCs w:val="24"/>
              </w:rPr>
            </w:pPr>
            <w:r>
              <w:rPr>
                <w:sz w:val="24"/>
                <w:szCs w:val="24"/>
              </w:rPr>
              <w:t>地表水</w:t>
            </w:r>
          </w:p>
          <w:p>
            <w:pPr>
              <w:jc w:val="center"/>
              <w:rPr>
                <w:sz w:val="24"/>
                <w:szCs w:val="24"/>
              </w:rPr>
            </w:pPr>
            <w:r>
              <w:rPr>
                <w:sz w:val="24"/>
                <w:szCs w:val="24"/>
              </w:rPr>
              <w:t>环境</w:t>
            </w:r>
          </w:p>
        </w:tc>
        <w:tc>
          <w:tcPr>
            <w:tcW w:w="783" w:type="pct"/>
            <w:vAlign w:val="center"/>
          </w:tcPr>
          <w:p>
            <w:pPr>
              <w:adjustRightInd w:val="0"/>
              <w:snapToGrid w:val="0"/>
              <w:spacing w:line="360" w:lineRule="auto"/>
              <w:jc w:val="center"/>
              <w:rPr>
                <w:sz w:val="24"/>
                <w:szCs w:val="24"/>
              </w:rPr>
            </w:pPr>
            <w:r>
              <w:rPr>
                <w:sz w:val="24"/>
                <w:szCs w:val="24"/>
              </w:rPr>
              <w:t>生活污水</w:t>
            </w:r>
          </w:p>
        </w:tc>
        <w:tc>
          <w:tcPr>
            <w:tcW w:w="698" w:type="pct"/>
            <w:vAlign w:val="center"/>
          </w:tcPr>
          <w:p>
            <w:pPr>
              <w:widowControl/>
              <w:wordWrap w:val="0"/>
              <w:spacing w:line="288" w:lineRule="auto"/>
              <w:ind w:left="-105" w:leftChars="-50" w:right="-105" w:rightChars="-50"/>
              <w:jc w:val="center"/>
              <w:rPr>
                <w:kern w:val="21"/>
                <w:sz w:val="24"/>
                <w:szCs w:val="24"/>
              </w:rPr>
            </w:pPr>
            <w:r>
              <w:rPr>
                <w:kern w:val="21"/>
                <w:sz w:val="24"/>
                <w:szCs w:val="24"/>
              </w:rPr>
              <w:t>COD、SS、</w:t>
            </w:r>
          </w:p>
          <w:p>
            <w:pPr>
              <w:widowControl/>
              <w:wordWrap w:val="0"/>
              <w:spacing w:line="288" w:lineRule="auto"/>
              <w:ind w:left="-105" w:leftChars="-50" w:right="-105" w:rightChars="-50"/>
              <w:jc w:val="center"/>
              <w:rPr>
                <w:kern w:val="21"/>
                <w:sz w:val="24"/>
                <w:szCs w:val="24"/>
              </w:rPr>
            </w:pPr>
            <w:r>
              <w:rPr>
                <w:kern w:val="21"/>
                <w:sz w:val="24"/>
                <w:szCs w:val="24"/>
              </w:rPr>
              <w:t>动植物油</w:t>
            </w:r>
          </w:p>
        </w:tc>
        <w:tc>
          <w:tcPr>
            <w:tcW w:w="1727" w:type="pct"/>
            <w:vAlign w:val="center"/>
          </w:tcPr>
          <w:p>
            <w:pPr>
              <w:widowControl/>
              <w:wordWrap w:val="0"/>
              <w:spacing w:line="288" w:lineRule="auto"/>
              <w:ind w:left="-105" w:leftChars="-50" w:right="-105" w:rightChars="-50"/>
              <w:jc w:val="center"/>
              <w:rPr>
                <w:kern w:val="21"/>
                <w:sz w:val="24"/>
                <w:szCs w:val="24"/>
              </w:rPr>
            </w:pPr>
            <w:r>
              <w:rPr>
                <w:kern w:val="21"/>
                <w:sz w:val="24"/>
                <w:szCs w:val="24"/>
              </w:rPr>
              <w:t>依托租赁方建成</w:t>
            </w:r>
            <w:r>
              <w:rPr>
                <w:rFonts w:hint="eastAsia"/>
                <w:kern w:val="21"/>
                <w:sz w:val="24"/>
                <w:szCs w:val="24"/>
                <w:lang w:eastAsia="zh-CN"/>
              </w:rPr>
              <w:t>租赁方化粪池</w:t>
            </w:r>
            <w:r>
              <w:rPr>
                <w:kern w:val="21"/>
                <w:sz w:val="24"/>
                <w:szCs w:val="24"/>
              </w:rPr>
              <w:t>处理，定期清掏外运肥田</w:t>
            </w:r>
          </w:p>
        </w:tc>
        <w:tc>
          <w:tcPr>
            <w:tcW w:w="1179" w:type="pct"/>
            <w:shd w:val="clear" w:color="auto" w:fill="auto"/>
            <w:vAlign w:val="center"/>
          </w:tcPr>
          <w:p>
            <w:pPr>
              <w:adjustRightInd w:val="0"/>
              <w:snapToGrid w:val="0"/>
              <w:spacing w:line="288" w:lineRule="auto"/>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0" w:type="pct"/>
            <w:vMerge w:val="continue"/>
            <w:vAlign w:val="center"/>
          </w:tcPr>
          <w:p>
            <w:pPr>
              <w:jc w:val="center"/>
              <w:rPr>
                <w:sz w:val="24"/>
                <w:szCs w:val="24"/>
              </w:rPr>
            </w:pPr>
          </w:p>
        </w:tc>
        <w:tc>
          <w:tcPr>
            <w:tcW w:w="783" w:type="pct"/>
            <w:vAlign w:val="center"/>
          </w:tcPr>
          <w:p>
            <w:pPr>
              <w:adjustRightInd w:val="0"/>
              <w:snapToGrid w:val="0"/>
              <w:spacing w:line="360" w:lineRule="auto"/>
              <w:jc w:val="center"/>
              <w:rPr>
                <w:sz w:val="24"/>
                <w:szCs w:val="24"/>
              </w:rPr>
            </w:pPr>
            <w:r>
              <w:rPr>
                <w:sz w:val="24"/>
                <w:szCs w:val="24"/>
              </w:rPr>
              <w:t>喷淋水</w:t>
            </w:r>
          </w:p>
        </w:tc>
        <w:tc>
          <w:tcPr>
            <w:tcW w:w="698" w:type="pct"/>
            <w:vAlign w:val="center"/>
          </w:tcPr>
          <w:p>
            <w:pPr>
              <w:widowControl/>
              <w:wordWrap w:val="0"/>
              <w:spacing w:line="288" w:lineRule="auto"/>
              <w:ind w:left="-105" w:leftChars="-50" w:right="-105" w:rightChars="-50"/>
              <w:jc w:val="center"/>
              <w:rPr>
                <w:kern w:val="21"/>
                <w:sz w:val="24"/>
                <w:szCs w:val="24"/>
              </w:rPr>
            </w:pPr>
            <w:r>
              <w:rPr>
                <w:kern w:val="21"/>
                <w:sz w:val="24"/>
                <w:szCs w:val="24"/>
              </w:rPr>
              <w:t>SS</w:t>
            </w:r>
          </w:p>
        </w:tc>
        <w:tc>
          <w:tcPr>
            <w:tcW w:w="1727" w:type="pct"/>
            <w:vAlign w:val="center"/>
          </w:tcPr>
          <w:p>
            <w:pPr>
              <w:widowControl/>
              <w:wordWrap w:val="0"/>
              <w:spacing w:line="288" w:lineRule="auto"/>
              <w:ind w:left="-105" w:leftChars="-50" w:right="-105" w:rightChars="-50"/>
              <w:jc w:val="center"/>
              <w:rPr>
                <w:kern w:val="21"/>
                <w:sz w:val="24"/>
                <w:szCs w:val="24"/>
              </w:rPr>
            </w:pPr>
            <w:r>
              <w:rPr>
                <w:kern w:val="21"/>
                <w:sz w:val="24"/>
                <w:szCs w:val="24"/>
              </w:rPr>
              <w:t>循环利用，不外排</w:t>
            </w:r>
          </w:p>
        </w:tc>
        <w:tc>
          <w:tcPr>
            <w:tcW w:w="1179" w:type="pct"/>
            <w:shd w:val="clear" w:color="auto" w:fill="auto"/>
            <w:vAlign w:val="center"/>
          </w:tcPr>
          <w:p>
            <w:pPr>
              <w:adjustRightInd w:val="0"/>
              <w:snapToGrid w:val="0"/>
              <w:spacing w:line="288" w:lineRule="auto"/>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610" w:type="pct"/>
            <w:vMerge w:val="continue"/>
            <w:vAlign w:val="center"/>
          </w:tcPr>
          <w:p>
            <w:pPr>
              <w:jc w:val="center"/>
              <w:rPr>
                <w:sz w:val="24"/>
                <w:szCs w:val="24"/>
              </w:rPr>
            </w:pPr>
          </w:p>
        </w:tc>
        <w:tc>
          <w:tcPr>
            <w:tcW w:w="783" w:type="pct"/>
            <w:vAlign w:val="center"/>
          </w:tcPr>
          <w:p>
            <w:pPr>
              <w:adjustRightInd w:val="0"/>
              <w:snapToGrid w:val="0"/>
              <w:spacing w:line="360" w:lineRule="auto"/>
              <w:jc w:val="center"/>
              <w:rPr>
                <w:rFonts w:hint="eastAsia" w:eastAsia="宋体"/>
                <w:sz w:val="24"/>
                <w:szCs w:val="24"/>
                <w:lang w:eastAsia="zh-CN"/>
              </w:rPr>
            </w:pPr>
            <w:r>
              <w:rPr>
                <w:rFonts w:hint="eastAsia"/>
                <w:sz w:val="24"/>
                <w:szCs w:val="24"/>
                <w:lang w:eastAsia="zh-CN"/>
              </w:rPr>
              <w:t>铝材表面处理废水和清洗废水</w:t>
            </w:r>
          </w:p>
        </w:tc>
        <w:tc>
          <w:tcPr>
            <w:tcW w:w="698" w:type="pct"/>
            <w:vAlign w:val="center"/>
          </w:tcPr>
          <w:p>
            <w:pPr>
              <w:widowControl/>
              <w:wordWrap w:val="0"/>
              <w:spacing w:line="288" w:lineRule="auto"/>
              <w:ind w:left="-105" w:leftChars="-50" w:right="-105" w:rightChars="-50"/>
              <w:jc w:val="center"/>
              <w:rPr>
                <w:sz w:val="24"/>
                <w:szCs w:val="24"/>
              </w:rPr>
            </w:pPr>
            <w:r>
              <w:rPr>
                <w:sz w:val="24"/>
                <w:szCs w:val="24"/>
              </w:rPr>
              <w:t>pH、COD、</w:t>
            </w:r>
          </w:p>
          <w:p>
            <w:pPr>
              <w:widowControl/>
              <w:wordWrap w:val="0"/>
              <w:spacing w:line="288" w:lineRule="auto"/>
              <w:ind w:left="-105" w:leftChars="-50" w:right="-105" w:rightChars="-50"/>
              <w:jc w:val="center"/>
              <w:rPr>
                <w:sz w:val="24"/>
                <w:szCs w:val="24"/>
              </w:rPr>
            </w:pPr>
            <w:r>
              <w:rPr>
                <w:sz w:val="24"/>
                <w:szCs w:val="24"/>
              </w:rPr>
              <w:t>SS、石油类</w:t>
            </w:r>
          </w:p>
        </w:tc>
        <w:tc>
          <w:tcPr>
            <w:tcW w:w="1727" w:type="pct"/>
            <w:vAlign w:val="center"/>
          </w:tcPr>
          <w:p>
            <w:pPr>
              <w:widowControl/>
              <w:wordWrap w:val="0"/>
              <w:spacing w:line="288" w:lineRule="auto"/>
              <w:ind w:left="-105" w:leftChars="-50" w:right="-105" w:rightChars="-50"/>
              <w:jc w:val="center"/>
              <w:rPr>
                <w:sz w:val="24"/>
                <w:szCs w:val="24"/>
              </w:rPr>
            </w:pPr>
            <w:r>
              <w:rPr>
                <w:rFonts w:hint="eastAsia"/>
                <w:sz w:val="24"/>
                <w:szCs w:val="24"/>
                <w:lang w:eastAsia="zh-CN"/>
              </w:rPr>
              <w:t>铝材表面处理废水和清洗废水</w:t>
            </w:r>
            <w:r>
              <w:rPr>
                <w:rFonts w:hint="eastAsia"/>
                <w:sz w:val="24"/>
                <w:szCs w:val="24"/>
                <w:lang w:val="en-US" w:eastAsia="zh-CN"/>
              </w:rPr>
              <w:t>经</w:t>
            </w:r>
            <w:r>
              <w:rPr>
                <w:sz w:val="24"/>
                <w:szCs w:val="24"/>
              </w:rPr>
              <w:t>污水处理站处理后</w:t>
            </w:r>
            <w:r>
              <w:rPr>
                <w:rFonts w:hint="eastAsia"/>
                <w:sz w:val="24"/>
                <w:szCs w:val="24"/>
                <w:lang w:eastAsia="zh-CN"/>
              </w:rPr>
              <w:t>，</w:t>
            </w:r>
            <w:r>
              <w:rPr>
                <w:rFonts w:hint="eastAsia"/>
                <w:sz w:val="24"/>
                <w:szCs w:val="24"/>
              </w:rPr>
              <w:t>产生的纯水产生的纯水回用于清洗工序，浓水回用于</w:t>
            </w:r>
            <w:r>
              <w:rPr>
                <w:rFonts w:hint="eastAsia"/>
                <w:sz w:val="24"/>
                <w:szCs w:val="24"/>
                <w:lang w:val="en-US" w:eastAsia="zh-CN"/>
              </w:rPr>
              <w:t>铝材表面</w:t>
            </w:r>
            <w:r>
              <w:rPr>
                <w:rFonts w:hint="eastAsia"/>
                <w:sz w:val="24"/>
                <w:szCs w:val="24"/>
              </w:rPr>
              <w:t>处理工序，SS进入污泥。</w:t>
            </w:r>
          </w:p>
        </w:tc>
        <w:tc>
          <w:tcPr>
            <w:tcW w:w="1179" w:type="pct"/>
            <w:shd w:val="clear" w:color="auto" w:fill="auto"/>
            <w:vAlign w:val="center"/>
          </w:tcPr>
          <w:p>
            <w:pPr>
              <w:adjustRightInd w:val="0"/>
              <w:snapToGrid w:val="0"/>
              <w:spacing w:line="288" w:lineRule="auto"/>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10" w:type="pct"/>
            <w:vAlign w:val="center"/>
          </w:tcPr>
          <w:p>
            <w:pPr>
              <w:jc w:val="center"/>
              <w:rPr>
                <w:sz w:val="24"/>
                <w:szCs w:val="24"/>
              </w:rPr>
            </w:pPr>
            <w:r>
              <w:rPr>
                <w:sz w:val="24"/>
                <w:szCs w:val="24"/>
              </w:rPr>
              <w:t>声环境</w:t>
            </w:r>
          </w:p>
        </w:tc>
        <w:tc>
          <w:tcPr>
            <w:tcW w:w="783" w:type="pct"/>
            <w:vAlign w:val="center"/>
          </w:tcPr>
          <w:p>
            <w:pPr>
              <w:adjustRightInd w:val="0"/>
              <w:snapToGrid w:val="0"/>
              <w:spacing w:line="288" w:lineRule="auto"/>
              <w:jc w:val="center"/>
              <w:rPr>
                <w:sz w:val="24"/>
                <w:szCs w:val="24"/>
              </w:rPr>
            </w:pPr>
            <w:r>
              <w:rPr>
                <w:sz w:val="24"/>
                <w:szCs w:val="24"/>
              </w:rPr>
              <w:t>设备运行</w:t>
            </w:r>
          </w:p>
        </w:tc>
        <w:tc>
          <w:tcPr>
            <w:tcW w:w="698" w:type="pct"/>
            <w:vAlign w:val="center"/>
          </w:tcPr>
          <w:p>
            <w:pPr>
              <w:adjustRightInd w:val="0"/>
              <w:snapToGrid w:val="0"/>
              <w:spacing w:line="288" w:lineRule="auto"/>
              <w:jc w:val="center"/>
              <w:rPr>
                <w:sz w:val="24"/>
                <w:szCs w:val="24"/>
              </w:rPr>
            </w:pPr>
            <w:r>
              <w:rPr>
                <w:sz w:val="24"/>
                <w:szCs w:val="24"/>
              </w:rPr>
              <w:t>噪声</w:t>
            </w:r>
          </w:p>
        </w:tc>
        <w:tc>
          <w:tcPr>
            <w:tcW w:w="1727" w:type="pct"/>
            <w:vAlign w:val="center"/>
          </w:tcPr>
          <w:p>
            <w:pPr>
              <w:widowControl/>
              <w:wordWrap w:val="0"/>
              <w:spacing w:line="288" w:lineRule="auto"/>
              <w:ind w:left="-105" w:leftChars="-50" w:right="-105" w:rightChars="-50"/>
              <w:jc w:val="center"/>
              <w:rPr>
                <w:sz w:val="24"/>
                <w:szCs w:val="24"/>
              </w:rPr>
            </w:pPr>
            <w:r>
              <w:rPr>
                <w:sz w:val="24"/>
                <w:szCs w:val="24"/>
              </w:rPr>
              <w:t>采用低噪声设备、基础减振、厂房隔声、定期保养维护、距离衰减等</w:t>
            </w:r>
          </w:p>
        </w:tc>
        <w:tc>
          <w:tcPr>
            <w:tcW w:w="1179" w:type="pct"/>
            <w:vAlign w:val="center"/>
          </w:tcPr>
          <w:p>
            <w:pPr>
              <w:spacing w:line="240" w:lineRule="exact"/>
              <w:jc w:val="center"/>
              <w:rPr>
                <w:sz w:val="24"/>
                <w:szCs w:val="24"/>
              </w:rPr>
            </w:pPr>
            <w:r>
              <w:rPr>
                <w:sz w:val="24"/>
                <w:szCs w:val="24"/>
              </w:rPr>
              <w:t>《工业企业厂界环境噪声排放标准》（GB12348-2008）2类标准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610" w:type="pct"/>
            <w:vAlign w:val="center"/>
          </w:tcPr>
          <w:p>
            <w:pPr>
              <w:jc w:val="center"/>
              <w:rPr>
                <w:sz w:val="24"/>
                <w:szCs w:val="24"/>
              </w:rPr>
            </w:pPr>
            <w:r>
              <w:rPr>
                <w:sz w:val="24"/>
                <w:szCs w:val="24"/>
              </w:rPr>
              <w:t>电磁辐射</w:t>
            </w:r>
          </w:p>
        </w:tc>
        <w:tc>
          <w:tcPr>
            <w:tcW w:w="4389" w:type="pct"/>
            <w:gridSpan w:val="4"/>
            <w:vAlign w:val="center"/>
          </w:tcPr>
          <w:p>
            <w:pPr>
              <w:jc w:val="center"/>
              <w:rPr>
                <w:sz w:val="24"/>
                <w:szCs w:val="24"/>
              </w:rPr>
            </w:pPr>
            <w:r>
              <w:rPr>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10" w:type="pct"/>
            <w:vAlign w:val="center"/>
          </w:tcPr>
          <w:p>
            <w:pPr>
              <w:jc w:val="center"/>
              <w:rPr>
                <w:sz w:val="24"/>
                <w:szCs w:val="24"/>
              </w:rPr>
            </w:pPr>
            <w:r>
              <w:rPr>
                <w:sz w:val="24"/>
                <w:szCs w:val="24"/>
              </w:rPr>
              <w:t>固体废物</w:t>
            </w:r>
          </w:p>
        </w:tc>
        <w:tc>
          <w:tcPr>
            <w:tcW w:w="4389" w:type="pct"/>
            <w:gridSpan w:val="4"/>
            <w:vAlign w:val="center"/>
          </w:tcPr>
          <w:p>
            <w:pPr>
              <w:adjustRightInd w:val="0"/>
              <w:snapToGrid w:val="0"/>
              <w:spacing w:line="360" w:lineRule="auto"/>
              <w:ind w:firstLine="480" w:firstLineChars="200"/>
              <w:rPr>
                <w:kern w:val="0"/>
                <w:sz w:val="24"/>
                <w:szCs w:val="24"/>
              </w:rPr>
            </w:pPr>
            <w:r>
              <w:rPr>
                <w:sz w:val="24"/>
                <w:szCs w:val="24"/>
              </w:rPr>
              <w:t>生活垃圾分类收集后交由环卫处置，废边角料、废包装材料、废木纹转印纸、废塑粉、分类收集后外售，废渗透膜</w:t>
            </w:r>
            <w:r>
              <w:rPr>
                <w:rFonts w:hint="eastAsia"/>
                <w:sz w:val="24"/>
                <w:szCs w:val="24"/>
              </w:rPr>
              <w:t>、废树脂</w:t>
            </w:r>
            <w:r>
              <w:rPr>
                <w:sz w:val="24"/>
                <w:szCs w:val="24"/>
              </w:rPr>
              <w:t>由厂家进行回收处置；</w:t>
            </w:r>
            <w:r>
              <w:rPr>
                <w:rFonts w:hint="eastAsia"/>
                <w:sz w:val="24"/>
                <w:szCs w:val="24"/>
                <w:lang w:val="en-US" w:eastAsia="zh-CN"/>
              </w:rPr>
              <w:t>铝材表面</w:t>
            </w:r>
            <w:r>
              <w:rPr>
                <w:rFonts w:hint="eastAsia"/>
                <w:sz w:val="24"/>
                <w:szCs w:val="24"/>
                <w:lang w:eastAsia="zh-CN"/>
              </w:rPr>
              <w:t>处理</w:t>
            </w:r>
            <w:r>
              <w:rPr>
                <w:rFonts w:hint="eastAsia"/>
                <w:sz w:val="24"/>
                <w:szCs w:val="24"/>
              </w:rPr>
              <w:t>废</w:t>
            </w:r>
            <w:r>
              <w:rPr>
                <w:rFonts w:hint="eastAsia"/>
                <w:sz w:val="24"/>
                <w:szCs w:val="24"/>
                <w:lang w:val="en-US" w:eastAsia="zh-CN"/>
              </w:rPr>
              <w:t>液、</w:t>
            </w:r>
            <w:r>
              <w:rPr>
                <w:sz w:val="24"/>
                <w:szCs w:val="24"/>
              </w:rPr>
              <w:t>废吸附棉、废活性炭、废机油、废液压油、含油废抹布及手套、废渣及泥饼分类收集后暂存于</w:t>
            </w:r>
            <w:r>
              <w:rPr>
                <w:rFonts w:hint="eastAsia"/>
                <w:sz w:val="24"/>
                <w:szCs w:val="24"/>
              </w:rPr>
              <w:t>危废贮存库</w:t>
            </w:r>
            <w:r>
              <w:rPr>
                <w:sz w:val="24"/>
                <w:szCs w:val="24"/>
              </w:rPr>
              <w:t>，定期</w:t>
            </w:r>
            <w:r>
              <w:rPr>
                <w:rFonts w:hint="eastAsia"/>
                <w:sz w:val="24"/>
                <w:szCs w:val="24"/>
                <w:lang w:eastAsia="zh-CN"/>
              </w:rPr>
              <w:t>交由陕西新天地固体废物综合处置公司</w:t>
            </w:r>
            <w:r>
              <w:rPr>
                <w:rFonts w:hint="eastAsia"/>
                <w:sz w:val="24"/>
                <w:szCs w:val="24"/>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0" w:hRule="atLeast"/>
          <w:jc w:val="center"/>
        </w:trPr>
        <w:tc>
          <w:tcPr>
            <w:tcW w:w="610" w:type="pct"/>
            <w:vAlign w:val="center"/>
          </w:tcPr>
          <w:p>
            <w:pPr>
              <w:jc w:val="center"/>
              <w:rPr>
                <w:sz w:val="24"/>
                <w:szCs w:val="24"/>
              </w:rPr>
            </w:pPr>
            <w:r>
              <w:rPr>
                <w:sz w:val="24"/>
                <w:szCs w:val="24"/>
              </w:rPr>
              <w:t>土壤及地下水污染防治措施</w:t>
            </w:r>
          </w:p>
        </w:tc>
        <w:tc>
          <w:tcPr>
            <w:tcW w:w="4389" w:type="pct"/>
            <w:gridSpan w:val="4"/>
            <w:vAlign w:val="center"/>
          </w:tcPr>
          <w:p>
            <w:pPr>
              <w:adjustRightInd w:val="0"/>
              <w:snapToGrid w:val="0"/>
              <w:spacing w:line="360" w:lineRule="auto"/>
              <w:jc w:val="center"/>
              <w:rPr>
                <w:sz w:val="24"/>
                <w:szCs w:val="24"/>
              </w:rPr>
            </w:pPr>
            <w:r>
              <w:rPr>
                <w:sz w:val="24"/>
                <w:szCs w:val="24"/>
              </w:rPr>
              <w:t>根据厂区污染物产生特征及污染物泄漏的途径，项目主要在危险废物暂存库、污水处理站、药品室等可能发生泄漏造成土壤、地下水污染的区域或部位采取严格的防渗措施，防止和降低污染物跑、冒、滴、漏风险，确保各项防渗措施得以落实，并加强维护和厂区环境管理，可有效控制项目产生的污染物下渗现象，避免污染土壤、地下水，在采取有效防护措施情况下，将污染物泄漏环境风险事故降到最低程度，项目对区域土壤、地下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10" w:type="pct"/>
            <w:vAlign w:val="center"/>
          </w:tcPr>
          <w:p>
            <w:pPr>
              <w:jc w:val="center"/>
              <w:rPr>
                <w:sz w:val="24"/>
                <w:szCs w:val="24"/>
              </w:rPr>
            </w:pPr>
            <w:r>
              <w:rPr>
                <w:sz w:val="24"/>
                <w:szCs w:val="24"/>
              </w:rPr>
              <w:t>生态保护措施</w:t>
            </w:r>
          </w:p>
        </w:tc>
        <w:tc>
          <w:tcPr>
            <w:tcW w:w="4389" w:type="pct"/>
            <w:gridSpan w:val="4"/>
            <w:vAlign w:val="center"/>
          </w:tcPr>
          <w:p>
            <w:pPr>
              <w:adjustRightInd w:val="0"/>
              <w:snapToGrid w:val="0"/>
              <w:spacing w:line="360" w:lineRule="auto"/>
              <w:jc w:val="left"/>
              <w:rPr>
                <w:sz w:val="24"/>
                <w:szCs w:val="24"/>
              </w:rPr>
            </w:pPr>
            <w:r>
              <w:rPr>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610" w:type="pct"/>
            <w:vAlign w:val="center"/>
          </w:tcPr>
          <w:p>
            <w:pPr>
              <w:jc w:val="center"/>
              <w:rPr>
                <w:sz w:val="24"/>
                <w:szCs w:val="24"/>
                <w:highlight w:val="yellow"/>
              </w:rPr>
            </w:pPr>
            <w:r>
              <w:rPr>
                <w:sz w:val="24"/>
                <w:szCs w:val="24"/>
              </w:rPr>
              <w:t>环境风险防范措施</w:t>
            </w:r>
          </w:p>
        </w:tc>
        <w:tc>
          <w:tcPr>
            <w:tcW w:w="4389" w:type="pct"/>
            <w:gridSpan w:val="4"/>
            <w:vAlign w:val="center"/>
          </w:tcPr>
          <w:p>
            <w:pPr>
              <w:adjustRightInd w:val="0"/>
              <w:snapToGrid w:val="0"/>
              <w:spacing w:line="360" w:lineRule="auto"/>
              <w:jc w:val="left"/>
              <w:rPr>
                <w:sz w:val="24"/>
                <w:szCs w:val="24"/>
              </w:rPr>
            </w:pPr>
            <w:r>
              <w:rPr>
                <w:sz w:val="24"/>
                <w:szCs w:val="24"/>
              </w:rPr>
              <w:t>生产过程中注意通风，远离火花、明火、热源。厂区内应安装消防及火灾报警系统，并配套相应的消防设施；厂区总平面布置符合防范事故要求，有应急救援设施及救援通道。针对原料库及为</w:t>
            </w:r>
            <w:r>
              <w:rPr>
                <w:rFonts w:hint="eastAsia"/>
                <w:sz w:val="24"/>
                <w:szCs w:val="24"/>
              </w:rPr>
              <w:t>危废贮存库</w:t>
            </w:r>
            <w:r>
              <w:rPr>
                <w:sz w:val="24"/>
                <w:szCs w:val="24"/>
              </w:rPr>
              <w:t>存储的风险物质，应加强管理日常管理，对储存风险物质的容器定期进行泄漏密封检查。为</w:t>
            </w:r>
            <w:r>
              <w:rPr>
                <w:rFonts w:hint="eastAsia"/>
                <w:sz w:val="24"/>
                <w:szCs w:val="24"/>
              </w:rPr>
              <w:t>危废贮存库</w:t>
            </w:r>
            <w:r>
              <w:rPr>
                <w:sz w:val="24"/>
                <w:szCs w:val="24"/>
              </w:rPr>
              <w:t>的废油类物质的储存容器要有足够的储存空间及盛装余量，储存场所进行重点防渗处理；编制突发环境应急预案。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4" w:hRule="atLeast"/>
          <w:jc w:val="center"/>
        </w:trPr>
        <w:tc>
          <w:tcPr>
            <w:tcW w:w="610" w:type="pct"/>
            <w:vAlign w:val="center"/>
          </w:tcPr>
          <w:p>
            <w:pPr>
              <w:jc w:val="center"/>
              <w:rPr>
                <w:sz w:val="24"/>
                <w:szCs w:val="24"/>
              </w:rPr>
            </w:pPr>
            <w:r>
              <w:rPr>
                <w:sz w:val="24"/>
                <w:szCs w:val="24"/>
              </w:rPr>
              <w:t>其他环境管理要求</w:t>
            </w:r>
          </w:p>
        </w:tc>
        <w:tc>
          <w:tcPr>
            <w:tcW w:w="4389" w:type="pct"/>
            <w:gridSpan w:val="4"/>
            <w:vAlign w:val="center"/>
          </w:tcPr>
          <w:p>
            <w:pPr>
              <w:numPr>
                <w:ilvl w:val="0"/>
                <w:numId w:val="11"/>
              </w:numPr>
              <w:adjustRightInd w:val="0"/>
              <w:snapToGrid w:val="0"/>
              <w:spacing w:line="360" w:lineRule="auto"/>
              <w:ind w:firstLine="482" w:firstLineChars="200"/>
              <w:jc w:val="left"/>
              <w:rPr>
                <w:b/>
                <w:bCs/>
                <w:sz w:val="24"/>
                <w:szCs w:val="24"/>
              </w:rPr>
            </w:pPr>
            <w:r>
              <w:rPr>
                <w:b/>
                <w:bCs/>
                <w:sz w:val="24"/>
                <w:szCs w:val="24"/>
              </w:rPr>
              <w:t>完善建设项目三同时制度及竣工验收制度</w:t>
            </w:r>
          </w:p>
          <w:p>
            <w:pPr>
              <w:adjustRightInd w:val="0"/>
              <w:snapToGrid w:val="0"/>
              <w:spacing w:line="360" w:lineRule="auto"/>
              <w:ind w:firstLine="480" w:firstLineChars="200"/>
              <w:jc w:val="left"/>
              <w:rPr>
                <w:sz w:val="24"/>
                <w:szCs w:val="24"/>
              </w:rPr>
            </w:pPr>
            <w:r>
              <w:rPr>
                <w:sz w:val="24"/>
                <w:szCs w:val="24"/>
              </w:rPr>
              <w:t>切实落实项目的各项污染防治措施，环保设施必须与生产工程同时设计、同时施工、同时投产，并在使用过程中加强管理，确保环保设施的运行率和净化效率，定期维护环保设施，保持其正常、稳定、有效运行。</w:t>
            </w:r>
          </w:p>
          <w:p>
            <w:pPr>
              <w:adjustRightInd w:val="0"/>
              <w:snapToGrid w:val="0"/>
              <w:spacing w:line="360" w:lineRule="auto"/>
              <w:ind w:firstLine="480" w:firstLineChars="200"/>
              <w:jc w:val="left"/>
              <w:rPr>
                <w:sz w:val="24"/>
                <w:szCs w:val="24"/>
              </w:rPr>
            </w:pPr>
            <w:r>
              <w:rPr>
                <w:sz w:val="24"/>
                <w:szCs w:val="24"/>
              </w:rPr>
              <w:t>建设项目竣工后，应按照《建设项目竣工环境保护验收暂行办法》（国环规环评[2017]4号）及《建设项目竣工环境保护验收技术指南污染影响类》等规定，对配套建设的环境保护设施进行验收，编制验收报告。验收合格后，方可投入生产或者使用。</w:t>
            </w:r>
          </w:p>
          <w:p>
            <w:pPr>
              <w:adjustRightInd w:val="0"/>
              <w:snapToGrid w:val="0"/>
              <w:spacing w:line="360" w:lineRule="auto"/>
              <w:ind w:firstLine="482" w:firstLineChars="200"/>
              <w:jc w:val="left"/>
              <w:rPr>
                <w:b/>
                <w:bCs/>
                <w:sz w:val="24"/>
                <w:szCs w:val="24"/>
              </w:rPr>
            </w:pPr>
            <w:r>
              <w:rPr>
                <w:b/>
                <w:bCs/>
                <w:sz w:val="24"/>
                <w:szCs w:val="24"/>
              </w:rPr>
              <w:t>2、公司环境管理制度及环保档案管理制度</w:t>
            </w:r>
          </w:p>
          <w:p>
            <w:pPr>
              <w:adjustRightInd w:val="0"/>
              <w:snapToGrid w:val="0"/>
              <w:spacing w:line="360" w:lineRule="auto"/>
              <w:ind w:firstLine="480" w:firstLineChars="200"/>
              <w:jc w:val="left"/>
              <w:rPr>
                <w:sz w:val="24"/>
                <w:szCs w:val="24"/>
              </w:rPr>
            </w:pPr>
            <w:r>
              <w:rPr>
                <w:sz w:val="24"/>
                <w:szCs w:val="24"/>
              </w:rPr>
              <w:t>设置专门员工负责环保设施和环境卫生的管理，各项环保资料（环境影响评价文件及其批复等）成册归档，由相关负责人进行保管。并建立环保设施档案，制定了环境管理规章制度。加强职工操作培训，提高职工技术水平和环保意识，建立健全各项规章制度，注意正确的操作规程。</w:t>
            </w:r>
          </w:p>
          <w:p>
            <w:pPr>
              <w:adjustRightInd w:val="0"/>
              <w:snapToGrid w:val="0"/>
              <w:spacing w:line="360" w:lineRule="auto"/>
              <w:ind w:firstLine="482" w:firstLineChars="200"/>
              <w:jc w:val="left"/>
              <w:rPr>
                <w:b/>
                <w:bCs/>
                <w:sz w:val="24"/>
                <w:szCs w:val="24"/>
              </w:rPr>
            </w:pPr>
            <w:r>
              <w:rPr>
                <w:b/>
                <w:bCs/>
                <w:sz w:val="24"/>
                <w:szCs w:val="24"/>
              </w:rPr>
              <w:t>3、排污许可证管理制度</w:t>
            </w:r>
          </w:p>
          <w:p>
            <w:pPr>
              <w:adjustRightInd w:val="0"/>
              <w:snapToGrid w:val="0"/>
              <w:spacing w:line="360" w:lineRule="auto"/>
              <w:ind w:firstLine="480" w:firstLineChars="200"/>
              <w:jc w:val="left"/>
              <w:rPr>
                <w:sz w:val="24"/>
                <w:szCs w:val="24"/>
              </w:rPr>
            </w:pPr>
            <w:r>
              <w:rPr>
                <w:sz w:val="24"/>
                <w:szCs w:val="24"/>
              </w:rPr>
              <w:t>按照《排污许可管理办法（试行）》《排污许可管理条例》等要求办理排污许可手续。</w:t>
            </w:r>
          </w:p>
          <w:p>
            <w:pPr>
              <w:adjustRightInd w:val="0"/>
              <w:snapToGrid w:val="0"/>
              <w:spacing w:line="360" w:lineRule="auto"/>
              <w:ind w:firstLine="482" w:firstLineChars="200"/>
              <w:jc w:val="left"/>
              <w:rPr>
                <w:b/>
                <w:bCs/>
                <w:sz w:val="24"/>
                <w:szCs w:val="24"/>
              </w:rPr>
            </w:pPr>
            <w:r>
              <w:rPr>
                <w:b/>
                <w:bCs/>
                <w:sz w:val="24"/>
                <w:szCs w:val="24"/>
              </w:rPr>
              <w:t>4、环境风险管理制度</w:t>
            </w:r>
          </w:p>
          <w:p>
            <w:pPr>
              <w:adjustRightInd w:val="0"/>
              <w:snapToGrid w:val="0"/>
              <w:spacing w:line="360" w:lineRule="auto"/>
              <w:ind w:firstLine="480" w:firstLineChars="200"/>
              <w:jc w:val="left"/>
              <w:rPr>
                <w:sz w:val="24"/>
                <w:szCs w:val="24"/>
              </w:rPr>
            </w:pPr>
            <w:r>
              <w:rPr>
                <w:sz w:val="24"/>
                <w:szCs w:val="24"/>
              </w:rPr>
              <w:t>建立企业环境风险管理制度，维护环保设施的正常运行和安全生产，对各环保设施进行定期检查和维修，确保污染物达标排放。重点加强对危废间管理，避免发生环境风险事故。</w:t>
            </w:r>
          </w:p>
          <w:p>
            <w:pPr>
              <w:adjustRightInd w:val="0"/>
              <w:snapToGrid w:val="0"/>
              <w:spacing w:line="360" w:lineRule="auto"/>
              <w:ind w:firstLine="482" w:firstLineChars="200"/>
              <w:jc w:val="left"/>
              <w:rPr>
                <w:b/>
                <w:bCs/>
                <w:sz w:val="24"/>
                <w:szCs w:val="24"/>
              </w:rPr>
            </w:pPr>
            <w:r>
              <w:rPr>
                <w:b/>
                <w:bCs/>
                <w:sz w:val="24"/>
                <w:szCs w:val="24"/>
              </w:rPr>
              <w:t>5、危险废物管理制度（危险废物标识标牌等）</w:t>
            </w:r>
          </w:p>
          <w:p>
            <w:pPr>
              <w:adjustRightInd w:val="0"/>
              <w:snapToGrid w:val="0"/>
              <w:spacing w:line="360" w:lineRule="auto"/>
              <w:ind w:firstLine="480" w:firstLineChars="200"/>
              <w:jc w:val="left"/>
              <w:rPr>
                <w:sz w:val="24"/>
                <w:szCs w:val="24"/>
              </w:rPr>
            </w:pPr>
            <w:r>
              <w:rPr>
                <w:sz w:val="24"/>
                <w:szCs w:val="24"/>
              </w:rPr>
              <w:t>建立企业危险废物管理制度，严格落实《危险废物贮存污染控制标准》（GB18597-2023）、《陕西省固体废物污染环境防治条例》《陕西省危险废物转移电子联单管理办法（试行）》和《危险废物转移联单管理办法》（国家环保总局5号令）中相关要求。</w:t>
            </w:r>
          </w:p>
          <w:p>
            <w:pPr>
              <w:adjustRightInd w:val="0"/>
              <w:snapToGrid w:val="0"/>
              <w:spacing w:line="360" w:lineRule="auto"/>
              <w:ind w:firstLine="482" w:firstLineChars="200"/>
              <w:jc w:val="left"/>
              <w:rPr>
                <w:b/>
                <w:bCs/>
                <w:sz w:val="24"/>
                <w:szCs w:val="24"/>
              </w:rPr>
            </w:pPr>
            <w:r>
              <w:rPr>
                <w:b/>
                <w:bCs/>
                <w:sz w:val="24"/>
                <w:szCs w:val="24"/>
              </w:rPr>
              <w:t>6、自行监测计划</w:t>
            </w:r>
          </w:p>
          <w:p>
            <w:pPr>
              <w:adjustRightInd w:val="0"/>
              <w:snapToGrid w:val="0"/>
              <w:spacing w:line="360" w:lineRule="auto"/>
              <w:ind w:firstLine="480" w:firstLineChars="200"/>
              <w:jc w:val="left"/>
              <w:rPr>
                <w:sz w:val="24"/>
                <w:szCs w:val="24"/>
              </w:rPr>
            </w:pPr>
            <w:r>
              <w:rPr>
                <w:sz w:val="24"/>
                <w:szCs w:val="24"/>
              </w:rPr>
              <w:t>根据环评及排污许可要求开展自行监测。（包括监测单位、监测内容、监测计划、监测因子、监测频次及监测资料管理）自行监测计划见表5-1。</w:t>
            </w:r>
          </w:p>
          <w:p>
            <w:pPr>
              <w:pStyle w:val="28"/>
              <w:adjustRightInd w:val="0"/>
              <w:snapToGrid w:val="0"/>
              <w:spacing w:after="0" w:line="240" w:lineRule="auto"/>
              <w:ind w:left="0" w:leftChars="0" w:firstLine="0" w:firstLineChars="0"/>
              <w:jc w:val="center"/>
              <w:rPr>
                <w:b/>
                <w:bCs/>
                <w:sz w:val="24"/>
                <w:szCs w:val="24"/>
              </w:rPr>
            </w:pPr>
            <w:r>
              <w:rPr>
                <w:b/>
                <w:bCs/>
                <w:sz w:val="24"/>
                <w:szCs w:val="24"/>
              </w:rPr>
              <w:t>表5-1运行期自行监测计划</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7" w:type="dxa"/>
                <w:bottom w:w="0" w:type="dxa"/>
                <w:right w:w="57" w:type="dxa"/>
              </w:tblCellMar>
            </w:tblPr>
            <w:tblGrid>
              <w:gridCol w:w="782"/>
              <w:gridCol w:w="1392"/>
              <w:gridCol w:w="1059"/>
              <w:gridCol w:w="1020"/>
              <w:gridCol w:w="660"/>
              <w:gridCol w:w="302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tcBorders>
                    <w:tl2br w:val="nil"/>
                    <w:tr2bl w:val="nil"/>
                  </w:tcBorders>
                  <w:vAlign w:val="center"/>
                </w:tcPr>
                <w:p>
                  <w:pPr>
                    <w:adjustRightInd w:val="0"/>
                    <w:snapToGrid w:val="0"/>
                    <w:jc w:val="center"/>
                    <w:rPr>
                      <w:b/>
                      <w:bCs/>
                      <w:sz w:val="21"/>
                      <w:szCs w:val="21"/>
                    </w:rPr>
                  </w:pPr>
                  <w:r>
                    <w:rPr>
                      <w:b/>
                      <w:bCs/>
                      <w:sz w:val="21"/>
                      <w:szCs w:val="21"/>
                    </w:rPr>
                    <w:t>污染源名称</w:t>
                  </w:r>
                </w:p>
              </w:tc>
              <w:tc>
                <w:tcPr>
                  <w:tcW w:w="1392" w:type="dxa"/>
                  <w:tcBorders>
                    <w:tl2br w:val="nil"/>
                    <w:tr2bl w:val="nil"/>
                  </w:tcBorders>
                  <w:vAlign w:val="center"/>
                </w:tcPr>
                <w:p>
                  <w:pPr>
                    <w:adjustRightInd w:val="0"/>
                    <w:snapToGrid w:val="0"/>
                    <w:jc w:val="center"/>
                    <w:rPr>
                      <w:b/>
                      <w:bCs/>
                      <w:sz w:val="21"/>
                      <w:szCs w:val="21"/>
                    </w:rPr>
                  </w:pPr>
                  <w:r>
                    <w:rPr>
                      <w:b/>
                      <w:bCs/>
                      <w:sz w:val="21"/>
                      <w:szCs w:val="21"/>
                    </w:rPr>
                    <w:t>监测项目</w:t>
                  </w:r>
                </w:p>
              </w:tc>
              <w:tc>
                <w:tcPr>
                  <w:tcW w:w="1059" w:type="dxa"/>
                  <w:tcBorders>
                    <w:tl2br w:val="nil"/>
                    <w:tr2bl w:val="nil"/>
                  </w:tcBorders>
                  <w:vAlign w:val="center"/>
                </w:tcPr>
                <w:p>
                  <w:pPr>
                    <w:adjustRightInd w:val="0"/>
                    <w:snapToGrid w:val="0"/>
                    <w:jc w:val="center"/>
                    <w:rPr>
                      <w:b/>
                      <w:bCs/>
                      <w:sz w:val="21"/>
                      <w:szCs w:val="21"/>
                    </w:rPr>
                  </w:pPr>
                  <w:r>
                    <w:rPr>
                      <w:b/>
                      <w:bCs/>
                      <w:sz w:val="21"/>
                      <w:szCs w:val="21"/>
                    </w:rPr>
                    <w:t>监测点位置</w:t>
                  </w:r>
                </w:p>
              </w:tc>
              <w:tc>
                <w:tcPr>
                  <w:tcW w:w="1020" w:type="dxa"/>
                  <w:tcBorders>
                    <w:tl2br w:val="nil"/>
                    <w:tr2bl w:val="nil"/>
                  </w:tcBorders>
                  <w:vAlign w:val="center"/>
                </w:tcPr>
                <w:p>
                  <w:pPr>
                    <w:adjustRightInd w:val="0"/>
                    <w:snapToGrid w:val="0"/>
                    <w:jc w:val="center"/>
                    <w:rPr>
                      <w:b/>
                      <w:bCs/>
                      <w:sz w:val="21"/>
                      <w:szCs w:val="21"/>
                    </w:rPr>
                  </w:pPr>
                  <w:r>
                    <w:rPr>
                      <w:b/>
                      <w:bCs/>
                      <w:sz w:val="21"/>
                      <w:szCs w:val="21"/>
                    </w:rPr>
                    <w:t>监测点数</w:t>
                  </w:r>
                </w:p>
              </w:tc>
              <w:tc>
                <w:tcPr>
                  <w:tcW w:w="660" w:type="dxa"/>
                  <w:tcBorders>
                    <w:tl2br w:val="nil"/>
                    <w:tr2bl w:val="nil"/>
                  </w:tcBorders>
                  <w:vAlign w:val="center"/>
                </w:tcPr>
                <w:p>
                  <w:pPr>
                    <w:adjustRightInd w:val="0"/>
                    <w:snapToGrid w:val="0"/>
                    <w:jc w:val="center"/>
                    <w:rPr>
                      <w:b/>
                      <w:bCs/>
                      <w:sz w:val="21"/>
                      <w:szCs w:val="21"/>
                    </w:rPr>
                  </w:pPr>
                  <w:r>
                    <w:rPr>
                      <w:b/>
                      <w:bCs/>
                      <w:sz w:val="21"/>
                      <w:szCs w:val="21"/>
                    </w:rPr>
                    <w:t>监测频次</w:t>
                  </w:r>
                </w:p>
              </w:tc>
              <w:tc>
                <w:tcPr>
                  <w:tcW w:w="3020" w:type="dxa"/>
                  <w:tcBorders>
                    <w:tl2br w:val="nil"/>
                    <w:tr2bl w:val="nil"/>
                  </w:tcBorders>
                  <w:vAlign w:val="center"/>
                </w:tcPr>
                <w:p>
                  <w:pPr>
                    <w:adjustRightInd w:val="0"/>
                    <w:snapToGrid w:val="0"/>
                    <w:jc w:val="center"/>
                    <w:rPr>
                      <w:b/>
                      <w:bCs/>
                      <w:sz w:val="21"/>
                      <w:szCs w:val="21"/>
                    </w:rPr>
                  </w:pPr>
                  <w:r>
                    <w:rPr>
                      <w:b/>
                      <w:bCs/>
                      <w:sz w:val="21"/>
                      <w:szCs w:val="21"/>
                    </w:rPr>
                    <w:t>控制指标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restart"/>
                  <w:tcBorders>
                    <w:tl2br w:val="nil"/>
                    <w:tr2bl w:val="nil"/>
                  </w:tcBorders>
                  <w:vAlign w:val="center"/>
                </w:tcPr>
                <w:p>
                  <w:pPr>
                    <w:adjustRightInd w:val="0"/>
                    <w:snapToGrid w:val="0"/>
                    <w:jc w:val="center"/>
                    <w:rPr>
                      <w:sz w:val="21"/>
                      <w:szCs w:val="21"/>
                    </w:rPr>
                  </w:pPr>
                  <w:r>
                    <w:rPr>
                      <w:sz w:val="21"/>
                      <w:szCs w:val="21"/>
                    </w:rPr>
                    <w:t>有组织废气</w:t>
                  </w:r>
                </w:p>
              </w:tc>
              <w:tc>
                <w:tcPr>
                  <w:tcW w:w="1392" w:type="dxa"/>
                  <w:tcBorders>
                    <w:tl2br w:val="nil"/>
                    <w:tr2bl w:val="nil"/>
                  </w:tcBorders>
                  <w:vAlign w:val="center"/>
                </w:tcPr>
                <w:p>
                  <w:pPr>
                    <w:adjustRightInd w:val="0"/>
                    <w:snapToGrid w:val="0"/>
                    <w:jc w:val="center"/>
                    <w:rPr>
                      <w:sz w:val="21"/>
                      <w:szCs w:val="21"/>
                    </w:rPr>
                  </w:pPr>
                  <w:r>
                    <w:rPr>
                      <w:sz w:val="21"/>
                      <w:szCs w:val="21"/>
                    </w:rPr>
                    <w:t>颗粒物</w:t>
                  </w:r>
                </w:p>
              </w:tc>
              <w:tc>
                <w:tcPr>
                  <w:tcW w:w="1059" w:type="dxa"/>
                  <w:tcBorders>
                    <w:tl2br w:val="nil"/>
                    <w:tr2bl w:val="nil"/>
                  </w:tcBorders>
                  <w:vAlign w:val="center"/>
                </w:tcPr>
                <w:p>
                  <w:pPr>
                    <w:adjustRightInd w:val="0"/>
                    <w:snapToGrid w:val="0"/>
                    <w:jc w:val="center"/>
                    <w:rPr>
                      <w:sz w:val="21"/>
                      <w:szCs w:val="21"/>
                    </w:rPr>
                  </w:pPr>
                  <w:r>
                    <w:rPr>
                      <w:sz w:val="21"/>
                      <w:szCs w:val="21"/>
                    </w:rPr>
                    <w:t>DA001排气筒出口</w:t>
                  </w:r>
                </w:p>
              </w:tc>
              <w:tc>
                <w:tcPr>
                  <w:tcW w:w="1020" w:type="dxa"/>
                  <w:tcBorders>
                    <w:tl2br w:val="nil"/>
                    <w:tr2bl w:val="nil"/>
                  </w:tcBorders>
                  <w:vAlign w:val="center"/>
                </w:tcPr>
                <w:p>
                  <w:pPr>
                    <w:adjustRightInd w:val="0"/>
                    <w:snapToGrid w:val="0"/>
                    <w:jc w:val="center"/>
                    <w:rPr>
                      <w:sz w:val="21"/>
                      <w:szCs w:val="21"/>
                    </w:rPr>
                  </w:pPr>
                  <w:r>
                    <w:rPr>
                      <w:sz w:val="21"/>
                      <w:szCs w:val="21"/>
                    </w:rPr>
                    <w:t>1个</w:t>
                  </w:r>
                </w:p>
              </w:tc>
              <w:tc>
                <w:tcPr>
                  <w:tcW w:w="660" w:type="dxa"/>
                  <w:tcBorders>
                    <w:tl2br w:val="nil"/>
                    <w:tr2bl w:val="nil"/>
                  </w:tcBorders>
                  <w:vAlign w:val="center"/>
                </w:tcPr>
                <w:p>
                  <w:pPr>
                    <w:adjustRightInd w:val="0"/>
                    <w:snapToGrid w:val="0"/>
                    <w:jc w:val="center"/>
                    <w:rPr>
                      <w:sz w:val="21"/>
                      <w:szCs w:val="21"/>
                    </w:rPr>
                  </w:pPr>
                  <w:r>
                    <w:rPr>
                      <w:sz w:val="21"/>
                      <w:szCs w:val="21"/>
                    </w:rPr>
                    <w:t>1次/年</w:t>
                  </w:r>
                </w:p>
              </w:tc>
              <w:tc>
                <w:tcPr>
                  <w:tcW w:w="3020" w:type="dxa"/>
                  <w:tcBorders>
                    <w:tl2br w:val="nil"/>
                    <w:tr2bl w:val="nil"/>
                  </w:tcBorders>
                  <w:vAlign w:val="center"/>
                </w:tcPr>
                <w:p>
                  <w:pPr>
                    <w:adjustRightInd w:val="0"/>
                    <w:snapToGrid w:val="0"/>
                    <w:jc w:val="center"/>
                    <w:rPr>
                      <w:sz w:val="21"/>
                      <w:szCs w:val="21"/>
                    </w:rPr>
                  </w:pPr>
                  <w:r>
                    <w:rPr>
                      <w:kern w:val="21"/>
                      <w:sz w:val="21"/>
                      <w:szCs w:val="21"/>
                    </w:rPr>
                    <w:t>《大气污染物综合排放标准》（GB16297-1996）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continue"/>
                  <w:tcBorders>
                    <w:tl2br w:val="nil"/>
                    <w:tr2bl w:val="nil"/>
                  </w:tcBorders>
                  <w:vAlign w:val="center"/>
                </w:tcPr>
                <w:p>
                  <w:pPr>
                    <w:adjustRightInd w:val="0"/>
                    <w:snapToGrid w:val="0"/>
                    <w:jc w:val="center"/>
                    <w:rPr>
                      <w:sz w:val="21"/>
                      <w:szCs w:val="21"/>
                    </w:rPr>
                  </w:pPr>
                </w:p>
              </w:tc>
              <w:tc>
                <w:tcPr>
                  <w:tcW w:w="1392" w:type="dxa"/>
                  <w:tcBorders>
                    <w:tl2br w:val="nil"/>
                    <w:tr2bl w:val="nil"/>
                  </w:tcBorders>
                  <w:vAlign w:val="center"/>
                </w:tcPr>
                <w:p>
                  <w:pPr>
                    <w:adjustRightInd w:val="0"/>
                    <w:snapToGrid w:val="0"/>
                    <w:jc w:val="center"/>
                    <w:rPr>
                      <w:sz w:val="21"/>
                      <w:szCs w:val="21"/>
                    </w:rPr>
                  </w:pPr>
                  <w:r>
                    <w:rPr>
                      <w:sz w:val="21"/>
                      <w:szCs w:val="21"/>
                    </w:rPr>
                    <w:t>非甲烷总烃</w:t>
                  </w:r>
                </w:p>
              </w:tc>
              <w:tc>
                <w:tcPr>
                  <w:tcW w:w="1059" w:type="dxa"/>
                  <w:tcBorders>
                    <w:tl2br w:val="nil"/>
                    <w:tr2bl w:val="nil"/>
                  </w:tcBorders>
                  <w:vAlign w:val="center"/>
                </w:tcPr>
                <w:p>
                  <w:pPr>
                    <w:adjustRightInd w:val="0"/>
                    <w:snapToGrid w:val="0"/>
                    <w:jc w:val="center"/>
                    <w:rPr>
                      <w:sz w:val="21"/>
                      <w:szCs w:val="21"/>
                    </w:rPr>
                  </w:pPr>
                  <w:r>
                    <w:rPr>
                      <w:sz w:val="21"/>
                      <w:szCs w:val="21"/>
                    </w:rPr>
                    <w:t>DA002排气筒进出口</w:t>
                  </w:r>
                </w:p>
              </w:tc>
              <w:tc>
                <w:tcPr>
                  <w:tcW w:w="1020" w:type="dxa"/>
                  <w:tcBorders>
                    <w:tl2br w:val="nil"/>
                    <w:tr2bl w:val="nil"/>
                  </w:tcBorders>
                  <w:vAlign w:val="center"/>
                </w:tcPr>
                <w:p>
                  <w:pPr>
                    <w:adjustRightInd w:val="0"/>
                    <w:snapToGrid w:val="0"/>
                    <w:jc w:val="center"/>
                    <w:rPr>
                      <w:sz w:val="21"/>
                      <w:szCs w:val="21"/>
                    </w:rPr>
                  </w:pPr>
                  <w:r>
                    <w:rPr>
                      <w:sz w:val="21"/>
                      <w:szCs w:val="21"/>
                    </w:rPr>
                    <w:t>1个</w:t>
                  </w:r>
                </w:p>
              </w:tc>
              <w:tc>
                <w:tcPr>
                  <w:tcW w:w="660" w:type="dxa"/>
                  <w:tcBorders>
                    <w:tl2br w:val="nil"/>
                    <w:tr2bl w:val="nil"/>
                  </w:tcBorders>
                  <w:vAlign w:val="center"/>
                </w:tcPr>
                <w:p>
                  <w:pPr>
                    <w:adjustRightInd w:val="0"/>
                    <w:snapToGrid w:val="0"/>
                    <w:jc w:val="center"/>
                    <w:rPr>
                      <w:sz w:val="21"/>
                      <w:szCs w:val="21"/>
                    </w:rPr>
                  </w:pPr>
                  <w:r>
                    <w:rPr>
                      <w:sz w:val="21"/>
                      <w:szCs w:val="21"/>
                    </w:rPr>
                    <w:t>1次/年</w:t>
                  </w:r>
                </w:p>
              </w:tc>
              <w:tc>
                <w:tcPr>
                  <w:tcW w:w="3020" w:type="dxa"/>
                  <w:tcBorders>
                    <w:tl2br w:val="nil"/>
                    <w:tr2bl w:val="nil"/>
                  </w:tcBorders>
                  <w:vAlign w:val="center"/>
                </w:tcPr>
                <w:p>
                  <w:pPr>
                    <w:adjustRightInd w:val="0"/>
                    <w:snapToGrid w:val="0"/>
                    <w:jc w:val="center"/>
                    <w:rPr>
                      <w:sz w:val="21"/>
                      <w:szCs w:val="21"/>
                    </w:rPr>
                  </w:pPr>
                  <w:r>
                    <w:rPr>
                      <w:sz w:val="21"/>
                      <w:szCs w:val="21"/>
                    </w:rPr>
                    <w:t>《挥发性有机物排放控制标准》(DB61/T1061-2017)</w:t>
                  </w:r>
                  <w:r>
                    <w:rPr>
                      <w:rFonts w:hint="eastAsia"/>
                      <w:sz w:val="21"/>
                      <w:szCs w:val="21"/>
                    </w:rPr>
                    <w:t>表面涂装及《重污染天气重点行业应急减排措施制定技术指南》（</w:t>
                  </w:r>
                  <w:r>
                    <w:rPr>
                      <w:sz w:val="21"/>
                      <w:szCs w:val="21"/>
                    </w:rPr>
                    <w:t>2020</w:t>
                  </w:r>
                  <w:r>
                    <w:rPr>
                      <w:rFonts w:hint="eastAsia"/>
                      <w:sz w:val="21"/>
                      <w:szCs w:val="21"/>
                    </w:rPr>
                    <w:t>年修订版）》人工业涂装行业绩效分级A级企业指标（30</w:t>
                  </w:r>
                  <w:r>
                    <w:rPr>
                      <w:sz w:val="21"/>
                      <w:szCs w:val="21"/>
                    </w:rPr>
                    <w:t>mg/m³</w:t>
                  </w:r>
                  <w:r>
                    <w:rPr>
                      <w:rFonts w:hint="eastAsia"/>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continue"/>
                  <w:tcBorders>
                    <w:tl2br w:val="nil"/>
                    <w:tr2bl w:val="nil"/>
                  </w:tcBorders>
                  <w:vAlign w:val="center"/>
                </w:tcPr>
                <w:p>
                  <w:pPr>
                    <w:adjustRightInd w:val="0"/>
                    <w:snapToGrid w:val="0"/>
                    <w:jc w:val="center"/>
                    <w:rPr>
                      <w:sz w:val="21"/>
                      <w:szCs w:val="21"/>
                    </w:rPr>
                  </w:pPr>
                </w:p>
              </w:tc>
              <w:tc>
                <w:tcPr>
                  <w:tcW w:w="1392" w:type="dxa"/>
                  <w:tcBorders>
                    <w:tl2br w:val="nil"/>
                    <w:tr2bl w:val="nil"/>
                  </w:tcBorders>
                  <w:vAlign w:val="center"/>
                </w:tcPr>
                <w:p>
                  <w:pPr>
                    <w:adjustRightInd w:val="0"/>
                    <w:snapToGrid w:val="0"/>
                    <w:jc w:val="center"/>
                    <w:rPr>
                      <w:sz w:val="21"/>
                      <w:szCs w:val="21"/>
                    </w:rPr>
                  </w:pPr>
                  <w:r>
                    <w:rPr>
                      <w:sz w:val="21"/>
                      <w:szCs w:val="21"/>
                    </w:rPr>
                    <w:t>颗粒物、二氧化硫、氮氧化物</w:t>
                  </w:r>
                </w:p>
              </w:tc>
              <w:tc>
                <w:tcPr>
                  <w:tcW w:w="1059" w:type="dxa"/>
                  <w:vMerge w:val="restart"/>
                  <w:tcBorders>
                    <w:tl2br w:val="nil"/>
                    <w:tr2bl w:val="nil"/>
                  </w:tcBorders>
                  <w:vAlign w:val="center"/>
                </w:tcPr>
                <w:p>
                  <w:pPr>
                    <w:adjustRightInd w:val="0"/>
                    <w:snapToGrid w:val="0"/>
                    <w:jc w:val="center"/>
                    <w:rPr>
                      <w:sz w:val="21"/>
                      <w:szCs w:val="21"/>
                    </w:rPr>
                  </w:pPr>
                  <w:r>
                    <w:rPr>
                      <w:sz w:val="21"/>
                      <w:szCs w:val="21"/>
                    </w:rPr>
                    <w:t>DA002排气筒出口</w:t>
                  </w:r>
                </w:p>
              </w:tc>
              <w:tc>
                <w:tcPr>
                  <w:tcW w:w="1020" w:type="dxa"/>
                  <w:vMerge w:val="restart"/>
                  <w:tcBorders>
                    <w:tl2br w:val="nil"/>
                    <w:tr2bl w:val="nil"/>
                  </w:tcBorders>
                  <w:vAlign w:val="center"/>
                </w:tcPr>
                <w:p>
                  <w:pPr>
                    <w:adjustRightInd w:val="0"/>
                    <w:snapToGrid w:val="0"/>
                    <w:jc w:val="center"/>
                    <w:rPr>
                      <w:sz w:val="21"/>
                      <w:szCs w:val="21"/>
                    </w:rPr>
                  </w:pPr>
                  <w:r>
                    <w:rPr>
                      <w:sz w:val="21"/>
                      <w:szCs w:val="21"/>
                    </w:rPr>
                    <w:t>1个</w:t>
                  </w:r>
                </w:p>
              </w:tc>
              <w:tc>
                <w:tcPr>
                  <w:tcW w:w="660" w:type="dxa"/>
                  <w:vMerge w:val="restart"/>
                  <w:tcBorders>
                    <w:tl2br w:val="nil"/>
                    <w:tr2bl w:val="nil"/>
                  </w:tcBorders>
                  <w:vAlign w:val="center"/>
                </w:tcPr>
                <w:p>
                  <w:pPr>
                    <w:adjustRightInd w:val="0"/>
                    <w:snapToGrid w:val="0"/>
                    <w:jc w:val="center"/>
                    <w:rPr>
                      <w:sz w:val="21"/>
                      <w:szCs w:val="21"/>
                    </w:rPr>
                  </w:pPr>
                  <w:r>
                    <w:rPr>
                      <w:sz w:val="21"/>
                      <w:szCs w:val="21"/>
                    </w:rPr>
                    <w:t>1次/年</w:t>
                  </w:r>
                </w:p>
              </w:tc>
              <w:tc>
                <w:tcPr>
                  <w:tcW w:w="3020" w:type="dxa"/>
                  <w:tcBorders>
                    <w:tl2br w:val="nil"/>
                    <w:tr2bl w:val="nil"/>
                  </w:tcBorders>
                  <w:vAlign w:val="center"/>
                </w:tcPr>
                <w:p>
                  <w:pPr>
                    <w:adjustRightInd w:val="0"/>
                    <w:snapToGrid w:val="0"/>
                    <w:jc w:val="center"/>
                    <w:rPr>
                      <w:sz w:val="21"/>
                      <w:szCs w:val="21"/>
                    </w:rPr>
                  </w:pPr>
                  <w:r>
                    <w:rPr>
                      <w:sz w:val="21"/>
                      <w:szCs w:val="21"/>
                    </w:rPr>
                    <w:t>《工业炉窑大气污染综合治理方案》（环大气〔2019〕56号）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continue"/>
                  <w:tcBorders>
                    <w:tl2br w:val="nil"/>
                    <w:tr2bl w:val="nil"/>
                  </w:tcBorders>
                  <w:vAlign w:val="center"/>
                </w:tcPr>
                <w:p>
                  <w:pPr>
                    <w:adjustRightInd w:val="0"/>
                    <w:snapToGrid w:val="0"/>
                    <w:jc w:val="center"/>
                    <w:rPr>
                      <w:sz w:val="21"/>
                      <w:szCs w:val="21"/>
                    </w:rPr>
                  </w:pPr>
                </w:p>
              </w:tc>
              <w:tc>
                <w:tcPr>
                  <w:tcW w:w="1392" w:type="dxa"/>
                  <w:tcBorders>
                    <w:tl2br w:val="nil"/>
                    <w:tr2bl w:val="nil"/>
                  </w:tcBorders>
                  <w:vAlign w:val="center"/>
                </w:tcPr>
                <w:p>
                  <w:pPr>
                    <w:adjustRightInd w:val="0"/>
                    <w:snapToGrid w:val="0"/>
                    <w:jc w:val="center"/>
                    <w:rPr>
                      <w:sz w:val="21"/>
                      <w:szCs w:val="21"/>
                    </w:rPr>
                  </w:pPr>
                  <w:r>
                    <w:rPr>
                      <w:rFonts w:hint="eastAsia"/>
                      <w:sz w:val="21"/>
                      <w:szCs w:val="21"/>
                    </w:rPr>
                    <w:t>林格曼黑度</w:t>
                  </w:r>
                </w:p>
              </w:tc>
              <w:tc>
                <w:tcPr>
                  <w:tcW w:w="1059" w:type="dxa"/>
                  <w:vMerge w:val="continue"/>
                  <w:tcBorders>
                    <w:tl2br w:val="nil"/>
                    <w:tr2bl w:val="nil"/>
                  </w:tcBorders>
                  <w:vAlign w:val="center"/>
                </w:tcPr>
                <w:p>
                  <w:pPr>
                    <w:adjustRightInd w:val="0"/>
                    <w:snapToGrid w:val="0"/>
                    <w:jc w:val="center"/>
                    <w:rPr>
                      <w:sz w:val="21"/>
                      <w:szCs w:val="21"/>
                    </w:rPr>
                  </w:pPr>
                </w:p>
              </w:tc>
              <w:tc>
                <w:tcPr>
                  <w:tcW w:w="1020" w:type="dxa"/>
                  <w:vMerge w:val="continue"/>
                  <w:tcBorders>
                    <w:tl2br w:val="nil"/>
                    <w:tr2bl w:val="nil"/>
                  </w:tcBorders>
                  <w:vAlign w:val="center"/>
                </w:tcPr>
                <w:p>
                  <w:pPr>
                    <w:adjustRightInd w:val="0"/>
                    <w:snapToGrid w:val="0"/>
                    <w:jc w:val="center"/>
                    <w:rPr>
                      <w:sz w:val="21"/>
                      <w:szCs w:val="21"/>
                    </w:rPr>
                  </w:pPr>
                </w:p>
              </w:tc>
              <w:tc>
                <w:tcPr>
                  <w:tcW w:w="660" w:type="dxa"/>
                  <w:vMerge w:val="continue"/>
                  <w:tcBorders>
                    <w:tl2br w:val="nil"/>
                    <w:tr2bl w:val="nil"/>
                  </w:tcBorders>
                  <w:vAlign w:val="center"/>
                </w:tcPr>
                <w:p>
                  <w:pPr>
                    <w:adjustRightInd w:val="0"/>
                    <w:snapToGrid w:val="0"/>
                    <w:jc w:val="center"/>
                    <w:rPr>
                      <w:sz w:val="21"/>
                      <w:szCs w:val="21"/>
                    </w:rPr>
                  </w:pPr>
                </w:p>
              </w:tc>
              <w:tc>
                <w:tcPr>
                  <w:tcW w:w="3020" w:type="dxa"/>
                  <w:tcBorders>
                    <w:tl2br w:val="nil"/>
                    <w:tr2bl w:val="nil"/>
                  </w:tcBorders>
                  <w:vAlign w:val="center"/>
                </w:tcPr>
                <w:p>
                  <w:pPr>
                    <w:adjustRightInd w:val="0"/>
                    <w:snapToGrid w:val="0"/>
                    <w:jc w:val="center"/>
                    <w:rPr>
                      <w:sz w:val="21"/>
                      <w:szCs w:val="21"/>
                    </w:rPr>
                  </w:pPr>
                  <w:r>
                    <w:rPr>
                      <w:rFonts w:hint="eastAsia"/>
                      <w:sz w:val="21"/>
                      <w:szCs w:val="21"/>
                    </w:rPr>
                    <w:t>《工业炉窑大气污染物排放标准》（GB9078-1996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restart"/>
                  <w:tcBorders>
                    <w:tl2br w:val="nil"/>
                    <w:tr2bl w:val="nil"/>
                  </w:tcBorders>
                  <w:vAlign w:val="center"/>
                </w:tcPr>
                <w:p>
                  <w:pPr>
                    <w:adjustRightInd w:val="0"/>
                    <w:snapToGrid w:val="0"/>
                    <w:jc w:val="center"/>
                    <w:rPr>
                      <w:sz w:val="21"/>
                      <w:szCs w:val="21"/>
                    </w:rPr>
                  </w:pPr>
                  <w:r>
                    <w:rPr>
                      <w:sz w:val="21"/>
                      <w:szCs w:val="21"/>
                    </w:rPr>
                    <w:t>无组织废气</w:t>
                  </w:r>
                </w:p>
              </w:tc>
              <w:tc>
                <w:tcPr>
                  <w:tcW w:w="1392" w:type="dxa"/>
                  <w:tcBorders>
                    <w:tl2br w:val="nil"/>
                    <w:tr2bl w:val="nil"/>
                  </w:tcBorders>
                  <w:vAlign w:val="center"/>
                </w:tcPr>
                <w:p>
                  <w:pPr>
                    <w:adjustRightInd w:val="0"/>
                    <w:snapToGrid w:val="0"/>
                    <w:jc w:val="center"/>
                    <w:rPr>
                      <w:sz w:val="21"/>
                      <w:szCs w:val="21"/>
                    </w:rPr>
                  </w:pPr>
                  <w:r>
                    <w:rPr>
                      <w:sz w:val="21"/>
                      <w:szCs w:val="21"/>
                    </w:rPr>
                    <w:t>颗粒物</w:t>
                  </w:r>
                </w:p>
              </w:tc>
              <w:tc>
                <w:tcPr>
                  <w:tcW w:w="1059" w:type="dxa"/>
                  <w:vMerge w:val="restart"/>
                  <w:tcBorders>
                    <w:tl2br w:val="nil"/>
                    <w:tr2bl w:val="nil"/>
                  </w:tcBorders>
                  <w:vAlign w:val="center"/>
                </w:tcPr>
                <w:p>
                  <w:pPr>
                    <w:adjustRightInd w:val="0"/>
                    <w:snapToGrid w:val="0"/>
                    <w:jc w:val="center"/>
                    <w:rPr>
                      <w:sz w:val="21"/>
                      <w:szCs w:val="21"/>
                    </w:rPr>
                  </w:pPr>
                  <w:r>
                    <w:rPr>
                      <w:sz w:val="21"/>
                      <w:szCs w:val="21"/>
                    </w:rPr>
                    <w:t>周界外浓度最高点</w:t>
                  </w:r>
                </w:p>
              </w:tc>
              <w:tc>
                <w:tcPr>
                  <w:tcW w:w="1020" w:type="dxa"/>
                  <w:tcBorders>
                    <w:tl2br w:val="nil"/>
                    <w:tr2bl w:val="nil"/>
                  </w:tcBorders>
                  <w:vAlign w:val="center"/>
                </w:tcPr>
                <w:p>
                  <w:pPr>
                    <w:adjustRightInd w:val="0"/>
                    <w:snapToGrid w:val="0"/>
                    <w:jc w:val="center"/>
                    <w:rPr>
                      <w:sz w:val="21"/>
                      <w:szCs w:val="21"/>
                    </w:rPr>
                  </w:pPr>
                  <w:r>
                    <w:rPr>
                      <w:rFonts w:hint="eastAsia"/>
                      <w:sz w:val="21"/>
                      <w:szCs w:val="21"/>
                    </w:rPr>
                    <w:t>1个</w:t>
                  </w:r>
                </w:p>
              </w:tc>
              <w:tc>
                <w:tcPr>
                  <w:tcW w:w="660" w:type="dxa"/>
                  <w:vMerge w:val="restart"/>
                  <w:tcBorders>
                    <w:tl2br w:val="nil"/>
                    <w:tr2bl w:val="nil"/>
                  </w:tcBorders>
                  <w:vAlign w:val="center"/>
                </w:tcPr>
                <w:p>
                  <w:pPr>
                    <w:adjustRightInd w:val="0"/>
                    <w:snapToGrid w:val="0"/>
                    <w:jc w:val="center"/>
                    <w:rPr>
                      <w:sz w:val="21"/>
                      <w:szCs w:val="21"/>
                    </w:rPr>
                  </w:pPr>
                  <w:r>
                    <w:rPr>
                      <w:sz w:val="21"/>
                      <w:szCs w:val="21"/>
                    </w:rPr>
                    <w:t>1次/</w:t>
                  </w:r>
                  <w:r>
                    <w:rPr>
                      <w:rFonts w:hint="eastAsia"/>
                      <w:sz w:val="21"/>
                      <w:szCs w:val="21"/>
                    </w:rPr>
                    <w:t>季度</w:t>
                  </w:r>
                </w:p>
              </w:tc>
              <w:tc>
                <w:tcPr>
                  <w:tcW w:w="3020" w:type="dxa"/>
                  <w:tcBorders>
                    <w:tl2br w:val="nil"/>
                    <w:tr2bl w:val="nil"/>
                  </w:tcBorders>
                  <w:vAlign w:val="center"/>
                </w:tcPr>
                <w:p>
                  <w:pPr>
                    <w:adjustRightInd w:val="0"/>
                    <w:snapToGrid w:val="0"/>
                    <w:jc w:val="center"/>
                    <w:rPr>
                      <w:sz w:val="21"/>
                      <w:szCs w:val="21"/>
                    </w:rPr>
                  </w:pPr>
                  <w:r>
                    <w:rPr>
                      <w:sz w:val="21"/>
                      <w:szCs w:val="21"/>
                    </w:rPr>
                    <w:t>《大气污染物综合排放标准》（GB16297-1996）无组织排放监控浓度限值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continue"/>
                  <w:tcBorders>
                    <w:tl2br w:val="nil"/>
                    <w:tr2bl w:val="nil"/>
                  </w:tcBorders>
                  <w:vAlign w:val="center"/>
                </w:tcPr>
                <w:p>
                  <w:pPr>
                    <w:adjustRightInd w:val="0"/>
                    <w:snapToGrid w:val="0"/>
                    <w:jc w:val="center"/>
                    <w:rPr>
                      <w:sz w:val="21"/>
                      <w:szCs w:val="21"/>
                    </w:rPr>
                  </w:pPr>
                </w:p>
              </w:tc>
              <w:tc>
                <w:tcPr>
                  <w:tcW w:w="1392" w:type="dxa"/>
                  <w:tcBorders>
                    <w:tl2br w:val="nil"/>
                    <w:tr2bl w:val="nil"/>
                  </w:tcBorders>
                  <w:vAlign w:val="center"/>
                </w:tcPr>
                <w:p>
                  <w:pPr>
                    <w:adjustRightInd w:val="0"/>
                    <w:snapToGrid w:val="0"/>
                    <w:jc w:val="center"/>
                    <w:rPr>
                      <w:sz w:val="21"/>
                      <w:szCs w:val="21"/>
                    </w:rPr>
                  </w:pPr>
                  <w:r>
                    <w:rPr>
                      <w:sz w:val="21"/>
                      <w:szCs w:val="21"/>
                    </w:rPr>
                    <w:t>非甲烷总烃</w:t>
                  </w:r>
                </w:p>
                <w:p>
                  <w:pPr>
                    <w:adjustRightInd w:val="0"/>
                    <w:snapToGrid w:val="0"/>
                    <w:jc w:val="center"/>
                    <w:rPr>
                      <w:sz w:val="21"/>
                      <w:szCs w:val="21"/>
                    </w:rPr>
                  </w:pPr>
                </w:p>
              </w:tc>
              <w:tc>
                <w:tcPr>
                  <w:tcW w:w="1059" w:type="dxa"/>
                  <w:vMerge w:val="continue"/>
                  <w:tcBorders>
                    <w:tl2br w:val="nil"/>
                    <w:tr2bl w:val="nil"/>
                  </w:tcBorders>
                  <w:vAlign w:val="center"/>
                </w:tcPr>
                <w:p>
                  <w:pPr>
                    <w:adjustRightInd w:val="0"/>
                    <w:snapToGrid w:val="0"/>
                    <w:jc w:val="center"/>
                    <w:rPr>
                      <w:sz w:val="21"/>
                      <w:szCs w:val="21"/>
                    </w:rPr>
                  </w:pPr>
                </w:p>
              </w:tc>
              <w:tc>
                <w:tcPr>
                  <w:tcW w:w="1020" w:type="dxa"/>
                  <w:tcBorders>
                    <w:tl2br w:val="nil"/>
                    <w:tr2bl w:val="nil"/>
                  </w:tcBorders>
                  <w:vAlign w:val="center"/>
                </w:tcPr>
                <w:p>
                  <w:pPr>
                    <w:adjustRightInd w:val="0"/>
                    <w:snapToGrid w:val="0"/>
                    <w:jc w:val="center"/>
                    <w:rPr>
                      <w:sz w:val="21"/>
                      <w:szCs w:val="21"/>
                    </w:rPr>
                  </w:pPr>
                  <w:r>
                    <w:rPr>
                      <w:sz w:val="21"/>
                      <w:szCs w:val="21"/>
                    </w:rPr>
                    <w:t>1个</w:t>
                  </w:r>
                </w:p>
              </w:tc>
              <w:tc>
                <w:tcPr>
                  <w:tcW w:w="660" w:type="dxa"/>
                  <w:vMerge w:val="continue"/>
                  <w:tcBorders>
                    <w:tl2br w:val="nil"/>
                    <w:tr2bl w:val="nil"/>
                  </w:tcBorders>
                  <w:vAlign w:val="center"/>
                </w:tcPr>
                <w:p>
                  <w:pPr>
                    <w:adjustRightInd w:val="0"/>
                    <w:snapToGrid w:val="0"/>
                    <w:jc w:val="center"/>
                    <w:rPr>
                      <w:sz w:val="21"/>
                      <w:szCs w:val="21"/>
                    </w:rPr>
                  </w:pPr>
                </w:p>
              </w:tc>
              <w:tc>
                <w:tcPr>
                  <w:tcW w:w="3020" w:type="dxa"/>
                  <w:tcBorders>
                    <w:tl2br w:val="nil"/>
                    <w:tr2bl w:val="nil"/>
                  </w:tcBorders>
                  <w:vAlign w:val="center"/>
                </w:tcPr>
                <w:p>
                  <w:pPr>
                    <w:adjustRightInd w:val="0"/>
                    <w:snapToGrid w:val="0"/>
                    <w:jc w:val="center"/>
                    <w:rPr>
                      <w:sz w:val="21"/>
                      <w:szCs w:val="21"/>
                    </w:rPr>
                  </w:pPr>
                  <w:r>
                    <w:rPr>
                      <w:sz w:val="21"/>
                      <w:szCs w:val="21"/>
                    </w:rPr>
                    <w:t>《挥发性有机物无组织排放控制标准》(GB37822-2019)厂区内无组织排放限值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continue"/>
                  <w:tcBorders>
                    <w:tl2br w:val="nil"/>
                    <w:tr2bl w:val="nil"/>
                  </w:tcBorders>
                  <w:vAlign w:val="center"/>
                </w:tcPr>
                <w:p>
                  <w:pPr>
                    <w:adjustRightInd w:val="0"/>
                    <w:snapToGrid w:val="0"/>
                    <w:jc w:val="center"/>
                    <w:rPr>
                      <w:sz w:val="21"/>
                      <w:szCs w:val="21"/>
                    </w:rPr>
                  </w:pPr>
                </w:p>
              </w:tc>
              <w:tc>
                <w:tcPr>
                  <w:tcW w:w="1392" w:type="dxa"/>
                  <w:tcBorders>
                    <w:tl2br w:val="nil"/>
                    <w:tr2bl w:val="nil"/>
                  </w:tcBorders>
                  <w:vAlign w:val="center"/>
                </w:tcPr>
                <w:p>
                  <w:pPr>
                    <w:adjustRightInd w:val="0"/>
                    <w:snapToGrid w:val="0"/>
                    <w:jc w:val="center"/>
                    <w:rPr>
                      <w:sz w:val="21"/>
                      <w:szCs w:val="21"/>
                    </w:rPr>
                  </w:pPr>
                  <w:r>
                    <w:rPr>
                      <w:rFonts w:hint="eastAsia"/>
                      <w:sz w:val="21"/>
                      <w:szCs w:val="21"/>
                    </w:rPr>
                    <w:t>颗粒物</w:t>
                  </w:r>
                </w:p>
              </w:tc>
              <w:tc>
                <w:tcPr>
                  <w:tcW w:w="1059" w:type="dxa"/>
                  <w:vMerge w:val="restart"/>
                  <w:tcBorders>
                    <w:tl2br w:val="nil"/>
                    <w:tr2bl w:val="nil"/>
                  </w:tcBorders>
                  <w:vAlign w:val="center"/>
                </w:tcPr>
                <w:p>
                  <w:pPr>
                    <w:adjustRightInd w:val="0"/>
                    <w:snapToGrid w:val="0"/>
                    <w:jc w:val="center"/>
                    <w:rPr>
                      <w:sz w:val="21"/>
                      <w:szCs w:val="21"/>
                    </w:rPr>
                  </w:pPr>
                  <w:r>
                    <w:rPr>
                      <w:sz w:val="21"/>
                      <w:szCs w:val="21"/>
                    </w:rPr>
                    <w:t>厂内无组织监控点</w:t>
                  </w:r>
                </w:p>
              </w:tc>
              <w:tc>
                <w:tcPr>
                  <w:tcW w:w="1020" w:type="dxa"/>
                  <w:vMerge w:val="restart"/>
                  <w:tcBorders>
                    <w:tl2br w:val="nil"/>
                    <w:tr2bl w:val="nil"/>
                  </w:tcBorders>
                  <w:vAlign w:val="center"/>
                </w:tcPr>
                <w:p>
                  <w:pPr>
                    <w:adjustRightInd w:val="0"/>
                    <w:snapToGrid w:val="0"/>
                    <w:jc w:val="center"/>
                    <w:rPr>
                      <w:sz w:val="21"/>
                      <w:szCs w:val="21"/>
                    </w:rPr>
                  </w:pPr>
                  <w:r>
                    <w:rPr>
                      <w:sz w:val="21"/>
                      <w:szCs w:val="21"/>
                    </w:rPr>
                    <w:t>上风向1个，下风向3个</w:t>
                  </w:r>
                </w:p>
              </w:tc>
              <w:tc>
                <w:tcPr>
                  <w:tcW w:w="660" w:type="dxa"/>
                  <w:vMerge w:val="restart"/>
                  <w:tcBorders>
                    <w:tl2br w:val="nil"/>
                    <w:tr2bl w:val="nil"/>
                  </w:tcBorders>
                  <w:vAlign w:val="center"/>
                </w:tcPr>
                <w:p>
                  <w:pPr>
                    <w:adjustRightInd w:val="0"/>
                    <w:snapToGrid w:val="0"/>
                    <w:jc w:val="center"/>
                    <w:rPr>
                      <w:sz w:val="21"/>
                      <w:szCs w:val="21"/>
                    </w:rPr>
                  </w:pPr>
                  <w:r>
                    <w:rPr>
                      <w:sz w:val="21"/>
                      <w:szCs w:val="21"/>
                    </w:rPr>
                    <w:t>1次/半年</w:t>
                  </w:r>
                </w:p>
              </w:tc>
              <w:tc>
                <w:tcPr>
                  <w:tcW w:w="3020" w:type="dxa"/>
                  <w:tcBorders>
                    <w:tl2br w:val="nil"/>
                    <w:tr2bl w:val="nil"/>
                  </w:tcBorders>
                  <w:vAlign w:val="center"/>
                </w:tcPr>
                <w:p>
                  <w:pPr>
                    <w:adjustRightInd w:val="0"/>
                    <w:snapToGrid w:val="0"/>
                    <w:jc w:val="center"/>
                    <w:rPr>
                      <w:sz w:val="21"/>
                      <w:szCs w:val="21"/>
                    </w:rPr>
                  </w:pPr>
                  <w:r>
                    <w:rPr>
                      <w:sz w:val="21"/>
                      <w:szCs w:val="21"/>
                    </w:rPr>
                    <w:t>《大气污染物综合排放标准》（GB16297-1996）无组织排放监控浓度限值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7" w:type="dxa"/>
                  <w:bottom w:w="0" w:type="dxa"/>
                  <w:right w:w="57" w:type="dxa"/>
                </w:tblCellMar>
              </w:tblPrEx>
              <w:trPr>
                <w:jc w:val="center"/>
              </w:trPr>
              <w:tc>
                <w:tcPr>
                  <w:tcW w:w="782" w:type="dxa"/>
                  <w:vMerge w:val="continue"/>
                  <w:tcBorders>
                    <w:tl2br w:val="nil"/>
                    <w:tr2bl w:val="nil"/>
                  </w:tcBorders>
                  <w:vAlign w:val="center"/>
                </w:tcPr>
                <w:p>
                  <w:pPr>
                    <w:adjustRightInd w:val="0"/>
                    <w:snapToGrid w:val="0"/>
                    <w:jc w:val="center"/>
                    <w:rPr>
                      <w:sz w:val="21"/>
                      <w:szCs w:val="21"/>
                    </w:rPr>
                  </w:pPr>
                </w:p>
              </w:tc>
              <w:tc>
                <w:tcPr>
                  <w:tcW w:w="1392" w:type="dxa"/>
                  <w:tcBorders>
                    <w:tl2br w:val="nil"/>
                    <w:tr2bl w:val="nil"/>
                  </w:tcBorders>
                  <w:vAlign w:val="center"/>
                </w:tcPr>
                <w:p>
                  <w:pPr>
                    <w:adjustRightInd w:val="0"/>
                    <w:snapToGrid w:val="0"/>
                    <w:jc w:val="center"/>
                    <w:rPr>
                      <w:sz w:val="21"/>
                      <w:szCs w:val="21"/>
                    </w:rPr>
                  </w:pPr>
                  <w:r>
                    <w:rPr>
                      <w:sz w:val="21"/>
                      <w:szCs w:val="21"/>
                    </w:rPr>
                    <w:t>非甲烷总烃</w:t>
                  </w:r>
                </w:p>
                <w:p>
                  <w:pPr>
                    <w:adjustRightInd w:val="0"/>
                    <w:snapToGrid w:val="0"/>
                    <w:jc w:val="center"/>
                    <w:rPr>
                      <w:sz w:val="21"/>
                      <w:szCs w:val="21"/>
                    </w:rPr>
                  </w:pPr>
                </w:p>
              </w:tc>
              <w:tc>
                <w:tcPr>
                  <w:tcW w:w="1059" w:type="dxa"/>
                  <w:vMerge w:val="continue"/>
                  <w:tcBorders>
                    <w:tl2br w:val="nil"/>
                    <w:tr2bl w:val="nil"/>
                  </w:tcBorders>
                  <w:vAlign w:val="center"/>
                </w:tcPr>
                <w:p>
                  <w:pPr>
                    <w:adjustRightInd w:val="0"/>
                    <w:snapToGrid w:val="0"/>
                    <w:jc w:val="center"/>
                    <w:rPr>
                      <w:sz w:val="21"/>
                      <w:szCs w:val="21"/>
                    </w:rPr>
                  </w:pPr>
                </w:p>
              </w:tc>
              <w:tc>
                <w:tcPr>
                  <w:tcW w:w="1020" w:type="dxa"/>
                  <w:vMerge w:val="continue"/>
                  <w:tcBorders>
                    <w:tl2br w:val="nil"/>
                    <w:tr2bl w:val="nil"/>
                  </w:tcBorders>
                  <w:vAlign w:val="center"/>
                </w:tcPr>
                <w:p>
                  <w:pPr>
                    <w:adjustRightInd w:val="0"/>
                    <w:snapToGrid w:val="0"/>
                    <w:jc w:val="center"/>
                    <w:rPr>
                      <w:sz w:val="21"/>
                      <w:szCs w:val="21"/>
                    </w:rPr>
                  </w:pPr>
                </w:p>
              </w:tc>
              <w:tc>
                <w:tcPr>
                  <w:tcW w:w="660" w:type="dxa"/>
                  <w:vMerge w:val="continue"/>
                  <w:tcBorders>
                    <w:tl2br w:val="nil"/>
                    <w:tr2bl w:val="nil"/>
                  </w:tcBorders>
                  <w:vAlign w:val="center"/>
                </w:tcPr>
                <w:p>
                  <w:pPr>
                    <w:adjustRightInd w:val="0"/>
                    <w:snapToGrid w:val="0"/>
                    <w:jc w:val="center"/>
                    <w:rPr>
                      <w:sz w:val="21"/>
                      <w:szCs w:val="21"/>
                    </w:rPr>
                  </w:pPr>
                </w:p>
              </w:tc>
              <w:tc>
                <w:tcPr>
                  <w:tcW w:w="3020" w:type="dxa"/>
                  <w:tcBorders>
                    <w:tl2br w:val="nil"/>
                    <w:tr2bl w:val="nil"/>
                  </w:tcBorders>
                  <w:vAlign w:val="center"/>
                </w:tcPr>
                <w:p>
                  <w:pPr>
                    <w:adjustRightInd w:val="0"/>
                    <w:snapToGrid w:val="0"/>
                    <w:jc w:val="center"/>
                    <w:rPr>
                      <w:sz w:val="21"/>
                      <w:szCs w:val="21"/>
                    </w:rPr>
                  </w:pPr>
                  <w:r>
                    <w:rPr>
                      <w:sz w:val="21"/>
                      <w:szCs w:val="21"/>
                    </w:rPr>
                    <w:t>《挥发性有机物排放控制标准》(DB61/T1061-2017)表3中企业边界监控点浓度限值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82" w:type="dxa"/>
                  <w:vMerge w:val="restart"/>
                  <w:tcBorders>
                    <w:tl2br w:val="nil"/>
                    <w:tr2bl w:val="nil"/>
                  </w:tcBorders>
                  <w:vAlign w:val="center"/>
                </w:tcPr>
                <w:p>
                  <w:pPr>
                    <w:tabs>
                      <w:tab w:val="left" w:pos="360"/>
                    </w:tabs>
                    <w:adjustRightInd w:val="0"/>
                    <w:snapToGrid w:val="0"/>
                    <w:jc w:val="center"/>
                    <w:rPr>
                      <w:sz w:val="21"/>
                      <w:szCs w:val="21"/>
                    </w:rPr>
                  </w:pPr>
                  <w:r>
                    <w:rPr>
                      <w:sz w:val="21"/>
                      <w:szCs w:val="21"/>
                    </w:rPr>
                    <w:t>噪声</w:t>
                  </w:r>
                </w:p>
              </w:tc>
              <w:tc>
                <w:tcPr>
                  <w:tcW w:w="1392" w:type="dxa"/>
                  <w:vMerge w:val="restart"/>
                  <w:tcBorders>
                    <w:tl2br w:val="nil"/>
                    <w:tr2bl w:val="nil"/>
                  </w:tcBorders>
                  <w:vAlign w:val="center"/>
                </w:tcPr>
                <w:p>
                  <w:pPr>
                    <w:tabs>
                      <w:tab w:val="left" w:pos="360"/>
                    </w:tabs>
                    <w:adjustRightInd w:val="0"/>
                    <w:snapToGrid w:val="0"/>
                    <w:jc w:val="center"/>
                    <w:rPr>
                      <w:sz w:val="21"/>
                      <w:szCs w:val="21"/>
                    </w:rPr>
                  </w:pPr>
                  <w:r>
                    <w:rPr>
                      <w:sz w:val="21"/>
                      <w:szCs w:val="21"/>
                    </w:rPr>
                    <w:t>等效连续A声级</w:t>
                  </w:r>
                </w:p>
              </w:tc>
              <w:tc>
                <w:tcPr>
                  <w:tcW w:w="1059" w:type="dxa"/>
                  <w:vMerge w:val="restart"/>
                  <w:tcBorders>
                    <w:tl2br w:val="nil"/>
                    <w:tr2bl w:val="nil"/>
                  </w:tcBorders>
                  <w:vAlign w:val="center"/>
                </w:tcPr>
                <w:p>
                  <w:pPr>
                    <w:tabs>
                      <w:tab w:val="left" w:pos="360"/>
                    </w:tabs>
                    <w:adjustRightInd w:val="0"/>
                    <w:snapToGrid w:val="0"/>
                    <w:jc w:val="center"/>
                    <w:rPr>
                      <w:sz w:val="21"/>
                      <w:szCs w:val="21"/>
                    </w:rPr>
                  </w:pPr>
                  <w:r>
                    <w:rPr>
                      <w:sz w:val="21"/>
                      <w:szCs w:val="21"/>
                    </w:rPr>
                    <w:t>厂界四周各设1个监测点</w:t>
                  </w:r>
                </w:p>
              </w:tc>
              <w:tc>
                <w:tcPr>
                  <w:tcW w:w="1020" w:type="dxa"/>
                  <w:vMerge w:val="restart"/>
                  <w:tcBorders>
                    <w:tl2br w:val="nil"/>
                    <w:tr2bl w:val="nil"/>
                  </w:tcBorders>
                  <w:vAlign w:val="center"/>
                </w:tcPr>
                <w:p>
                  <w:pPr>
                    <w:tabs>
                      <w:tab w:val="left" w:pos="360"/>
                    </w:tabs>
                    <w:adjustRightInd w:val="0"/>
                    <w:snapToGrid w:val="0"/>
                    <w:jc w:val="center"/>
                    <w:rPr>
                      <w:sz w:val="21"/>
                      <w:szCs w:val="21"/>
                    </w:rPr>
                  </w:pPr>
                  <w:r>
                    <w:rPr>
                      <w:sz w:val="21"/>
                      <w:szCs w:val="21"/>
                    </w:rPr>
                    <w:t>4个</w:t>
                  </w:r>
                </w:p>
              </w:tc>
              <w:tc>
                <w:tcPr>
                  <w:tcW w:w="660" w:type="dxa"/>
                  <w:vMerge w:val="restart"/>
                  <w:tcBorders>
                    <w:tl2br w:val="nil"/>
                    <w:tr2bl w:val="nil"/>
                  </w:tcBorders>
                  <w:vAlign w:val="center"/>
                </w:tcPr>
                <w:p>
                  <w:pPr>
                    <w:tabs>
                      <w:tab w:val="left" w:pos="360"/>
                    </w:tabs>
                    <w:adjustRightInd w:val="0"/>
                    <w:snapToGrid w:val="0"/>
                    <w:jc w:val="center"/>
                    <w:rPr>
                      <w:sz w:val="21"/>
                      <w:szCs w:val="21"/>
                    </w:rPr>
                  </w:pPr>
                  <w:r>
                    <w:rPr>
                      <w:sz w:val="21"/>
                      <w:szCs w:val="21"/>
                    </w:rPr>
                    <w:t>1次/季度</w:t>
                  </w:r>
                </w:p>
              </w:tc>
              <w:tc>
                <w:tcPr>
                  <w:tcW w:w="3020" w:type="dxa"/>
                  <w:vMerge w:val="restart"/>
                  <w:tcBorders>
                    <w:tl2br w:val="nil"/>
                    <w:tr2bl w:val="nil"/>
                  </w:tcBorders>
                  <w:vAlign w:val="center"/>
                </w:tcPr>
                <w:p>
                  <w:pPr>
                    <w:tabs>
                      <w:tab w:val="left" w:pos="360"/>
                    </w:tabs>
                    <w:adjustRightInd w:val="0"/>
                    <w:snapToGrid w:val="0"/>
                    <w:jc w:val="center"/>
                    <w:rPr>
                      <w:sz w:val="21"/>
                      <w:szCs w:val="21"/>
                    </w:rPr>
                  </w:pPr>
                  <w:r>
                    <w:rPr>
                      <w:sz w:val="21"/>
                      <w:szCs w:val="21"/>
                    </w:rPr>
                    <w:t>《工业企业厂界环境噪声排放标准》（GB12348-2008）2类标准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82" w:type="dxa"/>
                  <w:vMerge w:val="continue"/>
                  <w:tcBorders>
                    <w:tl2br w:val="nil"/>
                    <w:tr2bl w:val="nil"/>
                  </w:tcBorders>
                  <w:vAlign w:val="center"/>
                </w:tcPr>
                <w:p>
                  <w:pPr>
                    <w:tabs>
                      <w:tab w:val="left" w:pos="360"/>
                    </w:tabs>
                    <w:adjustRightInd w:val="0"/>
                    <w:snapToGrid w:val="0"/>
                    <w:jc w:val="center"/>
                    <w:rPr>
                      <w:sz w:val="21"/>
                      <w:szCs w:val="21"/>
                    </w:rPr>
                  </w:pPr>
                </w:p>
              </w:tc>
              <w:tc>
                <w:tcPr>
                  <w:tcW w:w="1392" w:type="dxa"/>
                  <w:vMerge w:val="continue"/>
                  <w:tcBorders>
                    <w:tl2br w:val="nil"/>
                    <w:tr2bl w:val="nil"/>
                  </w:tcBorders>
                  <w:vAlign w:val="center"/>
                </w:tcPr>
                <w:p>
                  <w:pPr>
                    <w:tabs>
                      <w:tab w:val="left" w:pos="360"/>
                    </w:tabs>
                    <w:adjustRightInd w:val="0"/>
                    <w:snapToGrid w:val="0"/>
                    <w:jc w:val="center"/>
                    <w:rPr>
                      <w:sz w:val="21"/>
                      <w:szCs w:val="21"/>
                    </w:rPr>
                  </w:pPr>
                </w:p>
              </w:tc>
              <w:tc>
                <w:tcPr>
                  <w:tcW w:w="1059" w:type="dxa"/>
                  <w:vMerge w:val="continue"/>
                  <w:tcBorders>
                    <w:tl2br w:val="nil"/>
                    <w:tr2bl w:val="nil"/>
                  </w:tcBorders>
                  <w:vAlign w:val="center"/>
                </w:tcPr>
                <w:p>
                  <w:pPr>
                    <w:tabs>
                      <w:tab w:val="left" w:pos="360"/>
                    </w:tabs>
                    <w:adjustRightInd w:val="0"/>
                    <w:snapToGrid w:val="0"/>
                    <w:jc w:val="center"/>
                    <w:rPr>
                      <w:sz w:val="21"/>
                      <w:szCs w:val="21"/>
                    </w:rPr>
                  </w:pPr>
                </w:p>
              </w:tc>
              <w:tc>
                <w:tcPr>
                  <w:tcW w:w="1020" w:type="dxa"/>
                  <w:vMerge w:val="continue"/>
                  <w:tcBorders>
                    <w:tl2br w:val="nil"/>
                    <w:tr2bl w:val="nil"/>
                  </w:tcBorders>
                  <w:vAlign w:val="center"/>
                </w:tcPr>
                <w:p>
                  <w:pPr>
                    <w:tabs>
                      <w:tab w:val="left" w:pos="360"/>
                    </w:tabs>
                    <w:adjustRightInd w:val="0"/>
                    <w:snapToGrid w:val="0"/>
                    <w:jc w:val="center"/>
                    <w:rPr>
                      <w:sz w:val="21"/>
                      <w:szCs w:val="21"/>
                    </w:rPr>
                  </w:pPr>
                </w:p>
              </w:tc>
              <w:tc>
                <w:tcPr>
                  <w:tcW w:w="660" w:type="dxa"/>
                  <w:vMerge w:val="continue"/>
                  <w:tcBorders>
                    <w:tl2br w:val="nil"/>
                    <w:tr2bl w:val="nil"/>
                  </w:tcBorders>
                  <w:vAlign w:val="center"/>
                </w:tcPr>
                <w:p>
                  <w:pPr>
                    <w:tabs>
                      <w:tab w:val="left" w:pos="360"/>
                    </w:tabs>
                    <w:adjustRightInd w:val="0"/>
                    <w:snapToGrid w:val="0"/>
                    <w:jc w:val="center"/>
                    <w:rPr>
                      <w:sz w:val="21"/>
                      <w:szCs w:val="21"/>
                    </w:rPr>
                  </w:pPr>
                </w:p>
              </w:tc>
              <w:tc>
                <w:tcPr>
                  <w:tcW w:w="3020" w:type="dxa"/>
                  <w:vMerge w:val="continue"/>
                  <w:tcBorders>
                    <w:tl2br w:val="nil"/>
                    <w:tr2bl w:val="nil"/>
                  </w:tcBorders>
                  <w:vAlign w:val="center"/>
                </w:tcPr>
                <w:p>
                  <w:pPr>
                    <w:tabs>
                      <w:tab w:val="left" w:pos="360"/>
                    </w:tabs>
                    <w:adjustRightInd w:val="0"/>
                    <w:snapToGrid w:val="0"/>
                    <w:jc w:val="center"/>
                    <w:rPr>
                      <w:sz w:val="21"/>
                      <w:szCs w:val="21"/>
                    </w:rPr>
                  </w:pPr>
                </w:p>
              </w:tc>
            </w:tr>
          </w:tbl>
          <w:p>
            <w:pPr>
              <w:adjustRightInd w:val="0"/>
              <w:snapToGrid w:val="0"/>
              <w:spacing w:line="360" w:lineRule="auto"/>
              <w:ind w:firstLine="482" w:firstLineChars="200"/>
              <w:jc w:val="left"/>
              <w:rPr>
                <w:b/>
                <w:bCs/>
                <w:sz w:val="24"/>
                <w:szCs w:val="24"/>
              </w:rPr>
            </w:pPr>
            <w:r>
              <w:rPr>
                <w:b/>
                <w:bCs/>
                <w:sz w:val="24"/>
                <w:szCs w:val="24"/>
              </w:rPr>
              <w:t>7、排污口规范化管理制度</w:t>
            </w:r>
          </w:p>
          <w:p>
            <w:pPr>
              <w:adjustRightInd w:val="0"/>
              <w:snapToGrid w:val="0"/>
              <w:spacing w:line="360" w:lineRule="auto"/>
              <w:ind w:firstLine="480" w:firstLineChars="200"/>
              <w:jc w:val="left"/>
              <w:rPr>
                <w:sz w:val="24"/>
                <w:szCs w:val="24"/>
              </w:rPr>
            </w:pPr>
            <w:r>
              <w:rPr>
                <w:sz w:val="24"/>
                <w:szCs w:val="24"/>
              </w:rPr>
              <w:t>根据《排污口规范化整治技术要求》和《污染源自动监控管理办法》及其它相关文件要求，建立排污口规范化管理制度，设置合规的排污口。</w:t>
            </w:r>
          </w:p>
          <w:p>
            <w:pPr>
              <w:adjustRightInd w:val="0"/>
              <w:snapToGrid w:val="0"/>
              <w:spacing w:line="360" w:lineRule="auto"/>
              <w:ind w:firstLine="482" w:firstLineChars="200"/>
              <w:jc w:val="left"/>
              <w:rPr>
                <w:b/>
                <w:bCs/>
                <w:sz w:val="24"/>
                <w:szCs w:val="24"/>
              </w:rPr>
            </w:pPr>
            <w:r>
              <w:rPr>
                <w:b/>
                <w:bCs/>
                <w:sz w:val="24"/>
                <w:szCs w:val="24"/>
              </w:rPr>
              <w:t>8、信息公开</w:t>
            </w:r>
          </w:p>
          <w:p>
            <w:pPr>
              <w:adjustRightInd w:val="0"/>
              <w:snapToGrid w:val="0"/>
              <w:spacing w:line="360" w:lineRule="auto"/>
              <w:ind w:firstLine="480" w:firstLineChars="200"/>
              <w:jc w:val="left"/>
              <w:rPr>
                <w:sz w:val="24"/>
                <w:szCs w:val="24"/>
              </w:rPr>
            </w:pPr>
            <w:r>
              <w:rPr>
                <w:sz w:val="24"/>
                <w:szCs w:val="24"/>
              </w:rPr>
              <w:t>根据《企业事业单位环境信息公开办法》（环保部令第43号）的规定，并结合</w:t>
            </w:r>
            <w:r>
              <w:rPr>
                <w:rFonts w:hint="eastAsia"/>
                <w:sz w:val="24"/>
                <w:szCs w:val="24"/>
              </w:rPr>
              <w:t>西咸新区生态环境分局泾河新城工作部</w:t>
            </w:r>
            <w:r>
              <w:rPr>
                <w:sz w:val="24"/>
                <w:szCs w:val="24"/>
              </w:rPr>
              <w:t>的要求，应及时、如实地公开其环境信息，应当在单位内部建立环境信息公开制度，设专人负责环境信息公开的日常工作。</w:t>
            </w:r>
          </w:p>
          <w:p>
            <w:pPr>
              <w:adjustRightInd w:val="0"/>
              <w:snapToGrid w:val="0"/>
              <w:spacing w:line="360" w:lineRule="auto"/>
              <w:ind w:firstLine="482" w:firstLineChars="200"/>
              <w:rPr>
                <w:b/>
                <w:bCs/>
                <w:sz w:val="24"/>
                <w:szCs w:val="24"/>
              </w:rPr>
            </w:pPr>
            <w:r>
              <w:rPr>
                <w:b/>
                <w:bCs/>
                <w:sz w:val="24"/>
                <w:szCs w:val="24"/>
              </w:rPr>
              <w:t>9、环保投资概算</w:t>
            </w:r>
          </w:p>
          <w:p>
            <w:pPr>
              <w:adjustRightInd w:val="0"/>
              <w:snapToGrid w:val="0"/>
              <w:spacing w:line="360" w:lineRule="auto"/>
              <w:ind w:firstLine="480" w:firstLineChars="200"/>
              <w:rPr>
                <w:sz w:val="24"/>
                <w:szCs w:val="24"/>
              </w:rPr>
            </w:pPr>
            <w:r>
              <w:rPr>
                <w:sz w:val="24"/>
                <w:szCs w:val="24"/>
              </w:rPr>
              <w:t>项目总投资600万元，其中环保投资98.05万元，约占总投资的16.34%。具体投资见下表。</w:t>
            </w:r>
          </w:p>
          <w:p>
            <w:pPr>
              <w:adjustRightInd w:val="0"/>
              <w:snapToGrid w:val="0"/>
              <w:jc w:val="center"/>
              <w:rPr>
                <w:b/>
                <w:bCs/>
                <w:sz w:val="24"/>
                <w:szCs w:val="24"/>
              </w:rPr>
            </w:pPr>
          </w:p>
          <w:p>
            <w:pPr>
              <w:adjustRightInd w:val="0"/>
              <w:snapToGrid w:val="0"/>
              <w:jc w:val="center"/>
              <w:rPr>
                <w:b/>
                <w:bCs/>
                <w:sz w:val="24"/>
                <w:szCs w:val="24"/>
              </w:rPr>
            </w:pPr>
          </w:p>
          <w:p>
            <w:pPr>
              <w:adjustRightInd w:val="0"/>
              <w:snapToGrid w:val="0"/>
              <w:jc w:val="center"/>
              <w:rPr>
                <w:b/>
                <w:bCs/>
                <w:sz w:val="21"/>
                <w:szCs w:val="21"/>
              </w:rPr>
            </w:pPr>
            <w:r>
              <w:rPr>
                <w:b/>
                <w:bCs/>
                <w:sz w:val="21"/>
                <w:szCs w:val="21"/>
              </w:rPr>
              <w:t>表5-2环保投资一览表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76"/>
              <w:gridCol w:w="2036"/>
              <w:gridCol w:w="3775"/>
              <w:gridCol w:w="617"/>
              <w:gridCol w:w="102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2512" w:type="dxa"/>
                  <w:gridSpan w:val="2"/>
                  <w:tcBorders>
                    <w:tl2br w:val="nil"/>
                    <w:tr2bl w:val="nil"/>
                  </w:tcBorders>
                  <w:vAlign w:val="center"/>
                </w:tcPr>
                <w:p>
                  <w:pPr>
                    <w:widowControl/>
                    <w:jc w:val="center"/>
                    <w:rPr>
                      <w:b/>
                      <w:kern w:val="0"/>
                      <w:sz w:val="21"/>
                      <w:szCs w:val="21"/>
                    </w:rPr>
                  </w:pPr>
                  <w:r>
                    <w:rPr>
                      <w:b/>
                      <w:kern w:val="0"/>
                      <w:sz w:val="21"/>
                      <w:szCs w:val="21"/>
                    </w:rPr>
                    <w:t>污染源</w:t>
                  </w:r>
                </w:p>
              </w:tc>
              <w:tc>
                <w:tcPr>
                  <w:tcW w:w="3775" w:type="dxa"/>
                  <w:tcBorders>
                    <w:tl2br w:val="nil"/>
                    <w:tr2bl w:val="nil"/>
                  </w:tcBorders>
                  <w:vAlign w:val="center"/>
                </w:tcPr>
                <w:p>
                  <w:pPr>
                    <w:widowControl/>
                    <w:jc w:val="center"/>
                    <w:rPr>
                      <w:b/>
                      <w:kern w:val="0"/>
                      <w:sz w:val="21"/>
                      <w:szCs w:val="21"/>
                    </w:rPr>
                  </w:pPr>
                  <w:r>
                    <w:rPr>
                      <w:b/>
                      <w:kern w:val="0"/>
                      <w:sz w:val="21"/>
                      <w:szCs w:val="21"/>
                    </w:rPr>
                    <w:t>环保设施名称</w:t>
                  </w:r>
                </w:p>
              </w:tc>
              <w:tc>
                <w:tcPr>
                  <w:tcW w:w="617" w:type="dxa"/>
                  <w:tcBorders>
                    <w:tl2br w:val="nil"/>
                    <w:tr2bl w:val="nil"/>
                  </w:tcBorders>
                  <w:vAlign w:val="center"/>
                </w:tcPr>
                <w:p>
                  <w:pPr>
                    <w:widowControl/>
                    <w:jc w:val="center"/>
                    <w:rPr>
                      <w:b/>
                      <w:kern w:val="0"/>
                      <w:sz w:val="21"/>
                      <w:szCs w:val="21"/>
                    </w:rPr>
                  </w:pPr>
                  <w:r>
                    <w:rPr>
                      <w:b/>
                      <w:kern w:val="0"/>
                      <w:sz w:val="21"/>
                      <w:szCs w:val="21"/>
                    </w:rPr>
                    <w:t>数量</w:t>
                  </w:r>
                </w:p>
              </w:tc>
              <w:tc>
                <w:tcPr>
                  <w:tcW w:w="1029" w:type="dxa"/>
                  <w:tcBorders>
                    <w:tl2br w:val="nil"/>
                    <w:tr2bl w:val="nil"/>
                  </w:tcBorders>
                  <w:vAlign w:val="center"/>
                </w:tcPr>
                <w:p>
                  <w:pPr>
                    <w:widowControl/>
                    <w:jc w:val="center"/>
                    <w:rPr>
                      <w:b/>
                      <w:kern w:val="0"/>
                      <w:sz w:val="21"/>
                      <w:szCs w:val="21"/>
                    </w:rPr>
                  </w:pPr>
                  <w:r>
                    <w:rPr>
                      <w:b/>
                      <w:kern w:val="0"/>
                      <w:sz w:val="21"/>
                      <w:szCs w:val="21"/>
                    </w:rPr>
                    <w:t>投资</w:t>
                  </w:r>
                </w:p>
                <w:p>
                  <w:pPr>
                    <w:widowControl/>
                    <w:jc w:val="center"/>
                    <w:rPr>
                      <w:b/>
                      <w:kern w:val="0"/>
                      <w:sz w:val="21"/>
                      <w:szCs w:val="21"/>
                    </w:rPr>
                  </w:pPr>
                  <w:r>
                    <w:rPr>
                      <w:b/>
                      <w:kern w:val="0"/>
                      <w:sz w:val="21"/>
                      <w:szCs w:val="21"/>
                    </w:rPr>
                    <w:t>（万元）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restart"/>
                  <w:tcBorders>
                    <w:tl2br w:val="nil"/>
                    <w:tr2bl w:val="nil"/>
                  </w:tcBorders>
                  <w:vAlign w:val="center"/>
                </w:tcPr>
                <w:p>
                  <w:pPr>
                    <w:widowControl/>
                    <w:jc w:val="center"/>
                    <w:rPr>
                      <w:kern w:val="0"/>
                      <w:sz w:val="21"/>
                      <w:szCs w:val="21"/>
                    </w:rPr>
                  </w:pPr>
                  <w:r>
                    <w:rPr>
                      <w:kern w:val="0"/>
                      <w:sz w:val="21"/>
                      <w:szCs w:val="21"/>
                    </w:rPr>
                    <w:t>废气</w:t>
                  </w:r>
                </w:p>
              </w:tc>
              <w:tc>
                <w:tcPr>
                  <w:tcW w:w="2036" w:type="dxa"/>
                  <w:tcBorders>
                    <w:tl2br w:val="nil"/>
                    <w:tr2bl w:val="nil"/>
                  </w:tcBorders>
                  <w:vAlign w:val="center"/>
                </w:tcPr>
                <w:p>
                  <w:pPr>
                    <w:widowControl/>
                    <w:jc w:val="center"/>
                    <w:rPr>
                      <w:kern w:val="0"/>
                      <w:sz w:val="21"/>
                      <w:szCs w:val="21"/>
                    </w:rPr>
                  </w:pPr>
                  <w:r>
                    <w:rPr>
                      <w:kern w:val="0"/>
                      <w:sz w:val="21"/>
                      <w:szCs w:val="21"/>
                    </w:rPr>
                    <w:t>喷塑废气</w:t>
                  </w:r>
                </w:p>
              </w:tc>
              <w:tc>
                <w:tcPr>
                  <w:tcW w:w="3775" w:type="dxa"/>
                  <w:tcBorders>
                    <w:tl2br w:val="nil"/>
                    <w:tr2bl w:val="nil"/>
                  </w:tcBorders>
                  <w:vAlign w:val="center"/>
                </w:tcPr>
                <w:p>
                  <w:pPr>
                    <w:widowControl/>
                    <w:jc w:val="center"/>
                    <w:rPr>
                      <w:kern w:val="0"/>
                      <w:sz w:val="21"/>
                      <w:szCs w:val="21"/>
                    </w:rPr>
                  </w:pPr>
                  <w:r>
                    <w:rPr>
                      <w:kern w:val="0"/>
                      <w:sz w:val="21"/>
                      <w:szCs w:val="21"/>
                    </w:rPr>
                    <w:t>1个集气罩+旋风除尘系统（滤筒</w:t>
                  </w:r>
                  <w:r>
                    <w:rPr>
                      <w:rFonts w:hint="eastAsia"/>
                      <w:kern w:val="0"/>
                      <w:sz w:val="21"/>
                      <w:szCs w:val="21"/>
                      <w:lang w:val="en-US" w:eastAsia="zh-CN"/>
                    </w:rPr>
                    <w:t>+旋风除尘器</w:t>
                  </w:r>
                  <w:r>
                    <w:rPr>
                      <w:kern w:val="0"/>
                      <w:sz w:val="21"/>
                      <w:szCs w:val="21"/>
                    </w:rPr>
                    <w:t>）处理后通过1根15m高排气筒（DA001）排放</w:t>
                  </w:r>
                </w:p>
              </w:tc>
              <w:tc>
                <w:tcPr>
                  <w:tcW w:w="617" w:type="dxa"/>
                  <w:tcBorders>
                    <w:tl2br w:val="nil"/>
                    <w:tr2bl w:val="nil"/>
                  </w:tcBorders>
                  <w:vAlign w:val="center"/>
                </w:tcPr>
                <w:p>
                  <w:pPr>
                    <w:widowControl/>
                    <w:jc w:val="center"/>
                    <w:rPr>
                      <w:kern w:val="0"/>
                      <w:sz w:val="21"/>
                      <w:szCs w:val="21"/>
                    </w:rPr>
                  </w:pPr>
                  <w:r>
                    <w:rPr>
                      <w:kern w:val="0"/>
                      <w:sz w:val="21"/>
                      <w:szCs w:val="21"/>
                    </w:rPr>
                    <w:t>1</w:t>
                  </w:r>
                </w:p>
              </w:tc>
              <w:tc>
                <w:tcPr>
                  <w:tcW w:w="1029" w:type="dxa"/>
                  <w:tcBorders>
                    <w:tl2br w:val="nil"/>
                    <w:tr2bl w:val="nil"/>
                  </w:tcBorders>
                  <w:vAlign w:val="center"/>
                </w:tcPr>
                <w:p>
                  <w:pPr>
                    <w:widowControl/>
                    <w:jc w:val="center"/>
                    <w:rPr>
                      <w:kern w:val="0"/>
                      <w:sz w:val="21"/>
                      <w:szCs w:val="21"/>
                    </w:rPr>
                  </w:pPr>
                  <w:r>
                    <w:rPr>
                      <w:kern w:val="0"/>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sz w:val="21"/>
                      <w:szCs w:val="21"/>
                    </w:rPr>
                  </w:pPr>
                  <w:r>
                    <w:rPr>
                      <w:kern w:val="0"/>
                      <w:sz w:val="21"/>
                      <w:szCs w:val="21"/>
                    </w:rPr>
                    <w:t>热固化、木纹转印、覆膜废气</w:t>
                  </w:r>
                </w:p>
              </w:tc>
              <w:tc>
                <w:tcPr>
                  <w:tcW w:w="3775" w:type="dxa"/>
                  <w:tcBorders>
                    <w:tl2br w:val="nil"/>
                    <w:tr2bl w:val="nil"/>
                  </w:tcBorders>
                  <w:vAlign w:val="center"/>
                </w:tcPr>
                <w:p>
                  <w:pPr>
                    <w:widowControl/>
                    <w:jc w:val="center"/>
                    <w:rPr>
                      <w:kern w:val="0"/>
                      <w:sz w:val="21"/>
                      <w:szCs w:val="21"/>
                    </w:rPr>
                  </w:pPr>
                  <w:r>
                    <w:rPr>
                      <w:kern w:val="0"/>
                      <w:sz w:val="21"/>
                      <w:szCs w:val="21"/>
                    </w:rPr>
                    <w:t>5个集气罩+喷淋塔+吸附棉+活性炭吸附装置处理后通过1根15m高排气筒（DA002）排放</w:t>
                  </w:r>
                </w:p>
              </w:tc>
              <w:tc>
                <w:tcPr>
                  <w:tcW w:w="617" w:type="dxa"/>
                  <w:tcBorders>
                    <w:tl2br w:val="nil"/>
                    <w:tr2bl w:val="nil"/>
                  </w:tcBorders>
                  <w:vAlign w:val="center"/>
                </w:tcPr>
                <w:p>
                  <w:pPr>
                    <w:widowControl/>
                    <w:jc w:val="center"/>
                    <w:rPr>
                      <w:kern w:val="0"/>
                      <w:sz w:val="21"/>
                      <w:szCs w:val="21"/>
                    </w:rPr>
                  </w:pPr>
                  <w:r>
                    <w:rPr>
                      <w:kern w:val="0"/>
                      <w:sz w:val="21"/>
                      <w:szCs w:val="21"/>
                    </w:rPr>
                    <w:t>1</w:t>
                  </w:r>
                </w:p>
              </w:tc>
              <w:tc>
                <w:tcPr>
                  <w:tcW w:w="1029" w:type="dxa"/>
                  <w:tcBorders>
                    <w:tl2br w:val="nil"/>
                    <w:tr2bl w:val="nil"/>
                  </w:tcBorders>
                  <w:vAlign w:val="center"/>
                </w:tcPr>
                <w:p>
                  <w:pPr>
                    <w:widowControl/>
                    <w:jc w:val="center"/>
                    <w:rPr>
                      <w:kern w:val="0"/>
                      <w:sz w:val="21"/>
                      <w:szCs w:val="21"/>
                    </w:rPr>
                  </w:pPr>
                  <w:r>
                    <w:rPr>
                      <w:kern w:val="0"/>
                      <w:sz w:val="21"/>
                      <w:szCs w:val="21"/>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kern w:val="0"/>
                      <w:sz w:val="21"/>
                      <w:szCs w:val="21"/>
                    </w:rPr>
                  </w:pPr>
                  <w:r>
                    <w:rPr>
                      <w:kern w:val="0"/>
                      <w:sz w:val="21"/>
                      <w:szCs w:val="21"/>
                    </w:rPr>
                    <w:t>燃烧废气</w:t>
                  </w:r>
                </w:p>
              </w:tc>
              <w:tc>
                <w:tcPr>
                  <w:tcW w:w="3775" w:type="dxa"/>
                  <w:tcBorders>
                    <w:tl2br w:val="nil"/>
                    <w:tr2bl w:val="nil"/>
                  </w:tcBorders>
                  <w:vAlign w:val="center"/>
                </w:tcPr>
                <w:p>
                  <w:pPr>
                    <w:widowControl/>
                    <w:jc w:val="center"/>
                    <w:rPr>
                      <w:kern w:val="0"/>
                      <w:sz w:val="21"/>
                      <w:szCs w:val="21"/>
                    </w:rPr>
                  </w:pPr>
                  <w:r>
                    <w:rPr>
                      <w:kern w:val="0"/>
                      <w:sz w:val="21"/>
                      <w:szCs w:val="21"/>
                    </w:rPr>
                    <w:t>每套燃烧机自带低氮燃烧器</w:t>
                  </w:r>
                </w:p>
              </w:tc>
              <w:tc>
                <w:tcPr>
                  <w:tcW w:w="617" w:type="dxa"/>
                  <w:tcBorders>
                    <w:tl2br w:val="nil"/>
                    <w:tr2bl w:val="nil"/>
                  </w:tcBorders>
                  <w:vAlign w:val="center"/>
                </w:tcPr>
                <w:p>
                  <w:pPr>
                    <w:widowControl/>
                    <w:jc w:val="center"/>
                    <w:rPr>
                      <w:kern w:val="0"/>
                      <w:sz w:val="21"/>
                      <w:szCs w:val="21"/>
                    </w:rPr>
                  </w:pPr>
                  <w:r>
                    <w:rPr>
                      <w:kern w:val="0"/>
                      <w:sz w:val="21"/>
                      <w:szCs w:val="21"/>
                    </w:rPr>
                    <w:t>5</w:t>
                  </w:r>
                </w:p>
              </w:tc>
              <w:tc>
                <w:tcPr>
                  <w:tcW w:w="1029" w:type="dxa"/>
                  <w:tcBorders>
                    <w:tl2br w:val="nil"/>
                    <w:tr2bl w:val="nil"/>
                  </w:tcBorders>
                  <w:vAlign w:val="center"/>
                </w:tcPr>
                <w:p>
                  <w:pPr>
                    <w:widowControl/>
                    <w:jc w:val="center"/>
                    <w:rPr>
                      <w:kern w:val="0"/>
                      <w:sz w:val="21"/>
                      <w:szCs w:val="21"/>
                    </w:rPr>
                  </w:pPr>
                  <w:r>
                    <w:rPr>
                      <w:kern w:val="0"/>
                      <w:sz w:val="21"/>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restart"/>
                  <w:tcBorders>
                    <w:tl2br w:val="nil"/>
                    <w:tr2bl w:val="nil"/>
                  </w:tcBorders>
                  <w:vAlign w:val="center"/>
                </w:tcPr>
                <w:p>
                  <w:pPr>
                    <w:widowControl/>
                    <w:jc w:val="center"/>
                    <w:rPr>
                      <w:kern w:val="0"/>
                      <w:sz w:val="21"/>
                      <w:szCs w:val="21"/>
                    </w:rPr>
                  </w:pPr>
                  <w:r>
                    <w:rPr>
                      <w:kern w:val="0"/>
                      <w:sz w:val="21"/>
                      <w:szCs w:val="21"/>
                    </w:rPr>
                    <w:t>废水</w:t>
                  </w:r>
                </w:p>
              </w:tc>
              <w:tc>
                <w:tcPr>
                  <w:tcW w:w="2036" w:type="dxa"/>
                  <w:tcBorders>
                    <w:tl2br w:val="nil"/>
                    <w:tr2bl w:val="nil"/>
                  </w:tcBorders>
                  <w:vAlign w:val="center"/>
                </w:tcPr>
                <w:p>
                  <w:pPr>
                    <w:widowControl/>
                    <w:jc w:val="center"/>
                    <w:rPr>
                      <w:rFonts w:hint="default" w:eastAsia="宋体"/>
                      <w:kern w:val="0"/>
                      <w:sz w:val="21"/>
                      <w:szCs w:val="21"/>
                      <w:lang w:val="en-US" w:eastAsia="zh-CN"/>
                    </w:rPr>
                  </w:pPr>
                  <w:r>
                    <w:rPr>
                      <w:rFonts w:hint="eastAsia"/>
                      <w:kern w:val="0"/>
                      <w:sz w:val="21"/>
                      <w:szCs w:val="21"/>
                      <w:lang w:val="en-US" w:eastAsia="zh-CN"/>
                    </w:rPr>
                    <w:t>生活污水</w:t>
                  </w:r>
                </w:p>
              </w:tc>
              <w:tc>
                <w:tcPr>
                  <w:tcW w:w="3775" w:type="dxa"/>
                  <w:tcBorders>
                    <w:tl2br w:val="nil"/>
                    <w:tr2bl w:val="nil"/>
                  </w:tcBorders>
                  <w:vAlign w:val="center"/>
                </w:tcPr>
                <w:p>
                  <w:pPr>
                    <w:widowControl/>
                    <w:jc w:val="center"/>
                    <w:rPr>
                      <w:kern w:val="0"/>
                      <w:sz w:val="21"/>
                      <w:szCs w:val="21"/>
                    </w:rPr>
                  </w:pPr>
                  <w:r>
                    <w:rPr>
                      <w:rFonts w:hint="eastAsia"/>
                      <w:kern w:val="0"/>
                      <w:sz w:val="21"/>
                      <w:szCs w:val="21"/>
                      <w:lang w:eastAsia="zh-CN"/>
                    </w:rPr>
                    <w:t>租赁方化粪池</w:t>
                  </w:r>
                  <w:r>
                    <w:rPr>
                      <w:kern w:val="0"/>
                      <w:sz w:val="21"/>
                      <w:szCs w:val="21"/>
                    </w:rPr>
                    <w:t>（50m</w:t>
                  </w:r>
                  <w:r>
                    <w:rPr>
                      <w:kern w:val="0"/>
                      <w:sz w:val="21"/>
                      <w:szCs w:val="21"/>
                      <w:vertAlign w:val="superscript"/>
                    </w:rPr>
                    <w:t>3</w:t>
                  </w:r>
                  <w:r>
                    <w:rPr>
                      <w:kern w:val="0"/>
                      <w:sz w:val="21"/>
                      <w:szCs w:val="21"/>
                    </w:rPr>
                    <w:t>）</w:t>
                  </w:r>
                </w:p>
              </w:tc>
              <w:tc>
                <w:tcPr>
                  <w:tcW w:w="617" w:type="dxa"/>
                  <w:tcBorders>
                    <w:tl2br w:val="nil"/>
                    <w:tr2bl w:val="nil"/>
                  </w:tcBorders>
                  <w:vAlign w:val="center"/>
                </w:tcPr>
                <w:p>
                  <w:pPr>
                    <w:jc w:val="center"/>
                    <w:rPr>
                      <w:kern w:val="0"/>
                      <w:sz w:val="21"/>
                      <w:szCs w:val="21"/>
                    </w:rPr>
                  </w:pPr>
                  <w:r>
                    <w:rPr>
                      <w:kern w:val="0"/>
                      <w:sz w:val="21"/>
                      <w:szCs w:val="21"/>
                    </w:rPr>
                    <w:t>/</w:t>
                  </w:r>
                </w:p>
              </w:tc>
              <w:tc>
                <w:tcPr>
                  <w:tcW w:w="1029" w:type="dxa"/>
                  <w:tcBorders>
                    <w:tl2br w:val="nil"/>
                    <w:tr2bl w:val="nil"/>
                  </w:tcBorders>
                  <w:vAlign w:val="center"/>
                </w:tcPr>
                <w:p>
                  <w:pPr>
                    <w:jc w:val="center"/>
                    <w:rPr>
                      <w:kern w:val="0"/>
                      <w:sz w:val="21"/>
                      <w:szCs w:val="21"/>
                    </w:rPr>
                  </w:pPr>
                  <w:r>
                    <w:rPr>
                      <w:kern w:val="0"/>
                      <w:sz w:val="21"/>
                      <w:szCs w:val="21"/>
                    </w:rPr>
                    <w:t>依托</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rFonts w:hint="eastAsia" w:eastAsia="宋体"/>
                      <w:kern w:val="0"/>
                      <w:sz w:val="21"/>
                      <w:szCs w:val="21"/>
                      <w:lang w:eastAsia="zh-CN"/>
                    </w:rPr>
                  </w:pPr>
                  <w:r>
                    <w:rPr>
                      <w:rFonts w:hint="eastAsia"/>
                      <w:kern w:val="0"/>
                      <w:sz w:val="21"/>
                      <w:szCs w:val="21"/>
                      <w:lang w:eastAsia="zh-CN"/>
                    </w:rPr>
                    <w:t>铝材表面处理废水和清洗废水</w:t>
                  </w:r>
                </w:p>
              </w:tc>
              <w:tc>
                <w:tcPr>
                  <w:tcW w:w="3775" w:type="dxa"/>
                  <w:tcBorders>
                    <w:tl2br w:val="nil"/>
                    <w:tr2bl w:val="nil"/>
                  </w:tcBorders>
                  <w:vAlign w:val="center"/>
                </w:tcPr>
                <w:p>
                  <w:pPr>
                    <w:widowControl/>
                    <w:jc w:val="center"/>
                    <w:rPr>
                      <w:rFonts w:hint="eastAsia"/>
                      <w:kern w:val="0"/>
                      <w:sz w:val="21"/>
                      <w:szCs w:val="21"/>
                    </w:rPr>
                  </w:pPr>
                  <w:r>
                    <w:rPr>
                      <w:rFonts w:hint="eastAsia"/>
                      <w:kern w:val="0"/>
                      <w:sz w:val="21"/>
                      <w:szCs w:val="21"/>
                    </w:rPr>
                    <w:t>经厂区污水处理站处理（占地80㎡，工艺“中和+絮凝沉淀+气浮+多介质过滤+反渗透”）后循环使用</w:t>
                  </w:r>
                </w:p>
              </w:tc>
              <w:tc>
                <w:tcPr>
                  <w:tcW w:w="617" w:type="dxa"/>
                  <w:tcBorders>
                    <w:tl2br w:val="nil"/>
                    <w:tr2bl w:val="nil"/>
                  </w:tcBorders>
                  <w:vAlign w:val="center"/>
                </w:tcPr>
                <w:p>
                  <w:pPr>
                    <w:jc w:val="center"/>
                    <w:rPr>
                      <w:kern w:val="0"/>
                      <w:sz w:val="21"/>
                      <w:szCs w:val="21"/>
                    </w:rPr>
                  </w:pPr>
                  <w:r>
                    <w:rPr>
                      <w:kern w:val="0"/>
                      <w:sz w:val="21"/>
                      <w:szCs w:val="21"/>
                    </w:rPr>
                    <w:t>/</w:t>
                  </w:r>
                </w:p>
              </w:tc>
              <w:tc>
                <w:tcPr>
                  <w:tcW w:w="1029" w:type="dxa"/>
                  <w:tcBorders>
                    <w:tl2br w:val="nil"/>
                    <w:tr2bl w:val="nil"/>
                  </w:tcBorders>
                  <w:vAlign w:val="center"/>
                </w:tcPr>
                <w:p>
                  <w:pPr>
                    <w:jc w:val="center"/>
                    <w:rPr>
                      <w:kern w:val="0"/>
                      <w:sz w:val="21"/>
                      <w:szCs w:val="21"/>
                    </w:rPr>
                  </w:pPr>
                  <w:r>
                    <w:rPr>
                      <w:kern w:val="0"/>
                      <w:sz w:val="21"/>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rFonts w:hint="eastAsia"/>
                      <w:kern w:val="0"/>
                      <w:sz w:val="21"/>
                      <w:szCs w:val="21"/>
                    </w:rPr>
                  </w:pPr>
                  <w:r>
                    <w:rPr>
                      <w:rFonts w:hint="eastAsia"/>
                      <w:kern w:val="0"/>
                      <w:sz w:val="21"/>
                      <w:szCs w:val="21"/>
                    </w:rPr>
                    <w:t>喷淋废水</w:t>
                  </w:r>
                </w:p>
              </w:tc>
              <w:tc>
                <w:tcPr>
                  <w:tcW w:w="3775" w:type="dxa"/>
                  <w:tcBorders>
                    <w:tl2br w:val="nil"/>
                    <w:tr2bl w:val="nil"/>
                  </w:tcBorders>
                  <w:vAlign w:val="center"/>
                </w:tcPr>
                <w:p>
                  <w:pPr>
                    <w:widowControl/>
                    <w:jc w:val="center"/>
                    <w:rPr>
                      <w:rFonts w:hint="eastAsia"/>
                      <w:kern w:val="0"/>
                      <w:sz w:val="21"/>
                      <w:szCs w:val="21"/>
                    </w:rPr>
                  </w:pPr>
                  <w:r>
                    <w:rPr>
                      <w:rFonts w:hint="eastAsia"/>
                      <w:kern w:val="0"/>
                      <w:sz w:val="21"/>
                      <w:szCs w:val="21"/>
                    </w:rPr>
                    <w:t>喷淋塔水循环使用不外排</w:t>
                  </w:r>
                </w:p>
              </w:tc>
              <w:tc>
                <w:tcPr>
                  <w:tcW w:w="617" w:type="dxa"/>
                  <w:tcBorders>
                    <w:tl2br w:val="nil"/>
                    <w:tr2bl w:val="nil"/>
                  </w:tcBorders>
                  <w:vAlign w:val="center"/>
                </w:tcPr>
                <w:p>
                  <w:pPr>
                    <w:jc w:val="center"/>
                    <w:rPr>
                      <w:rFonts w:hint="eastAsia" w:eastAsia="宋体"/>
                      <w:kern w:val="0"/>
                      <w:sz w:val="21"/>
                      <w:szCs w:val="21"/>
                      <w:lang w:val="en-US" w:eastAsia="zh-CN"/>
                    </w:rPr>
                  </w:pPr>
                  <w:r>
                    <w:rPr>
                      <w:rFonts w:hint="eastAsia"/>
                      <w:kern w:val="0"/>
                      <w:sz w:val="21"/>
                      <w:szCs w:val="21"/>
                      <w:lang w:val="en-US" w:eastAsia="zh-CN"/>
                    </w:rPr>
                    <w:t>/</w:t>
                  </w:r>
                </w:p>
              </w:tc>
              <w:tc>
                <w:tcPr>
                  <w:tcW w:w="1029" w:type="dxa"/>
                  <w:tcBorders>
                    <w:tl2br w:val="nil"/>
                    <w:tr2bl w:val="nil"/>
                  </w:tcBorders>
                  <w:vAlign w:val="center"/>
                </w:tcPr>
                <w:p>
                  <w:pPr>
                    <w:jc w:val="center"/>
                    <w:rPr>
                      <w:rFonts w:hint="eastAsia" w:eastAsia="宋体"/>
                      <w:kern w:val="0"/>
                      <w:sz w:val="21"/>
                      <w:szCs w:val="21"/>
                      <w:lang w:val="en-US" w:eastAsia="zh-CN"/>
                    </w:rPr>
                  </w:pPr>
                  <w:r>
                    <w:rPr>
                      <w:rFonts w:hint="eastAsia"/>
                      <w:kern w:val="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tcBorders>
                    <w:tl2br w:val="nil"/>
                    <w:tr2bl w:val="nil"/>
                  </w:tcBorders>
                  <w:vAlign w:val="center"/>
                </w:tcPr>
                <w:p>
                  <w:pPr>
                    <w:widowControl/>
                    <w:jc w:val="center"/>
                    <w:rPr>
                      <w:kern w:val="0"/>
                      <w:sz w:val="21"/>
                      <w:szCs w:val="21"/>
                    </w:rPr>
                  </w:pPr>
                  <w:r>
                    <w:rPr>
                      <w:kern w:val="0"/>
                      <w:sz w:val="21"/>
                      <w:szCs w:val="21"/>
                    </w:rPr>
                    <w:t>噪声</w:t>
                  </w:r>
                </w:p>
              </w:tc>
              <w:tc>
                <w:tcPr>
                  <w:tcW w:w="2036" w:type="dxa"/>
                  <w:tcBorders>
                    <w:tl2br w:val="nil"/>
                    <w:tr2bl w:val="nil"/>
                  </w:tcBorders>
                  <w:vAlign w:val="center"/>
                </w:tcPr>
                <w:p>
                  <w:pPr>
                    <w:widowControl/>
                    <w:jc w:val="center"/>
                    <w:rPr>
                      <w:kern w:val="0"/>
                      <w:sz w:val="21"/>
                      <w:szCs w:val="21"/>
                    </w:rPr>
                  </w:pPr>
                  <w:r>
                    <w:rPr>
                      <w:kern w:val="0"/>
                      <w:sz w:val="21"/>
                      <w:szCs w:val="21"/>
                    </w:rPr>
                    <w:t>设备噪声</w:t>
                  </w:r>
                </w:p>
              </w:tc>
              <w:tc>
                <w:tcPr>
                  <w:tcW w:w="3775" w:type="dxa"/>
                  <w:tcBorders>
                    <w:tl2br w:val="nil"/>
                    <w:tr2bl w:val="nil"/>
                  </w:tcBorders>
                  <w:vAlign w:val="center"/>
                </w:tcPr>
                <w:p>
                  <w:pPr>
                    <w:widowControl/>
                    <w:jc w:val="center"/>
                    <w:rPr>
                      <w:kern w:val="0"/>
                      <w:sz w:val="21"/>
                      <w:szCs w:val="21"/>
                    </w:rPr>
                  </w:pPr>
                  <w:r>
                    <w:rPr>
                      <w:kern w:val="0"/>
                      <w:sz w:val="21"/>
                      <w:szCs w:val="21"/>
                    </w:rPr>
                    <w:t>低噪声设备、基础减振、合理布局、厂房隔声</w:t>
                  </w:r>
                </w:p>
              </w:tc>
              <w:tc>
                <w:tcPr>
                  <w:tcW w:w="617" w:type="dxa"/>
                  <w:tcBorders>
                    <w:tl2br w:val="nil"/>
                    <w:tr2bl w:val="nil"/>
                  </w:tcBorders>
                  <w:vAlign w:val="center"/>
                </w:tcPr>
                <w:p>
                  <w:pPr>
                    <w:widowControl/>
                    <w:jc w:val="center"/>
                    <w:rPr>
                      <w:kern w:val="0"/>
                      <w:sz w:val="21"/>
                      <w:szCs w:val="21"/>
                    </w:rPr>
                  </w:pPr>
                  <w:r>
                    <w:rPr>
                      <w:kern w:val="0"/>
                      <w:sz w:val="21"/>
                      <w:szCs w:val="21"/>
                    </w:rPr>
                    <w:t>/</w:t>
                  </w:r>
                </w:p>
              </w:tc>
              <w:tc>
                <w:tcPr>
                  <w:tcW w:w="1029" w:type="dxa"/>
                  <w:tcBorders>
                    <w:tl2br w:val="nil"/>
                    <w:tr2bl w:val="nil"/>
                  </w:tcBorders>
                  <w:vAlign w:val="center"/>
                </w:tcPr>
                <w:p>
                  <w:pPr>
                    <w:widowControl/>
                    <w:jc w:val="center"/>
                    <w:rPr>
                      <w:kern w:val="0"/>
                      <w:sz w:val="21"/>
                      <w:szCs w:val="21"/>
                    </w:rPr>
                  </w:pPr>
                  <w:r>
                    <w:rPr>
                      <w:kern w:val="0"/>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restart"/>
                  <w:tcBorders>
                    <w:tl2br w:val="nil"/>
                    <w:tr2bl w:val="nil"/>
                  </w:tcBorders>
                  <w:vAlign w:val="center"/>
                </w:tcPr>
                <w:p>
                  <w:pPr>
                    <w:widowControl/>
                    <w:jc w:val="center"/>
                    <w:rPr>
                      <w:kern w:val="0"/>
                      <w:sz w:val="21"/>
                      <w:szCs w:val="21"/>
                    </w:rPr>
                  </w:pPr>
                  <w:r>
                    <w:rPr>
                      <w:kern w:val="0"/>
                      <w:sz w:val="21"/>
                      <w:szCs w:val="21"/>
                    </w:rPr>
                    <w:t>固废</w:t>
                  </w:r>
                </w:p>
              </w:tc>
              <w:tc>
                <w:tcPr>
                  <w:tcW w:w="2036" w:type="dxa"/>
                  <w:tcBorders>
                    <w:tl2br w:val="nil"/>
                    <w:tr2bl w:val="nil"/>
                  </w:tcBorders>
                  <w:vAlign w:val="center"/>
                </w:tcPr>
                <w:p>
                  <w:pPr>
                    <w:widowControl/>
                    <w:jc w:val="center"/>
                    <w:rPr>
                      <w:kern w:val="0"/>
                      <w:sz w:val="21"/>
                      <w:szCs w:val="21"/>
                    </w:rPr>
                  </w:pPr>
                  <w:r>
                    <w:rPr>
                      <w:kern w:val="0"/>
                      <w:sz w:val="21"/>
                      <w:szCs w:val="21"/>
                    </w:rPr>
                    <w:t>生活垃圾</w:t>
                  </w:r>
                </w:p>
              </w:tc>
              <w:tc>
                <w:tcPr>
                  <w:tcW w:w="3775" w:type="dxa"/>
                  <w:tcBorders>
                    <w:tl2br w:val="nil"/>
                    <w:tr2bl w:val="nil"/>
                  </w:tcBorders>
                  <w:vAlign w:val="center"/>
                </w:tcPr>
                <w:p>
                  <w:pPr>
                    <w:widowControl/>
                    <w:jc w:val="center"/>
                    <w:rPr>
                      <w:kern w:val="0"/>
                      <w:sz w:val="21"/>
                      <w:szCs w:val="21"/>
                    </w:rPr>
                  </w:pPr>
                  <w:r>
                    <w:rPr>
                      <w:kern w:val="0"/>
                      <w:sz w:val="21"/>
                      <w:szCs w:val="21"/>
                    </w:rPr>
                    <w:t>生活垃圾集中收集后，交环卫部门定期清运</w:t>
                  </w:r>
                </w:p>
              </w:tc>
              <w:tc>
                <w:tcPr>
                  <w:tcW w:w="617" w:type="dxa"/>
                  <w:tcBorders>
                    <w:tl2br w:val="nil"/>
                    <w:tr2bl w:val="nil"/>
                  </w:tcBorders>
                  <w:vAlign w:val="center"/>
                </w:tcPr>
                <w:p>
                  <w:pPr>
                    <w:widowControl/>
                    <w:jc w:val="center"/>
                    <w:rPr>
                      <w:kern w:val="0"/>
                      <w:sz w:val="21"/>
                      <w:szCs w:val="21"/>
                    </w:rPr>
                  </w:pPr>
                  <w:r>
                    <w:rPr>
                      <w:kern w:val="0"/>
                      <w:sz w:val="21"/>
                      <w:szCs w:val="21"/>
                    </w:rPr>
                    <w:t>若干</w:t>
                  </w:r>
                </w:p>
              </w:tc>
              <w:tc>
                <w:tcPr>
                  <w:tcW w:w="1029" w:type="dxa"/>
                  <w:tcBorders>
                    <w:tl2br w:val="nil"/>
                    <w:tr2bl w:val="nil"/>
                  </w:tcBorders>
                  <w:vAlign w:val="center"/>
                </w:tcPr>
                <w:p>
                  <w:pPr>
                    <w:widowControl/>
                    <w:jc w:val="center"/>
                    <w:rPr>
                      <w:kern w:val="0"/>
                      <w:sz w:val="21"/>
                      <w:szCs w:val="21"/>
                    </w:rPr>
                  </w:pPr>
                  <w:r>
                    <w:rPr>
                      <w:kern w:val="0"/>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kern w:val="0"/>
                      <w:sz w:val="21"/>
                      <w:szCs w:val="21"/>
                    </w:rPr>
                  </w:pPr>
                  <w:r>
                    <w:rPr>
                      <w:kern w:val="0"/>
                      <w:sz w:val="21"/>
                      <w:szCs w:val="21"/>
                    </w:rPr>
                    <w:t>废边角料、废包装材料、废木纹转印纸、废塑粉</w:t>
                  </w:r>
                </w:p>
              </w:tc>
              <w:tc>
                <w:tcPr>
                  <w:tcW w:w="3775" w:type="dxa"/>
                  <w:tcBorders>
                    <w:tl2br w:val="nil"/>
                    <w:tr2bl w:val="nil"/>
                  </w:tcBorders>
                  <w:vAlign w:val="center"/>
                </w:tcPr>
                <w:p>
                  <w:pPr>
                    <w:widowControl/>
                    <w:jc w:val="center"/>
                    <w:rPr>
                      <w:kern w:val="0"/>
                      <w:sz w:val="21"/>
                      <w:szCs w:val="21"/>
                    </w:rPr>
                  </w:pPr>
                  <w:r>
                    <w:rPr>
                      <w:kern w:val="0"/>
                      <w:sz w:val="21"/>
                      <w:szCs w:val="21"/>
                    </w:rPr>
                    <w:t>一般固废暂存间（10㎡）暂存后外售物资回收单位</w:t>
                  </w:r>
                </w:p>
              </w:tc>
              <w:tc>
                <w:tcPr>
                  <w:tcW w:w="617" w:type="dxa"/>
                  <w:tcBorders>
                    <w:tl2br w:val="nil"/>
                    <w:tr2bl w:val="nil"/>
                  </w:tcBorders>
                  <w:vAlign w:val="center"/>
                </w:tcPr>
                <w:p>
                  <w:pPr>
                    <w:widowControl/>
                    <w:jc w:val="center"/>
                    <w:rPr>
                      <w:kern w:val="0"/>
                      <w:sz w:val="21"/>
                      <w:szCs w:val="21"/>
                    </w:rPr>
                  </w:pPr>
                  <w:r>
                    <w:rPr>
                      <w:kern w:val="0"/>
                      <w:sz w:val="21"/>
                      <w:szCs w:val="21"/>
                    </w:rPr>
                    <w:t>1间</w:t>
                  </w:r>
                </w:p>
              </w:tc>
              <w:tc>
                <w:tcPr>
                  <w:tcW w:w="1029" w:type="dxa"/>
                  <w:tcBorders>
                    <w:tl2br w:val="nil"/>
                    <w:tr2bl w:val="nil"/>
                  </w:tcBorders>
                  <w:vAlign w:val="center"/>
                </w:tcPr>
                <w:p>
                  <w:pPr>
                    <w:widowControl/>
                    <w:jc w:val="center"/>
                    <w:rPr>
                      <w:kern w:val="0"/>
                      <w:sz w:val="21"/>
                      <w:szCs w:val="21"/>
                    </w:rPr>
                  </w:pPr>
                  <w:r>
                    <w:rPr>
                      <w:kern w:val="0"/>
                      <w:sz w:val="21"/>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kern w:val="0"/>
                      <w:sz w:val="21"/>
                      <w:szCs w:val="21"/>
                    </w:rPr>
                  </w:pPr>
                  <w:r>
                    <w:rPr>
                      <w:kern w:val="0"/>
                      <w:sz w:val="21"/>
                      <w:szCs w:val="21"/>
                    </w:rPr>
                    <w:t>废渗透膜</w:t>
                  </w:r>
                  <w:r>
                    <w:rPr>
                      <w:rFonts w:hint="eastAsia"/>
                      <w:kern w:val="0"/>
                      <w:sz w:val="21"/>
                      <w:szCs w:val="21"/>
                    </w:rPr>
                    <w:t>、废树脂</w:t>
                  </w:r>
                </w:p>
              </w:tc>
              <w:tc>
                <w:tcPr>
                  <w:tcW w:w="3775" w:type="dxa"/>
                  <w:tcBorders>
                    <w:tl2br w:val="nil"/>
                    <w:tr2bl w:val="nil"/>
                  </w:tcBorders>
                  <w:vAlign w:val="center"/>
                </w:tcPr>
                <w:p>
                  <w:pPr>
                    <w:widowControl/>
                    <w:jc w:val="center"/>
                    <w:rPr>
                      <w:kern w:val="0"/>
                      <w:sz w:val="21"/>
                      <w:szCs w:val="21"/>
                    </w:rPr>
                  </w:pPr>
                  <w:r>
                    <w:rPr>
                      <w:kern w:val="0"/>
                      <w:sz w:val="21"/>
                      <w:szCs w:val="21"/>
                    </w:rPr>
                    <w:t>厂家回收处置</w:t>
                  </w:r>
                </w:p>
              </w:tc>
              <w:tc>
                <w:tcPr>
                  <w:tcW w:w="617" w:type="dxa"/>
                  <w:tcBorders>
                    <w:tl2br w:val="nil"/>
                    <w:tr2bl w:val="nil"/>
                  </w:tcBorders>
                  <w:vAlign w:val="center"/>
                </w:tcPr>
                <w:p>
                  <w:pPr>
                    <w:widowControl/>
                    <w:jc w:val="center"/>
                    <w:rPr>
                      <w:kern w:val="0"/>
                      <w:sz w:val="21"/>
                      <w:szCs w:val="21"/>
                    </w:rPr>
                  </w:pPr>
                  <w:r>
                    <w:rPr>
                      <w:kern w:val="0"/>
                      <w:sz w:val="21"/>
                      <w:szCs w:val="21"/>
                    </w:rPr>
                    <w:t>/</w:t>
                  </w:r>
                </w:p>
              </w:tc>
              <w:tc>
                <w:tcPr>
                  <w:tcW w:w="1029" w:type="dxa"/>
                  <w:tcBorders>
                    <w:tl2br w:val="nil"/>
                    <w:tr2bl w:val="nil"/>
                  </w:tcBorders>
                  <w:vAlign w:val="center"/>
                </w:tcPr>
                <w:p>
                  <w:pPr>
                    <w:widowControl/>
                    <w:jc w:val="center"/>
                    <w:rPr>
                      <w:kern w:val="0"/>
                      <w:sz w:val="21"/>
                      <w:szCs w:val="21"/>
                    </w:rPr>
                  </w:pPr>
                  <w:r>
                    <w:rPr>
                      <w:kern w:val="0"/>
                      <w:sz w:val="21"/>
                      <w:szCs w:val="21"/>
                    </w:rPr>
                    <w: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jc w:val="center"/>
              </w:trPr>
              <w:tc>
                <w:tcPr>
                  <w:tcW w:w="476" w:type="dxa"/>
                  <w:vMerge w:val="continue"/>
                  <w:tcBorders>
                    <w:tl2br w:val="nil"/>
                    <w:tr2bl w:val="nil"/>
                  </w:tcBorders>
                  <w:vAlign w:val="center"/>
                </w:tcPr>
                <w:p>
                  <w:pPr>
                    <w:widowControl/>
                    <w:jc w:val="center"/>
                    <w:rPr>
                      <w:kern w:val="0"/>
                      <w:sz w:val="21"/>
                      <w:szCs w:val="21"/>
                    </w:rPr>
                  </w:pPr>
                </w:p>
              </w:tc>
              <w:tc>
                <w:tcPr>
                  <w:tcW w:w="2036" w:type="dxa"/>
                  <w:tcBorders>
                    <w:tl2br w:val="nil"/>
                    <w:tr2bl w:val="nil"/>
                  </w:tcBorders>
                  <w:vAlign w:val="center"/>
                </w:tcPr>
                <w:p>
                  <w:pPr>
                    <w:widowControl/>
                    <w:jc w:val="center"/>
                    <w:rPr>
                      <w:kern w:val="0"/>
                      <w:sz w:val="21"/>
                      <w:szCs w:val="21"/>
                    </w:rPr>
                  </w:pPr>
                  <w:r>
                    <w:rPr>
                      <w:rFonts w:hint="eastAsia"/>
                      <w:kern w:val="0"/>
                      <w:sz w:val="21"/>
                      <w:szCs w:val="21"/>
                      <w:lang w:val="en-US" w:eastAsia="zh-CN"/>
                    </w:rPr>
                    <w:t>铝材表面处理废液、</w:t>
                  </w:r>
                  <w:r>
                    <w:rPr>
                      <w:kern w:val="0"/>
                      <w:sz w:val="21"/>
                      <w:szCs w:val="21"/>
                    </w:rPr>
                    <w:t>废活性炭、废吸附棉、废机油、</w:t>
                  </w:r>
                  <w:r>
                    <w:rPr>
                      <w:rFonts w:hint="eastAsia"/>
                      <w:kern w:val="0"/>
                      <w:sz w:val="21"/>
                      <w:szCs w:val="21"/>
                    </w:rPr>
                    <w:t>废水</w:t>
                  </w:r>
                  <w:r>
                    <w:rPr>
                      <w:kern w:val="0"/>
                      <w:sz w:val="21"/>
                      <w:szCs w:val="21"/>
                    </w:rPr>
                    <w:t>压油、含油废抹布及手套、废渣及泥饼</w:t>
                  </w:r>
                </w:p>
              </w:tc>
              <w:tc>
                <w:tcPr>
                  <w:tcW w:w="3775" w:type="dxa"/>
                  <w:tcBorders>
                    <w:tl2br w:val="nil"/>
                    <w:tr2bl w:val="nil"/>
                  </w:tcBorders>
                  <w:vAlign w:val="center"/>
                </w:tcPr>
                <w:p>
                  <w:pPr>
                    <w:widowControl/>
                    <w:jc w:val="center"/>
                    <w:rPr>
                      <w:kern w:val="0"/>
                      <w:sz w:val="21"/>
                      <w:szCs w:val="21"/>
                    </w:rPr>
                  </w:pPr>
                  <w:r>
                    <w:rPr>
                      <w:kern w:val="0"/>
                      <w:sz w:val="21"/>
                      <w:szCs w:val="21"/>
                    </w:rPr>
                    <w:t>分类收集后危废贮存库（6㎡）暂存，定期交</w:t>
                  </w:r>
                  <w:r>
                    <w:rPr>
                      <w:rFonts w:hint="eastAsia"/>
                      <w:kern w:val="0"/>
                      <w:sz w:val="21"/>
                      <w:szCs w:val="21"/>
                    </w:rPr>
                    <w:t>由</w:t>
                  </w:r>
                  <w:r>
                    <w:rPr>
                      <w:rFonts w:hint="eastAsia"/>
                      <w:kern w:val="0"/>
                      <w:sz w:val="21"/>
                      <w:szCs w:val="21"/>
                      <w:lang w:eastAsia="zh-CN"/>
                    </w:rPr>
                    <w:t>陕西新天地固体废物综合处置公司</w:t>
                  </w:r>
                  <w:r>
                    <w:rPr>
                      <w:rFonts w:hint="eastAsia"/>
                      <w:kern w:val="0"/>
                      <w:sz w:val="21"/>
                      <w:szCs w:val="21"/>
                    </w:rPr>
                    <w:t>处置</w:t>
                  </w:r>
                </w:p>
                <w:p>
                  <w:pPr>
                    <w:widowControl/>
                    <w:jc w:val="center"/>
                    <w:rPr>
                      <w:kern w:val="0"/>
                      <w:sz w:val="21"/>
                      <w:szCs w:val="21"/>
                    </w:rPr>
                  </w:pPr>
                </w:p>
              </w:tc>
              <w:tc>
                <w:tcPr>
                  <w:tcW w:w="617" w:type="dxa"/>
                  <w:tcBorders>
                    <w:tl2br w:val="nil"/>
                    <w:tr2bl w:val="nil"/>
                  </w:tcBorders>
                  <w:vAlign w:val="center"/>
                </w:tcPr>
                <w:p>
                  <w:pPr>
                    <w:widowControl/>
                    <w:jc w:val="center"/>
                    <w:rPr>
                      <w:kern w:val="0"/>
                      <w:sz w:val="21"/>
                      <w:szCs w:val="21"/>
                    </w:rPr>
                  </w:pPr>
                  <w:r>
                    <w:rPr>
                      <w:kern w:val="0"/>
                      <w:sz w:val="21"/>
                      <w:szCs w:val="21"/>
                    </w:rPr>
                    <w:t>1间</w:t>
                  </w:r>
                </w:p>
              </w:tc>
              <w:tc>
                <w:tcPr>
                  <w:tcW w:w="1029" w:type="dxa"/>
                  <w:tcBorders>
                    <w:tl2br w:val="nil"/>
                    <w:tr2bl w:val="nil"/>
                  </w:tcBorders>
                  <w:vAlign w:val="center"/>
                </w:tcPr>
                <w:p>
                  <w:pPr>
                    <w:widowControl/>
                    <w:jc w:val="center"/>
                    <w:rPr>
                      <w:kern w:val="0"/>
                      <w:sz w:val="21"/>
                      <w:szCs w:val="21"/>
                    </w:rPr>
                  </w:pPr>
                  <w:r>
                    <w:rPr>
                      <w:kern w:val="0"/>
                      <w:sz w:val="21"/>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jc w:val="center"/>
              </w:trPr>
              <w:tc>
                <w:tcPr>
                  <w:tcW w:w="6904" w:type="dxa"/>
                  <w:gridSpan w:val="4"/>
                  <w:tcBorders>
                    <w:tl2br w:val="nil"/>
                    <w:tr2bl w:val="nil"/>
                  </w:tcBorders>
                  <w:vAlign w:val="center"/>
                </w:tcPr>
                <w:p>
                  <w:pPr>
                    <w:widowControl/>
                    <w:jc w:val="center"/>
                    <w:rPr>
                      <w:kern w:val="0"/>
                      <w:sz w:val="21"/>
                      <w:szCs w:val="21"/>
                    </w:rPr>
                  </w:pPr>
                  <w:r>
                    <w:rPr>
                      <w:kern w:val="0"/>
                      <w:sz w:val="21"/>
                      <w:szCs w:val="21"/>
                    </w:rPr>
                    <w:t>合计</w:t>
                  </w:r>
                </w:p>
              </w:tc>
              <w:tc>
                <w:tcPr>
                  <w:tcW w:w="1029" w:type="dxa"/>
                  <w:tcBorders>
                    <w:tl2br w:val="nil"/>
                    <w:tr2bl w:val="nil"/>
                  </w:tcBorders>
                  <w:vAlign w:val="center"/>
                </w:tcPr>
                <w:p>
                  <w:pPr>
                    <w:widowControl/>
                    <w:jc w:val="center"/>
                    <w:rPr>
                      <w:kern w:val="0"/>
                      <w:sz w:val="21"/>
                      <w:szCs w:val="21"/>
                    </w:rPr>
                  </w:pPr>
                  <w:r>
                    <w:rPr>
                      <w:kern w:val="0"/>
                      <w:sz w:val="21"/>
                      <w:szCs w:val="21"/>
                    </w:rPr>
                    <w:t>98.05</w:t>
                  </w:r>
                </w:p>
              </w:tc>
            </w:tr>
          </w:tbl>
          <w:p>
            <w:pPr>
              <w:adjustRightInd w:val="0"/>
              <w:snapToGrid w:val="0"/>
              <w:spacing w:line="360" w:lineRule="auto"/>
              <w:jc w:val="left"/>
              <w:rPr>
                <w:sz w:val="24"/>
                <w:szCs w:val="24"/>
              </w:rPr>
            </w:pPr>
          </w:p>
        </w:tc>
      </w:tr>
    </w:tbl>
    <w:p>
      <w:pPr>
        <w:pStyle w:val="2"/>
        <w:spacing w:before="0" w:after="0" w:line="240" w:lineRule="auto"/>
        <w:jc w:val="center"/>
        <w:rPr>
          <w:rFonts w:ascii="宋体" w:hAnsi="宋体" w:cs="宋体"/>
          <w:bCs w:val="0"/>
          <w:sz w:val="32"/>
          <w:szCs w:val="32"/>
        </w:rPr>
      </w:pPr>
      <w:r>
        <w:rPr>
          <w:rFonts w:hint="eastAsia" w:ascii="宋体" w:hAnsi="宋体" w:cs="宋体"/>
          <w:bCs w:val="0"/>
          <w:sz w:val="32"/>
          <w:szCs w:val="32"/>
        </w:rPr>
        <w:t>六、结论</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9" w:hRule="atLeast"/>
        </w:trPr>
        <w:tc>
          <w:tcPr>
            <w:tcW w:w="5000" w:type="pct"/>
          </w:tcPr>
          <w:p>
            <w:pPr>
              <w:adjustRightInd w:val="0"/>
              <w:snapToGrid w:val="0"/>
              <w:spacing w:line="480" w:lineRule="exact"/>
              <w:ind w:firstLine="480" w:firstLineChars="200"/>
              <w:jc w:val="left"/>
              <w:rPr>
                <w:sz w:val="24"/>
              </w:rPr>
            </w:pPr>
            <w:r>
              <w:rPr>
                <w:sz w:val="24"/>
              </w:rPr>
              <w:t>综上所述，</w:t>
            </w:r>
            <w:r>
              <w:rPr>
                <w:rFonts w:hint="eastAsia"/>
                <w:sz w:val="24"/>
                <w:lang w:eastAsia="zh-CN"/>
              </w:rPr>
              <w:t>项目</w:t>
            </w:r>
            <w:r>
              <w:rPr>
                <w:sz w:val="24"/>
              </w:rPr>
              <w:t>在运行期间，切实落实本报告的各项污染防治措施和环境管理措施，可以减缓各项污染物的排放，减轻对周边环境的影响，从环境</w:t>
            </w:r>
            <w:r>
              <w:rPr>
                <w:rFonts w:hint="eastAsia"/>
                <w:sz w:val="24"/>
              </w:rPr>
              <w:t>保护</w:t>
            </w:r>
            <w:r>
              <w:rPr>
                <w:sz w:val="24"/>
              </w:rPr>
              <w:t>的角度出发，项目</w:t>
            </w:r>
            <w:r>
              <w:rPr>
                <w:rFonts w:hint="eastAsia"/>
                <w:sz w:val="24"/>
              </w:rPr>
              <w:t>建设</w:t>
            </w:r>
            <w:r>
              <w:rPr>
                <w:sz w:val="24"/>
              </w:rPr>
              <w:t>可行。</w:t>
            </w:r>
          </w:p>
          <w:p>
            <w:pPr>
              <w:adjustRightInd w:val="0"/>
              <w:snapToGrid w:val="0"/>
              <w:spacing w:line="480" w:lineRule="exact"/>
              <w:jc w:val="left"/>
              <w:rPr>
                <w:sz w:val="24"/>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p>
            <w:pPr>
              <w:ind w:firstLine="480"/>
              <w:rPr>
                <w:rFonts w:ascii="宋体" w:hAnsi="宋体" w:cs="宋体"/>
              </w:rPr>
            </w:pPr>
          </w:p>
        </w:tc>
      </w:tr>
    </w:tbl>
    <w:p>
      <w:pPr>
        <w:pStyle w:val="28"/>
        <w:ind w:left="0" w:leftChars="0" w:firstLine="0" w:firstLineChars="0"/>
        <w:rPr>
          <w:rFonts w:ascii="宋体" w:hAnsi="宋体" w:cs="宋体"/>
        </w:rPr>
        <w:sectPr>
          <w:pgSz w:w="11906" w:h="16838"/>
          <w:pgMar w:top="1418" w:right="1418" w:bottom="1418" w:left="1418" w:header="851" w:footer="992" w:gutter="0"/>
          <w:pgBorders>
            <w:top w:val="none" w:sz="0" w:space="0"/>
            <w:left w:val="none" w:sz="0" w:space="0"/>
            <w:bottom w:val="none" w:sz="0" w:space="0"/>
            <w:right w:val="none" w:sz="0" w:space="0"/>
          </w:pgBorders>
          <w:cols w:space="720" w:num="1"/>
          <w:docGrid w:linePitch="319" w:charSpace="0"/>
        </w:sectPr>
      </w:pPr>
    </w:p>
    <w:p>
      <w:pPr>
        <w:pStyle w:val="26"/>
        <w:adjustRightInd w:val="0"/>
        <w:snapToGrid w:val="0"/>
        <w:spacing w:before="0" w:beforeAutospacing="0" w:after="0" w:afterAutospacing="0" w:line="360" w:lineRule="auto"/>
        <w:outlineLvl w:val="0"/>
        <w:rPr>
          <w:rFonts w:ascii="Times New Roman" w:hAnsi="Times New Roman" w:eastAsia="黑体"/>
          <w:snapToGrid w:val="0"/>
        </w:rPr>
      </w:pPr>
      <w:r>
        <w:rPr>
          <w:rFonts w:ascii="Times New Roman" w:hAnsi="Times New Roman" w:eastAsia="黑体"/>
          <w:snapToGrid w:val="0"/>
        </w:rPr>
        <w:t>附表</w:t>
      </w:r>
    </w:p>
    <w:p>
      <w:pPr>
        <w:pStyle w:val="26"/>
        <w:adjustRightInd w:val="0"/>
        <w:snapToGrid w:val="0"/>
        <w:spacing w:before="0" w:beforeAutospacing="0" w:after="0" w:afterAutospacing="0"/>
        <w:jc w:val="center"/>
        <w:outlineLvl w:val="0"/>
        <w:rPr>
          <w:rFonts w:hint="eastAsia" w:ascii="Times New Roman" w:hAnsi="Times New Roman" w:eastAsia="黑体"/>
          <w:snapToGrid w:val="0"/>
          <w:lang w:eastAsia="zh-CN"/>
        </w:rPr>
      </w:pPr>
      <w:r>
        <w:rPr>
          <w:rFonts w:ascii="Times New Roman" w:hAnsi="Times New Roman" w:eastAsia="黑体"/>
          <w:snapToGrid w:val="0"/>
          <w:sz w:val="28"/>
          <w:szCs w:val="28"/>
        </w:rPr>
        <w:t>建设项目污染物排放量汇总表</w:t>
      </w:r>
    </w:p>
    <w:tbl>
      <w:tblPr>
        <w:tblStyle w:val="29"/>
        <w:tblW w:w="1371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2016"/>
        <w:gridCol w:w="1662"/>
        <w:gridCol w:w="1269"/>
        <w:gridCol w:w="1692"/>
        <w:gridCol w:w="1551"/>
        <w:gridCol w:w="1411"/>
        <w:gridCol w:w="1532"/>
        <w:gridCol w:w="15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tcBorders>
              <w:top w:val="single" w:color="auto" w:sz="8" w:space="0"/>
              <w:bottom w:val="single" w:color="auto" w:sz="4" w:space="0"/>
              <w:tl2br w:val="single" w:color="auto" w:sz="4" w:space="0"/>
            </w:tcBorders>
            <w:tcMar>
              <w:left w:w="28" w:type="dxa"/>
              <w:right w:w="28" w:type="dxa"/>
            </w:tcMar>
            <w:vAlign w:val="center"/>
          </w:tcPr>
          <w:p>
            <w:pPr>
              <w:pStyle w:val="57"/>
              <w:spacing w:beforeLines="0" w:afterLines="0" w:line="240" w:lineRule="auto"/>
              <w:jc w:val="right"/>
              <w:rPr>
                <w:rFonts w:ascii="Times New Roman" w:eastAsia="黑体"/>
                <w:snapToGrid w:val="0"/>
                <w:spacing w:val="-6"/>
                <w:kern w:val="21"/>
                <w:szCs w:val="21"/>
              </w:rPr>
            </w:pPr>
            <w:r>
              <w:rPr>
                <w:rFonts w:ascii="Times New Roman" w:eastAsia="黑体"/>
                <w:snapToGrid w:val="0"/>
                <w:spacing w:val="-6"/>
                <w:kern w:val="21"/>
                <w:szCs w:val="21"/>
              </w:rPr>
              <w:t>项目</w:t>
            </w:r>
          </w:p>
          <w:p>
            <w:pPr>
              <w:pStyle w:val="57"/>
              <w:spacing w:beforeLines="0" w:afterLines="0" w:line="240" w:lineRule="auto"/>
              <w:jc w:val="left"/>
              <w:rPr>
                <w:rFonts w:ascii="Times New Roman" w:eastAsia="黑体"/>
                <w:snapToGrid w:val="0"/>
                <w:spacing w:val="-6"/>
                <w:kern w:val="21"/>
                <w:szCs w:val="21"/>
              </w:rPr>
            </w:pPr>
            <w:r>
              <w:rPr>
                <w:rFonts w:ascii="Times New Roman" w:eastAsia="黑体"/>
                <w:snapToGrid w:val="0"/>
                <w:spacing w:val="-6"/>
                <w:kern w:val="21"/>
                <w:szCs w:val="21"/>
              </w:rPr>
              <w:t>分类</w:t>
            </w:r>
          </w:p>
        </w:tc>
        <w:tc>
          <w:tcPr>
            <w:tcW w:w="2016"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污染物名称</w:t>
            </w:r>
          </w:p>
        </w:tc>
        <w:tc>
          <w:tcPr>
            <w:tcW w:w="1662"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1 \* GB3 \* MERGEFORMAT </w:instrText>
            </w:r>
            <w:r>
              <w:rPr>
                <w:rFonts w:ascii="Times New Roman" w:eastAsia="黑体"/>
                <w:snapToGrid w:val="0"/>
                <w:spacing w:val="-6"/>
                <w:kern w:val="21"/>
                <w:szCs w:val="21"/>
              </w:rPr>
              <w:fldChar w:fldCharType="separate"/>
            </w:r>
            <w:r>
              <w:rPr>
                <w:rFonts w:ascii="Times New Roman" w:eastAsia="黑体"/>
                <w:kern w:val="2"/>
                <w:szCs w:val="21"/>
              </w:rPr>
              <w:t>①</w:t>
            </w:r>
            <w:r>
              <w:rPr>
                <w:rFonts w:ascii="Times New Roman" w:eastAsia="黑体"/>
                <w:snapToGrid w:val="0"/>
                <w:spacing w:val="-6"/>
                <w:kern w:val="21"/>
                <w:szCs w:val="21"/>
              </w:rPr>
              <w:fldChar w:fldCharType="end"/>
            </w:r>
          </w:p>
        </w:tc>
        <w:tc>
          <w:tcPr>
            <w:tcW w:w="1269"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现有工程</w:t>
            </w:r>
          </w:p>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许可排放量</w:t>
            </w:r>
          </w:p>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2 \* GB3 \* MERGEFORMAT </w:instrText>
            </w:r>
            <w:r>
              <w:rPr>
                <w:rFonts w:ascii="Times New Roman" w:eastAsia="黑体"/>
                <w:snapToGrid w:val="0"/>
                <w:spacing w:val="-6"/>
                <w:kern w:val="21"/>
                <w:szCs w:val="21"/>
              </w:rPr>
              <w:fldChar w:fldCharType="separate"/>
            </w:r>
            <w:r>
              <w:rPr>
                <w:rFonts w:ascii="Times New Roman" w:eastAsia="黑体"/>
                <w:snapToGrid w:val="0"/>
                <w:spacing w:val="-6"/>
                <w:kern w:val="21"/>
                <w:szCs w:val="21"/>
              </w:rPr>
              <w:t>②</w:t>
            </w:r>
            <w:r>
              <w:rPr>
                <w:rFonts w:ascii="Times New Roman" w:eastAsia="黑体"/>
                <w:snapToGrid w:val="0"/>
                <w:spacing w:val="-6"/>
                <w:kern w:val="21"/>
                <w:szCs w:val="21"/>
              </w:rPr>
              <w:fldChar w:fldCharType="end"/>
            </w:r>
          </w:p>
        </w:tc>
        <w:tc>
          <w:tcPr>
            <w:tcW w:w="1692"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在建工程</w:t>
            </w:r>
          </w:p>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3 \* GB3 \* MERGEFORMAT </w:instrText>
            </w:r>
            <w:r>
              <w:rPr>
                <w:rFonts w:ascii="Times New Roman" w:eastAsia="黑体"/>
                <w:snapToGrid w:val="0"/>
                <w:spacing w:val="-6"/>
                <w:kern w:val="21"/>
                <w:szCs w:val="21"/>
              </w:rPr>
              <w:fldChar w:fldCharType="separate"/>
            </w:r>
            <w:r>
              <w:rPr>
                <w:rFonts w:ascii="Times New Roman" w:eastAsia="黑体"/>
                <w:kern w:val="2"/>
                <w:szCs w:val="21"/>
              </w:rPr>
              <w:t>③</w:t>
            </w:r>
            <w:r>
              <w:rPr>
                <w:rFonts w:ascii="Times New Roman" w:eastAsia="黑体"/>
                <w:snapToGrid w:val="0"/>
                <w:spacing w:val="-6"/>
                <w:kern w:val="21"/>
                <w:szCs w:val="21"/>
              </w:rPr>
              <w:fldChar w:fldCharType="end"/>
            </w:r>
          </w:p>
        </w:tc>
        <w:tc>
          <w:tcPr>
            <w:tcW w:w="1551"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hint="eastAsia" w:ascii="Times New Roman" w:eastAsia="黑体"/>
                <w:snapToGrid w:val="0"/>
                <w:spacing w:val="-6"/>
                <w:kern w:val="21"/>
                <w:szCs w:val="21"/>
                <w:lang w:eastAsia="zh-CN"/>
              </w:rPr>
            </w:pPr>
            <w:r>
              <w:rPr>
                <w:rFonts w:hint="eastAsia" w:ascii="Times New Roman" w:eastAsia="黑体"/>
                <w:snapToGrid w:val="0"/>
                <w:spacing w:val="-6"/>
                <w:kern w:val="21"/>
                <w:szCs w:val="21"/>
                <w:lang w:eastAsia="zh-CN"/>
              </w:rPr>
              <w:t>项目</w:t>
            </w:r>
          </w:p>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排放量（固体废物产生量）</w:t>
            </w: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4 \* GB3 \* MERGEFORMAT </w:instrText>
            </w:r>
            <w:r>
              <w:rPr>
                <w:rFonts w:ascii="Times New Roman" w:eastAsia="黑体"/>
                <w:snapToGrid w:val="0"/>
                <w:spacing w:val="-6"/>
                <w:kern w:val="21"/>
                <w:szCs w:val="21"/>
              </w:rPr>
              <w:fldChar w:fldCharType="separate"/>
            </w:r>
            <w:r>
              <w:rPr>
                <w:rFonts w:ascii="Times New Roman" w:eastAsia="黑体"/>
                <w:kern w:val="2"/>
                <w:szCs w:val="21"/>
              </w:rPr>
              <w:t>④</w:t>
            </w:r>
            <w:r>
              <w:rPr>
                <w:rFonts w:ascii="Times New Roman" w:eastAsia="黑体"/>
                <w:snapToGrid w:val="0"/>
                <w:spacing w:val="-6"/>
                <w:kern w:val="21"/>
                <w:szCs w:val="21"/>
              </w:rPr>
              <w:fldChar w:fldCharType="end"/>
            </w:r>
          </w:p>
        </w:tc>
        <w:tc>
          <w:tcPr>
            <w:tcW w:w="1411"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以新带老削减量</w:t>
            </w:r>
          </w:p>
          <w:p>
            <w:pPr>
              <w:pStyle w:val="57"/>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（新建项目不填）</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5 \* GB3 \* MERGEFORMAT </w:instrText>
            </w:r>
            <w:r>
              <w:rPr>
                <w:rFonts w:ascii="Times New Roman" w:eastAsia="黑体"/>
                <w:snapToGrid w:val="0"/>
                <w:spacing w:val="-16"/>
                <w:kern w:val="21"/>
                <w:szCs w:val="21"/>
              </w:rPr>
              <w:fldChar w:fldCharType="separate"/>
            </w:r>
            <w:r>
              <w:rPr>
                <w:rFonts w:ascii="Times New Roman" w:eastAsia="黑体"/>
                <w:kern w:val="2"/>
                <w:szCs w:val="21"/>
              </w:rPr>
              <w:t>⑤</w:t>
            </w:r>
            <w:r>
              <w:rPr>
                <w:rFonts w:ascii="Times New Roman" w:eastAsia="黑体"/>
                <w:snapToGrid w:val="0"/>
                <w:spacing w:val="-16"/>
                <w:kern w:val="21"/>
                <w:szCs w:val="21"/>
              </w:rPr>
              <w:fldChar w:fldCharType="end"/>
            </w:r>
          </w:p>
        </w:tc>
        <w:tc>
          <w:tcPr>
            <w:tcW w:w="1532"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16"/>
                <w:kern w:val="21"/>
                <w:szCs w:val="21"/>
              </w:rPr>
            </w:pPr>
            <w:r>
              <w:rPr>
                <w:rFonts w:hint="eastAsia" w:ascii="Times New Roman" w:eastAsia="黑体"/>
                <w:snapToGrid w:val="0"/>
                <w:spacing w:val="-16"/>
                <w:kern w:val="21"/>
                <w:szCs w:val="21"/>
                <w:lang w:eastAsia="zh-CN"/>
              </w:rPr>
              <w:t>项目</w:t>
            </w:r>
            <w:r>
              <w:rPr>
                <w:rFonts w:ascii="Times New Roman" w:eastAsia="黑体"/>
                <w:snapToGrid w:val="0"/>
                <w:spacing w:val="-16"/>
                <w:kern w:val="21"/>
                <w:szCs w:val="21"/>
              </w:rPr>
              <w:t>建成后</w:t>
            </w:r>
          </w:p>
          <w:p>
            <w:pPr>
              <w:pStyle w:val="57"/>
              <w:spacing w:beforeLines="0" w:afterLines="0" w:line="240" w:lineRule="auto"/>
              <w:rPr>
                <w:rFonts w:ascii="Times New Roman" w:eastAsia="黑体"/>
                <w:snapToGrid w:val="0"/>
                <w:spacing w:val="-16"/>
                <w:kern w:val="21"/>
                <w:szCs w:val="21"/>
              </w:rPr>
            </w:pPr>
            <w:r>
              <w:rPr>
                <w:rFonts w:ascii="Times New Roman" w:eastAsia="黑体"/>
                <w:snapToGrid w:val="0"/>
                <w:spacing w:val="-16"/>
                <w:kern w:val="21"/>
                <w:szCs w:val="21"/>
              </w:rPr>
              <w:t>全厂排放量（固体废物产生量）</w:t>
            </w:r>
            <w:r>
              <w:rPr>
                <w:rFonts w:ascii="Times New Roman" w:eastAsia="黑体"/>
                <w:snapToGrid w:val="0"/>
                <w:spacing w:val="-16"/>
                <w:kern w:val="21"/>
                <w:szCs w:val="21"/>
              </w:rPr>
              <w:fldChar w:fldCharType="begin"/>
            </w:r>
            <w:r>
              <w:rPr>
                <w:rFonts w:ascii="Times New Roman" w:eastAsia="黑体"/>
                <w:snapToGrid w:val="0"/>
                <w:spacing w:val="-16"/>
                <w:kern w:val="21"/>
                <w:szCs w:val="21"/>
              </w:rPr>
              <w:instrText xml:space="preserve"> = 6 \* GB3 \* MERGEFORMAT </w:instrText>
            </w:r>
            <w:r>
              <w:rPr>
                <w:rFonts w:ascii="Times New Roman" w:eastAsia="黑体"/>
                <w:snapToGrid w:val="0"/>
                <w:spacing w:val="-16"/>
                <w:kern w:val="21"/>
                <w:szCs w:val="21"/>
              </w:rPr>
              <w:fldChar w:fldCharType="separate"/>
            </w:r>
            <w:r>
              <w:rPr>
                <w:rFonts w:ascii="Times New Roman" w:eastAsia="黑体"/>
                <w:kern w:val="2"/>
                <w:szCs w:val="21"/>
              </w:rPr>
              <w:t>⑥</w:t>
            </w:r>
            <w:r>
              <w:rPr>
                <w:rFonts w:ascii="Times New Roman" w:eastAsia="黑体"/>
                <w:snapToGrid w:val="0"/>
                <w:spacing w:val="-16"/>
                <w:kern w:val="21"/>
                <w:szCs w:val="21"/>
              </w:rPr>
              <w:fldChar w:fldCharType="end"/>
            </w:r>
          </w:p>
        </w:tc>
        <w:tc>
          <w:tcPr>
            <w:tcW w:w="1580" w:type="dxa"/>
            <w:tcBorders>
              <w:top w:val="single" w:color="auto" w:sz="8" w:space="0"/>
              <w:bottom w:val="single" w:color="auto" w:sz="4" w:space="0"/>
            </w:tcBorders>
            <w:tcMar>
              <w:left w:w="28" w:type="dxa"/>
              <w:right w:w="28" w:type="dxa"/>
            </w:tcMar>
            <w:vAlign w:val="center"/>
          </w:tcPr>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t>变化量</w:t>
            </w:r>
          </w:p>
          <w:p>
            <w:pPr>
              <w:pStyle w:val="57"/>
              <w:spacing w:beforeLines="0" w:afterLines="0" w:line="240" w:lineRule="auto"/>
              <w:rPr>
                <w:rFonts w:ascii="Times New Roman" w:eastAsia="黑体"/>
                <w:snapToGrid w:val="0"/>
                <w:spacing w:val="-6"/>
                <w:kern w:val="21"/>
                <w:szCs w:val="21"/>
              </w:rPr>
            </w:pPr>
            <w:r>
              <w:rPr>
                <w:rFonts w:ascii="Times New Roman" w:eastAsia="黑体"/>
                <w:snapToGrid w:val="0"/>
                <w:spacing w:val="-6"/>
                <w:kern w:val="21"/>
                <w:szCs w:val="21"/>
              </w:rPr>
              <w:fldChar w:fldCharType="begin"/>
            </w:r>
            <w:r>
              <w:rPr>
                <w:rFonts w:ascii="Times New Roman" w:eastAsia="黑体"/>
                <w:snapToGrid w:val="0"/>
                <w:spacing w:val="-6"/>
                <w:kern w:val="21"/>
                <w:szCs w:val="21"/>
              </w:rPr>
              <w:instrText xml:space="preserve"> = 7 \* GB3 \* MERGEFORMAT </w:instrText>
            </w:r>
            <w:r>
              <w:rPr>
                <w:rFonts w:ascii="Times New Roman" w:eastAsia="黑体"/>
                <w:snapToGrid w:val="0"/>
                <w:spacing w:val="-6"/>
                <w:kern w:val="21"/>
                <w:szCs w:val="21"/>
              </w:rPr>
              <w:fldChar w:fldCharType="separate"/>
            </w:r>
            <w:r>
              <w:rPr>
                <w:rFonts w:ascii="Times New Roman" w:eastAsia="黑体"/>
                <w:kern w:val="2"/>
                <w:szCs w:val="21"/>
              </w:rPr>
              <w:t>⑦</w:t>
            </w:r>
            <w:r>
              <w:rPr>
                <w:rFonts w:ascii="Times New Roman" w:eastAsia="黑体"/>
                <w:snapToGrid w:val="0"/>
                <w:spacing w:val="-6"/>
                <w:kern w:val="21"/>
                <w:szCs w:val="21"/>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restart"/>
            <w:tcBorders>
              <w:top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废气</w:t>
            </w:r>
          </w:p>
        </w:tc>
        <w:tc>
          <w:tcPr>
            <w:tcW w:w="2016"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颗粒物</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0.093t/a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0.093t/a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非甲烷总烃</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0.072t/a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0.072t/a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SO</w:t>
            </w:r>
            <w:r>
              <w:rPr>
                <w:rFonts w:hint="eastAsia" w:ascii="Times New Roman"/>
                <w:snapToGrid w:val="0"/>
                <w:kern w:val="21"/>
                <w:szCs w:val="21"/>
                <w:vertAlign w:val="subscript"/>
              </w:rPr>
              <w:t>2</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0.0003t/a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0.0003t/a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tcBorders>
              <w:bottom w:val="single" w:color="auto" w:sz="4" w:space="0"/>
            </w:tcBorders>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NO</w:t>
            </w:r>
            <w:r>
              <w:rPr>
                <w:rFonts w:hint="eastAsia" w:ascii="Times New Roman"/>
                <w:snapToGrid w:val="0"/>
                <w:kern w:val="21"/>
                <w:szCs w:val="21"/>
                <w:vertAlign w:val="subscript"/>
              </w:rPr>
              <w:t>X</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0.306t/a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0.306t/a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tcBorders>
              <w:top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废水</w:t>
            </w:r>
          </w:p>
        </w:tc>
        <w:tc>
          <w:tcPr>
            <w:tcW w:w="2016"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生活废水</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restart"/>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一般</w:t>
            </w:r>
          </w:p>
          <w:p>
            <w:pPr>
              <w:pStyle w:val="57"/>
              <w:spacing w:beforeLines="0" w:afterLines="0" w:line="240" w:lineRule="auto"/>
              <w:rPr>
                <w:rFonts w:ascii="Times New Roman"/>
                <w:snapToGrid w:val="0"/>
                <w:kern w:val="21"/>
                <w:szCs w:val="21"/>
              </w:rPr>
            </w:pPr>
            <w:r>
              <w:rPr>
                <w:rFonts w:ascii="Times New Roman"/>
                <w:snapToGrid w:val="0"/>
                <w:kern w:val="21"/>
                <w:szCs w:val="21"/>
              </w:rPr>
              <w:t>工业</w:t>
            </w:r>
          </w:p>
          <w:p>
            <w:pPr>
              <w:pStyle w:val="57"/>
              <w:spacing w:beforeLines="0" w:afterLines="0" w:line="240" w:lineRule="auto"/>
              <w:rPr>
                <w:rFonts w:ascii="Times New Roman"/>
                <w:snapToGrid w:val="0"/>
                <w:kern w:val="21"/>
                <w:szCs w:val="21"/>
              </w:rPr>
            </w:pPr>
            <w:r>
              <w:rPr>
                <w:rFonts w:ascii="Times New Roman"/>
                <w:snapToGrid w:val="0"/>
                <w:kern w:val="21"/>
                <w:szCs w:val="21"/>
              </w:rPr>
              <w:t>固体</w:t>
            </w:r>
          </w:p>
          <w:p>
            <w:pPr>
              <w:pStyle w:val="57"/>
              <w:spacing w:beforeLines="0" w:afterLines="0" w:line="240" w:lineRule="auto"/>
              <w:rPr>
                <w:rFonts w:ascii="Times New Roman"/>
                <w:snapToGrid w:val="0"/>
                <w:kern w:val="21"/>
                <w:szCs w:val="21"/>
              </w:rPr>
            </w:pPr>
            <w:r>
              <w:rPr>
                <w:rFonts w:ascii="Times New Roman"/>
                <w:snapToGrid w:val="0"/>
                <w:kern w:val="21"/>
                <w:szCs w:val="21"/>
              </w:rPr>
              <w:t>废物</w:t>
            </w:r>
          </w:p>
        </w:tc>
        <w:tc>
          <w:tcPr>
            <w:tcW w:w="2016" w:type="dxa"/>
            <w:tcBorders>
              <w:top w:val="single" w:color="auto" w:sz="4" w:space="0"/>
              <w:bottom w:val="single" w:color="auto" w:sz="4" w:space="0"/>
            </w:tcBorders>
            <w:vAlign w:val="center"/>
          </w:tcPr>
          <w:p>
            <w:pPr>
              <w:adjustRightInd w:val="0"/>
              <w:snapToGrid w:val="0"/>
              <w:jc w:val="center"/>
              <w:rPr>
                <w:snapToGrid w:val="0"/>
                <w:kern w:val="21"/>
                <w:szCs w:val="21"/>
              </w:rPr>
            </w:pPr>
            <w:r>
              <w:rPr>
                <w:rFonts w:hint="eastAsia"/>
                <w:snapToGrid w:val="0"/>
                <w:kern w:val="21"/>
                <w:szCs w:val="21"/>
              </w:rPr>
              <w:t>生活垃圾</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6t/a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6t/a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t>废边角料</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1.42t/a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1.42t/a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rPr>
                <w:rFonts w:hint="eastAsia"/>
              </w:rPr>
              <w:t>废包装材料</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0.5t/a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0.5t/a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rPr>
                <w:rFonts w:hint="eastAsia"/>
              </w:rPr>
              <w:t>废木纹转印纸</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0.01t/a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0.01t/a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rPr>
                <w:rFonts w:hint="eastAsia"/>
              </w:rPr>
              <w:t>废塑粉</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0.41t/a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0.41t/a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rPr>
                <w:rFonts w:hint="eastAsia"/>
              </w:rPr>
              <w:t>废渗透膜</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0.02t/a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0.02t/a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rPr>
                <w:rFonts w:hint="eastAsia"/>
              </w:rPr>
              <w:t>废树脂</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0.02t/a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0.02t/a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restart"/>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危险废物</w:t>
            </w:r>
          </w:p>
        </w:tc>
        <w:tc>
          <w:tcPr>
            <w:tcW w:w="2016" w:type="dxa"/>
            <w:tcBorders>
              <w:top w:val="single" w:color="auto" w:sz="4" w:space="0"/>
              <w:bottom w:val="single" w:color="auto" w:sz="4" w:space="0"/>
            </w:tcBorders>
            <w:vAlign w:val="center"/>
          </w:tcPr>
          <w:p>
            <w:pPr>
              <w:adjustRightInd w:val="0"/>
              <w:snapToGrid w:val="0"/>
              <w:jc w:val="center"/>
            </w:pPr>
            <w:r>
              <w:t>废机油</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r>
              <w:rPr>
                <w:rFonts w:hint="eastAsia" w:ascii="Times New Roman"/>
                <w:snapToGrid w:val="0"/>
                <w:kern w:val="21"/>
                <w:szCs w:val="21"/>
              </w:rPr>
              <w:t>05t/a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r>
              <w:rPr>
                <w:rFonts w:hint="eastAsia" w:ascii="Times New Roman"/>
                <w:snapToGrid w:val="0"/>
                <w:kern w:val="21"/>
                <w:szCs w:val="21"/>
              </w:rPr>
              <w:t>05t/a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t>废</w:t>
            </w:r>
            <w:r>
              <w:rPr>
                <w:rFonts w:hint="eastAsia"/>
              </w:rPr>
              <w:t>液压</w:t>
            </w:r>
            <w:r>
              <w:t>油</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r>
              <w:rPr>
                <w:rFonts w:hint="eastAsia" w:ascii="Times New Roman"/>
                <w:snapToGrid w:val="0"/>
                <w:kern w:val="21"/>
                <w:szCs w:val="21"/>
              </w:rPr>
              <w:t>02t/a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w:t>
            </w:r>
            <w:r>
              <w:rPr>
                <w:rFonts w:hint="eastAsia" w:ascii="Times New Roman"/>
                <w:snapToGrid w:val="0"/>
                <w:kern w:val="21"/>
                <w:szCs w:val="21"/>
              </w:rPr>
              <w:t>02t/a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vAlign w:val="center"/>
          </w:tcPr>
          <w:p>
            <w:pPr>
              <w:pStyle w:val="57"/>
              <w:spacing w:beforeLines="0" w:afterLines="0" w:line="240" w:lineRule="auto"/>
              <w:rPr>
                <w:rFonts w:ascii="Times New Roman"/>
                <w:snapToGrid w:val="0"/>
                <w:kern w:val="21"/>
                <w:szCs w:val="21"/>
              </w:rPr>
            </w:pPr>
          </w:p>
        </w:tc>
        <w:tc>
          <w:tcPr>
            <w:tcW w:w="2016" w:type="dxa"/>
            <w:tcBorders>
              <w:top w:val="single" w:color="auto" w:sz="4" w:space="0"/>
              <w:bottom w:val="single" w:color="auto" w:sz="4" w:space="0"/>
            </w:tcBorders>
            <w:vAlign w:val="center"/>
          </w:tcPr>
          <w:p>
            <w:pPr>
              <w:adjustRightInd w:val="0"/>
              <w:snapToGrid w:val="0"/>
              <w:jc w:val="center"/>
            </w:pPr>
            <w:r>
              <w:t>含油</w:t>
            </w:r>
            <w:r>
              <w:rPr>
                <w:rFonts w:hint="eastAsia"/>
              </w:rPr>
              <w:t>抹布</w:t>
            </w:r>
            <w:r>
              <w:t>、手套</w:t>
            </w:r>
          </w:p>
        </w:tc>
        <w:tc>
          <w:tcPr>
            <w:tcW w:w="166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0.0</w:t>
            </w:r>
            <w:r>
              <w:rPr>
                <w:rFonts w:hint="eastAsia" w:ascii="Times New Roman"/>
                <w:snapToGrid w:val="0"/>
                <w:kern w:val="21"/>
                <w:szCs w:val="21"/>
              </w:rPr>
              <w:t>2t/a</w:t>
            </w:r>
          </w:p>
        </w:tc>
        <w:tc>
          <w:tcPr>
            <w:tcW w:w="1411"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ascii="Times New Roman"/>
                <w:snapToGrid w:val="0"/>
                <w:kern w:val="21"/>
                <w:szCs w:val="21"/>
              </w:rPr>
              <w:t>0.0</w:t>
            </w:r>
            <w:r>
              <w:rPr>
                <w:rFonts w:hint="eastAsia" w:ascii="Times New Roman"/>
                <w:snapToGrid w:val="0"/>
                <w:kern w:val="21"/>
                <w:szCs w:val="21"/>
              </w:rPr>
              <w:t>2t/a</w:t>
            </w:r>
          </w:p>
        </w:tc>
        <w:tc>
          <w:tcPr>
            <w:tcW w:w="1580" w:type="dxa"/>
            <w:tcBorders>
              <w:top w:val="single" w:color="auto" w:sz="4" w:space="0"/>
              <w:bottom w:val="single" w:color="auto" w:sz="4" w:space="0"/>
            </w:tcBorders>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tcPr>
          <w:p>
            <w:pPr>
              <w:pStyle w:val="57"/>
              <w:spacing w:beforeLines="0" w:afterLines="0" w:line="240" w:lineRule="auto"/>
              <w:rPr>
                <w:rFonts w:ascii="Times New Roman"/>
                <w:snapToGrid w:val="0"/>
                <w:kern w:val="21"/>
                <w:szCs w:val="21"/>
              </w:rPr>
            </w:pPr>
          </w:p>
        </w:tc>
        <w:tc>
          <w:tcPr>
            <w:tcW w:w="2016" w:type="dxa"/>
            <w:vAlign w:val="center"/>
          </w:tcPr>
          <w:p>
            <w:pPr>
              <w:adjustRightInd w:val="0"/>
              <w:snapToGrid w:val="0"/>
              <w:jc w:val="center"/>
            </w:pPr>
            <w:r>
              <w:rPr>
                <w:rFonts w:hint="eastAsia"/>
              </w:rPr>
              <w:t>废活性炭</w:t>
            </w:r>
          </w:p>
        </w:tc>
        <w:tc>
          <w:tcPr>
            <w:tcW w:w="1662"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2.108t/a</w:t>
            </w:r>
          </w:p>
        </w:tc>
        <w:tc>
          <w:tcPr>
            <w:tcW w:w="1411"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2.108t/a</w:t>
            </w:r>
          </w:p>
        </w:tc>
        <w:tc>
          <w:tcPr>
            <w:tcW w:w="1580"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tcPr>
          <w:p>
            <w:pPr>
              <w:pStyle w:val="57"/>
              <w:spacing w:beforeLines="0" w:afterLines="0" w:line="240" w:lineRule="auto"/>
              <w:rPr>
                <w:rFonts w:ascii="Times New Roman"/>
                <w:snapToGrid w:val="0"/>
                <w:kern w:val="21"/>
                <w:szCs w:val="21"/>
              </w:rPr>
            </w:pPr>
          </w:p>
        </w:tc>
        <w:tc>
          <w:tcPr>
            <w:tcW w:w="2016" w:type="dxa"/>
            <w:vAlign w:val="center"/>
          </w:tcPr>
          <w:p>
            <w:pPr>
              <w:adjustRightInd w:val="0"/>
              <w:snapToGrid w:val="0"/>
              <w:jc w:val="center"/>
            </w:pPr>
            <w:r>
              <w:rPr>
                <w:rFonts w:hint="eastAsia"/>
              </w:rPr>
              <w:t>废吸附棉</w:t>
            </w:r>
          </w:p>
        </w:tc>
        <w:tc>
          <w:tcPr>
            <w:tcW w:w="1662"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vAlign w:val="center"/>
          </w:tcPr>
          <w:p>
            <w:pPr>
              <w:pStyle w:val="57"/>
              <w:spacing w:beforeLines="0" w:afterLines="0" w:line="240" w:lineRule="auto"/>
              <w:rPr>
                <w:rFonts w:ascii="Times New Roman"/>
                <w:snapToGrid w:val="0"/>
                <w:kern w:val="21"/>
                <w:szCs w:val="21"/>
                <w:highlight w:val="yellow"/>
              </w:rPr>
            </w:pPr>
            <w:r>
              <w:rPr>
                <w:rFonts w:hint="eastAsia" w:ascii="Times New Roman"/>
                <w:snapToGrid w:val="0"/>
                <w:kern w:val="21"/>
                <w:szCs w:val="21"/>
              </w:rPr>
              <w:t>0.008t/a</w:t>
            </w:r>
          </w:p>
        </w:tc>
        <w:tc>
          <w:tcPr>
            <w:tcW w:w="1411"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0.008t/a</w:t>
            </w:r>
          </w:p>
        </w:tc>
        <w:tc>
          <w:tcPr>
            <w:tcW w:w="1580"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tcPr>
          <w:p>
            <w:pPr>
              <w:pStyle w:val="57"/>
              <w:spacing w:beforeLines="0" w:afterLines="0" w:line="240" w:lineRule="auto"/>
              <w:rPr>
                <w:rFonts w:ascii="Times New Roman"/>
                <w:snapToGrid w:val="0"/>
                <w:kern w:val="21"/>
                <w:szCs w:val="21"/>
              </w:rPr>
            </w:pPr>
          </w:p>
        </w:tc>
        <w:tc>
          <w:tcPr>
            <w:tcW w:w="2016" w:type="dxa"/>
            <w:vAlign w:val="center"/>
          </w:tcPr>
          <w:p>
            <w:pPr>
              <w:adjustRightInd w:val="0"/>
              <w:snapToGrid w:val="0"/>
              <w:jc w:val="center"/>
            </w:pPr>
            <w:r>
              <w:rPr>
                <w:rFonts w:hint="eastAsia"/>
                <w:szCs w:val="21"/>
              </w:rPr>
              <w:t>泥饼及废渣</w:t>
            </w:r>
          </w:p>
        </w:tc>
        <w:tc>
          <w:tcPr>
            <w:tcW w:w="1662"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269"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692"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c>
          <w:tcPr>
            <w:tcW w:w="1551" w:type="dxa"/>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12.5t/a</w:t>
            </w:r>
          </w:p>
        </w:tc>
        <w:tc>
          <w:tcPr>
            <w:tcW w:w="1411"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w:t>
            </w:r>
          </w:p>
        </w:tc>
        <w:tc>
          <w:tcPr>
            <w:tcW w:w="1532" w:type="dxa"/>
            <w:vAlign w:val="center"/>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12.5t/a</w:t>
            </w:r>
          </w:p>
        </w:tc>
        <w:tc>
          <w:tcPr>
            <w:tcW w:w="1580" w:type="dxa"/>
          </w:tcPr>
          <w:p>
            <w:pPr>
              <w:pStyle w:val="57"/>
              <w:spacing w:beforeLines="0" w:afterLines="0" w:line="240" w:lineRule="auto"/>
              <w:rPr>
                <w:rFonts w:ascii="Times New Roman"/>
                <w:snapToGrid w:val="0"/>
                <w:kern w:val="21"/>
                <w:szCs w:val="21"/>
              </w:rPr>
            </w:pPr>
            <w:r>
              <w:rPr>
                <w:rFonts w:hint="eastAsia" w:ascii="Times New Roman"/>
                <w:snapToGrid w:val="0"/>
                <w:kern w:val="21"/>
                <w:szCs w:val="21"/>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002" w:type="dxa"/>
            <w:vMerge w:val="continue"/>
          </w:tcPr>
          <w:p>
            <w:pPr>
              <w:pStyle w:val="57"/>
              <w:spacing w:beforeLines="0" w:afterLines="0" w:line="240" w:lineRule="auto"/>
              <w:rPr>
                <w:rFonts w:ascii="Times New Roman"/>
                <w:snapToGrid w:val="0"/>
                <w:kern w:val="21"/>
                <w:szCs w:val="21"/>
              </w:rPr>
            </w:pPr>
          </w:p>
        </w:tc>
        <w:tc>
          <w:tcPr>
            <w:tcW w:w="2016" w:type="dxa"/>
            <w:vAlign w:val="center"/>
          </w:tcPr>
          <w:p>
            <w:pPr>
              <w:adjustRightInd w:val="0"/>
              <w:snapToGrid w:val="0"/>
              <w:jc w:val="center"/>
              <w:rPr>
                <w:rFonts w:hint="default" w:eastAsia="宋体"/>
                <w:szCs w:val="21"/>
                <w:lang w:val="en-US" w:eastAsia="zh-CN"/>
              </w:rPr>
            </w:pPr>
            <w:r>
              <w:rPr>
                <w:rFonts w:hint="eastAsia"/>
                <w:szCs w:val="21"/>
                <w:lang w:val="en-US" w:eastAsia="zh-CN"/>
              </w:rPr>
              <w:t>铝材便面处理废液</w:t>
            </w:r>
          </w:p>
        </w:tc>
        <w:tc>
          <w:tcPr>
            <w:tcW w:w="1662" w:type="dxa"/>
          </w:tcPr>
          <w:p>
            <w:pPr>
              <w:pStyle w:val="57"/>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w:t>
            </w:r>
          </w:p>
        </w:tc>
        <w:tc>
          <w:tcPr>
            <w:tcW w:w="1269" w:type="dxa"/>
          </w:tcPr>
          <w:p>
            <w:pPr>
              <w:pStyle w:val="57"/>
              <w:spacing w:beforeLines="0" w:afterLines="0" w:line="240" w:lineRule="auto"/>
              <w:rPr>
                <w:rFonts w:hint="eastAsia" w:ascii="Times New Roman" w:eastAsia="宋体"/>
                <w:snapToGrid w:val="0"/>
                <w:kern w:val="21"/>
                <w:szCs w:val="21"/>
                <w:lang w:val="en-US" w:eastAsia="zh-CN"/>
              </w:rPr>
            </w:pPr>
            <w:r>
              <w:rPr>
                <w:rFonts w:hint="eastAsia" w:ascii="Times New Roman"/>
                <w:snapToGrid w:val="0"/>
                <w:kern w:val="21"/>
                <w:szCs w:val="21"/>
                <w:lang w:val="en-US" w:eastAsia="zh-CN"/>
              </w:rPr>
              <w:t>0</w:t>
            </w:r>
          </w:p>
        </w:tc>
        <w:tc>
          <w:tcPr>
            <w:tcW w:w="1692" w:type="dxa"/>
          </w:tcPr>
          <w:p>
            <w:pPr>
              <w:pStyle w:val="57"/>
              <w:spacing w:beforeLines="0" w:afterLines="0" w:line="240" w:lineRule="auto"/>
              <w:rPr>
                <w:rFonts w:hint="eastAsia" w:ascii="Times New Roman" w:eastAsia="宋体"/>
                <w:snapToGrid w:val="0"/>
                <w:kern w:val="21"/>
                <w:szCs w:val="21"/>
                <w:lang w:val="en-US" w:eastAsia="zh-CN"/>
              </w:rPr>
            </w:pPr>
            <w:r>
              <w:rPr>
                <w:rFonts w:hint="eastAsia" w:ascii="Times New Roman"/>
                <w:snapToGrid w:val="0"/>
                <w:kern w:val="21"/>
                <w:szCs w:val="21"/>
                <w:lang w:val="en-US" w:eastAsia="zh-CN"/>
              </w:rPr>
              <w:t>0</w:t>
            </w:r>
          </w:p>
        </w:tc>
        <w:tc>
          <w:tcPr>
            <w:tcW w:w="1551" w:type="dxa"/>
            <w:vAlign w:val="center"/>
          </w:tcPr>
          <w:p>
            <w:pPr>
              <w:pStyle w:val="57"/>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0.18t/a</w:t>
            </w:r>
          </w:p>
        </w:tc>
        <w:tc>
          <w:tcPr>
            <w:tcW w:w="1411" w:type="dxa"/>
          </w:tcPr>
          <w:p>
            <w:pPr>
              <w:pStyle w:val="57"/>
              <w:spacing w:beforeLines="0" w:afterLines="0" w:line="240" w:lineRule="auto"/>
              <w:rPr>
                <w:rFonts w:hint="eastAsia" w:ascii="Times New Roman" w:eastAsia="宋体"/>
                <w:snapToGrid w:val="0"/>
                <w:kern w:val="21"/>
                <w:szCs w:val="21"/>
                <w:lang w:val="en-US" w:eastAsia="zh-CN"/>
              </w:rPr>
            </w:pPr>
            <w:r>
              <w:rPr>
                <w:rFonts w:hint="eastAsia" w:ascii="Times New Roman"/>
                <w:snapToGrid w:val="0"/>
                <w:kern w:val="21"/>
                <w:szCs w:val="21"/>
                <w:lang w:val="en-US" w:eastAsia="zh-CN"/>
              </w:rPr>
              <w:t>/</w:t>
            </w:r>
          </w:p>
        </w:tc>
        <w:tc>
          <w:tcPr>
            <w:tcW w:w="1532" w:type="dxa"/>
            <w:vAlign w:val="center"/>
          </w:tcPr>
          <w:p>
            <w:pPr>
              <w:pStyle w:val="57"/>
              <w:spacing w:beforeLines="0" w:afterLines="0" w:line="240" w:lineRule="auto"/>
              <w:rPr>
                <w:rFonts w:hint="eastAsia" w:ascii="Times New Roman"/>
                <w:snapToGrid w:val="0"/>
                <w:kern w:val="21"/>
                <w:szCs w:val="21"/>
              </w:rPr>
            </w:pPr>
            <w:r>
              <w:rPr>
                <w:rFonts w:hint="eastAsia" w:ascii="Times New Roman"/>
                <w:snapToGrid w:val="0"/>
                <w:kern w:val="21"/>
                <w:szCs w:val="21"/>
                <w:lang w:val="en-US" w:eastAsia="zh-CN"/>
              </w:rPr>
              <w:t>0.18t/a</w:t>
            </w:r>
          </w:p>
        </w:tc>
        <w:tc>
          <w:tcPr>
            <w:tcW w:w="1580" w:type="dxa"/>
          </w:tcPr>
          <w:p>
            <w:pPr>
              <w:pStyle w:val="57"/>
              <w:spacing w:beforeLines="0" w:afterLines="0" w:line="240" w:lineRule="auto"/>
              <w:rPr>
                <w:rFonts w:hint="default" w:ascii="Times New Roman" w:eastAsia="宋体"/>
                <w:snapToGrid w:val="0"/>
                <w:kern w:val="21"/>
                <w:szCs w:val="21"/>
                <w:lang w:val="en-US" w:eastAsia="zh-CN"/>
              </w:rPr>
            </w:pPr>
            <w:r>
              <w:rPr>
                <w:rFonts w:hint="eastAsia" w:ascii="Times New Roman"/>
                <w:snapToGrid w:val="0"/>
                <w:kern w:val="21"/>
                <w:szCs w:val="21"/>
                <w:lang w:val="en-US" w:eastAsia="zh-CN"/>
              </w:rPr>
              <w:t>0</w:t>
            </w:r>
          </w:p>
        </w:tc>
      </w:tr>
    </w:tbl>
    <w:p>
      <w:pPr>
        <w:pStyle w:val="57"/>
        <w:spacing w:before="192" w:beforeLines="80" w:after="24"/>
        <w:jc w:val="left"/>
        <w:outlineLvl w:val="0"/>
      </w:pPr>
      <w:r>
        <w:rPr>
          <w:rFonts w:ascii="Times New Roman"/>
          <w:snapToGrid w:val="0"/>
          <w:kern w:val="21"/>
          <w:szCs w:val="21"/>
        </w:rPr>
        <w:t>注：</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3 \* GB3 \* MERGEFORMAT </w:instrText>
      </w:r>
      <w:r>
        <w:rPr>
          <w:rFonts w:ascii="Times New Roman"/>
          <w:snapToGrid w:val="0"/>
          <w:spacing w:val="-6"/>
          <w:kern w:val="21"/>
          <w:szCs w:val="21"/>
        </w:rPr>
        <w:fldChar w:fldCharType="separate"/>
      </w:r>
      <w:r>
        <w:rPr>
          <w:rFonts w:ascii="Times New Roman"/>
          <w:szCs w:val="21"/>
        </w:rPr>
        <w:t>③</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4 \* GB3 \* MERGEFORMAT </w:instrText>
      </w:r>
      <w:r>
        <w:rPr>
          <w:rFonts w:ascii="Times New Roman"/>
          <w:snapToGrid w:val="0"/>
          <w:spacing w:val="-6"/>
          <w:kern w:val="21"/>
          <w:szCs w:val="21"/>
        </w:rPr>
        <w:fldChar w:fldCharType="separate"/>
      </w:r>
      <w:r>
        <w:rPr>
          <w:rFonts w:ascii="Times New Roman"/>
          <w:szCs w:val="21"/>
        </w:rPr>
        <w:t>④</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5 \* GB3 \* MERGEFORMAT </w:instrText>
      </w:r>
      <w:r>
        <w:rPr>
          <w:rFonts w:ascii="Times New Roman"/>
          <w:snapToGrid w:val="0"/>
          <w:spacing w:val="-16"/>
          <w:kern w:val="21"/>
          <w:szCs w:val="21"/>
        </w:rPr>
        <w:fldChar w:fldCharType="separate"/>
      </w:r>
      <w:r>
        <w:rPr>
          <w:rFonts w:ascii="Times New Roman"/>
          <w:szCs w:val="21"/>
        </w:rPr>
        <w:t>⑤</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7 \* GB3 \* MERGEFORMAT </w:instrText>
      </w:r>
      <w:r>
        <w:rPr>
          <w:rFonts w:ascii="Times New Roman"/>
          <w:snapToGrid w:val="0"/>
          <w:spacing w:val="-6"/>
          <w:kern w:val="21"/>
          <w:szCs w:val="21"/>
        </w:rPr>
        <w:fldChar w:fldCharType="separate"/>
      </w:r>
      <w:r>
        <w:rPr>
          <w:rFonts w:ascii="Times New Roman"/>
          <w:szCs w:val="21"/>
        </w:rPr>
        <w:t>⑦</w:t>
      </w:r>
      <w:r>
        <w:rPr>
          <w:rFonts w:ascii="Times New Roman"/>
          <w:snapToGrid w:val="0"/>
          <w:spacing w:val="-6"/>
          <w:kern w:val="21"/>
          <w:szCs w:val="21"/>
        </w:rPr>
        <w:fldChar w:fldCharType="end"/>
      </w:r>
      <w:r>
        <w:rPr>
          <w:rFonts w:ascii="Times New Roman"/>
          <w:snapToGrid w:val="0"/>
          <w:spacing w:val="-6"/>
          <w:kern w:val="21"/>
          <w:szCs w:val="21"/>
        </w:rPr>
        <w:t>=</w:t>
      </w:r>
      <w:r>
        <w:rPr>
          <w:rFonts w:ascii="Times New Roman"/>
          <w:snapToGrid w:val="0"/>
          <w:spacing w:val="-16"/>
          <w:kern w:val="21"/>
          <w:szCs w:val="21"/>
        </w:rPr>
        <w:fldChar w:fldCharType="begin"/>
      </w:r>
      <w:r>
        <w:rPr>
          <w:rFonts w:ascii="Times New Roman"/>
          <w:snapToGrid w:val="0"/>
          <w:spacing w:val="-16"/>
          <w:kern w:val="21"/>
          <w:szCs w:val="21"/>
        </w:rPr>
        <w:instrText xml:space="preserve"> = 6 \* GB3 \* MERGEFORMAT </w:instrText>
      </w:r>
      <w:r>
        <w:rPr>
          <w:rFonts w:ascii="Times New Roman"/>
          <w:snapToGrid w:val="0"/>
          <w:spacing w:val="-16"/>
          <w:kern w:val="21"/>
          <w:szCs w:val="21"/>
        </w:rPr>
        <w:fldChar w:fldCharType="separate"/>
      </w:r>
      <w:r>
        <w:rPr>
          <w:rFonts w:ascii="Times New Roman"/>
          <w:szCs w:val="21"/>
        </w:rPr>
        <w:t>⑥</w:t>
      </w:r>
      <w:r>
        <w:rPr>
          <w:rFonts w:ascii="Times New Roman"/>
          <w:snapToGrid w:val="0"/>
          <w:spacing w:val="-16"/>
          <w:kern w:val="21"/>
          <w:szCs w:val="21"/>
        </w:rPr>
        <w:fldChar w:fldCharType="end"/>
      </w:r>
      <w:r>
        <w:rPr>
          <w:rFonts w:ascii="Times New Roman"/>
          <w:snapToGrid w:val="0"/>
          <w:spacing w:val="-16"/>
          <w:kern w:val="21"/>
          <w:szCs w:val="21"/>
        </w:rPr>
        <w:t>-</w:t>
      </w:r>
      <w:r>
        <w:rPr>
          <w:rFonts w:ascii="Times New Roman"/>
          <w:snapToGrid w:val="0"/>
          <w:spacing w:val="-6"/>
          <w:kern w:val="21"/>
          <w:szCs w:val="21"/>
        </w:rPr>
        <w:fldChar w:fldCharType="begin"/>
      </w:r>
      <w:r>
        <w:rPr>
          <w:rFonts w:ascii="Times New Roman"/>
          <w:snapToGrid w:val="0"/>
          <w:spacing w:val="-6"/>
          <w:kern w:val="21"/>
          <w:szCs w:val="21"/>
        </w:rPr>
        <w:instrText xml:space="preserve"> = 1 \* GB3 \* MERGEFORMAT </w:instrText>
      </w:r>
      <w:r>
        <w:rPr>
          <w:rFonts w:ascii="Times New Roman"/>
          <w:snapToGrid w:val="0"/>
          <w:spacing w:val="-6"/>
          <w:kern w:val="21"/>
          <w:szCs w:val="21"/>
        </w:rPr>
        <w:fldChar w:fldCharType="separate"/>
      </w:r>
      <w:r>
        <w:rPr>
          <w:rFonts w:ascii="Times New Roman"/>
          <w:szCs w:val="21"/>
        </w:rPr>
        <w:t>①</w:t>
      </w:r>
      <w:r>
        <w:rPr>
          <w:rFonts w:ascii="Times New Roman"/>
          <w:snapToGrid w:val="0"/>
          <w:spacing w:val="-6"/>
          <w:kern w:val="21"/>
          <w:szCs w:val="21"/>
        </w:rPr>
        <w:fldChar w:fldCharType="end"/>
      </w:r>
    </w:p>
    <w:sectPr>
      <w:footerReference r:id="rId5" w:type="default"/>
      <w:pgSz w:w="16838" w:h="11906" w:orient="landscape"/>
      <w:pgMar w:top="1531" w:right="1701" w:bottom="1531" w:left="1701" w:header="851" w:footer="850"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51</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7"/>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360" w:firstLine="360"/>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52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FC5275"/>
    <w:multiLevelType w:val="singleLevel"/>
    <w:tmpl w:val="83FC5275"/>
    <w:lvl w:ilvl="0" w:tentative="0">
      <w:start w:val="1"/>
      <w:numFmt w:val="decimal"/>
      <w:suff w:val="nothing"/>
      <w:lvlText w:val="%1、"/>
      <w:lvlJc w:val="left"/>
    </w:lvl>
  </w:abstractNum>
  <w:abstractNum w:abstractNumId="1">
    <w:nsid w:val="B4818ADA"/>
    <w:multiLevelType w:val="singleLevel"/>
    <w:tmpl w:val="B4818ADA"/>
    <w:lvl w:ilvl="0" w:tentative="0">
      <w:start w:val="1"/>
      <w:numFmt w:val="decimal"/>
      <w:suff w:val="nothing"/>
      <w:lvlText w:val="%1、"/>
      <w:lvlJc w:val="left"/>
    </w:lvl>
  </w:abstractNum>
  <w:abstractNum w:abstractNumId="2">
    <w:nsid w:val="B7CA91E6"/>
    <w:multiLevelType w:val="singleLevel"/>
    <w:tmpl w:val="B7CA91E6"/>
    <w:lvl w:ilvl="0" w:tentative="0">
      <w:start w:val="1"/>
      <w:numFmt w:val="decimal"/>
      <w:suff w:val="nothing"/>
      <w:lvlText w:val="%1、"/>
      <w:lvlJc w:val="left"/>
    </w:lvl>
  </w:abstractNum>
  <w:abstractNum w:abstractNumId="3">
    <w:nsid w:val="C54DCC65"/>
    <w:multiLevelType w:val="singleLevel"/>
    <w:tmpl w:val="C54DCC65"/>
    <w:lvl w:ilvl="0" w:tentative="0">
      <w:start w:val="1"/>
      <w:numFmt w:val="chineseCounting"/>
      <w:suff w:val="nothing"/>
      <w:lvlText w:val="%1、"/>
      <w:lvlJc w:val="left"/>
      <w:rPr>
        <w:rFonts w:hint="eastAsia"/>
      </w:rPr>
    </w:lvl>
  </w:abstractNum>
  <w:abstractNum w:abstractNumId="4">
    <w:nsid w:val="F6FF36C0"/>
    <w:multiLevelType w:val="singleLevel"/>
    <w:tmpl w:val="F6FF36C0"/>
    <w:lvl w:ilvl="0" w:tentative="0">
      <w:start w:val="1"/>
      <w:numFmt w:val="decimal"/>
      <w:suff w:val="nothing"/>
      <w:lvlText w:val="（%1）"/>
      <w:lvlJc w:val="left"/>
    </w:lvl>
  </w:abstractNum>
  <w:abstractNum w:abstractNumId="5">
    <w:nsid w:val="1D4F5F76"/>
    <w:multiLevelType w:val="singleLevel"/>
    <w:tmpl w:val="1D4F5F76"/>
    <w:lvl w:ilvl="0" w:tentative="0">
      <w:start w:val="1"/>
      <w:numFmt w:val="decimal"/>
      <w:suff w:val="nothing"/>
      <w:lvlText w:val="%1、"/>
      <w:lvlJc w:val="left"/>
    </w:lvl>
  </w:abstractNum>
  <w:abstractNum w:abstractNumId="6">
    <w:nsid w:val="355E5A9E"/>
    <w:multiLevelType w:val="singleLevel"/>
    <w:tmpl w:val="355E5A9E"/>
    <w:lvl w:ilvl="0" w:tentative="0">
      <w:start w:val="1"/>
      <w:numFmt w:val="decimal"/>
      <w:suff w:val="nothing"/>
      <w:lvlText w:val="%1）"/>
      <w:lvlJc w:val="left"/>
    </w:lvl>
  </w:abstractNum>
  <w:abstractNum w:abstractNumId="7">
    <w:nsid w:val="5E191FDE"/>
    <w:multiLevelType w:val="singleLevel"/>
    <w:tmpl w:val="5E191FDE"/>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8">
    <w:nsid w:val="60414C57"/>
    <w:multiLevelType w:val="singleLevel"/>
    <w:tmpl w:val="60414C57"/>
    <w:lvl w:ilvl="0" w:tentative="0">
      <w:start w:val="1"/>
      <w:numFmt w:val="decimal"/>
      <w:suff w:val="nothing"/>
      <w:lvlText w:val="%1、"/>
      <w:lvlJc w:val="left"/>
    </w:lvl>
  </w:abstractNum>
  <w:abstractNum w:abstractNumId="9">
    <w:nsid w:val="6159F4AC"/>
    <w:multiLevelType w:val="singleLevel"/>
    <w:tmpl w:val="6159F4AC"/>
    <w:lvl w:ilvl="0" w:tentative="0">
      <w:start w:val="2"/>
      <w:numFmt w:val="decimal"/>
      <w:suff w:val="nothing"/>
      <w:lvlText w:val="（%1）"/>
      <w:lvlJc w:val="left"/>
    </w:lvl>
  </w:abstractNum>
  <w:abstractNum w:abstractNumId="10">
    <w:nsid w:val="76860244"/>
    <w:multiLevelType w:val="singleLevel"/>
    <w:tmpl w:val="76860244"/>
    <w:lvl w:ilvl="0" w:tentative="0">
      <w:start w:val="1"/>
      <w:numFmt w:val="decimal"/>
      <w:suff w:val="nothing"/>
      <w:lvlText w:val="%1、"/>
      <w:lvlJc w:val="left"/>
    </w:lvl>
  </w:abstractNum>
  <w:num w:numId="1">
    <w:abstractNumId w:val="7"/>
  </w:num>
  <w:num w:numId="2">
    <w:abstractNumId w:val="8"/>
  </w:num>
  <w:num w:numId="3">
    <w:abstractNumId w:val="5"/>
  </w:num>
  <w:num w:numId="4">
    <w:abstractNumId w:val="10"/>
  </w:num>
  <w:num w:numId="5">
    <w:abstractNumId w:val="0"/>
  </w:num>
  <w:num w:numId="6">
    <w:abstractNumId w:val="9"/>
  </w:num>
  <w:num w:numId="7">
    <w:abstractNumId w:val="6"/>
  </w:num>
  <w:num w:numId="8">
    <w:abstractNumId w:val="4"/>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YzUyNjk0MjY2YzgwOTRiMGI0YmFjMGM0OTEwMGUifQ=="/>
  </w:docVars>
  <w:rsids>
    <w:rsidRoot w:val="004F12FE"/>
    <w:rsid w:val="00060C9D"/>
    <w:rsid w:val="000E07D8"/>
    <w:rsid w:val="00255667"/>
    <w:rsid w:val="002571BF"/>
    <w:rsid w:val="00494FDA"/>
    <w:rsid w:val="004F12FE"/>
    <w:rsid w:val="00515996"/>
    <w:rsid w:val="005A0FB6"/>
    <w:rsid w:val="006B531A"/>
    <w:rsid w:val="006D10DD"/>
    <w:rsid w:val="00731FA6"/>
    <w:rsid w:val="0083253D"/>
    <w:rsid w:val="00857AB2"/>
    <w:rsid w:val="00895CE0"/>
    <w:rsid w:val="009A42CB"/>
    <w:rsid w:val="009F03FF"/>
    <w:rsid w:val="00BA01DA"/>
    <w:rsid w:val="00BF22BA"/>
    <w:rsid w:val="00C30EDF"/>
    <w:rsid w:val="00C95D29"/>
    <w:rsid w:val="00CB49D6"/>
    <w:rsid w:val="00D23AFF"/>
    <w:rsid w:val="00D93CA8"/>
    <w:rsid w:val="00F515C2"/>
    <w:rsid w:val="00F941FA"/>
    <w:rsid w:val="010105AF"/>
    <w:rsid w:val="010A4D62"/>
    <w:rsid w:val="010E5FA4"/>
    <w:rsid w:val="012A4E2C"/>
    <w:rsid w:val="01770AC5"/>
    <w:rsid w:val="018D2EFB"/>
    <w:rsid w:val="01AE4107"/>
    <w:rsid w:val="01B77BFD"/>
    <w:rsid w:val="01C072A2"/>
    <w:rsid w:val="01D10202"/>
    <w:rsid w:val="01D107ED"/>
    <w:rsid w:val="020E4331"/>
    <w:rsid w:val="0225279D"/>
    <w:rsid w:val="0264164B"/>
    <w:rsid w:val="02961774"/>
    <w:rsid w:val="029E7165"/>
    <w:rsid w:val="02A60385"/>
    <w:rsid w:val="02DC6C2F"/>
    <w:rsid w:val="02EC1B2D"/>
    <w:rsid w:val="030516AD"/>
    <w:rsid w:val="030C2BC0"/>
    <w:rsid w:val="03163B2C"/>
    <w:rsid w:val="03432411"/>
    <w:rsid w:val="036C34DA"/>
    <w:rsid w:val="03AA583D"/>
    <w:rsid w:val="03B81100"/>
    <w:rsid w:val="03DE79D8"/>
    <w:rsid w:val="04355EC8"/>
    <w:rsid w:val="04455AD9"/>
    <w:rsid w:val="04550FB4"/>
    <w:rsid w:val="045C11FE"/>
    <w:rsid w:val="04653F80"/>
    <w:rsid w:val="0490212F"/>
    <w:rsid w:val="04B727B4"/>
    <w:rsid w:val="04B85DDA"/>
    <w:rsid w:val="04C024BF"/>
    <w:rsid w:val="04C8548B"/>
    <w:rsid w:val="04DC11F9"/>
    <w:rsid w:val="04E073C8"/>
    <w:rsid w:val="05263B5D"/>
    <w:rsid w:val="05340A57"/>
    <w:rsid w:val="0537136D"/>
    <w:rsid w:val="05376A79"/>
    <w:rsid w:val="054933A7"/>
    <w:rsid w:val="05B24B78"/>
    <w:rsid w:val="05DE76CD"/>
    <w:rsid w:val="05E80E12"/>
    <w:rsid w:val="05F85252"/>
    <w:rsid w:val="06135E38"/>
    <w:rsid w:val="061479B5"/>
    <w:rsid w:val="061A5A74"/>
    <w:rsid w:val="063E1A5B"/>
    <w:rsid w:val="06435BBC"/>
    <w:rsid w:val="067A5F0E"/>
    <w:rsid w:val="06840F2D"/>
    <w:rsid w:val="068A07A8"/>
    <w:rsid w:val="068B1EC9"/>
    <w:rsid w:val="069A035E"/>
    <w:rsid w:val="069B431A"/>
    <w:rsid w:val="06A566CE"/>
    <w:rsid w:val="06D7329B"/>
    <w:rsid w:val="06E56408"/>
    <w:rsid w:val="07010D44"/>
    <w:rsid w:val="07093EDF"/>
    <w:rsid w:val="0744060B"/>
    <w:rsid w:val="075D636E"/>
    <w:rsid w:val="0771585B"/>
    <w:rsid w:val="077D156B"/>
    <w:rsid w:val="077D4FA7"/>
    <w:rsid w:val="07960E74"/>
    <w:rsid w:val="079D736F"/>
    <w:rsid w:val="07A91F78"/>
    <w:rsid w:val="07D20149"/>
    <w:rsid w:val="07E46B2E"/>
    <w:rsid w:val="07F12200"/>
    <w:rsid w:val="08333579"/>
    <w:rsid w:val="08440D9D"/>
    <w:rsid w:val="085E02C5"/>
    <w:rsid w:val="08847C94"/>
    <w:rsid w:val="089E6516"/>
    <w:rsid w:val="08CA47FF"/>
    <w:rsid w:val="08E64B81"/>
    <w:rsid w:val="08EB6C4F"/>
    <w:rsid w:val="091A2D75"/>
    <w:rsid w:val="09536CCA"/>
    <w:rsid w:val="09662945"/>
    <w:rsid w:val="097304D3"/>
    <w:rsid w:val="09931095"/>
    <w:rsid w:val="099A7CE0"/>
    <w:rsid w:val="09D1744E"/>
    <w:rsid w:val="0A1431BD"/>
    <w:rsid w:val="0A207936"/>
    <w:rsid w:val="0A2716CA"/>
    <w:rsid w:val="0A415880"/>
    <w:rsid w:val="0A6C14A3"/>
    <w:rsid w:val="0A8E1F88"/>
    <w:rsid w:val="0A927D61"/>
    <w:rsid w:val="0ABD1FAC"/>
    <w:rsid w:val="0AC00FFB"/>
    <w:rsid w:val="0AEC3153"/>
    <w:rsid w:val="0AF50376"/>
    <w:rsid w:val="0B051765"/>
    <w:rsid w:val="0B3A07BD"/>
    <w:rsid w:val="0B772A1C"/>
    <w:rsid w:val="0B7D4D0C"/>
    <w:rsid w:val="0BA10837"/>
    <w:rsid w:val="0BBA53AD"/>
    <w:rsid w:val="0BE153F1"/>
    <w:rsid w:val="0BF93B27"/>
    <w:rsid w:val="0BFC551E"/>
    <w:rsid w:val="0C0C2FE7"/>
    <w:rsid w:val="0C105EF1"/>
    <w:rsid w:val="0C1E5C6D"/>
    <w:rsid w:val="0C5F61DB"/>
    <w:rsid w:val="0C62458C"/>
    <w:rsid w:val="0C672172"/>
    <w:rsid w:val="0C6C00A7"/>
    <w:rsid w:val="0CA0771D"/>
    <w:rsid w:val="0CEF7536"/>
    <w:rsid w:val="0D076022"/>
    <w:rsid w:val="0D5F63B1"/>
    <w:rsid w:val="0D644522"/>
    <w:rsid w:val="0D703BC7"/>
    <w:rsid w:val="0D870F11"/>
    <w:rsid w:val="0DA155F2"/>
    <w:rsid w:val="0DB028E0"/>
    <w:rsid w:val="0DC108C7"/>
    <w:rsid w:val="0DC42165"/>
    <w:rsid w:val="0DC44C70"/>
    <w:rsid w:val="0DCB7AEB"/>
    <w:rsid w:val="0DF13998"/>
    <w:rsid w:val="0DF55F06"/>
    <w:rsid w:val="0E5042C0"/>
    <w:rsid w:val="0E604AF9"/>
    <w:rsid w:val="0E6213B5"/>
    <w:rsid w:val="0E6E3E66"/>
    <w:rsid w:val="0E7E76A1"/>
    <w:rsid w:val="0E8B56E8"/>
    <w:rsid w:val="0EDF7256"/>
    <w:rsid w:val="0EF62749"/>
    <w:rsid w:val="0F0907D1"/>
    <w:rsid w:val="0F203FFE"/>
    <w:rsid w:val="0F2A5C82"/>
    <w:rsid w:val="0F6E5FAE"/>
    <w:rsid w:val="0F7769F6"/>
    <w:rsid w:val="0F9A317D"/>
    <w:rsid w:val="0FCF46BA"/>
    <w:rsid w:val="0FED35B5"/>
    <w:rsid w:val="10355D31"/>
    <w:rsid w:val="109229B0"/>
    <w:rsid w:val="109B0E34"/>
    <w:rsid w:val="10B26CB9"/>
    <w:rsid w:val="10B40518"/>
    <w:rsid w:val="10E42E07"/>
    <w:rsid w:val="11034EDC"/>
    <w:rsid w:val="110E6872"/>
    <w:rsid w:val="113065B6"/>
    <w:rsid w:val="115B06EA"/>
    <w:rsid w:val="115E0D70"/>
    <w:rsid w:val="1194169F"/>
    <w:rsid w:val="11B91CA6"/>
    <w:rsid w:val="11C4400B"/>
    <w:rsid w:val="11DF13BB"/>
    <w:rsid w:val="11FE63C2"/>
    <w:rsid w:val="1204042C"/>
    <w:rsid w:val="12046BCA"/>
    <w:rsid w:val="12051066"/>
    <w:rsid w:val="12151760"/>
    <w:rsid w:val="121C4665"/>
    <w:rsid w:val="123440A4"/>
    <w:rsid w:val="124F369A"/>
    <w:rsid w:val="1250295E"/>
    <w:rsid w:val="125F5C2F"/>
    <w:rsid w:val="126C484B"/>
    <w:rsid w:val="127520E7"/>
    <w:rsid w:val="12763FF8"/>
    <w:rsid w:val="12861770"/>
    <w:rsid w:val="12870D8D"/>
    <w:rsid w:val="12DC24A7"/>
    <w:rsid w:val="12DF71E8"/>
    <w:rsid w:val="12EA23DE"/>
    <w:rsid w:val="12F947F5"/>
    <w:rsid w:val="12FD61BB"/>
    <w:rsid w:val="13070A90"/>
    <w:rsid w:val="131148A6"/>
    <w:rsid w:val="131E44C2"/>
    <w:rsid w:val="13545BA8"/>
    <w:rsid w:val="137D2D29"/>
    <w:rsid w:val="138E7DCE"/>
    <w:rsid w:val="139B07DA"/>
    <w:rsid w:val="13D16826"/>
    <w:rsid w:val="13FB10AA"/>
    <w:rsid w:val="14166FC6"/>
    <w:rsid w:val="1419081F"/>
    <w:rsid w:val="1419161A"/>
    <w:rsid w:val="143913CC"/>
    <w:rsid w:val="14587163"/>
    <w:rsid w:val="149842D5"/>
    <w:rsid w:val="14A3208F"/>
    <w:rsid w:val="14A57C35"/>
    <w:rsid w:val="14DE7F2A"/>
    <w:rsid w:val="14FB4498"/>
    <w:rsid w:val="15064E11"/>
    <w:rsid w:val="15202377"/>
    <w:rsid w:val="153E0FFB"/>
    <w:rsid w:val="155E02BD"/>
    <w:rsid w:val="156112F3"/>
    <w:rsid w:val="156C7521"/>
    <w:rsid w:val="159250D3"/>
    <w:rsid w:val="15A46B04"/>
    <w:rsid w:val="15AC3B53"/>
    <w:rsid w:val="15E21340"/>
    <w:rsid w:val="15FF3D3A"/>
    <w:rsid w:val="16087D58"/>
    <w:rsid w:val="160E21CF"/>
    <w:rsid w:val="1693075D"/>
    <w:rsid w:val="16A24712"/>
    <w:rsid w:val="16A83CE1"/>
    <w:rsid w:val="16CE3F93"/>
    <w:rsid w:val="16CF3368"/>
    <w:rsid w:val="16D87E3C"/>
    <w:rsid w:val="16FB2FF6"/>
    <w:rsid w:val="1706559C"/>
    <w:rsid w:val="176B56E6"/>
    <w:rsid w:val="17950649"/>
    <w:rsid w:val="17BA5FDE"/>
    <w:rsid w:val="17C840E8"/>
    <w:rsid w:val="18284594"/>
    <w:rsid w:val="185801E7"/>
    <w:rsid w:val="186E6F88"/>
    <w:rsid w:val="187C10C6"/>
    <w:rsid w:val="18813223"/>
    <w:rsid w:val="18854BCF"/>
    <w:rsid w:val="189F1997"/>
    <w:rsid w:val="18DC5832"/>
    <w:rsid w:val="18E25428"/>
    <w:rsid w:val="18E807DB"/>
    <w:rsid w:val="18EE2794"/>
    <w:rsid w:val="19102702"/>
    <w:rsid w:val="19286C35"/>
    <w:rsid w:val="19465C1A"/>
    <w:rsid w:val="194A268B"/>
    <w:rsid w:val="194D7851"/>
    <w:rsid w:val="196862FE"/>
    <w:rsid w:val="19807CE8"/>
    <w:rsid w:val="19851079"/>
    <w:rsid w:val="199D3F96"/>
    <w:rsid w:val="19A73355"/>
    <w:rsid w:val="19D8298F"/>
    <w:rsid w:val="19D903F2"/>
    <w:rsid w:val="1A0110CD"/>
    <w:rsid w:val="1A07094B"/>
    <w:rsid w:val="1A292BAE"/>
    <w:rsid w:val="1A4F2DB6"/>
    <w:rsid w:val="1A5B13F9"/>
    <w:rsid w:val="1A840EED"/>
    <w:rsid w:val="1A9C357D"/>
    <w:rsid w:val="1AA4525F"/>
    <w:rsid w:val="1ABA14EB"/>
    <w:rsid w:val="1ACD5E4E"/>
    <w:rsid w:val="1AF030B7"/>
    <w:rsid w:val="1B00656B"/>
    <w:rsid w:val="1B4B2D39"/>
    <w:rsid w:val="1B8B0F08"/>
    <w:rsid w:val="1B9D20F9"/>
    <w:rsid w:val="1BAF1D5E"/>
    <w:rsid w:val="1BC948EE"/>
    <w:rsid w:val="1BCC2910"/>
    <w:rsid w:val="1BD65D66"/>
    <w:rsid w:val="1BFC7FDD"/>
    <w:rsid w:val="1C0170FC"/>
    <w:rsid w:val="1C463390"/>
    <w:rsid w:val="1C47468D"/>
    <w:rsid w:val="1C652A75"/>
    <w:rsid w:val="1C691D84"/>
    <w:rsid w:val="1C7D3C0B"/>
    <w:rsid w:val="1C8F393E"/>
    <w:rsid w:val="1CD40925"/>
    <w:rsid w:val="1CE106E0"/>
    <w:rsid w:val="1CF163A7"/>
    <w:rsid w:val="1CF578C5"/>
    <w:rsid w:val="1D1278CA"/>
    <w:rsid w:val="1D300B7D"/>
    <w:rsid w:val="1D39197D"/>
    <w:rsid w:val="1D394BCD"/>
    <w:rsid w:val="1D4A4435"/>
    <w:rsid w:val="1D613226"/>
    <w:rsid w:val="1D703DA8"/>
    <w:rsid w:val="1D7205D3"/>
    <w:rsid w:val="1D766DE0"/>
    <w:rsid w:val="1D774D1E"/>
    <w:rsid w:val="1D872FE8"/>
    <w:rsid w:val="1D9A3C1E"/>
    <w:rsid w:val="1DAB58F7"/>
    <w:rsid w:val="1DD9210B"/>
    <w:rsid w:val="1DE56E70"/>
    <w:rsid w:val="1DE7482D"/>
    <w:rsid w:val="1DF62711"/>
    <w:rsid w:val="1DF96BDF"/>
    <w:rsid w:val="1DFE0D7B"/>
    <w:rsid w:val="1E0F2E73"/>
    <w:rsid w:val="1E1F2A3C"/>
    <w:rsid w:val="1E3C3A88"/>
    <w:rsid w:val="1E4F6593"/>
    <w:rsid w:val="1E630870"/>
    <w:rsid w:val="1E967206"/>
    <w:rsid w:val="1EAD1D4A"/>
    <w:rsid w:val="1EAF0500"/>
    <w:rsid w:val="1EC06E8A"/>
    <w:rsid w:val="1EC10726"/>
    <w:rsid w:val="1EC85F0E"/>
    <w:rsid w:val="1ECE7E87"/>
    <w:rsid w:val="1EFF438D"/>
    <w:rsid w:val="1F053C04"/>
    <w:rsid w:val="1F0C483E"/>
    <w:rsid w:val="1F1331EA"/>
    <w:rsid w:val="1F3F48E9"/>
    <w:rsid w:val="1F462428"/>
    <w:rsid w:val="1F644DA9"/>
    <w:rsid w:val="1F876D20"/>
    <w:rsid w:val="1FD2426D"/>
    <w:rsid w:val="200650A8"/>
    <w:rsid w:val="202777B8"/>
    <w:rsid w:val="20404186"/>
    <w:rsid w:val="20680CAC"/>
    <w:rsid w:val="206E71FF"/>
    <w:rsid w:val="20891857"/>
    <w:rsid w:val="209A3DB2"/>
    <w:rsid w:val="209B3BED"/>
    <w:rsid w:val="20A86EBA"/>
    <w:rsid w:val="20AD46D8"/>
    <w:rsid w:val="20AE0935"/>
    <w:rsid w:val="20C803F5"/>
    <w:rsid w:val="20E467F1"/>
    <w:rsid w:val="20F070A1"/>
    <w:rsid w:val="20F54095"/>
    <w:rsid w:val="21157BA8"/>
    <w:rsid w:val="2120725A"/>
    <w:rsid w:val="2138195F"/>
    <w:rsid w:val="21410D59"/>
    <w:rsid w:val="21693133"/>
    <w:rsid w:val="217750CC"/>
    <w:rsid w:val="21A8749F"/>
    <w:rsid w:val="221646A8"/>
    <w:rsid w:val="22394A78"/>
    <w:rsid w:val="224E5313"/>
    <w:rsid w:val="228417FD"/>
    <w:rsid w:val="22862933"/>
    <w:rsid w:val="22B82AD5"/>
    <w:rsid w:val="22D86CEC"/>
    <w:rsid w:val="22EB1EAD"/>
    <w:rsid w:val="22EE2F16"/>
    <w:rsid w:val="230B0B2E"/>
    <w:rsid w:val="23591089"/>
    <w:rsid w:val="236F60AC"/>
    <w:rsid w:val="2393117A"/>
    <w:rsid w:val="239C079E"/>
    <w:rsid w:val="23AF0C19"/>
    <w:rsid w:val="23B4085A"/>
    <w:rsid w:val="23B90020"/>
    <w:rsid w:val="23BC0B09"/>
    <w:rsid w:val="241528B5"/>
    <w:rsid w:val="24366359"/>
    <w:rsid w:val="24455956"/>
    <w:rsid w:val="2462589E"/>
    <w:rsid w:val="24874683"/>
    <w:rsid w:val="249D1561"/>
    <w:rsid w:val="24A73F1B"/>
    <w:rsid w:val="24BB0310"/>
    <w:rsid w:val="24BD33FF"/>
    <w:rsid w:val="24CA03AD"/>
    <w:rsid w:val="24CE0C94"/>
    <w:rsid w:val="24D73818"/>
    <w:rsid w:val="24E72569"/>
    <w:rsid w:val="255120D8"/>
    <w:rsid w:val="2560628C"/>
    <w:rsid w:val="25627E42"/>
    <w:rsid w:val="25763277"/>
    <w:rsid w:val="259326F1"/>
    <w:rsid w:val="25973F8F"/>
    <w:rsid w:val="25A53EF1"/>
    <w:rsid w:val="25C76809"/>
    <w:rsid w:val="260A5AF2"/>
    <w:rsid w:val="263915FF"/>
    <w:rsid w:val="264E0683"/>
    <w:rsid w:val="267A1B39"/>
    <w:rsid w:val="26811288"/>
    <w:rsid w:val="26B12DE7"/>
    <w:rsid w:val="26BE4CB2"/>
    <w:rsid w:val="26CB5CC0"/>
    <w:rsid w:val="26F01D0F"/>
    <w:rsid w:val="26F3515D"/>
    <w:rsid w:val="2706621D"/>
    <w:rsid w:val="27216A22"/>
    <w:rsid w:val="27256700"/>
    <w:rsid w:val="27265EF4"/>
    <w:rsid w:val="275A6EA3"/>
    <w:rsid w:val="27677C38"/>
    <w:rsid w:val="276E7E80"/>
    <w:rsid w:val="277A16BD"/>
    <w:rsid w:val="27A3214B"/>
    <w:rsid w:val="27B362CE"/>
    <w:rsid w:val="27C2146A"/>
    <w:rsid w:val="27C56E5D"/>
    <w:rsid w:val="27CA3468"/>
    <w:rsid w:val="27EE3A75"/>
    <w:rsid w:val="27F320CA"/>
    <w:rsid w:val="27FE084E"/>
    <w:rsid w:val="280F0111"/>
    <w:rsid w:val="281B0695"/>
    <w:rsid w:val="283F00D6"/>
    <w:rsid w:val="28652738"/>
    <w:rsid w:val="28702DE6"/>
    <w:rsid w:val="287A28E0"/>
    <w:rsid w:val="28812CD5"/>
    <w:rsid w:val="28E443F4"/>
    <w:rsid w:val="28F71E8E"/>
    <w:rsid w:val="292E52A0"/>
    <w:rsid w:val="293016EC"/>
    <w:rsid w:val="29932CBF"/>
    <w:rsid w:val="29A3455B"/>
    <w:rsid w:val="29A70519"/>
    <w:rsid w:val="29AC2778"/>
    <w:rsid w:val="29D1176F"/>
    <w:rsid w:val="29DE3459"/>
    <w:rsid w:val="29FC781F"/>
    <w:rsid w:val="2A043BBD"/>
    <w:rsid w:val="2A0B0AA8"/>
    <w:rsid w:val="2A0E172D"/>
    <w:rsid w:val="2A2D524F"/>
    <w:rsid w:val="2A367322"/>
    <w:rsid w:val="2A3940AB"/>
    <w:rsid w:val="2A3F145B"/>
    <w:rsid w:val="2A441FDB"/>
    <w:rsid w:val="2A72269F"/>
    <w:rsid w:val="2A7D570F"/>
    <w:rsid w:val="2A905451"/>
    <w:rsid w:val="2AB100F5"/>
    <w:rsid w:val="2B263EFD"/>
    <w:rsid w:val="2B2965CB"/>
    <w:rsid w:val="2B4122BF"/>
    <w:rsid w:val="2B534CC5"/>
    <w:rsid w:val="2B683050"/>
    <w:rsid w:val="2B683A81"/>
    <w:rsid w:val="2B683ACB"/>
    <w:rsid w:val="2B6E5C3C"/>
    <w:rsid w:val="2B786E15"/>
    <w:rsid w:val="2B7F6D0B"/>
    <w:rsid w:val="2BA23F90"/>
    <w:rsid w:val="2BAB7122"/>
    <w:rsid w:val="2BB502AD"/>
    <w:rsid w:val="2BDB0794"/>
    <w:rsid w:val="2BF0264B"/>
    <w:rsid w:val="2C071125"/>
    <w:rsid w:val="2C1415D4"/>
    <w:rsid w:val="2C202E69"/>
    <w:rsid w:val="2C2422F5"/>
    <w:rsid w:val="2C896411"/>
    <w:rsid w:val="2C9D1EE2"/>
    <w:rsid w:val="2CAB3C40"/>
    <w:rsid w:val="2CAD1ED4"/>
    <w:rsid w:val="2CB976AE"/>
    <w:rsid w:val="2CBA7ABE"/>
    <w:rsid w:val="2CCE16FC"/>
    <w:rsid w:val="2D0A2D3C"/>
    <w:rsid w:val="2D127270"/>
    <w:rsid w:val="2D712EE6"/>
    <w:rsid w:val="2D760FC1"/>
    <w:rsid w:val="2DAA7868"/>
    <w:rsid w:val="2DAB7E59"/>
    <w:rsid w:val="2E07614A"/>
    <w:rsid w:val="2E1F08B3"/>
    <w:rsid w:val="2E3C5DAE"/>
    <w:rsid w:val="2E42605C"/>
    <w:rsid w:val="2EC555EC"/>
    <w:rsid w:val="2EDE49DD"/>
    <w:rsid w:val="2F016153"/>
    <w:rsid w:val="2F3A598B"/>
    <w:rsid w:val="2F3F03A7"/>
    <w:rsid w:val="2F4C3A4B"/>
    <w:rsid w:val="2F521538"/>
    <w:rsid w:val="2F57478F"/>
    <w:rsid w:val="2F591D14"/>
    <w:rsid w:val="2F7D4907"/>
    <w:rsid w:val="2FA05740"/>
    <w:rsid w:val="2FA5374C"/>
    <w:rsid w:val="302C0BE0"/>
    <w:rsid w:val="3034200F"/>
    <w:rsid w:val="3046427B"/>
    <w:rsid w:val="307B44AD"/>
    <w:rsid w:val="307F4A0A"/>
    <w:rsid w:val="30835AA9"/>
    <w:rsid w:val="30AD5295"/>
    <w:rsid w:val="30B15150"/>
    <w:rsid w:val="30CA245E"/>
    <w:rsid w:val="30E00261"/>
    <w:rsid w:val="30E52ECF"/>
    <w:rsid w:val="30E94D2A"/>
    <w:rsid w:val="30EA0229"/>
    <w:rsid w:val="310D486D"/>
    <w:rsid w:val="314344BB"/>
    <w:rsid w:val="3152317C"/>
    <w:rsid w:val="31576C82"/>
    <w:rsid w:val="316657D8"/>
    <w:rsid w:val="316A1380"/>
    <w:rsid w:val="31833619"/>
    <w:rsid w:val="31AD2772"/>
    <w:rsid w:val="31E27FC8"/>
    <w:rsid w:val="31E32E8B"/>
    <w:rsid w:val="3261140F"/>
    <w:rsid w:val="32BA573B"/>
    <w:rsid w:val="32BC6C3D"/>
    <w:rsid w:val="32EC3440"/>
    <w:rsid w:val="33435756"/>
    <w:rsid w:val="334C799D"/>
    <w:rsid w:val="33521BEB"/>
    <w:rsid w:val="33617893"/>
    <w:rsid w:val="33881215"/>
    <w:rsid w:val="33A551D8"/>
    <w:rsid w:val="33CC1469"/>
    <w:rsid w:val="33D540AC"/>
    <w:rsid w:val="340D0225"/>
    <w:rsid w:val="340E1C4D"/>
    <w:rsid w:val="34102100"/>
    <w:rsid w:val="341C56A4"/>
    <w:rsid w:val="347E456C"/>
    <w:rsid w:val="34912B60"/>
    <w:rsid w:val="34943D90"/>
    <w:rsid w:val="34BF4A5B"/>
    <w:rsid w:val="34EE16F2"/>
    <w:rsid w:val="3502519D"/>
    <w:rsid w:val="35092088"/>
    <w:rsid w:val="35320425"/>
    <w:rsid w:val="35530087"/>
    <w:rsid w:val="355A5A33"/>
    <w:rsid w:val="356778E3"/>
    <w:rsid w:val="3584594A"/>
    <w:rsid w:val="358D4967"/>
    <w:rsid w:val="35B2271F"/>
    <w:rsid w:val="35B95324"/>
    <w:rsid w:val="361707D4"/>
    <w:rsid w:val="362D641A"/>
    <w:rsid w:val="364948B3"/>
    <w:rsid w:val="36783969"/>
    <w:rsid w:val="367D081E"/>
    <w:rsid w:val="368C276E"/>
    <w:rsid w:val="369155B0"/>
    <w:rsid w:val="36A9648A"/>
    <w:rsid w:val="36AF6C5F"/>
    <w:rsid w:val="36C528D1"/>
    <w:rsid w:val="36CC0987"/>
    <w:rsid w:val="36CE0EAC"/>
    <w:rsid w:val="36E07A14"/>
    <w:rsid w:val="3720073F"/>
    <w:rsid w:val="37352C39"/>
    <w:rsid w:val="375E68D8"/>
    <w:rsid w:val="377A3A8D"/>
    <w:rsid w:val="378F61B8"/>
    <w:rsid w:val="37A17D64"/>
    <w:rsid w:val="37A92C34"/>
    <w:rsid w:val="37C130EE"/>
    <w:rsid w:val="37CB0D40"/>
    <w:rsid w:val="37CB48D7"/>
    <w:rsid w:val="37D056DA"/>
    <w:rsid w:val="37DC2052"/>
    <w:rsid w:val="37EF1E47"/>
    <w:rsid w:val="38035879"/>
    <w:rsid w:val="381A2D02"/>
    <w:rsid w:val="381E0BB2"/>
    <w:rsid w:val="3827357F"/>
    <w:rsid w:val="382A7525"/>
    <w:rsid w:val="38451629"/>
    <w:rsid w:val="384F7E6B"/>
    <w:rsid w:val="385238C7"/>
    <w:rsid w:val="38542882"/>
    <w:rsid w:val="387463B2"/>
    <w:rsid w:val="389255BC"/>
    <w:rsid w:val="38953DEB"/>
    <w:rsid w:val="38C37F87"/>
    <w:rsid w:val="38F267B5"/>
    <w:rsid w:val="38FC664E"/>
    <w:rsid w:val="39255AF9"/>
    <w:rsid w:val="397A79F8"/>
    <w:rsid w:val="397F11FB"/>
    <w:rsid w:val="39876047"/>
    <w:rsid w:val="39933A1C"/>
    <w:rsid w:val="39DA0ECA"/>
    <w:rsid w:val="39E210F9"/>
    <w:rsid w:val="39F266AD"/>
    <w:rsid w:val="3A0E1EEE"/>
    <w:rsid w:val="3A101C0F"/>
    <w:rsid w:val="3A192D6D"/>
    <w:rsid w:val="3A4928BA"/>
    <w:rsid w:val="3A4D2A17"/>
    <w:rsid w:val="3A527F05"/>
    <w:rsid w:val="3A6F67DD"/>
    <w:rsid w:val="3AC3138B"/>
    <w:rsid w:val="3ACA0ED1"/>
    <w:rsid w:val="3AEA7A5D"/>
    <w:rsid w:val="3AF32D4A"/>
    <w:rsid w:val="3B037579"/>
    <w:rsid w:val="3B046094"/>
    <w:rsid w:val="3B1223DD"/>
    <w:rsid w:val="3B330400"/>
    <w:rsid w:val="3B381C96"/>
    <w:rsid w:val="3B5518D4"/>
    <w:rsid w:val="3B6A5EB3"/>
    <w:rsid w:val="3B9149C1"/>
    <w:rsid w:val="3BAE278A"/>
    <w:rsid w:val="3BD33A8E"/>
    <w:rsid w:val="3C0755B3"/>
    <w:rsid w:val="3C0B4937"/>
    <w:rsid w:val="3C29721F"/>
    <w:rsid w:val="3C2A54C2"/>
    <w:rsid w:val="3C2F2768"/>
    <w:rsid w:val="3C6D55F2"/>
    <w:rsid w:val="3C7122A2"/>
    <w:rsid w:val="3C9F32D2"/>
    <w:rsid w:val="3CDC1729"/>
    <w:rsid w:val="3CE3588C"/>
    <w:rsid w:val="3CF0306D"/>
    <w:rsid w:val="3D344F3B"/>
    <w:rsid w:val="3D3B6668"/>
    <w:rsid w:val="3D4F62A5"/>
    <w:rsid w:val="3D532A3A"/>
    <w:rsid w:val="3D7E2206"/>
    <w:rsid w:val="3D9E0437"/>
    <w:rsid w:val="3DF65662"/>
    <w:rsid w:val="3E005E54"/>
    <w:rsid w:val="3E216694"/>
    <w:rsid w:val="3E2C2CF5"/>
    <w:rsid w:val="3E4A3093"/>
    <w:rsid w:val="3EAC262A"/>
    <w:rsid w:val="3EE32EA8"/>
    <w:rsid w:val="3EF73899"/>
    <w:rsid w:val="3EFA3609"/>
    <w:rsid w:val="3EFC669F"/>
    <w:rsid w:val="3F087854"/>
    <w:rsid w:val="3F25512C"/>
    <w:rsid w:val="3F516B4B"/>
    <w:rsid w:val="3F6101AE"/>
    <w:rsid w:val="3F6463E5"/>
    <w:rsid w:val="3FB27C68"/>
    <w:rsid w:val="3FD937F9"/>
    <w:rsid w:val="3FF019C4"/>
    <w:rsid w:val="3FF26C90"/>
    <w:rsid w:val="4004553A"/>
    <w:rsid w:val="401F30A7"/>
    <w:rsid w:val="40212174"/>
    <w:rsid w:val="405443EC"/>
    <w:rsid w:val="405A40DF"/>
    <w:rsid w:val="40641EDD"/>
    <w:rsid w:val="407B2486"/>
    <w:rsid w:val="40AA0BC3"/>
    <w:rsid w:val="40E045E4"/>
    <w:rsid w:val="41121713"/>
    <w:rsid w:val="412D35A2"/>
    <w:rsid w:val="4148667E"/>
    <w:rsid w:val="417C3020"/>
    <w:rsid w:val="419E624E"/>
    <w:rsid w:val="41A1287C"/>
    <w:rsid w:val="41B509D3"/>
    <w:rsid w:val="41BE65CF"/>
    <w:rsid w:val="41D44319"/>
    <w:rsid w:val="41E86A91"/>
    <w:rsid w:val="41F01931"/>
    <w:rsid w:val="42015737"/>
    <w:rsid w:val="421063FA"/>
    <w:rsid w:val="421E2C65"/>
    <w:rsid w:val="423D716C"/>
    <w:rsid w:val="42531166"/>
    <w:rsid w:val="42572DC2"/>
    <w:rsid w:val="42777824"/>
    <w:rsid w:val="42807652"/>
    <w:rsid w:val="42892009"/>
    <w:rsid w:val="428D6C6C"/>
    <w:rsid w:val="42B83B1B"/>
    <w:rsid w:val="42D3791A"/>
    <w:rsid w:val="42ED4F8C"/>
    <w:rsid w:val="42F47A09"/>
    <w:rsid w:val="430420E0"/>
    <w:rsid w:val="430B37E4"/>
    <w:rsid w:val="432321B2"/>
    <w:rsid w:val="43286F0D"/>
    <w:rsid w:val="433A3C0D"/>
    <w:rsid w:val="437D660B"/>
    <w:rsid w:val="43963680"/>
    <w:rsid w:val="43A27D50"/>
    <w:rsid w:val="43B1173F"/>
    <w:rsid w:val="43B35FE0"/>
    <w:rsid w:val="43CB4345"/>
    <w:rsid w:val="43CD30F5"/>
    <w:rsid w:val="43CF6B7D"/>
    <w:rsid w:val="43FA0E5A"/>
    <w:rsid w:val="43FB34E3"/>
    <w:rsid w:val="447514E8"/>
    <w:rsid w:val="44880194"/>
    <w:rsid w:val="44977EAE"/>
    <w:rsid w:val="45097E82"/>
    <w:rsid w:val="45237EE9"/>
    <w:rsid w:val="4524155F"/>
    <w:rsid w:val="457932C1"/>
    <w:rsid w:val="458D3160"/>
    <w:rsid w:val="45B46040"/>
    <w:rsid w:val="45C92A11"/>
    <w:rsid w:val="45D92898"/>
    <w:rsid w:val="45E439D3"/>
    <w:rsid w:val="45E460DD"/>
    <w:rsid w:val="46613E5B"/>
    <w:rsid w:val="46A7730D"/>
    <w:rsid w:val="46AE1A70"/>
    <w:rsid w:val="46B82DAB"/>
    <w:rsid w:val="46C04C97"/>
    <w:rsid w:val="46C30ED3"/>
    <w:rsid w:val="46CE5E27"/>
    <w:rsid w:val="46FF0DE7"/>
    <w:rsid w:val="47134FE8"/>
    <w:rsid w:val="47415210"/>
    <w:rsid w:val="476B0980"/>
    <w:rsid w:val="478B21E4"/>
    <w:rsid w:val="47AA06F4"/>
    <w:rsid w:val="47DD30AE"/>
    <w:rsid w:val="481817C2"/>
    <w:rsid w:val="482E20D9"/>
    <w:rsid w:val="48357FC5"/>
    <w:rsid w:val="4845767C"/>
    <w:rsid w:val="48464CCA"/>
    <w:rsid w:val="486C49F7"/>
    <w:rsid w:val="48BE32C2"/>
    <w:rsid w:val="48C71910"/>
    <w:rsid w:val="48C76951"/>
    <w:rsid w:val="49276097"/>
    <w:rsid w:val="492C5217"/>
    <w:rsid w:val="49395B16"/>
    <w:rsid w:val="493F4CC6"/>
    <w:rsid w:val="49423FCF"/>
    <w:rsid w:val="4943795A"/>
    <w:rsid w:val="495C2C76"/>
    <w:rsid w:val="49675E98"/>
    <w:rsid w:val="49B604E8"/>
    <w:rsid w:val="49D1251A"/>
    <w:rsid w:val="49F3640B"/>
    <w:rsid w:val="49FF0F30"/>
    <w:rsid w:val="4A0508FC"/>
    <w:rsid w:val="4A145948"/>
    <w:rsid w:val="4A3E05CE"/>
    <w:rsid w:val="4A5F6260"/>
    <w:rsid w:val="4A6720D0"/>
    <w:rsid w:val="4A8C5713"/>
    <w:rsid w:val="4AC043D9"/>
    <w:rsid w:val="4ADB663A"/>
    <w:rsid w:val="4AE44CD1"/>
    <w:rsid w:val="4B2A38B8"/>
    <w:rsid w:val="4B3875CA"/>
    <w:rsid w:val="4B3C5128"/>
    <w:rsid w:val="4B3F5B2C"/>
    <w:rsid w:val="4B5739AB"/>
    <w:rsid w:val="4B5B4FBA"/>
    <w:rsid w:val="4B5E28FB"/>
    <w:rsid w:val="4B645E12"/>
    <w:rsid w:val="4B6835D3"/>
    <w:rsid w:val="4B7C70B1"/>
    <w:rsid w:val="4BAF5920"/>
    <w:rsid w:val="4BBF3E1D"/>
    <w:rsid w:val="4C00191B"/>
    <w:rsid w:val="4C09593E"/>
    <w:rsid w:val="4C184BF3"/>
    <w:rsid w:val="4C212008"/>
    <w:rsid w:val="4C2760FA"/>
    <w:rsid w:val="4C397EE8"/>
    <w:rsid w:val="4C602601"/>
    <w:rsid w:val="4CA71381"/>
    <w:rsid w:val="4CC95E96"/>
    <w:rsid w:val="4CE84562"/>
    <w:rsid w:val="4CF80708"/>
    <w:rsid w:val="4CF913F1"/>
    <w:rsid w:val="4CFF3C7E"/>
    <w:rsid w:val="4D0C5111"/>
    <w:rsid w:val="4D365D17"/>
    <w:rsid w:val="4D5573BE"/>
    <w:rsid w:val="4D652C63"/>
    <w:rsid w:val="4DB43375"/>
    <w:rsid w:val="4DBF297E"/>
    <w:rsid w:val="4DE420A8"/>
    <w:rsid w:val="4DEB3E37"/>
    <w:rsid w:val="4DF15EA2"/>
    <w:rsid w:val="4E080ECB"/>
    <w:rsid w:val="4E2875CB"/>
    <w:rsid w:val="4E2F21FE"/>
    <w:rsid w:val="4E413E98"/>
    <w:rsid w:val="4E7B2B7B"/>
    <w:rsid w:val="4EA0025F"/>
    <w:rsid w:val="4EA20DDA"/>
    <w:rsid w:val="4EAD043A"/>
    <w:rsid w:val="4EB96475"/>
    <w:rsid w:val="4EBA02A1"/>
    <w:rsid w:val="4EC33746"/>
    <w:rsid w:val="4ECD6615"/>
    <w:rsid w:val="4F0E1516"/>
    <w:rsid w:val="4F220471"/>
    <w:rsid w:val="4FBD23B9"/>
    <w:rsid w:val="4FD666A9"/>
    <w:rsid w:val="4FDF4FA3"/>
    <w:rsid w:val="4FF6087A"/>
    <w:rsid w:val="4FF86B00"/>
    <w:rsid w:val="50075B50"/>
    <w:rsid w:val="500E7B59"/>
    <w:rsid w:val="5021771E"/>
    <w:rsid w:val="50347B0E"/>
    <w:rsid w:val="50410ED6"/>
    <w:rsid w:val="50625360"/>
    <w:rsid w:val="507B60D8"/>
    <w:rsid w:val="509E5F86"/>
    <w:rsid w:val="50AE684B"/>
    <w:rsid w:val="50B80453"/>
    <w:rsid w:val="50F81383"/>
    <w:rsid w:val="51121E6C"/>
    <w:rsid w:val="51287A14"/>
    <w:rsid w:val="514F4605"/>
    <w:rsid w:val="516C77CE"/>
    <w:rsid w:val="51731502"/>
    <w:rsid w:val="51827C86"/>
    <w:rsid w:val="518B04B6"/>
    <w:rsid w:val="519944B8"/>
    <w:rsid w:val="51B66C9C"/>
    <w:rsid w:val="51FC73C4"/>
    <w:rsid w:val="520B3499"/>
    <w:rsid w:val="522C2432"/>
    <w:rsid w:val="524B3888"/>
    <w:rsid w:val="524E6EA7"/>
    <w:rsid w:val="525C6892"/>
    <w:rsid w:val="52B75D9A"/>
    <w:rsid w:val="53056B38"/>
    <w:rsid w:val="531D127C"/>
    <w:rsid w:val="53297B6F"/>
    <w:rsid w:val="533E62F6"/>
    <w:rsid w:val="534478D8"/>
    <w:rsid w:val="53550868"/>
    <w:rsid w:val="53B44B13"/>
    <w:rsid w:val="53B4545D"/>
    <w:rsid w:val="53BE7037"/>
    <w:rsid w:val="53EE3244"/>
    <w:rsid w:val="540762FF"/>
    <w:rsid w:val="541F6D7A"/>
    <w:rsid w:val="541F74E1"/>
    <w:rsid w:val="54212ADE"/>
    <w:rsid w:val="54316AAD"/>
    <w:rsid w:val="545F253D"/>
    <w:rsid w:val="546A7BEF"/>
    <w:rsid w:val="54721D56"/>
    <w:rsid w:val="54741EBA"/>
    <w:rsid w:val="548A1982"/>
    <w:rsid w:val="54A07613"/>
    <w:rsid w:val="54C65448"/>
    <w:rsid w:val="54E104D3"/>
    <w:rsid w:val="552048A0"/>
    <w:rsid w:val="552A35B7"/>
    <w:rsid w:val="552E2C0F"/>
    <w:rsid w:val="553F6780"/>
    <w:rsid w:val="554C3FF0"/>
    <w:rsid w:val="55515EC4"/>
    <w:rsid w:val="556233C2"/>
    <w:rsid w:val="55655E4F"/>
    <w:rsid w:val="559C6B47"/>
    <w:rsid w:val="55B660DE"/>
    <w:rsid w:val="55D50038"/>
    <w:rsid w:val="55DC46AB"/>
    <w:rsid w:val="55FF5462"/>
    <w:rsid w:val="560F5C4A"/>
    <w:rsid w:val="561171CD"/>
    <w:rsid w:val="56334EE3"/>
    <w:rsid w:val="5635322E"/>
    <w:rsid w:val="563D39A1"/>
    <w:rsid w:val="564971F2"/>
    <w:rsid w:val="5652013F"/>
    <w:rsid w:val="567D7E4C"/>
    <w:rsid w:val="567F304C"/>
    <w:rsid w:val="568D5726"/>
    <w:rsid w:val="56A80927"/>
    <w:rsid w:val="56F463D8"/>
    <w:rsid w:val="5721764C"/>
    <w:rsid w:val="57250151"/>
    <w:rsid w:val="57256BD2"/>
    <w:rsid w:val="574C5B8C"/>
    <w:rsid w:val="576176AA"/>
    <w:rsid w:val="57720CB8"/>
    <w:rsid w:val="577B16CF"/>
    <w:rsid w:val="57A515BB"/>
    <w:rsid w:val="57D302CD"/>
    <w:rsid w:val="57DD1601"/>
    <w:rsid w:val="57E52089"/>
    <w:rsid w:val="57FB51A7"/>
    <w:rsid w:val="581D5CC6"/>
    <w:rsid w:val="5867548D"/>
    <w:rsid w:val="588B27C6"/>
    <w:rsid w:val="589C4261"/>
    <w:rsid w:val="59034EBC"/>
    <w:rsid w:val="59336FAD"/>
    <w:rsid w:val="59352B9C"/>
    <w:rsid w:val="595875A7"/>
    <w:rsid w:val="59744274"/>
    <w:rsid w:val="5977521D"/>
    <w:rsid w:val="5978445E"/>
    <w:rsid w:val="59947A93"/>
    <w:rsid w:val="59B17248"/>
    <w:rsid w:val="59BB7545"/>
    <w:rsid w:val="59CF5C05"/>
    <w:rsid w:val="59D1200C"/>
    <w:rsid w:val="59F43AE7"/>
    <w:rsid w:val="5A1032A3"/>
    <w:rsid w:val="5A6B0F6B"/>
    <w:rsid w:val="5A703AA4"/>
    <w:rsid w:val="5A806A13"/>
    <w:rsid w:val="5A862842"/>
    <w:rsid w:val="5AAB283B"/>
    <w:rsid w:val="5ABB64F9"/>
    <w:rsid w:val="5AD804E9"/>
    <w:rsid w:val="5B08107C"/>
    <w:rsid w:val="5B7335A7"/>
    <w:rsid w:val="5B753DC6"/>
    <w:rsid w:val="5BA803D3"/>
    <w:rsid w:val="5BC16969"/>
    <w:rsid w:val="5BC30933"/>
    <w:rsid w:val="5BFA1899"/>
    <w:rsid w:val="5C1A5B3C"/>
    <w:rsid w:val="5C20032B"/>
    <w:rsid w:val="5C3366F6"/>
    <w:rsid w:val="5C3526A9"/>
    <w:rsid w:val="5C413C42"/>
    <w:rsid w:val="5C5454B7"/>
    <w:rsid w:val="5C833908"/>
    <w:rsid w:val="5CA357F4"/>
    <w:rsid w:val="5CCA6CCA"/>
    <w:rsid w:val="5CEC2510"/>
    <w:rsid w:val="5CFB1A88"/>
    <w:rsid w:val="5D11707D"/>
    <w:rsid w:val="5D2A5AA3"/>
    <w:rsid w:val="5D5255DF"/>
    <w:rsid w:val="5D732CD1"/>
    <w:rsid w:val="5D7936BA"/>
    <w:rsid w:val="5DA44EFE"/>
    <w:rsid w:val="5DB42875"/>
    <w:rsid w:val="5DBC31A2"/>
    <w:rsid w:val="5DD21301"/>
    <w:rsid w:val="5DE453B3"/>
    <w:rsid w:val="5DEB5A72"/>
    <w:rsid w:val="5DFB2746"/>
    <w:rsid w:val="5DFE3EA4"/>
    <w:rsid w:val="5E193D2B"/>
    <w:rsid w:val="5E36452D"/>
    <w:rsid w:val="5E8819C0"/>
    <w:rsid w:val="5E9B584C"/>
    <w:rsid w:val="5EDE3903"/>
    <w:rsid w:val="5F061262"/>
    <w:rsid w:val="5F332010"/>
    <w:rsid w:val="5F396D54"/>
    <w:rsid w:val="5F3B1A4B"/>
    <w:rsid w:val="5F5C3BD0"/>
    <w:rsid w:val="5F944A0B"/>
    <w:rsid w:val="5FBB2675"/>
    <w:rsid w:val="5FBE3BF4"/>
    <w:rsid w:val="5FC47C71"/>
    <w:rsid w:val="5FD94F2E"/>
    <w:rsid w:val="6017749F"/>
    <w:rsid w:val="6019017B"/>
    <w:rsid w:val="60297237"/>
    <w:rsid w:val="6070225F"/>
    <w:rsid w:val="6077302D"/>
    <w:rsid w:val="60A40D3E"/>
    <w:rsid w:val="60C4327D"/>
    <w:rsid w:val="60C76465"/>
    <w:rsid w:val="60D32724"/>
    <w:rsid w:val="60F3537C"/>
    <w:rsid w:val="615C1F60"/>
    <w:rsid w:val="616A73F6"/>
    <w:rsid w:val="61801D8E"/>
    <w:rsid w:val="61CF50B6"/>
    <w:rsid w:val="61DA1626"/>
    <w:rsid w:val="620121B5"/>
    <w:rsid w:val="624A515E"/>
    <w:rsid w:val="625E00D7"/>
    <w:rsid w:val="626345AE"/>
    <w:rsid w:val="62684825"/>
    <w:rsid w:val="62745F9F"/>
    <w:rsid w:val="62780EB9"/>
    <w:rsid w:val="628D42B0"/>
    <w:rsid w:val="630D5986"/>
    <w:rsid w:val="636872A4"/>
    <w:rsid w:val="638D3FD8"/>
    <w:rsid w:val="63A06E85"/>
    <w:rsid w:val="63B03325"/>
    <w:rsid w:val="63BA6ABF"/>
    <w:rsid w:val="63ED455C"/>
    <w:rsid w:val="6408469D"/>
    <w:rsid w:val="64226ABE"/>
    <w:rsid w:val="643D3FB2"/>
    <w:rsid w:val="6469595A"/>
    <w:rsid w:val="646F4337"/>
    <w:rsid w:val="64BB664B"/>
    <w:rsid w:val="64CE4EA0"/>
    <w:rsid w:val="650A1729"/>
    <w:rsid w:val="653E0382"/>
    <w:rsid w:val="65655333"/>
    <w:rsid w:val="658E3D60"/>
    <w:rsid w:val="65A16221"/>
    <w:rsid w:val="65C37FF8"/>
    <w:rsid w:val="65C6799D"/>
    <w:rsid w:val="65DE7F74"/>
    <w:rsid w:val="65E24A6E"/>
    <w:rsid w:val="65F77268"/>
    <w:rsid w:val="66125B05"/>
    <w:rsid w:val="66460D04"/>
    <w:rsid w:val="6646288C"/>
    <w:rsid w:val="66545656"/>
    <w:rsid w:val="667558D7"/>
    <w:rsid w:val="667F60F5"/>
    <w:rsid w:val="668777B3"/>
    <w:rsid w:val="66B53294"/>
    <w:rsid w:val="66B62760"/>
    <w:rsid w:val="66C61FC8"/>
    <w:rsid w:val="66D640B0"/>
    <w:rsid w:val="66ED0F5A"/>
    <w:rsid w:val="66F6520B"/>
    <w:rsid w:val="67033C91"/>
    <w:rsid w:val="671419BC"/>
    <w:rsid w:val="67781674"/>
    <w:rsid w:val="67824FBD"/>
    <w:rsid w:val="67BD26DA"/>
    <w:rsid w:val="67D76E12"/>
    <w:rsid w:val="67E11C59"/>
    <w:rsid w:val="6818073F"/>
    <w:rsid w:val="68421535"/>
    <w:rsid w:val="685319A1"/>
    <w:rsid w:val="6866498D"/>
    <w:rsid w:val="688D50B7"/>
    <w:rsid w:val="68D57F80"/>
    <w:rsid w:val="69124404"/>
    <w:rsid w:val="69193D8C"/>
    <w:rsid w:val="691D734F"/>
    <w:rsid w:val="694A7A89"/>
    <w:rsid w:val="695025AF"/>
    <w:rsid w:val="69847953"/>
    <w:rsid w:val="698C1320"/>
    <w:rsid w:val="699C4DFD"/>
    <w:rsid w:val="69B34255"/>
    <w:rsid w:val="69D01EE6"/>
    <w:rsid w:val="69DB706B"/>
    <w:rsid w:val="69EB6AD6"/>
    <w:rsid w:val="6A274257"/>
    <w:rsid w:val="6A3D1517"/>
    <w:rsid w:val="6A4A3557"/>
    <w:rsid w:val="6A602DA4"/>
    <w:rsid w:val="6A6456A0"/>
    <w:rsid w:val="6A786DA2"/>
    <w:rsid w:val="6AA43DB3"/>
    <w:rsid w:val="6AAF0A00"/>
    <w:rsid w:val="6AB8467C"/>
    <w:rsid w:val="6ABA2149"/>
    <w:rsid w:val="6ADB7A47"/>
    <w:rsid w:val="6AE16D7B"/>
    <w:rsid w:val="6B0F4DD5"/>
    <w:rsid w:val="6B486747"/>
    <w:rsid w:val="6B59096C"/>
    <w:rsid w:val="6B7D1DD1"/>
    <w:rsid w:val="6B7E299D"/>
    <w:rsid w:val="6BA21A87"/>
    <w:rsid w:val="6BB21D48"/>
    <w:rsid w:val="6C0F0F09"/>
    <w:rsid w:val="6C2537A7"/>
    <w:rsid w:val="6C3265CE"/>
    <w:rsid w:val="6C355C98"/>
    <w:rsid w:val="6C3B5244"/>
    <w:rsid w:val="6C553829"/>
    <w:rsid w:val="6C5A3A58"/>
    <w:rsid w:val="6C7959E0"/>
    <w:rsid w:val="6C9507DB"/>
    <w:rsid w:val="6CBE13CE"/>
    <w:rsid w:val="6CCA7A2B"/>
    <w:rsid w:val="6CE8644B"/>
    <w:rsid w:val="6CED3A62"/>
    <w:rsid w:val="6CFB40A8"/>
    <w:rsid w:val="6D1D0429"/>
    <w:rsid w:val="6D201233"/>
    <w:rsid w:val="6D3122DD"/>
    <w:rsid w:val="6D4355AB"/>
    <w:rsid w:val="6D4F431B"/>
    <w:rsid w:val="6D561607"/>
    <w:rsid w:val="6D6C1F45"/>
    <w:rsid w:val="6D72197F"/>
    <w:rsid w:val="6DA765C1"/>
    <w:rsid w:val="6DC11B10"/>
    <w:rsid w:val="6DC32891"/>
    <w:rsid w:val="6DE729F7"/>
    <w:rsid w:val="6E222B2B"/>
    <w:rsid w:val="6E463E05"/>
    <w:rsid w:val="6E773084"/>
    <w:rsid w:val="6EC41E12"/>
    <w:rsid w:val="6ECA3938"/>
    <w:rsid w:val="6F134224"/>
    <w:rsid w:val="6F305E87"/>
    <w:rsid w:val="6F3C65DA"/>
    <w:rsid w:val="6F4D3BAA"/>
    <w:rsid w:val="6F5F0075"/>
    <w:rsid w:val="6F7B4F64"/>
    <w:rsid w:val="6F7F5EAB"/>
    <w:rsid w:val="6FFA1A15"/>
    <w:rsid w:val="6FFF4C89"/>
    <w:rsid w:val="7012186F"/>
    <w:rsid w:val="701B5500"/>
    <w:rsid w:val="702A7FB0"/>
    <w:rsid w:val="702B6BF1"/>
    <w:rsid w:val="703D278E"/>
    <w:rsid w:val="7067067B"/>
    <w:rsid w:val="707E5CBB"/>
    <w:rsid w:val="70A94143"/>
    <w:rsid w:val="70C446A3"/>
    <w:rsid w:val="70D67E54"/>
    <w:rsid w:val="70D91BDB"/>
    <w:rsid w:val="70F550D6"/>
    <w:rsid w:val="71242B47"/>
    <w:rsid w:val="715D4E65"/>
    <w:rsid w:val="716A583F"/>
    <w:rsid w:val="717B7284"/>
    <w:rsid w:val="71A95C40"/>
    <w:rsid w:val="71C03087"/>
    <w:rsid w:val="71DB2A8B"/>
    <w:rsid w:val="72023789"/>
    <w:rsid w:val="720749F1"/>
    <w:rsid w:val="720F756A"/>
    <w:rsid w:val="721E1ABF"/>
    <w:rsid w:val="722D3687"/>
    <w:rsid w:val="724E4FA2"/>
    <w:rsid w:val="727345F7"/>
    <w:rsid w:val="7279704D"/>
    <w:rsid w:val="72BE545E"/>
    <w:rsid w:val="730A3DF2"/>
    <w:rsid w:val="73122848"/>
    <w:rsid w:val="7317473F"/>
    <w:rsid w:val="73292FB6"/>
    <w:rsid w:val="73380034"/>
    <w:rsid w:val="733C707A"/>
    <w:rsid w:val="73A2669B"/>
    <w:rsid w:val="73A6496A"/>
    <w:rsid w:val="73BA10FD"/>
    <w:rsid w:val="73E01C2A"/>
    <w:rsid w:val="73E71482"/>
    <w:rsid w:val="73EA75B4"/>
    <w:rsid w:val="73FC5F9B"/>
    <w:rsid w:val="742C452D"/>
    <w:rsid w:val="743C498C"/>
    <w:rsid w:val="7451227E"/>
    <w:rsid w:val="74750EB1"/>
    <w:rsid w:val="748E3D09"/>
    <w:rsid w:val="74E474F8"/>
    <w:rsid w:val="74E50883"/>
    <w:rsid w:val="74F916D9"/>
    <w:rsid w:val="75040333"/>
    <w:rsid w:val="752E1BA8"/>
    <w:rsid w:val="753406B6"/>
    <w:rsid w:val="755B1854"/>
    <w:rsid w:val="756875CC"/>
    <w:rsid w:val="75824073"/>
    <w:rsid w:val="758569B9"/>
    <w:rsid w:val="75A312C4"/>
    <w:rsid w:val="75BB62AB"/>
    <w:rsid w:val="76036332"/>
    <w:rsid w:val="76462BA5"/>
    <w:rsid w:val="76876CD5"/>
    <w:rsid w:val="76950925"/>
    <w:rsid w:val="76C30C0A"/>
    <w:rsid w:val="76C8113E"/>
    <w:rsid w:val="76FF52C0"/>
    <w:rsid w:val="773A3D47"/>
    <w:rsid w:val="775A5EEC"/>
    <w:rsid w:val="77876738"/>
    <w:rsid w:val="77AE3ABB"/>
    <w:rsid w:val="77BF0DA2"/>
    <w:rsid w:val="77DB0C56"/>
    <w:rsid w:val="77E86BFE"/>
    <w:rsid w:val="77F139E6"/>
    <w:rsid w:val="77F24622"/>
    <w:rsid w:val="77F56804"/>
    <w:rsid w:val="78192E78"/>
    <w:rsid w:val="783C764B"/>
    <w:rsid w:val="78522F68"/>
    <w:rsid w:val="786870F5"/>
    <w:rsid w:val="78767001"/>
    <w:rsid w:val="788415E1"/>
    <w:rsid w:val="78B062FB"/>
    <w:rsid w:val="78C7785D"/>
    <w:rsid w:val="78D365B8"/>
    <w:rsid w:val="78DD5A36"/>
    <w:rsid w:val="78E570FD"/>
    <w:rsid w:val="794F422F"/>
    <w:rsid w:val="795B6BCC"/>
    <w:rsid w:val="795C7468"/>
    <w:rsid w:val="795F25BB"/>
    <w:rsid w:val="7965054F"/>
    <w:rsid w:val="79742572"/>
    <w:rsid w:val="79A75D41"/>
    <w:rsid w:val="79B002F1"/>
    <w:rsid w:val="79B07E4A"/>
    <w:rsid w:val="79E9735F"/>
    <w:rsid w:val="79F26255"/>
    <w:rsid w:val="79F82C98"/>
    <w:rsid w:val="79F96239"/>
    <w:rsid w:val="7A062A7E"/>
    <w:rsid w:val="7A0C5E9D"/>
    <w:rsid w:val="7A660E82"/>
    <w:rsid w:val="7A8E3462"/>
    <w:rsid w:val="7AA611F2"/>
    <w:rsid w:val="7AD43EDC"/>
    <w:rsid w:val="7AD5055B"/>
    <w:rsid w:val="7B064543"/>
    <w:rsid w:val="7B160627"/>
    <w:rsid w:val="7B35044C"/>
    <w:rsid w:val="7B381114"/>
    <w:rsid w:val="7B5F55C9"/>
    <w:rsid w:val="7B7C369A"/>
    <w:rsid w:val="7BBD6CF5"/>
    <w:rsid w:val="7BE6624C"/>
    <w:rsid w:val="7BFC781D"/>
    <w:rsid w:val="7C225311"/>
    <w:rsid w:val="7C5B39A8"/>
    <w:rsid w:val="7C605FFE"/>
    <w:rsid w:val="7C744C6A"/>
    <w:rsid w:val="7C77567A"/>
    <w:rsid w:val="7C8A3167"/>
    <w:rsid w:val="7CAF1159"/>
    <w:rsid w:val="7CB73D63"/>
    <w:rsid w:val="7CEF2A3D"/>
    <w:rsid w:val="7D3A39DA"/>
    <w:rsid w:val="7D40515D"/>
    <w:rsid w:val="7D473AFF"/>
    <w:rsid w:val="7D631F7C"/>
    <w:rsid w:val="7D807502"/>
    <w:rsid w:val="7D973BB4"/>
    <w:rsid w:val="7DDD3693"/>
    <w:rsid w:val="7DE52E59"/>
    <w:rsid w:val="7E141362"/>
    <w:rsid w:val="7E3865B8"/>
    <w:rsid w:val="7E4D2BD2"/>
    <w:rsid w:val="7E5B0426"/>
    <w:rsid w:val="7E857F9E"/>
    <w:rsid w:val="7E8D4087"/>
    <w:rsid w:val="7E9828F1"/>
    <w:rsid w:val="7ED91EDD"/>
    <w:rsid w:val="7F0030C4"/>
    <w:rsid w:val="7F157219"/>
    <w:rsid w:val="7F3870A8"/>
    <w:rsid w:val="7F4647F5"/>
    <w:rsid w:val="7F6C2F0C"/>
    <w:rsid w:val="7F891009"/>
    <w:rsid w:val="7F985AAF"/>
    <w:rsid w:val="7FA15672"/>
    <w:rsid w:val="7FCA02F1"/>
    <w:rsid w:val="7FDD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99"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sz w:val="32"/>
    </w:rPr>
  </w:style>
  <w:style w:type="paragraph" w:styleId="5">
    <w:name w:val="heading 4"/>
    <w:basedOn w:val="1"/>
    <w:next w:val="6"/>
    <w:autoRedefine/>
    <w:qFormat/>
    <w:uiPriority w:val="9"/>
    <w:pPr>
      <w:keepNext/>
      <w:keepLines/>
      <w:spacing w:before="280" w:after="290" w:line="372" w:lineRule="auto"/>
      <w:outlineLvl w:val="3"/>
    </w:pPr>
    <w:rPr>
      <w:rFonts w:ascii="Arial" w:hAnsi="Arial" w:eastAsia="黑体"/>
      <w:b/>
      <w:sz w:val="28"/>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6">
    <w:name w:val="Body Text First Indent"/>
    <w:basedOn w:val="7"/>
    <w:next w:val="8"/>
    <w:autoRedefine/>
    <w:qFormat/>
    <w:uiPriority w:val="0"/>
    <w:pPr>
      <w:ind w:firstLine="420" w:firstLineChars="100"/>
    </w:pPr>
    <w:rPr>
      <w:rFonts w:ascii="Times New Roman" w:hAnsi="Times New Roman"/>
    </w:rPr>
  </w:style>
  <w:style w:type="paragraph" w:styleId="7">
    <w:name w:val="Body Text"/>
    <w:basedOn w:val="1"/>
    <w:autoRedefine/>
    <w:qFormat/>
    <w:uiPriority w:val="99"/>
    <w:pPr>
      <w:spacing w:after="120"/>
    </w:pPr>
    <w:rPr>
      <w:rFonts w:ascii="等线" w:hAnsi="等线"/>
    </w:rPr>
  </w:style>
  <w:style w:type="paragraph" w:styleId="8">
    <w:name w:val="table of figures"/>
    <w:basedOn w:val="1"/>
    <w:next w:val="1"/>
    <w:autoRedefine/>
    <w:qFormat/>
    <w:uiPriority w:val="0"/>
    <w:pPr>
      <w:ind w:left="200" w:leftChars="200" w:hanging="200" w:hangingChars="200"/>
    </w:pPr>
    <w:rPr>
      <w:rFonts w:ascii="Calibri" w:hAnsi="Calibri"/>
      <w:szCs w:val="22"/>
    </w:rPr>
  </w:style>
  <w:style w:type="paragraph" w:styleId="9">
    <w:name w:val="Normal Indent"/>
    <w:basedOn w:val="1"/>
    <w:next w:val="1"/>
    <w:autoRedefine/>
    <w:qFormat/>
    <w:uiPriority w:val="0"/>
    <w:pPr>
      <w:ind w:firstLine="420"/>
    </w:pPr>
    <w:rPr>
      <w:rFonts w:ascii="宋体" w:hAnsi="等线"/>
      <w:sz w:val="28"/>
      <w:szCs w:val="22"/>
    </w:rPr>
  </w:style>
  <w:style w:type="paragraph" w:styleId="10">
    <w:name w:val="annotation text"/>
    <w:basedOn w:val="1"/>
    <w:autoRedefine/>
    <w:qFormat/>
    <w:uiPriority w:val="0"/>
    <w:pPr>
      <w:jc w:val="left"/>
    </w:pPr>
  </w:style>
  <w:style w:type="paragraph" w:styleId="11">
    <w:name w:val="Body Text Indent"/>
    <w:basedOn w:val="1"/>
    <w:next w:val="12"/>
    <w:autoRedefine/>
    <w:qFormat/>
    <w:uiPriority w:val="0"/>
    <w:pPr>
      <w:spacing w:after="120"/>
      <w:ind w:left="420" w:leftChars="200"/>
    </w:pPr>
  </w:style>
  <w:style w:type="paragraph" w:customStyle="1" w:styleId="12">
    <w:name w:val="样式 正文文本缩进 + 行距: 1.5 倍行距"/>
    <w:basedOn w:val="13"/>
    <w:next w:val="1"/>
    <w:autoRedefine/>
    <w:qFormat/>
    <w:uiPriority w:val="0"/>
    <w:pPr>
      <w:spacing w:before="0" w:after="120"/>
      <w:ind w:left="90" w:leftChars="32" w:firstLine="560" w:firstLineChars="200"/>
    </w:pPr>
    <w:rPr>
      <w:rFonts w:ascii="Times New Roman" w:cs="宋体"/>
    </w:rPr>
  </w:style>
  <w:style w:type="paragraph" w:customStyle="1" w:styleId="13">
    <w:name w:val="Body Text Indent"/>
    <w:basedOn w:val="1"/>
    <w:next w:val="12"/>
    <w:autoRedefine/>
    <w:qFormat/>
    <w:uiPriority w:val="0"/>
    <w:pPr>
      <w:spacing w:after="120" w:afterLines="0"/>
      <w:ind w:left="420" w:leftChars="200"/>
    </w:pPr>
    <w:rPr>
      <w:rFonts w:ascii="Times New Roman" w:hAnsi="Times New Roman" w:eastAsia="宋体"/>
      <w:sz w:val="24"/>
    </w:rPr>
  </w:style>
  <w:style w:type="paragraph" w:styleId="14">
    <w:name w:val="Plain Text"/>
    <w:basedOn w:val="1"/>
    <w:autoRedefine/>
    <w:qFormat/>
    <w:uiPriority w:val="0"/>
    <w:rPr>
      <w:rFonts w:ascii="宋体" w:hAnsi="Courier New" w:cs="Courier New"/>
      <w:szCs w:val="21"/>
    </w:rPr>
  </w:style>
  <w:style w:type="paragraph" w:styleId="15">
    <w:name w:val="List Bullet 5"/>
    <w:basedOn w:val="1"/>
    <w:autoRedefine/>
    <w:qFormat/>
    <w:uiPriority w:val="0"/>
    <w:pPr>
      <w:numPr>
        <w:ilvl w:val="0"/>
        <w:numId w:val="1"/>
      </w:numPr>
    </w:pPr>
  </w:style>
  <w:style w:type="paragraph" w:styleId="16">
    <w:name w:val="Balloon Text"/>
    <w:basedOn w:val="1"/>
    <w:link w:val="77"/>
    <w:autoRedefine/>
    <w:qFormat/>
    <w:uiPriority w:val="0"/>
    <w:rPr>
      <w:sz w:val="18"/>
      <w:szCs w:val="18"/>
    </w:rPr>
  </w:style>
  <w:style w:type="paragraph" w:styleId="17">
    <w:name w:val="footer"/>
    <w:basedOn w:val="1"/>
    <w:autoRedefine/>
    <w:qFormat/>
    <w:uiPriority w:val="99"/>
    <w:pPr>
      <w:tabs>
        <w:tab w:val="center" w:pos="4153"/>
        <w:tab w:val="right" w:pos="8306"/>
      </w:tabs>
      <w:snapToGrid w:val="0"/>
      <w:jc w:val="left"/>
    </w:pPr>
    <w:rPr>
      <w:sz w:val="18"/>
      <w:szCs w:val="18"/>
    </w:rPr>
  </w:style>
  <w:style w:type="paragraph" w:styleId="18">
    <w:name w:val="header"/>
    <w:basedOn w:val="1"/>
    <w:next w:val="19"/>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9">
    <w:name w:val="样式5"/>
    <w:basedOn w:val="20"/>
    <w:autoRedefine/>
    <w:qFormat/>
    <w:uiPriority w:val="0"/>
    <w:pPr>
      <w:snapToGrid w:val="0"/>
      <w:ind w:firstLine="510"/>
    </w:pPr>
    <w:rPr>
      <w:rFonts w:ascii="Calibri" w:hAnsi="Calibri"/>
      <w:szCs w:val="21"/>
    </w:rPr>
  </w:style>
  <w:style w:type="paragraph" w:customStyle="1" w:styleId="20">
    <w:name w:val="正文1"/>
    <w:next w:val="1"/>
    <w:autoRedefine/>
    <w:qFormat/>
    <w:uiPriority w:val="0"/>
    <w:pPr>
      <w:widowControl w:val="0"/>
      <w:adjustRightInd w:val="0"/>
      <w:spacing w:line="315" w:lineRule="atLeast"/>
      <w:jc w:val="both"/>
      <w:textAlignment w:val="baseline"/>
    </w:pPr>
    <w:rPr>
      <w:rFonts w:ascii="宋体" w:hAnsi="Times New Roman" w:eastAsia="宋体" w:cs="Times New Roman"/>
      <w:sz w:val="24"/>
      <w:szCs w:val="22"/>
      <w:lang w:val="en-US" w:eastAsia="zh-CN" w:bidi="ar-SA"/>
    </w:rPr>
  </w:style>
  <w:style w:type="paragraph" w:styleId="21">
    <w:name w:val="toc 1"/>
    <w:basedOn w:val="1"/>
    <w:next w:val="1"/>
    <w:autoRedefine/>
    <w:qFormat/>
    <w:uiPriority w:val="39"/>
  </w:style>
  <w:style w:type="paragraph" w:styleId="22">
    <w:name w:val="Body Text Indent 3"/>
    <w:basedOn w:val="1"/>
    <w:autoRedefine/>
    <w:unhideWhenUsed/>
    <w:qFormat/>
    <w:uiPriority w:val="0"/>
    <w:pPr>
      <w:spacing w:after="120"/>
      <w:ind w:left="420" w:leftChars="200"/>
    </w:pPr>
    <w:rPr>
      <w:sz w:val="16"/>
    </w:rPr>
  </w:style>
  <w:style w:type="paragraph" w:styleId="23">
    <w:name w:val="toc 9"/>
    <w:basedOn w:val="1"/>
    <w:next w:val="1"/>
    <w:autoRedefine/>
    <w:semiHidden/>
    <w:qFormat/>
    <w:uiPriority w:val="99"/>
    <w:pPr>
      <w:ind w:left="1680"/>
      <w:jc w:val="left"/>
    </w:pPr>
    <w:rPr>
      <w:rFonts w:ascii="Calibri" w:hAnsi="Calibri" w:cs="Calibri"/>
      <w:sz w:val="18"/>
      <w:szCs w:val="18"/>
    </w:rPr>
  </w:style>
  <w:style w:type="paragraph" w:styleId="24">
    <w:name w:val="Body Text 2"/>
    <w:basedOn w:val="1"/>
    <w:autoRedefine/>
    <w:qFormat/>
    <w:uiPriority w:val="0"/>
    <w:pPr>
      <w:spacing w:after="120" w:line="480" w:lineRule="auto"/>
    </w:pPr>
  </w:style>
  <w:style w:type="paragraph" w:styleId="25">
    <w:name w:val="Message Header"/>
    <w:basedOn w:val="1"/>
    <w:autoRedefine/>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libri Light" w:hAnsi="Calibri Light"/>
      <w:sz w:val="24"/>
    </w:rPr>
  </w:style>
  <w:style w:type="paragraph" w:styleId="2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7">
    <w:name w:val="Title"/>
    <w:basedOn w:val="1"/>
    <w:autoRedefine/>
    <w:qFormat/>
    <w:uiPriority w:val="0"/>
    <w:pPr>
      <w:spacing w:before="120" w:after="60" w:line="480" w:lineRule="auto"/>
      <w:jc w:val="center"/>
      <w:outlineLvl w:val="0"/>
    </w:pPr>
    <w:rPr>
      <w:rFonts w:cs="Arial"/>
      <w:b/>
      <w:bCs/>
      <w:sz w:val="36"/>
      <w:szCs w:val="32"/>
    </w:rPr>
  </w:style>
  <w:style w:type="paragraph" w:styleId="28">
    <w:name w:val="Body Text First Indent 2"/>
    <w:basedOn w:val="11"/>
    <w:next w:val="1"/>
    <w:autoRedefine/>
    <w:qFormat/>
    <w:uiPriority w:val="0"/>
    <w:pPr>
      <w:spacing w:line="360" w:lineRule="auto"/>
      <w:ind w:firstLine="420" w:firstLineChars="200"/>
      <w:jc w:val="left"/>
    </w:pPr>
    <w:rPr>
      <w:sz w:val="24"/>
      <w:szCs w:val="20"/>
    </w:rPr>
  </w:style>
  <w:style w:type="table" w:styleId="30">
    <w:name w:val="Table Grid"/>
    <w:basedOn w:val="29"/>
    <w:autoRedefine/>
    <w:qFormat/>
    <w:uiPriority w:val="0"/>
    <w:rPr>
      <w:rFonts w:ascii="Calibri" w:hAnsi="Calibri"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autoRedefine/>
    <w:qFormat/>
    <w:uiPriority w:val="0"/>
    <w:rPr>
      <w:b/>
    </w:rPr>
  </w:style>
  <w:style w:type="character" w:styleId="33">
    <w:name w:val="page number"/>
    <w:basedOn w:val="31"/>
    <w:autoRedefine/>
    <w:qFormat/>
    <w:uiPriority w:val="0"/>
  </w:style>
  <w:style w:type="character" w:styleId="34">
    <w:name w:val="Hyperlink"/>
    <w:autoRedefine/>
    <w:qFormat/>
    <w:uiPriority w:val="99"/>
    <w:rPr>
      <w:color w:val="0268CD"/>
      <w:u w:val="none"/>
    </w:rPr>
  </w:style>
  <w:style w:type="paragraph" w:customStyle="1" w:styleId="35">
    <w:name w:val="Default"/>
    <w:basedOn w:val="36"/>
    <w:autoRedefine/>
    <w:qFormat/>
    <w:uiPriority w:val="0"/>
    <w:pPr>
      <w:autoSpaceDE w:val="0"/>
      <w:autoSpaceDN w:val="0"/>
    </w:pPr>
    <w:rPr>
      <w:rFonts w:hAnsi="Times New Roman"/>
      <w:color w:val="000000"/>
      <w:sz w:val="24"/>
      <w:szCs w:val="24"/>
    </w:rPr>
  </w:style>
  <w:style w:type="paragraph" w:customStyle="1" w:styleId="36">
    <w:name w:val="批注文字1"/>
    <w:autoRedefine/>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37">
    <w:name w:val="纯文本1"/>
    <w:basedOn w:val="1"/>
    <w:autoRedefine/>
    <w:qFormat/>
    <w:uiPriority w:val="0"/>
    <w:pPr>
      <w:adjustRightInd w:val="0"/>
    </w:pPr>
    <w:rPr>
      <w:rFonts w:ascii="宋体" w:hAnsi="Courier New"/>
      <w:szCs w:val="20"/>
    </w:rPr>
  </w:style>
  <w:style w:type="paragraph" w:customStyle="1" w:styleId="38">
    <w:name w:val="正文文字 6"/>
    <w:next w:val="1"/>
    <w:autoRedefine/>
    <w:qFormat/>
    <w:uiPriority w:val="0"/>
    <w:pPr>
      <w:widowControl w:val="0"/>
      <w:ind w:left="240"/>
      <w:jc w:val="both"/>
    </w:pPr>
    <w:rPr>
      <w:rFonts w:ascii="宋体" w:hAnsi="Times New Roman" w:eastAsia="宋体" w:cs="Times New Roman"/>
      <w:b/>
      <w:bCs/>
      <w:kern w:val="2"/>
      <w:sz w:val="32"/>
      <w:szCs w:val="32"/>
      <w:lang w:val="en-US" w:eastAsia="zh-CN" w:bidi="ar-SA"/>
    </w:rPr>
  </w:style>
  <w:style w:type="paragraph" w:customStyle="1" w:styleId="39">
    <w:name w:val="Normal (Web)1"/>
    <w:basedOn w:val="1"/>
    <w:next w:val="40"/>
    <w:autoRedefine/>
    <w:qFormat/>
    <w:uiPriority w:val="0"/>
    <w:pPr>
      <w:widowControl/>
    </w:pPr>
    <w:rPr>
      <w:rFonts w:ascii="宋体"/>
      <w:sz w:val="24"/>
      <w:szCs w:val="21"/>
    </w:rPr>
  </w:style>
  <w:style w:type="paragraph" w:customStyle="1" w:styleId="40">
    <w:name w:val="Date1"/>
    <w:basedOn w:val="1"/>
    <w:next w:val="1"/>
    <w:autoRedefine/>
    <w:qFormat/>
    <w:uiPriority w:val="0"/>
    <w:pPr>
      <w:ind w:left="2500" w:leftChars="2500"/>
    </w:pPr>
  </w:style>
  <w:style w:type="paragraph" w:customStyle="1" w:styleId="41">
    <w:name w:val="0正文"/>
    <w:basedOn w:val="1"/>
    <w:autoRedefine/>
    <w:qFormat/>
    <w:uiPriority w:val="0"/>
    <w:pPr>
      <w:spacing w:line="360" w:lineRule="auto"/>
      <w:ind w:firstLine="480" w:firstLineChars="200"/>
    </w:pPr>
    <w:rPr>
      <w:rFonts w:eastAsia="Times New Roman"/>
      <w:sz w:val="24"/>
    </w:rPr>
  </w:style>
  <w:style w:type="paragraph" w:customStyle="1" w:styleId="42">
    <w:name w:val="正文4号"/>
    <w:autoRedefine/>
    <w:qFormat/>
    <w:uiPriority w:val="0"/>
    <w:pPr>
      <w:widowControl w:val="0"/>
      <w:adjustRightInd w:val="0"/>
      <w:snapToGrid w:val="0"/>
      <w:spacing w:line="360" w:lineRule="auto"/>
      <w:ind w:firstLine="200" w:firstLineChars="200"/>
      <w:jc w:val="both"/>
    </w:pPr>
    <w:rPr>
      <w:rFonts w:ascii="Cambria Math" w:hAnsi="Cambria Math" w:eastAsia="Arial Unicode MS" w:cs="Cambria Math"/>
      <w:kern w:val="24"/>
      <w:sz w:val="24"/>
      <w:szCs w:val="24"/>
      <w:lang w:val="en-US" w:eastAsia="zh-CN" w:bidi="ar-SA"/>
    </w:rPr>
  </w:style>
  <w:style w:type="paragraph" w:customStyle="1" w:styleId="43">
    <w:name w:val="表格文字"/>
    <w:basedOn w:val="14"/>
    <w:next w:val="1"/>
    <w:autoRedefine/>
    <w:qFormat/>
    <w:uiPriority w:val="0"/>
    <w:pPr>
      <w:adjustRightInd w:val="0"/>
      <w:snapToGrid w:val="0"/>
      <w:spacing w:line="300" w:lineRule="exact"/>
      <w:jc w:val="center"/>
    </w:pPr>
    <w:rPr>
      <w:kern w:val="44"/>
    </w:rPr>
  </w:style>
  <w:style w:type="paragraph" w:customStyle="1" w:styleId="44">
    <w:name w:val="表头"/>
    <w:basedOn w:val="7"/>
    <w:autoRedefine/>
    <w:qFormat/>
    <w:uiPriority w:val="0"/>
    <w:pPr>
      <w:shd w:val="clear" w:color="auto" w:fill="FFFFFF"/>
      <w:jc w:val="left"/>
      <w:outlineLvl w:val="3"/>
    </w:pPr>
    <w:rPr>
      <w:rFonts w:eastAsia="黑体"/>
      <w:sz w:val="24"/>
      <w:szCs w:val="28"/>
    </w:rPr>
  </w:style>
  <w:style w:type="paragraph" w:customStyle="1" w:styleId="45">
    <w:name w:val="正文首行缩进1"/>
    <w:basedOn w:val="1"/>
    <w:autoRedefine/>
    <w:qFormat/>
    <w:uiPriority w:val="0"/>
    <w:pPr>
      <w:adjustRightInd w:val="0"/>
      <w:snapToGrid w:val="0"/>
      <w:spacing w:line="360" w:lineRule="auto"/>
      <w:ind w:firstLine="482"/>
      <w:jc w:val="left"/>
    </w:pPr>
    <w:rPr>
      <w:snapToGrid w:val="0"/>
      <w:kern w:val="0"/>
      <w:sz w:val="24"/>
    </w:rPr>
  </w:style>
  <w:style w:type="paragraph" w:customStyle="1" w:styleId="46">
    <w:name w:val="表格内容"/>
    <w:basedOn w:val="1"/>
    <w:autoRedefine/>
    <w:qFormat/>
    <w:uiPriority w:val="0"/>
    <w:pPr>
      <w:jc w:val="center"/>
    </w:pPr>
    <w:rPr>
      <w:szCs w:val="20"/>
    </w:rPr>
  </w:style>
  <w:style w:type="paragraph" w:customStyle="1" w:styleId="47">
    <w:name w:val="第一章表标头"/>
    <w:basedOn w:val="1"/>
    <w:autoRedefine/>
    <w:qFormat/>
    <w:uiPriority w:val="0"/>
    <w:pPr>
      <w:tabs>
        <w:tab w:val="left" w:pos="360"/>
        <w:tab w:val="left" w:pos="420"/>
        <w:tab w:val="left" w:pos="2269"/>
      </w:tabs>
      <w:adjustRightInd w:val="0"/>
      <w:snapToGrid w:val="0"/>
      <w:spacing w:line="480" w:lineRule="exact"/>
      <w:ind w:left="420" w:hanging="420" w:firstLineChars="200"/>
      <w:jc w:val="center"/>
    </w:pPr>
    <w:rPr>
      <w:rFonts w:ascii="黑体" w:eastAsia="黑体"/>
      <w:sz w:val="24"/>
      <w:szCs w:val="21"/>
    </w:rPr>
  </w:style>
  <w:style w:type="paragraph" w:customStyle="1" w:styleId="48">
    <w:name w:val="我正文"/>
    <w:basedOn w:val="1"/>
    <w:autoRedefine/>
    <w:qFormat/>
    <w:uiPriority w:val="0"/>
    <w:pPr>
      <w:widowControl/>
      <w:spacing w:line="360" w:lineRule="auto"/>
      <w:ind w:firstLine="480" w:firstLineChars="200"/>
      <w:jc w:val="left"/>
    </w:pPr>
    <w:rPr>
      <w:rFonts w:ascii="宋体" w:hAnsi="宋体" w:cs="宋体"/>
      <w:kern w:val="0"/>
      <w:sz w:val="24"/>
    </w:rPr>
  </w:style>
  <w:style w:type="paragraph" w:customStyle="1" w:styleId="49">
    <w:name w:val="6表头"/>
    <w:basedOn w:val="1"/>
    <w:autoRedefine/>
    <w:qFormat/>
    <w:uiPriority w:val="0"/>
    <w:pPr>
      <w:widowControl/>
      <w:spacing w:before="156" w:beforeLines="50"/>
      <w:jc w:val="center"/>
    </w:pPr>
    <w:rPr>
      <w:rFonts w:eastAsia="黑体"/>
      <w:szCs w:val="21"/>
    </w:rPr>
  </w:style>
  <w:style w:type="paragraph" w:customStyle="1" w:styleId="50">
    <w:name w:val="正文 New New New New New New New New New New New New New New New New New New New New New New New New New New New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正文-ls"/>
    <w:basedOn w:val="1"/>
    <w:autoRedefine/>
    <w:qFormat/>
    <w:uiPriority w:val="0"/>
    <w:pPr>
      <w:widowControl/>
      <w:spacing w:line="360" w:lineRule="auto"/>
      <w:ind w:firstLine="200" w:firstLineChars="200"/>
      <w:jc w:val="left"/>
    </w:pPr>
    <w:rPr>
      <w:rFonts w:ascii="宋体" w:hAnsi="宋体" w:cs="宋体"/>
      <w:kern w:val="0"/>
      <w:sz w:val="24"/>
    </w:rPr>
  </w:style>
  <w:style w:type="paragraph" w:customStyle="1" w:styleId="52">
    <w:name w:val="l13"/>
    <w:basedOn w:val="1"/>
    <w:autoRedefine/>
    <w:qFormat/>
    <w:uiPriority w:val="0"/>
    <w:pPr>
      <w:widowControl/>
      <w:spacing w:before="100" w:beforeAutospacing="1" w:after="100" w:afterAutospacing="1" w:line="312" w:lineRule="auto"/>
      <w:jc w:val="left"/>
    </w:pPr>
    <w:rPr>
      <w:rFonts w:ascii="宋体" w:hAnsi="宋体"/>
      <w:color w:val="000000"/>
      <w:kern w:val="0"/>
      <w:sz w:val="24"/>
    </w:rPr>
  </w:style>
  <w:style w:type="paragraph" w:customStyle="1" w:styleId="53">
    <w:name w:val="Table Paragraph"/>
    <w:basedOn w:val="1"/>
    <w:autoRedefine/>
    <w:qFormat/>
    <w:uiPriority w:val="1"/>
    <w:rPr>
      <w:rFonts w:ascii="宋体" w:hAnsi="宋体" w:cs="宋体"/>
      <w:lang w:val="zh-CN" w:bidi="zh-CN"/>
    </w:rPr>
  </w:style>
  <w:style w:type="paragraph" w:customStyle="1" w:styleId="54">
    <w:name w:val="正文（海诚）"/>
    <w:basedOn w:val="1"/>
    <w:autoRedefine/>
    <w:qFormat/>
    <w:uiPriority w:val="0"/>
    <w:pPr>
      <w:spacing w:line="520" w:lineRule="exact"/>
      <w:ind w:firstLine="560" w:firstLineChars="200"/>
    </w:pPr>
    <w:rPr>
      <w:rFonts w:eastAsia="仿宋_GB2312"/>
      <w:sz w:val="28"/>
      <w:szCs w:val="20"/>
    </w:rPr>
  </w:style>
  <w:style w:type="paragraph" w:customStyle="1" w:styleId="55">
    <w:name w:val="2006表格"/>
    <w:basedOn w:val="1"/>
    <w:autoRedefine/>
    <w:qFormat/>
    <w:uiPriority w:val="0"/>
    <w:pPr>
      <w:spacing w:line="240" w:lineRule="atLeast"/>
      <w:jc w:val="center"/>
    </w:pPr>
  </w:style>
  <w:style w:type="paragraph" w:styleId="56">
    <w:name w:val="List Paragraph"/>
    <w:basedOn w:val="1"/>
    <w:autoRedefine/>
    <w:qFormat/>
    <w:uiPriority w:val="1"/>
    <w:pPr>
      <w:spacing w:before="158"/>
      <w:ind w:left="1830" w:hanging="602"/>
    </w:pPr>
    <w:rPr>
      <w:rFonts w:ascii="宋体" w:hAnsi="宋体" w:cs="宋体"/>
      <w:lang w:val="zh-CN" w:bidi="zh-CN"/>
    </w:rPr>
  </w:style>
  <w:style w:type="paragraph" w:customStyle="1" w:styleId="57">
    <w:name w:val="表格"/>
    <w:basedOn w:val="1"/>
    <w:next w:val="1"/>
    <w:autoRedefine/>
    <w:qFormat/>
    <w:uiPriority w:val="0"/>
    <w:pPr>
      <w:adjustRightInd w:val="0"/>
      <w:snapToGrid w:val="0"/>
      <w:spacing w:beforeLines="10" w:afterLines="10" w:line="259" w:lineRule="auto"/>
      <w:jc w:val="center"/>
    </w:pPr>
    <w:rPr>
      <w:rFonts w:ascii="宋体"/>
      <w:kern w:val="0"/>
      <w:szCs w:val="20"/>
    </w:rPr>
  </w:style>
  <w:style w:type="paragraph" w:customStyle="1" w:styleId="58">
    <w:name w:val="样式1"/>
    <w:basedOn w:val="18"/>
    <w:autoRedefine/>
    <w:qFormat/>
    <w:uiPriority w:val="0"/>
    <w:pPr>
      <w:pBdr>
        <w:bottom w:val="none" w:color="auto" w:sz="0" w:space="0"/>
      </w:pBdr>
      <w:jc w:val="left"/>
    </w:pPr>
    <w:rPr>
      <w:sz w:val="21"/>
      <w:szCs w:val="21"/>
    </w:rPr>
  </w:style>
  <w:style w:type="paragraph" w:customStyle="1" w:styleId="59">
    <w:name w:val="小四正文格式"/>
    <w:basedOn w:val="1"/>
    <w:autoRedefine/>
    <w:qFormat/>
    <w:uiPriority w:val="0"/>
    <w:pPr>
      <w:spacing w:line="360" w:lineRule="auto"/>
      <w:ind w:firstLine="200" w:firstLineChars="200"/>
    </w:pPr>
    <w:rPr>
      <w:rFonts w:ascii="宋体" w:hAnsi="宋体"/>
    </w:rPr>
  </w:style>
  <w:style w:type="paragraph" w:customStyle="1" w:styleId="60">
    <w:name w:val="样式"/>
    <w:basedOn w:val="1"/>
    <w:autoRedefine/>
    <w:qFormat/>
    <w:uiPriority w:val="0"/>
    <w:pPr>
      <w:spacing w:beforeLines="30" w:line="500" w:lineRule="exact"/>
      <w:ind w:firstLine="473"/>
      <w:outlineLvl w:val="0"/>
    </w:pPr>
    <w:rPr>
      <w:rFonts w:ascii="黑体" w:hAnsi="宋体" w:eastAsia="黑体"/>
      <w:b/>
      <w:kern w:val="0"/>
    </w:rPr>
  </w:style>
  <w:style w:type="paragraph" w:customStyle="1" w:styleId="61">
    <w:name w:val="5表头"/>
    <w:basedOn w:val="1"/>
    <w:autoRedefine/>
    <w:qFormat/>
    <w:uiPriority w:val="0"/>
    <w:pPr>
      <w:adjustRightInd w:val="0"/>
      <w:snapToGrid w:val="0"/>
      <w:spacing w:line="320" w:lineRule="exact"/>
      <w:jc w:val="center"/>
    </w:pPr>
  </w:style>
  <w:style w:type="paragraph" w:customStyle="1" w:styleId="62">
    <w:name w:val="Default1"/>
    <w:autoRedefine/>
    <w:qFormat/>
    <w:uiPriority w:val="99"/>
    <w:pPr>
      <w:widowControl w:val="0"/>
      <w:autoSpaceDE w:val="0"/>
      <w:autoSpaceDN w:val="0"/>
      <w:adjustRightInd w:val="0"/>
    </w:pPr>
    <w:rPr>
      <w:rFonts w:ascii="宋体" w:hAnsi="Times New Roman" w:eastAsia="微软雅黑" w:cs="宋体"/>
      <w:color w:val="000000"/>
      <w:sz w:val="24"/>
      <w:szCs w:val="24"/>
      <w:lang w:val="en-US" w:eastAsia="zh-CN" w:bidi="ar-SA"/>
    </w:rPr>
  </w:style>
  <w:style w:type="paragraph" w:customStyle="1" w:styleId="63">
    <w:name w:val="图表题"/>
    <w:basedOn w:val="1"/>
    <w:next w:val="1"/>
    <w:autoRedefine/>
    <w:qFormat/>
    <w:uiPriority w:val="0"/>
    <w:pPr>
      <w:adjustRightInd w:val="0"/>
      <w:snapToGrid w:val="0"/>
      <w:spacing w:line="360" w:lineRule="auto"/>
      <w:jc w:val="center"/>
    </w:pPr>
    <w:rPr>
      <w:rFonts w:eastAsia="黑体"/>
      <w:sz w:val="24"/>
      <w:szCs w:val="20"/>
    </w:rPr>
  </w:style>
  <w:style w:type="paragraph" w:customStyle="1" w:styleId="64">
    <w:name w:val="项目正文，无格式"/>
    <w:basedOn w:val="1"/>
    <w:autoRedefine/>
    <w:qFormat/>
    <w:uiPriority w:val="0"/>
    <w:pPr>
      <w:jc w:val="center"/>
    </w:pPr>
    <w:rPr>
      <w:szCs w:val="18"/>
    </w:rPr>
  </w:style>
  <w:style w:type="paragraph" w:customStyle="1" w:styleId="65">
    <w:name w:val="萝卜"/>
    <w:basedOn w:val="1"/>
    <w:autoRedefine/>
    <w:qFormat/>
    <w:uiPriority w:val="0"/>
    <w:pPr>
      <w:tabs>
        <w:tab w:val="left" w:pos="540"/>
      </w:tabs>
      <w:spacing w:line="360" w:lineRule="auto"/>
      <w:ind w:firstLine="200" w:firstLineChars="200"/>
    </w:pPr>
    <w:rPr>
      <w:sz w:val="24"/>
    </w:rPr>
  </w:style>
  <w:style w:type="paragraph" w:customStyle="1" w:styleId="66">
    <w:name w:val="0 正文"/>
    <w:basedOn w:val="1"/>
    <w:autoRedefine/>
    <w:qFormat/>
    <w:uiPriority w:val="0"/>
    <w:pPr>
      <w:ind w:firstLine="200" w:firstLineChars="200"/>
    </w:pPr>
    <w:rPr>
      <w:kern w:val="0"/>
    </w:rPr>
  </w:style>
  <w:style w:type="paragraph" w:customStyle="1" w:styleId="67">
    <w:name w:val="xl31"/>
    <w:basedOn w:val="1"/>
    <w:autoRedefine/>
    <w:qFormat/>
    <w:uiPriority w:val="0"/>
    <w:pPr>
      <w:widowControl/>
      <w:spacing w:before="100" w:beforeAutospacing="1" w:after="100" w:afterAutospacing="1"/>
      <w:jc w:val="center"/>
      <w:textAlignment w:val="center"/>
    </w:pPr>
    <w:rPr>
      <w:rFonts w:ascii="Arial Unicode MS" w:hAnsi="Arial Unicode MS"/>
      <w:kern w:val="0"/>
      <w:sz w:val="24"/>
    </w:rPr>
  </w:style>
  <w:style w:type="paragraph" w:customStyle="1" w:styleId="68">
    <w:name w:val="1_正文"/>
    <w:basedOn w:val="1"/>
    <w:autoRedefine/>
    <w:qFormat/>
    <w:uiPriority w:val="0"/>
    <w:pPr>
      <w:adjustRightInd w:val="0"/>
      <w:snapToGrid w:val="0"/>
      <w:ind w:firstLine="480"/>
    </w:pPr>
    <w:rPr>
      <w:color w:val="000000"/>
    </w:rPr>
  </w:style>
  <w:style w:type="paragraph" w:styleId="69">
    <w:name w:val="No Spacing"/>
    <w:autoRedefine/>
    <w:qFormat/>
    <w:uiPriority w:val="1"/>
    <w:rPr>
      <w:rFonts w:ascii="Calibri" w:hAnsi="Calibri" w:eastAsia="宋体" w:cs="Times New Roman"/>
      <w:sz w:val="22"/>
      <w:szCs w:val="22"/>
      <w:lang w:val="en-US" w:eastAsia="zh-CN" w:bidi="ar-SA"/>
    </w:rPr>
  </w:style>
  <w:style w:type="paragraph" w:customStyle="1" w:styleId="70">
    <w:name w:val="表格2"/>
    <w:basedOn w:val="1"/>
    <w:autoRedefine/>
    <w:qFormat/>
    <w:uiPriority w:val="0"/>
    <w:pPr>
      <w:adjustRightInd w:val="0"/>
      <w:snapToGrid w:val="0"/>
      <w:jc w:val="center"/>
    </w:pPr>
  </w:style>
  <w:style w:type="paragraph" w:customStyle="1" w:styleId="71">
    <w:name w:val="表内内容"/>
    <w:basedOn w:val="1"/>
    <w:autoRedefine/>
    <w:qFormat/>
    <w:uiPriority w:val="0"/>
    <w:pPr>
      <w:jc w:val="center"/>
    </w:pPr>
  </w:style>
  <w:style w:type="paragraph" w:customStyle="1" w:styleId="72">
    <w:name w:val="4表格内容"/>
    <w:basedOn w:val="1"/>
    <w:autoRedefine/>
    <w:qFormat/>
    <w:uiPriority w:val="0"/>
    <w:pPr>
      <w:adjustRightInd w:val="0"/>
      <w:snapToGrid w:val="0"/>
      <w:jc w:val="center"/>
    </w:pPr>
    <w:rPr>
      <w:bCs/>
      <w:kern w:val="44"/>
    </w:rPr>
  </w:style>
  <w:style w:type="paragraph" w:customStyle="1" w:styleId="73">
    <w:name w:val="惠泽正文"/>
    <w:basedOn w:val="1"/>
    <w:autoRedefine/>
    <w:qFormat/>
    <w:uiPriority w:val="0"/>
    <w:pPr>
      <w:spacing w:line="480" w:lineRule="exact"/>
      <w:ind w:firstLine="480" w:firstLineChars="200"/>
    </w:pPr>
    <w:rPr>
      <w:rFonts w:hAnsi="宋体" w:cs="宋体"/>
      <w:sz w:val="24"/>
      <w:szCs w:val="20"/>
    </w:rPr>
  </w:style>
  <w:style w:type="paragraph" w:customStyle="1" w:styleId="74">
    <w:name w:val="样式 样式 样式 首行缩进:  1 字符 + 首行缩进:  2 字符2 + 首行缩进:  2 字符"/>
    <w:basedOn w:val="1"/>
    <w:autoRedefine/>
    <w:qFormat/>
    <w:uiPriority w:val="0"/>
    <w:pPr>
      <w:ind w:firstLine="480" w:firstLineChars="200"/>
    </w:pPr>
    <w:rPr>
      <w:rFonts w:ascii="宋体" w:hAnsi="宋体"/>
      <w:szCs w:val="20"/>
    </w:rPr>
  </w:style>
  <w:style w:type="paragraph" w:customStyle="1" w:styleId="75">
    <w:name w:val="报告表格"/>
    <w:basedOn w:val="1"/>
    <w:autoRedefine/>
    <w:qFormat/>
    <w:uiPriority w:val="0"/>
    <w:pPr>
      <w:autoSpaceDE w:val="0"/>
      <w:autoSpaceDN w:val="0"/>
      <w:adjustRightInd w:val="0"/>
      <w:spacing w:before="40" w:after="40"/>
      <w:jc w:val="center"/>
      <w:textAlignment w:val="bottom"/>
    </w:pPr>
    <w:rPr>
      <w:kern w:val="0"/>
      <w:szCs w:val="20"/>
    </w:rPr>
  </w:style>
  <w:style w:type="character" w:customStyle="1" w:styleId="76">
    <w:name w:val="Char"/>
    <w:autoRedefine/>
    <w:qFormat/>
    <w:uiPriority w:val="0"/>
    <w:rPr>
      <w:rFonts w:ascii="Arial" w:hAnsi="Arial" w:eastAsia="宋体" w:cs="Arial"/>
      <w:b/>
      <w:bCs/>
      <w:kern w:val="2"/>
      <w:sz w:val="32"/>
      <w:szCs w:val="32"/>
      <w:lang w:val="en-US" w:eastAsia="zh-CN" w:bidi="ar-SA"/>
    </w:rPr>
  </w:style>
  <w:style w:type="character" w:customStyle="1" w:styleId="77">
    <w:name w:val="批注框文本 Char"/>
    <w:basedOn w:val="31"/>
    <w:link w:val="16"/>
    <w:autoRedefine/>
    <w:qFormat/>
    <w:uiPriority w:val="0"/>
    <w:rPr>
      <w:kern w:val="2"/>
      <w:sz w:val="18"/>
      <w:szCs w:val="18"/>
    </w:rPr>
  </w:style>
  <w:style w:type="paragraph" w:customStyle="1" w:styleId="78">
    <w:name w:val="*正文"/>
    <w:basedOn w:val="1"/>
    <w:autoRedefine/>
    <w:qFormat/>
    <w:uiPriority w:val="0"/>
    <w:pPr>
      <w:keepNext w:val="0"/>
      <w:keepLines w:val="0"/>
      <w:widowControl w:val="0"/>
      <w:suppressLineNumbers w:val="0"/>
      <w:adjustRightInd w:val="0"/>
      <w:spacing w:before="0" w:beforeAutospacing="0" w:after="0" w:afterAutospacing="0" w:line="360" w:lineRule="auto"/>
      <w:ind w:left="0" w:right="0" w:firstLine="200" w:firstLineChars="200"/>
      <w:jc w:val="both"/>
    </w:pPr>
    <w:rPr>
      <w:rFonts w:hint="default" w:ascii="Times New Roman" w:hAnsi="Times New Roman" w:eastAsia="宋体" w:cs="仿宋_GB2312"/>
      <w:bCs/>
      <w:kern w:val="2"/>
      <w:sz w:val="24"/>
      <w:szCs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1.bin"/><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png"/><Relationship Id="rId15" Type="http://schemas.openxmlformats.org/officeDocument/2006/relationships/image" Target="media/image5.emf"/><Relationship Id="rId14" Type="http://schemas.openxmlformats.org/officeDocument/2006/relationships/oleObject" Target="embeddings/oleObject4.bin"/><Relationship Id="rId13" Type="http://schemas.openxmlformats.org/officeDocument/2006/relationships/image" Target="media/image4.emf"/><Relationship Id="rId12" Type="http://schemas.openxmlformats.org/officeDocument/2006/relationships/oleObject" Target="embeddings/oleObject3.bin"/><Relationship Id="rId11" Type="http://schemas.openxmlformats.org/officeDocument/2006/relationships/image" Target="media/image3.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4"/>
    <customShpInfo spid="_x0000_s2052"/>
    <customShpInfo spid="_x0000_s2051"/>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46258</Words>
  <Characters>52884</Characters>
  <Lines>104</Lines>
  <Paragraphs>116</Paragraphs>
  <TotalTime>24</TotalTime>
  <ScaleCrop>false</ScaleCrop>
  <LinksUpToDate>false</LinksUpToDate>
  <CharactersWithSpaces>52891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2023-12-10T04:09:00Z</dcterms:created>
  <dc:creator>再见再也不见1414503620</dc:creator>
  <cp:lastModifiedBy>Fairy Tale.</cp:lastModifiedBy>
  <cp:lastPrinted>2023-12-10T04:07:00Z</cp:lastPrinted>
  <dcterms:modified xsi:type="dcterms:W3CDTF">2024-04-09T08:59:24Z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5973DBBB65494843853BC8A5E48FCE75_13</vt:lpwstr>
  </property>
  <property fmtid="{D5CDD505-2E9C-101B-9397-08002B2CF9AE}" pid="4" name="commondata">
    <vt:lpwstr>eyJoZGlkIjoiMDhlNjFlMzBkODYyNTdkNmRiZWI3MGUzYzgxNTNkNWYifQ==</vt:lpwstr>
  </property>
</Properties>
</file>