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_GB2312" w:eastAsia="仿宋_GB2312" w:cs="仿宋_GB2312"/>
          <w:color w:val="auto"/>
          <w:sz w:val="36"/>
          <w:szCs w:val="36"/>
        </w:rPr>
      </w:pPr>
      <w:bookmarkStart w:id="0" w:name="_Hlk57883707"/>
    </w:p>
    <w:p>
      <w:pPr>
        <w:jc w:val="center"/>
        <w:rPr>
          <w:rFonts w:ascii="仿宋_GB2312" w:hAnsi="仿宋_GB2312" w:eastAsia="仿宋_GB2312" w:cs="仿宋_GB2312"/>
          <w:color w:val="auto"/>
          <w:sz w:val="36"/>
          <w:szCs w:val="36"/>
        </w:rPr>
      </w:pPr>
    </w:p>
    <w:p>
      <w:pPr>
        <w:jc w:val="center"/>
        <w:rPr>
          <w:rFonts w:ascii="仿宋_GB2312" w:hAnsi="仿宋_GB2312" w:eastAsia="仿宋_GB2312" w:cs="仿宋_GB2312"/>
          <w:color w:val="auto"/>
          <w:sz w:val="36"/>
          <w:szCs w:val="36"/>
        </w:rPr>
      </w:pPr>
    </w:p>
    <w:p>
      <w:pPr>
        <w:jc w:val="center"/>
        <w:rPr>
          <w:rFonts w:ascii="仿宋_GB2312" w:hAnsi="仿宋_GB2312" w:eastAsia="仿宋_GB2312" w:cs="仿宋_GB2312"/>
          <w:color w:val="auto"/>
          <w:sz w:val="36"/>
          <w:szCs w:val="36"/>
        </w:rPr>
      </w:pPr>
    </w:p>
    <w:bookmarkEnd w:id="0"/>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（生态影响类）</w:t>
      </w:r>
    </w:p>
    <w:p>
      <w:pPr>
        <w:jc w:val="center"/>
        <w:rPr>
          <w:rFonts w:ascii="华文仿宋" w:hAnsi="华文仿宋" w:eastAsia="华文仿宋" w:cs="华文仿宋"/>
          <w:color w:val="auto"/>
          <w:kern w:val="44"/>
          <w:sz w:val="44"/>
          <w:szCs w:val="44"/>
        </w:rPr>
      </w:pPr>
      <w:bookmarkStart w:id="1" w:name="_Hlk57883728"/>
    </w:p>
    <w:p>
      <w:pPr>
        <w:jc w:val="center"/>
        <w:rPr>
          <w:rFonts w:eastAsia="仿宋"/>
          <w:color w:val="auto"/>
          <w:sz w:val="44"/>
          <w:szCs w:val="44"/>
        </w:rPr>
      </w:pPr>
    </w:p>
    <w:p>
      <w:pPr>
        <w:jc w:val="center"/>
        <w:rPr>
          <w:rFonts w:eastAsia="仿宋"/>
          <w:color w:val="auto"/>
          <w:sz w:val="44"/>
          <w:szCs w:val="44"/>
        </w:rPr>
      </w:pPr>
    </w:p>
    <w:p>
      <w:pPr>
        <w:jc w:val="center"/>
        <w:rPr>
          <w:rFonts w:eastAsia="仿宋"/>
          <w:color w:val="auto"/>
          <w:sz w:val="44"/>
          <w:szCs w:val="44"/>
        </w:rPr>
      </w:pPr>
    </w:p>
    <w:p>
      <w:pPr>
        <w:jc w:val="center"/>
        <w:rPr>
          <w:rFonts w:eastAsia="仿宋"/>
          <w:color w:val="auto"/>
          <w:sz w:val="44"/>
          <w:szCs w:val="44"/>
        </w:rPr>
      </w:pPr>
    </w:p>
    <w:p>
      <w:pPr>
        <w:pStyle w:val="9"/>
        <w:jc w:val="center"/>
        <w:rPr>
          <w:rFonts w:eastAsia="仿宋"/>
          <w:color w:val="auto"/>
          <w:sz w:val="44"/>
          <w:szCs w:val="44"/>
        </w:rPr>
      </w:pPr>
    </w:p>
    <w:p>
      <w:pPr>
        <w:pStyle w:val="9"/>
        <w:jc w:val="center"/>
        <w:rPr>
          <w:rFonts w:eastAsia="仿宋"/>
          <w:color w:val="auto"/>
          <w:sz w:val="44"/>
          <w:szCs w:val="44"/>
        </w:rPr>
      </w:pPr>
    </w:p>
    <w:p>
      <w:pPr>
        <w:pStyle w:val="9"/>
        <w:jc w:val="both"/>
        <w:rPr>
          <w:rFonts w:eastAsia="仿宋"/>
          <w:color w:val="auto"/>
          <w:sz w:val="44"/>
          <w:szCs w:val="44"/>
        </w:rPr>
      </w:pPr>
    </w:p>
    <w:bookmarkEnd w:id="1"/>
    <w:p>
      <w:pPr>
        <w:adjustRightInd w:val="0"/>
        <w:snapToGrid w:val="0"/>
        <w:spacing w:line="288" w:lineRule="auto"/>
        <w:ind w:left="2518" w:leftChars="342" w:hanging="1800" w:hangingChars="500"/>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lang w:eastAsia="zh-CN"/>
        </w:rPr>
        <w:t>泾河新城滨河北路（茶马大道</w:t>
      </w:r>
      <w:r>
        <w:rPr>
          <w:rFonts w:hint="eastAsia" w:eastAsia="仿宋_GB2312" w:cs="Times New Roman"/>
          <w:color w:val="auto"/>
          <w:sz w:val="36"/>
          <w:szCs w:val="36"/>
          <w:u w:val="single"/>
          <w:lang w:eastAsia="zh-CN"/>
        </w:rPr>
        <w:t>－</w:t>
      </w:r>
      <w:r>
        <w:rPr>
          <w:rFonts w:hint="default" w:ascii="Times New Roman" w:hAnsi="Times New Roman" w:eastAsia="仿宋_GB2312" w:cs="Times New Roman"/>
          <w:color w:val="auto"/>
          <w:sz w:val="36"/>
          <w:szCs w:val="36"/>
          <w:u w:val="single"/>
          <w:lang w:eastAsia="zh-CN"/>
        </w:rPr>
        <w:t>泾河二街）市政道路工程</w:t>
      </w:r>
      <w:r>
        <w:rPr>
          <w:rFonts w:hint="default"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left="3958" w:leftChars="342" w:hanging="3240" w:hangingChars="900"/>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lang w:val="en-US" w:eastAsia="zh-CN"/>
        </w:rPr>
        <w:t xml:space="preserve">陕西西咸新区泾河新城城市建设投资有限公司               </w:t>
      </w:r>
    </w:p>
    <w:p>
      <w:pPr>
        <w:adjustRightInd w:val="0"/>
        <w:snapToGrid w:val="0"/>
        <w:spacing w:line="288" w:lineRule="auto"/>
        <w:ind w:firstLine="720" w:firstLineChars="200"/>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202</w:t>
      </w:r>
      <w:r>
        <w:rPr>
          <w:rFonts w:hint="eastAsia" w:eastAsia="仿宋_GB2312" w:cs="Times New Roman"/>
          <w:color w:val="auto"/>
          <w:sz w:val="36"/>
          <w:szCs w:val="36"/>
          <w:u w:val="single"/>
          <w:lang w:val="en-US" w:eastAsia="zh-CN"/>
        </w:rPr>
        <w:t>4</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1</w:t>
      </w:r>
      <w:r>
        <w:rPr>
          <w:rFonts w:hint="default" w:ascii="Times New Roman" w:hAnsi="Times New Roman" w:eastAsia="仿宋_GB2312" w:cs="Times New Roman"/>
          <w:color w:val="auto"/>
          <w:sz w:val="36"/>
          <w:szCs w:val="36"/>
          <w:u w:val="single"/>
        </w:rPr>
        <w:t xml:space="preserve">月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jc w:val="center"/>
        <w:rPr>
          <w:rFonts w:ascii="仿宋_GB2312" w:eastAsia="仿宋_GB2312"/>
          <w:color w:val="auto"/>
          <w:sz w:val="36"/>
          <w:szCs w:val="36"/>
          <w:u w:val="single"/>
        </w:rPr>
      </w:pPr>
    </w:p>
    <w:p>
      <w:pPr>
        <w:adjustRightInd w:val="0"/>
        <w:snapToGrid w:val="0"/>
        <w:spacing w:line="288" w:lineRule="auto"/>
        <w:jc w:val="center"/>
        <w:rPr>
          <w:rFonts w:ascii="仿宋_GB2312" w:eastAsia="仿宋_GB2312"/>
          <w:color w:val="auto"/>
          <w:sz w:val="36"/>
          <w:szCs w:val="36"/>
        </w:rPr>
      </w:pPr>
    </w:p>
    <w:p>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23"/>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49"/>
        <w:gridCol w:w="2665"/>
        <w:gridCol w:w="2194"/>
        <w:gridCol w:w="9"/>
        <w:gridCol w:w="28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建设项目名称</w:t>
            </w:r>
          </w:p>
        </w:tc>
        <w:tc>
          <w:tcPr>
            <w:tcW w:w="7475" w:type="dxa"/>
            <w:gridSpan w:val="4"/>
            <w:vAlign w:val="center"/>
          </w:tcPr>
          <w:p>
            <w:pPr>
              <w:adjustRightInd w:val="0"/>
              <w:snapToGrid w:val="0"/>
              <w:jc w:val="center"/>
              <w:rPr>
                <w:rFonts w:hint="eastAsia" w:eastAsia="宋体"/>
                <w:color w:val="auto"/>
                <w:sz w:val="24"/>
                <w:szCs w:val="24"/>
                <w:lang w:eastAsia="zh-CN"/>
              </w:rPr>
            </w:pPr>
            <w:r>
              <w:rPr>
                <w:rFonts w:hint="eastAsia" w:eastAsia="宋体"/>
                <w:color w:val="auto"/>
                <w:sz w:val="24"/>
                <w:szCs w:val="24"/>
                <w:lang w:eastAsia="zh-CN"/>
              </w:rPr>
              <w:t>泾河新城滨河北路（茶马大道</w:t>
            </w:r>
            <w:r>
              <w:rPr>
                <w:rFonts w:hint="eastAsia"/>
                <w:color w:val="auto"/>
                <w:sz w:val="24"/>
                <w:szCs w:val="24"/>
                <w:lang w:eastAsia="zh-CN"/>
              </w:rPr>
              <w:t>－</w:t>
            </w:r>
            <w:r>
              <w:rPr>
                <w:rFonts w:hint="eastAsia" w:eastAsia="宋体"/>
                <w:color w:val="auto"/>
                <w:sz w:val="24"/>
                <w:szCs w:val="24"/>
                <w:lang w:eastAsia="zh-CN"/>
              </w:rPr>
              <w:t>泾河二街）市政道路工程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项目代码</w:t>
            </w:r>
          </w:p>
        </w:tc>
        <w:tc>
          <w:tcPr>
            <w:tcW w:w="7475" w:type="dxa"/>
            <w:gridSpan w:val="4"/>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2107-611206-04-01-346195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建设单位联系人</w:t>
            </w:r>
          </w:p>
        </w:tc>
        <w:tc>
          <w:tcPr>
            <w:tcW w:w="2705" w:type="dxa"/>
            <w:vAlign w:val="center"/>
          </w:tcPr>
          <w:p>
            <w:pPr>
              <w:adjustRightInd w:val="0"/>
              <w:snapToGrid w:val="0"/>
              <w:jc w:val="center"/>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许睿媛</w:t>
            </w:r>
          </w:p>
        </w:tc>
        <w:tc>
          <w:tcPr>
            <w:tcW w:w="2228" w:type="dxa"/>
            <w:gridSpan w:val="2"/>
            <w:vAlign w:val="center"/>
          </w:tcPr>
          <w:p>
            <w:pPr>
              <w:adjustRightInd w:val="0"/>
              <w:snapToGrid w:val="0"/>
              <w:jc w:val="center"/>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联系方式</w:t>
            </w:r>
          </w:p>
        </w:tc>
        <w:tc>
          <w:tcPr>
            <w:tcW w:w="2542" w:type="dxa"/>
            <w:vAlign w:val="center"/>
          </w:tcPr>
          <w:p>
            <w:pPr>
              <w:adjustRightInd w:val="0"/>
              <w:snapToGrid w:val="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18089267362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3"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建设地点</w:t>
            </w:r>
          </w:p>
        </w:tc>
        <w:tc>
          <w:tcPr>
            <w:tcW w:w="7475" w:type="dxa"/>
            <w:gridSpan w:val="4"/>
            <w:vAlign w:val="center"/>
          </w:tcPr>
          <w:p>
            <w:pPr>
              <w:adjustRightInd w:val="0"/>
              <w:snapToGrid w:val="0"/>
              <w:jc w:val="center"/>
              <w:rPr>
                <w:rFonts w:hint="default" w:eastAsia="宋体"/>
                <w:color w:val="auto"/>
                <w:sz w:val="24"/>
                <w:szCs w:val="24"/>
                <w:u w:val="single"/>
                <w:lang w:val="en-US" w:eastAsia="zh-CN"/>
              </w:rPr>
            </w:pPr>
            <w:r>
              <w:rPr>
                <w:rFonts w:hint="eastAsia"/>
                <w:color w:val="auto"/>
                <w:sz w:val="24"/>
                <w:szCs w:val="24"/>
                <w:u w:val="none"/>
              </w:rPr>
              <w:t>陕西省</w:t>
            </w:r>
            <w:r>
              <w:rPr>
                <w:rFonts w:hint="eastAsia"/>
                <w:color w:val="auto"/>
                <w:sz w:val="24"/>
                <w:szCs w:val="24"/>
                <w:u w:val="none"/>
                <w:lang w:val="en-US" w:eastAsia="zh-CN"/>
              </w:rPr>
              <w:t>西咸新区</w:t>
            </w:r>
            <w:r>
              <w:rPr>
                <w:rFonts w:hint="eastAsia" w:cs="Times New Roman"/>
                <w:color w:val="auto"/>
                <w:sz w:val="24"/>
                <w:szCs w:val="24"/>
                <w:u w:val="none"/>
                <w:lang w:val="en-US" w:eastAsia="zh-CN"/>
              </w:rPr>
              <w:t>泾河新城泾河湾院士科创区南部，泾河北岸，西起茶马大道，东至泾河二街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地理坐标</w:t>
            </w:r>
          </w:p>
        </w:tc>
        <w:tc>
          <w:tcPr>
            <w:tcW w:w="7475" w:type="dxa"/>
            <w:gridSpan w:val="4"/>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4"/>
                <w:szCs w:val="24"/>
                <w:lang w:eastAsia="zh-CN"/>
              </w:rPr>
            </w:pPr>
            <w:r>
              <w:rPr>
                <w:color w:val="auto"/>
                <w:sz w:val="21"/>
                <w:szCs w:val="21"/>
              </w:rPr>
              <w:t>起点（</w:t>
            </w:r>
            <w:r>
              <w:rPr>
                <w:rFonts w:hint="default" w:ascii="Times New Roman" w:hAnsi="Times New Roman" w:cs="Times New Roman"/>
                <w:color w:val="auto"/>
                <w:sz w:val="21"/>
                <w:szCs w:val="21"/>
                <w:vertAlign w:val="baseline"/>
                <w:lang w:eastAsia="zh-CN"/>
              </w:rPr>
              <w:t>108°54′1.44</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eastAsia="zh-CN"/>
              </w:rPr>
              <w:t>″</w:t>
            </w:r>
            <w:r>
              <w:rPr>
                <w:color w:val="auto"/>
                <w:sz w:val="21"/>
                <w:szCs w:val="21"/>
              </w:rPr>
              <w:t>，</w:t>
            </w:r>
            <w:r>
              <w:rPr>
                <w:rFonts w:hint="default" w:ascii="Times New Roman" w:hAnsi="Times New Roman" w:cs="Times New Roman"/>
                <w:color w:val="auto"/>
                <w:sz w:val="21"/>
                <w:szCs w:val="21"/>
                <w:vertAlign w:val="baseline"/>
                <w:lang w:eastAsia="zh-CN"/>
              </w:rPr>
              <w:t>34°29′46.27</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eastAsia="zh-CN"/>
              </w:rPr>
              <w:t>″</w:t>
            </w:r>
            <w:r>
              <w:rPr>
                <w:color w:val="auto"/>
                <w:sz w:val="21"/>
                <w:szCs w:val="21"/>
              </w:rPr>
              <w:t>）、终点（</w:t>
            </w:r>
            <w:r>
              <w:rPr>
                <w:rFonts w:hint="default" w:ascii="Times New Roman" w:hAnsi="Times New Roman" w:cs="Times New Roman"/>
                <w:color w:val="auto"/>
                <w:sz w:val="21"/>
                <w:szCs w:val="21"/>
                <w:vertAlign w:val="baseline"/>
                <w:lang w:eastAsia="zh-CN"/>
              </w:rPr>
              <w:t>108°55′47.89</w:t>
            </w:r>
            <w:r>
              <w:rPr>
                <w:rFonts w:hint="eastAsia"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eastAsia="zh-CN"/>
              </w:rPr>
              <w:t>″</w:t>
            </w:r>
            <w:r>
              <w:rPr>
                <w:color w:val="auto"/>
                <w:sz w:val="21"/>
                <w:szCs w:val="21"/>
              </w:rPr>
              <w:t>，</w:t>
            </w:r>
            <w:r>
              <w:rPr>
                <w:rFonts w:hint="default" w:ascii="Times New Roman" w:hAnsi="Times New Roman" w:cs="Times New Roman"/>
                <w:color w:val="auto"/>
                <w:sz w:val="21"/>
                <w:szCs w:val="21"/>
                <w:vertAlign w:val="baseline"/>
                <w:lang w:eastAsia="zh-CN"/>
              </w:rPr>
              <w:t>34°29′21.95</w:t>
            </w:r>
            <w:r>
              <w:rPr>
                <w:rFonts w:hint="eastAsia"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eastAsia="zh-CN"/>
              </w:rPr>
              <w:t>″</w:t>
            </w: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6"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建设项目</w:t>
            </w:r>
          </w:p>
          <w:p>
            <w:pPr>
              <w:adjustRightInd w:val="0"/>
              <w:snapToGrid w:val="0"/>
              <w:jc w:val="center"/>
              <w:rPr>
                <w:color w:val="auto"/>
                <w:sz w:val="24"/>
                <w:szCs w:val="24"/>
              </w:rPr>
            </w:pPr>
            <w:r>
              <w:rPr>
                <w:color w:val="auto"/>
                <w:sz w:val="24"/>
                <w:szCs w:val="24"/>
              </w:rPr>
              <w:t>行业类别</w:t>
            </w:r>
          </w:p>
        </w:tc>
        <w:tc>
          <w:tcPr>
            <w:tcW w:w="2705" w:type="dxa"/>
            <w:vAlign w:val="center"/>
          </w:tcPr>
          <w:p>
            <w:pPr>
              <w:adjustRightInd w:val="0"/>
              <w:snapToGrid w:val="0"/>
              <w:jc w:val="center"/>
              <w:rPr>
                <w:rFonts w:hint="default" w:eastAsia="宋体"/>
                <w:color w:val="auto"/>
                <w:sz w:val="24"/>
                <w:szCs w:val="24"/>
                <w:lang w:val="en-US" w:eastAsia="zh-CN"/>
              </w:rPr>
            </w:pPr>
            <w:r>
              <w:rPr>
                <w:color w:val="auto"/>
                <w:sz w:val="24"/>
                <w:szCs w:val="24"/>
              </w:rPr>
              <w:t>五十二、交通运输业、管道运输业</w:t>
            </w:r>
            <w:r>
              <w:rPr>
                <w:rFonts w:hint="eastAsia"/>
                <w:color w:val="auto"/>
                <w:sz w:val="24"/>
                <w:szCs w:val="24"/>
                <w:lang w:val="en-US" w:eastAsia="zh-CN"/>
              </w:rPr>
              <w:t>-</w:t>
            </w:r>
            <w:r>
              <w:rPr>
                <w:color w:val="auto"/>
                <w:sz w:val="24"/>
                <w:szCs w:val="24"/>
              </w:rPr>
              <w:t>13</w:t>
            </w:r>
            <w:r>
              <w:rPr>
                <w:rFonts w:hint="eastAsia"/>
                <w:color w:val="auto"/>
                <w:sz w:val="24"/>
                <w:szCs w:val="24"/>
                <w:lang w:val="en-US" w:eastAsia="zh-CN"/>
              </w:rPr>
              <w:t>1城市道路</w:t>
            </w:r>
            <w:r>
              <w:rPr>
                <w:rFonts w:hint="eastAsia" w:ascii="宋体" w:hAnsi="宋体" w:eastAsia="宋体" w:cs="宋体"/>
                <w:color w:val="auto"/>
                <w:sz w:val="24"/>
                <w:szCs w:val="24"/>
                <w:lang w:val="en-US" w:eastAsia="zh-CN"/>
              </w:rPr>
              <w:t>(不含维护；不含支路、人行天桥、人行地道)</w:t>
            </w:r>
          </w:p>
        </w:tc>
        <w:tc>
          <w:tcPr>
            <w:tcW w:w="2218" w:type="dxa"/>
            <w:vAlign w:val="center"/>
          </w:tcPr>
          <w:p>
            <w:pPr>
              <w:adjustRightInd w:val="0"/>
              <w:snapToGrid w:val="0"/>
              <w:jc w:val="center"/>
              <w:rPr>
                <w:color w:val="auto"/>
                <w:sz w:val="24"/>
                <w:szCs w:val="24"/>
                <w:highlight w:val="none"/>
              </w:rPr>
            </w:pPr>
            <w:r>
              <w:rPr>
                <w:color w:val="auto"/>
                <w:sz w:val="24"/>
                <w:szCs w:val="24"/>
                <w:highlight w:val="none"/>
              </w:rPr>
              <w:t>用地（用海）面积（m</w:t>
            </w:r>
            <w:r>
              <w:rPr>
                <w:color w:val="auto"/>
                <w:sz w:val="24"/>
                <w:szCs w:val="24"/>
                <w:highlight w:val="none"/>
                <w:vertAlign w:val="superscript"/>
              </w:rPr>
              <w:t>2</w:t>
            </w:r>
            <w:r>
              <w:rPr>
                <w:color w:val="auto"/>
                <w:sz w:val="24"/>
                <w:szCs w:val="24"/>
                <w:highlight w:val="none"/>
              </w:rPr>
              <w:t>）/长度（km）</w:t>
            </w:r>
          </w:p>
        </w:tc>
        <w:tc>
          <w:tcPr>
            <w:tcW w:w="2552" w:type="dxa"/>
            <w:gridSpan w:val="2"/>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188932/3.0297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建设性质</w:t>
            </w:r>
          </w:p>
        </w:tc>
        <w:tc>
          <w:tcPr>
            <w:tcW w:w="2705" w:type="dxa"/>
            <w:vAlign w:val="center"/>
          </w:tcPr>
          <w:p>
            <w:pPr>
              <w:adjustRightInd w:val="0"/>
              <w:snapToGrid w:val="0"/>
              <w:jc w:val="left"/>
              <w:rPr>
                <w:color w:val="auto"/>
                <w:sz w:val="24"/>
                <w:szCs w:val="24"/>
              </w:rPr>
            </w:pPr>
            <w:r>
              <w:rPr>
                <w:color w:val="auto"/>
                <w:sz w:val="24"/>
                <w:szCs w:val="24"/>
              </w:rPr>
              <w:sym w:font="Wingdings 2" w:char="0052"/>
            </w:r>
            <w:r>
              <w:rPr>
                <w:color w:val="auto"/>
                <w:sz w:val="24"/>
                <w:szCs w:val="24"/>
              </w:rPr>
              <w:t>新建（迁建）</w:t>
            </w:r>
          </w:p>
          <w:p>
            <w:pPr>
              <w:adjustRightInd w:val="0"/>
              <w:snapToGrid w:val="0"/>
              <w:jc w:val="left"/>
              <w:rPr>
                <w:color w:val="auto"/>
                <w:sz w:val="24"/>
                <w:szCs w:val="24"/>
              </w:rPr>
            </w:pPr>
            <w:r>
              <w:rPr>
                <w:color w:val="auto"/>
                <w:sz w:val="24"/>
                <w:szCs w:val="24"/>
              </w:rPr>
              <w:sym w:font="Wingdings 2" w:char="00A3"/>
            </w:r>
            <w:r>
              <w:rPr>
                <w:color w:val="auto"/>
                <w:sz w:val="24"/>
                <w:szCs w:val="24"/>
              </w:rPr>
              <w:t>改建</w:t>
            </w:r>
          </w:p>
          <w:p>
            <w:pPr>
              <w:adjustRightInd w:val="0"/>
              <w:snapToGrid w:val="0"/>
              <w:jc w:val="left"/>
              <w:rPr>
                <w:color w:val="auto"/>
                <w:sz w:val="24"/>
                <w:szCs w:val="24"/>
              </w:rPr>
            </w:pPr>
            <w:r>
              <w:rPr>
                <w:color w:val="auto"/>
                <w:sz w:val="24"/>
                <w:szCs w:val="24"/>
              </w:rPr>
              <w:sym w:font="Wingdings 2" w:char="00A3"/>
            </w:r>
            <w:r>
              <w:rPr>
                <w:color w:val="auto"/>
                <w:sz w:val="24"/>
                <w:szCs w:val="24"/>
              </w:rPr>
              <w:t>扩建</w:t>
            </w:r>
          </w:p>
          <w:p>
            <w:pPr>
              <w:adjustRightInd w:val="0"/>
              <w:snapToGrid w:val="0"/>
              <w:jc w:val="left"/>
              <w:rPr>
                <w:color w:val="auto"/>
                <w:sz w:val="24"/>
                <w:szCs w:val="24"/>
              </w:rPr>
            </w:pPr>
            <w:r>
              <w:rPr>
                <w:color w:val="auto"/>
                <w:sz w:val="24"/>
                <w:szCs w:val="24"/>
              </w:rPr>
              <w:sym w:font="Wingdings 2" w:char="00A3"/>
            </w:r>
            <w:r>
              <w:rPr>
                <w:color w:val="auto"/>
                <w:sz w:val="24"/>
                <w:szCs w:val="24"/>
              </w:rPr>
              <w:t>技术改造</w:t>
            </w:r>
          </w:p>
        </w:tc>
        <w:tc>
          <w:tcPr>
            <w:tcW w:w="2218" w:type="dxa"/>
            <w:vAlign w:val="center"/>
          </w:tcPr>
          <w:p>
            <w:pPr>
              <w:adjustRightInd w:val="0"/>
              <w:snapToGrid w:val="0"/>
              <w:jc w:val="center"/>
              <w:rPr>
                <w:color w:val="auto"/>
                <w:sz w:val="24"/>
                <w:szCs w:val="24"/>
              </w:rPr>
            </w:pPr>
            <w:r>
              <w:rPr>
                <w:color w:val="auto"/>
                <w:sz w:val="24"/>
                <w:szCs w:val="24"/>
              </w:rPr>
              <w:t>建设项目</w:t>
            </w:r>
          </w:p>
          <w:p>
            <w:pPr>
              <w:adjustRightInd w:val="0"/>
              <w:snapToGrid w:val="0"/>
              <w:jc w:val="center"/>
              <w:rPr>
                <w:color w:val="auto"/>
                <w:sz w:val="24"/>
                <w:szCs w:val="24"/>
              </w:rPr>
            </w:pPr>
            <w:r>
              <w:rPr>
                <w:color w:val="auto"/>
                <w:sz w:val="24"/>
                <w:szCs w:val="24"/>
              </w:rPr>
              <w:t>申报情形</w:t>
            </w:r>
          </w:p>
        </w:tc>
        <w:tc>
          <w:tcPr>
            <w:tcW w:w="2552" w:type="dxa"/>
            <w:gridSpan w:val="2"/>
            <w:vAlign w:val="center"/>
          </w:tcPr>
          <w:p>
            <w:pPr>
              <w:adjustRightInd w:val="0"/>
              <w:snapToGrid w:val="0"/>
              <w:jc w:val="left"/>
              <w:rPr>
                <w:color w:val="auto"/>
                <w:sz w:val="24"/>
                <w:szCs w:val="24"/>
              </w:rPr>
            </w:pPr>
            <w:r>
              <w:rPr>
                <w:color w:val="auto"/>
                <w:sz w:val="24"/>
                <w:szCs w:val="24"/>
              </w:rPr>
              <w:sym w:font="Wingdings 2" w:char="0052"/>
            </w:r>
            <w:r>
              <w:rPr>
                <w:color w:val="auto"/>
                <w:sz w:val="24"/>
                <w:szCs w:val="24"/>
              </w:rPr>
              <w:t>首次申报项目</w:t>
            </w:r>
          </w:p>
          <w:p>
            <w:pPr>
              <w:adjustRightInd w:val="0"/>
              <w:snapToGrid w:val="0"/>
              <w:jc w:val="left"/>
              <w:rPr>
                <w:color w:val="auto"/>
                <w:sz w:val="24"/>
                <w:szCs w:val="24"/>
              </w:rPr>
            </w:pPr>
            <w:r>
              <w:rPr>
                <w:color w:val="auto"/>
                <w:sz w:val="24"/>
                <w:szCs w:val="24"/>
              </w:rPr>
              <w:sym w:font="Wingdings 2" w:char="00A3"/>
            </w:r>
            <w:r>
              <w:rPr>
                <w:color w:val="auto"/>
                <w:sz w:val="24"/>
                <w:szCs w:val="24"/>
              </w:rPr>
              <w:t>不予批准后再次申报项目</w:t>
            </w:r>
          </w:p>
          <w:p>
            <w:pPr>
              <w:adjustRightInd w:val="0"/>
              <w:snapToGrid w:val="0"/>
              <w:jc w:val="left"/>
              <w:rPr>
                <w:color w:val="auto"/>
                <w:sz w:val="24"/>
                <w:szCs w:val="24"/>
              </w:rPr>
            </w:pPr>
            <w:r>
              <w:rPr>
                <w:color w:val="auto"/>
                <w:sz w:val="24"/>
                <w:szCs w:val="24"/>
              </w:rPr>
              <w:sym w:font="Wingdings 2" w:char="00A3"/>
            </w:r>
            <w:r>
              <w:rPr>
                <w:color w:val="auto"/>
                <w:sz w:val="24"/>
                <w:szCs w:val="24"/>
              </w:rPr>
              <w:t>超五年重新审核项目</w:t>
            </w:r>
          </w:p>
          <w:p>
            <w:pPr>
              <w:adjustRightInd w:val="0"/>
              <w:snapToGrid w:val="0"/>
              <w:rPr>
                <w:color w:val="auto"/>
                <w:sz w:val="24"/>
                <w:szCs w:val="24"/>
              </w:rPr>
            </w:pPr>
            <w:r>
              <w:rPr>
                <w:color w:val="auto"/>
                <w:sz w:val="24"/>
                <w:szCs w:val="24"/>
              </w:rPr>
              <w:sym w:font="Wingdings 2" w:char="00A3"/>
            </w: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项目审批</w:t>
            </w:r>
          </w:p>
          <w:p>
            <w:pPr>
              <w:adjustRightInd w:val="0"/>
              <w:snapToGrid w:val="0"/>
              <w:jc w:val="center"/>
              <w:rPr>
                <w:color w:val="auto"/>
                <w:sz w:val="24"/>
                <w:szCs w:val="24"/>
              </w:rPr>
            </w:pPr>
            <w:r>
              <w:rPr>
                <w:color w:val="auto"/>
                <w:sz w:val="24"/>
                <w:szCs w:val="24"/>
              </w:rPr>
              <w:t>（核准/备案）部门（选填）</w:t>
            </w:r>
          </w:p>
        </w:tc>
        <w:tc>
          <w:tcPr>
            <w:tcW w:w="2705"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泾河新城行政审批与政务服务局</w:t>
            </w:r>
          </w:p>
        </w:tc>
        <w:tc>
          <w:tcPr>
            <w:tcW w:w="2218" w:type="dxa"/>
            <w:vAlign w:val="center"/>
          </w:tcPr>
          <w:p>
            <w:pPr>
              <w:adjustRightInd w:val="0"/>
              <w:snapToGrid w:val="0"/>
              <w:jc w:val="center"/>
              <w:rPr>
                <w:color w:val="auto"/>
                <w:sz w:val="24"/>
                <w:szCs w:val="24"/>
              </w:rPr>
            </w:pPr>
            <w:r>
              <w:rPr>
                <w:color w:val="auto"/>
                <w:sz w:val="24"/>
                <w:szCs w:val="24"/>
              </w:rPr>
              <w:t>项目审批（核准/</w:t>
            </w:r>
          </w:p>
          <w:p>
            <w:pPr>
              <w:adjustRightInd w:val="0"/>
              <w:snapToGrid w:val="0"/>
              <w:jc w:val="center"/>
              <w:rPr>
                <w:color w:val="auto"/>
                <w:sz w:val="24"/>
                <w:szCs w:val="24"/>
              </w:rPr>
            </w:pPr>
            <w:r>
              <w:rPr>
                <w:color w:val="auto"/>
                <w:sz w:val="24"/>
                <w:szCs w:val="24"/>
              </w:rPr>
              <w:t>备案）文号（选填）</w:t>
            </w:r>
          </w:p>
        </w:tc>
        <w:tc>
          <w:tcPr>
            <w:tcW w:w="2552" w:type="dxa"/>
            <w:gridSpan w:val="2"/>
            <w:vAlign w:val="center"/>
          </w:tcPr>
          <w:p>
            <w:pPr>
              <w:adjustRightInd w:val="0"/>
              <w:snapToGrid w:val="0"/>
              <w:jc w:val="center"/>
              <w:rPr>
                <w:rFonts w:hint="default" w:eastAsia="宋体"/>
                <w:color w:val="auto"/>
                <w:sz w:val="24"/>
                <w:szCs w:val="24"/>
                <w:lang w:val="en-US" w:eastAsia="zh-CN"/>
              </w:rPr>
            </w:pPr>
            <w:r>
              <w:rPr>
                <w:rFonts w:hint="eastAsia" w:ascii="宋体" w:hAnsi="宋体" w:cs="宋体"/>
                <w:color w:val="auto"/>
                <w:sz w:val="24"/>
                <w:szCs w:val="24"/>
                <w:lang w:val="en-US" w:eastAsia="zh-CN"/>
              </w:rPr>
              <w:t>陕泾河审批准</w:t>
            </w:r>
            <w:r>
              <w:rPr>
                <w:rFonts w:hint="eastAsia" w:ascii="宋体" w:hAnsi="宋体" w:eastAsia="宋体" w:cs="宋体"/>
                <w:color w:val="auto"/>
                <w:sz w:val="24"/>
                <w:szCs w:val="24"/>
                <w:lang w:val="en-US" w:eastAsia="zh-CN"/>
              </w:rPr>
              <w:t>〔</w:t>
            </w:r>
            <w:r>
              <w:rPr>
                <w:rFonts w:hint="default" w:ascii="Times New Roman" w:hAnsi="Times New Roman"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83号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6" w:hRule="atLeast"/>
        </w:trPr>
        <w:tc>
          <w:tcPr>
            <w:tcW w:w="1564"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总投资（万元）</w:t>
            </w:r>
          </w:p>
        </w:tc>
        <w:tc>
          <w:tcPr>
            <w:tcW w:w="2705" w:type="dxa"/>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31344.23</w:t>
            </w:r>
          </w:p>
        </w:tc>
        <w:tc>
          <w:tcPr>
            <w:tcW w:w="2218"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环保投资（万元）</w:t>
            </w:r>
          </w:p>
        </w:tc>
        <w:tc>
          <w:tcPr>
            <w:tcW w:w="2552" w:type="dxa"/>
            <w:gridSpan w:val="2"/>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1564"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环保投资占比（%）</w:t>
            </w:r>
          </w:p>
        </w:tc>
        <w:tc>
          <w:tcPr>
            <w:tcW w:w="2705" w:type="dxa"/>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0.67</w:t>
            </w:r>
          </w:p>
        </w:tc>
        <w:tc>
          <w:tcPr>
            <w:tcW w:w="2218"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施工工期</w:t>
            </w:r>
          </w:p>
        </w:tc>
        <w:tc>
          <w:tcPr>
            <w:tcW w:w="2552" w:type="dxa"/>
            <w:gridSpan w:val="2"/>
            <w:vAlign w:val="center"/>
          </w:tcPr>
          <w:p>
            <w:pPr>
              <w:adjustRightInd w:val="0"/>
              <w:snapToGrid w:val="0"/>
              <w:jc w:val="center"/>
              <w:rPr>
                <w:rFonts w:hint="default"/>
                <w:color w:val="auto"/>
                <w:sz w:val="24"/>
                <w:szCs w:val="24"/>
                <w:highlight w:val="none"/>
                <w:lang w:val="en-US"/>
              </w:rPr>
            </w:pPr>
            <w:r>
              <w:rPr>
                <w:rFonts w:hint="eastAsia" w:cs="Times New Roman"/>
                <w:color w:val="auto"/>
                <w:sz w:val="24"/>
                <w:szCs w:val="24"/>
                <w:highlight w:val="none"/>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是否开工建设</w:t>
            </w:r>
          </w:p>
        </w:tc>
        <w:tc>
          <w:tcPr>
            <w:tcW w:w="7475" w:type="dxa"/>
            <w:gridSpan w:val="4"/>
            <w:vAlign w:val="center"/>
          </w:tcPr>
          <w:p>
            <w:pPr>
              <w:adjustRightInd w:val="0"/>
              <w:snapToGrid w:val="0"/>
              <w:ind w:firstLine="105"/>
              <w:jc w:val="left"/>
              <w:rPr>
                <w:color w:val="auto"/>
                <w:sz w:val="24"/>
                <w:szCs w:val="24"/>
              </w:rPr>
            </w:pPr>
            <w:r>
              <w:rPr>
                <w:color w:val="auto"/>
                <w:sz w:val="24"/>
                <w:szCs w:val="24"/>
              </w:rPr>
              <w:sym w:font="Wingdings 2" w:char="0052"/>
            </w:r>
            <w:r>
              <w:rPr>
                <w:color w:val="auto"/>
                <w:sz w:val="24"/>
                <w:szCs w:val="24"/>
              </w:rPr>
              <w:t>否</w:t>
            </w:r>
          </w:p>
          <w:p>
            <w:pPr>
              <w:adjustRightInd w:val="0"/>
              <w:snapToGrid w:val="0"/>
              <w:ind w:firstLine="92"/>
              <w:jc w:val="left"/>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7475" w:type="dxa"/>
            <w:gridSpan w:val="4"/>
            <w:tcMar>
              <w:top w:w="16" w:type="dxa"/>
              <w:left w:w="16" w:type="dxa"/>
              <w:right w:w="16" w:type="dxa"/>
            </w:tcMar>
            <w:vAlign w:val="center"/>
          </w:tcPr>
          <w:p>
            <w:pPr>
              <w:pStyle w:val="6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eastAsia="宋体"/>
                <w:color w:val="auto"/>
                <w:sz w:val="24"/>
                <w:szCs w:val="24"/>
                <w:lang w:val="en-US" w:eastAsia="zh-CN"/>
              </w:rPr>
            </w:pPr>
            <w:r>
              <w:rPr>
                <w:color w:val="auto"/>
                <w:sz w:val="21"/>
                <w:szCs w:val="21"/>
              </w:rPr>
              <w:t>本项目为公路建设项目，沿线涉及多处居民区，属于公路、铁路、机场等交通运输业涉及环境敏感区（以居住、医疗卫生、文化教育、科研、行政办公为主要功能的区域）的项目，因此设置噪声专项评价。</w:t>
            </w:r>
            <w:r>
              <w:rPr>
                <w:rFonts w:hint="eastAsia"/>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utoSpaceDE w:val="0"/>
              <w:autoSpaceDN w:val="0"/>
              <w:adjustRightInd w:val="0"/>
              <w:snapToGrid w:val="0"/>
              <w:jc w:val="center"/>
              <w:rPr>
                <w:color w:val="auto"/>
                <w:kern w:val="0"/>
                <w:sz w:val="24"/>
                <w:szCs w:val="24"/>
              </w:rPr>
            </w:pPr>
            <w:r>
              <w:rPr>
                <w:color w:val="auto"/>
                <w:sz w:val="24"/>
                <w:szCs w:val="24"/>
              </w:rPr>
              <w:t>规划情况</w:t>
            </w:r>
          </w:p>
        </w:tc>
        <w:tc>
          <w:tcPr>
            <w:tcW w:w="7475" w:type="dxa"/>
            <w:gridSpan w:val="4"/>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《西咸新区泾河新城分区规划（2016-2035）》；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《陕西省西咸新区泾河新城控制性详细规划（2016-2035）》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utoSpaceDE w:val="0"/>
              <w:autoSpaceDN w:val="0"/>
              <w:adjustRightInd w:val="0"/>
              <w:snapToGrid w:val="0"/>
              <w:jc w:val="center"/>
              <w:rPr>
                <w:color w:val="auto"/>
                <w:kern w:val="0"/>
                <w:sz w:val="24"/>
                <w:szCs w:val="24"/>
              </w:rPr>
            </w:pPr>
            <w:r>
              <w:rPr>
                <w:color w:val="auto"/>
                <w:sz w:val="24"/>
                <w:szCs w:val="24"/>
              </w:rPr>
              <w:t>规划环境影响评价情况</w:t>
            </w:r>
          </w:p>
        </w:tc>
        <w:tc>
          <w:tcPr>
            <w:tcW w:w="7475" w:type="dxa"/>
            <w:gridSpan w:val="4"/>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规划环评文件名称：《西咸新区泾河新城分区规划（2016-2035）环境影响报告书》；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规划环评审查机关：陕西省西咸新区生态环境局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审批文件名称及文号：陕西省西咸新区生态环境局关于《西咸新区－泾河新城分区规划（2016-2035）环境影响报告书》的审查意见（陕西咸环函〔2021〕41号）。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3" w:hRule="atLeast"/>
        </w:trPr>
        <w:tc>
          <w:tcPr>
            <w:tcW w:w="1564" w:type="dxa"/>
            <w:tcMar>
              <w:top w:w="16" w:type="dxa"/>
              <w:left w:w="16" w:type="dxa"/>
              <w:right w:w="16" w:type="dxa"/>
            </w:tcMar>
            <w:vAlign w:val="center"/>
          </w:tcPr>
          <w:p>
            <w:pPr>
              <w:autoSpaceDE w:val="0"/>
              <w:autoSpaceDN w:val="0"/>
              <w:adjustRightInd w:val="0"/>
              <w:snapToGrid w:val="0"/>
              <w:jc w:val="center"/>
              <w:rPr>
                <w:color w:val="auto"/>
                <w:kern w:val="0"/>
                <w:sz w:val="24"/>
                <w:szCs w:val="24"/>
              </w:rPr>
            </w:pPr>
            <w:r>
              <w:rPr>
                <w:color w:val="auto"/>
                <w:kern w:val="0"/>
                <w:sz w:val="24"/>
                <w:szCs w:val="24"/>
              </w:rPr>
              <w:t>规划及</w:t>
            </w:r>
            <w:r>
              <w:rPr>
                <w:color w:val="auto"/>
                <w:sz w:val="24"/>
                <w:szCs w:val="24"/>
              </w:rPr>
              <w:t>规划环境影响评价</w:t>
            </w:r>
            <w:r>
              <w:rPr>
                <w:color w:val="auto"/>
                <w:kern w:val="0"/>
                <w:sz w:val="24"/>
                <w:szCs w:val="24"/>
              </w:rPr>
              <w:t>符合性分析</w:t>
            </w:r>
          </w:p>
        </w:tc>
        <w:tc>
          <w:tcPr>
            <w:tcW w:w="7475" w:type="dxa"/>
            <w:gridSpan w:val="4"/>
            <w:tcMar>
              <w:top w:w="16" w:type="dxa"/>
              <w:left w:w="16" w:type="dxa"/>
              <w:right w:w="16" w:type="dxa"/>
            </w:tcMar>
            <w:vAlign w:val="center"/>
          </w:tcPr>
          <w:p>
            <w:pPr>
              <w:autoSpaceDE w:val="0"/>
              <w:autoSpaceDN w:val="0"/>
              <w:adjustRightInd w:val="0"/>
              <w:snapToGrid w:val="0"/>
              <w:spacing w:before="120" w:beforeLines="50"/>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表1-</w:t>
            </w:r>
            <w:r>
              <w:rPr>
                <w:rFonts w:hint="eastAsia" w:cs="Times New Roman"/>
                <w:b/>
                <w:bCs/>
                <w:color w:val="auto"/>
                <w:kern w:val="0"/>
                <w:sz w:val="21"/>
                <w:szCs w:val="21"/>
                <w:lang w:val="en-US" w:eastAsia="zh-CN"/>
              </w:rPr>
              <w:t>1</w:t>
            </w:r>
            <w:r>
              <w:rPr>
                <w:rFonts w:ascii="Times New Roman" w:hAnsi="Times New Roman" w:eastAsia="宋体" w:cs="Times New Roman"/>
                <w:b/>
                <w:bCs/>
                <w:color w:val="auto"/>
                <w:kern w:val="0"/>
                <w:sz w:val="21"/>
                <w:szCs w:val="21"/>
              </w:rPr>
              <w:t xml:space="preserve">    项目与相关规划及规划环评符合性分析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756"/>
              <w:gridCol w:w="3084"/>
              <w:gridCol w:w="2235"/>
              <w:gridCol w:w="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3076" w:type="pct"/>
                  <w:gridSpan w:val="2"/>
                  <w:noWrap w:val="0"/>
                  <w:vAlign w:val="center"/>
                </w:tcPr>
                <w:p>
                  <w:pPr>
                    <w:adjustRightInd w:val="0"/>
                    <w:snapToGrid w:val="0"/>
                    <w:spacing w:line="240" w:lineRule="auto"/>
                    <w:ind w:left="0" w:leftChars="0" w:right="0" w:right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分析判定内容</w:t>
                  </w:r>
                </w:p>
              </w:tc>
              <w:tc>
                <w:tcPr>
                  <w:tcW w:w="1502" w:type="pct"/>
                  <w:noWrap w:val="0"/>
                  <w:vAlign w:val="center"/>
                </w:tcPr>
                <w:p>
                  <w:pPr>
                    <w:adjustRightInd w:val="0"/>
                    <w:snapToGrid w:val="0"/>
                    <w:spacing w:line="240" w:lineRule="auto"/>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本项目情况</w:t>
                  </w:r>
                </w:p>
              </w:tc>
              <w:tc>
                <w:tcPr>
                  <w:tcW w:w="421" w:type="pct"/>
                  <w:noWrap w:val="0"/>
                  <w:vAlign w:val="center"/>
                </w:tcPr>
                <w:p>
                  <w:pPr>
                    <w:adjustRightInd w:val="0"/>
                    <w:snapToGrid w:val="0"/>
                    <w:spacing w:line="240" w:lineRule="auto"/>
                    <w:ind w:left="0" w:leftChars="0" w:right="0" w:right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判定</w:t>
                  </w:r>
                </w:p>
                <w:p>
                  <w:pPr>
                    <w:adjustRightInd w:val="0"/>
                    <w:snapToGrid w:val="0"/>
                    <w:spacing w:line="240" w:lineRule="auto"/>
                    <w:ind w:left="0" w:leftChars="0" w:right="0" w:rightChars="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020" w:type="pct"/>
                  <w:noWrap w:val="0"/>
                  <w:vAlign w:val="center"/>
                </w:tcPr>
                <w:p>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《西咸新区－泾河新城分区规划（2016-</w:t>
                  </w:r>
                </w:p>
                <w:p>
                  <w:pPr>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2035）》</w:t>
                  </w:r>
                </w:p>
              </w:tc>
              <w:tc>
                <w:tcPr>
                  <w:tcW w:w="2055" w:type="pct"/>
                  <w:noWrap w:val="0"/>
                  <w:vAlign w:val="center"/>
                </w:tcPr>
                <w:p>
                  <w:pPr>
                    <w:adjustRightInd w:val="0"/>
                    <w:snapToGrid w:val="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推进快速路、立体交通、断头路、跨界路网建设，加快建成“四纵四横”的路网体系。推进建设泾干大桥、正阳大道北段等道路，畅通新城</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西安路网联通，优化提速新城与机场、过境高速等重大 基础设施以及西安、高陵、空港、秦汉、铜川等地的通道建设。推进实施泾高城市通道、泾河湾院士科创区等园区市政道路项目，完善区内道路网络</w:t>
                  </w:r>
                  <w:r>
                    <w:rPr>
                      <w:rFonts w:hint="eastAsia" w:ascii="Times New Roman" w:hAnsi="Times New Roman" w:eastAsia="宋体" w:cs="Times New Roman"/>
                      <w:color w:val="auto"/>
                      <w:sz w:val="21"/>
                      <w:szCs w:val="21"/>
                      <w:lang w:eastAsia="zh-CN"/>
                    </w:rPr>
                    <w:t>。</w:t>
                  </w:r>
                </w:p>
              </w:tc>
              <w:tc>
                <w:tcPr>
                  <w:tcW w:w="1502" w:type="pct"/>
                  <w:noWrap w:val="0"/>
                  <w:vAlign w:val="center"/>
                </w:tcPr>
                <w:p>
                  <w:pPr>
                    <w:adjustRightInd w:val="0"/>
                    <w:snapToGrid w:val="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本项目位于泾河新城泾河湾院士科创区南部，泾河北岸，属于城市道路建设项目，符合</w:t>
                  </w:r>
                  <w:r>
                    <w:rPr>
                      <w:rFonts w:hint="eastAsia" w:cs="Times New Roman"/>
                      <w:color w:val="auto"/>
                      <w:sz w:val="21"/>
                      <w:szCs w:val="21"/>
                      <w:lang w:val="en-US" w:eastAsia="zh-CN"/>
                    </w:rPr>
                    <w:t>分区</w:t>
                  </w:r>
                  <w:r>
                    <w:rPr>
                      <w:rFonts w:hint="eastAsia" w:ascii="Times New Roman" w:hAnsi="Times New Roman" w:eastAsia="宋体" w:cs="Times New Roman"/>
                      <w:color w:val="auto"/>
                      <w:sz w:val="21"/>
                      <w:szCs w:val="21"/>
                      <w:lang w:val="en-US" w:eastAsia="zh-CN"/>
                    </w:rPr>
                    <w:t>规划</w:t>
                  </w:r>
                </w:p>
              </w:tc>
              <w:tc>
                <w:tcPr>
                  <w:tcW w:w="421" w:type="pct"/>
                  <w:noWrap w:val="0"/>
                  <w:vAlign w:val="center"/>
                </w:tcPr>
                <w:p>
                  <w:pPr>
                    <w:adjustRightInd w:val="0"/>
                    <w:snapToGrid w:val="0"/>
                    <w:spacing w:line="240" w:lineRule="auto"/>
                    <w:ind w:left="0" w:leftChars="0" w:right="0" w:rightChars="0"/>
                    <w:jc w:val="center"/>
                    <w:rPr>
                      <w:rFonts w:ascii="Times New Roman" w:hAnsi="Times New Roman" w:eastAsia="宋体" w:cs="Times New Roman"/>
                      <w:b/>
                      <w:color w:val="auto"/>
                      <w:sz w:val="21"/>
                      <w:szCs w:val="21"/>
                    </w:rPr>
                  </w:pPr>
                  <w:r>
                    <w:rPr>
                      <w:rFonts w:ascii="Times New Roman" w:hAnsi="Times New Roman" w:eastAsia="宋体"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546" w:type="dxa"/>
                  <w:noWrap w:val="0"/>
                  <w:vAlign w:val="center"/>
                </w:tcPr>
                <w:p>
                  <w:pPr>
                    <w:rPr>
                      <w:rFonts w:ascii="Times New Roman" w:hAnsi="Times New Roman" w:eastAsia="宋体" w:cs="Times New Roman"/>
                      <w:color w:val="auto"/>
                      <w:sz w:val="21"/>
                      <w:szCs w:val="21"/>
                    </w:rPr>
                  </w:pPr>
                  <w:r>
                    <w:rPr>
                      <w:rFonts w:ascii="Times New Roman" w:hAnsi="Times New Roman"/>
                      <w:color w:val="auto"/>
                      <w:sz w:val="21"/>
                      <w:szCs w:val="21"/>
                    </w:rPr>
                    <w:t>《陕西省西咸新区泾河新城控制性详细规划（2016-2035）》</w:t>
                  </w:r>
                </w:p>
              </w:tc>
              <w:tc>
                <w:tcPr>
                  <w:tcW w:w="3113" w:type="dxa"/>
                  <w:noWrap w:val="0"/>
                  <w:vAlign w:val="center"/>
                </w:tcPr>
                <w:p>
                  <w:pPr>
                    <w:rPr>
                      <w:rFonts w:hint="eastAsia" w:ascii="Times New Roman" w:hAnsi="Times New Roman" w:eastAsia="宋体" w:cs="Times New Roman"/>
                      <w:color w:val="auto"/>
                      <w:sz w:val="21"/>
                      <w:szCs w:val="21"/>
                    </w:rPr>
                  </w:pPr>
                  <w:r>
                    <w:rPr>
                      <w:rFonts w:ascii="Times New Roman" w:hAnsi="Times New Roman"/>
                      <w:color w:val="auto"/>
                      <w:sz w:val="21"/>
                      <w:szCs w:val="21"/>
                    </w:rPr>
                    <w:t>规划范围北临西咸北环线、东接渭北工业走廊、南临秦汉新城、西临空港新城，涵盖泾河新城东部片区和泾干镇两大片区，总用地面积约132.97km</w:t>
                  </w:r>
                  <w:r>
                    <w:rPr>
                      <w:rFonts w:ascii="Times New Roman" w:hAnsi="Times New Roman"/>
                      <w:color w:val="auto"/>
                      <w:sz w:val="21"/>
                      <w:szCs w:val="21"/>
                      <w:vertAlign w:val="superscript"/>
                    </w:rPr>
                    <w:t>2</w:t>
                  </w:r>
                  <w:r>
                    <w:rPr>
                      <w:rFonts w:ascii="Times New Roman" w:hAnsi="Times New Roman"/>
                      <w:color w:val="auto"/>
                      <w:sz w:val="21"/>
                      <w:szCs w:val="21"/>
                    </w:rPr>
                    <w:t>。其中，城市建设用地面积约47.37km</w:t>
                  </w:r>
                  <w:r>
                    <w:rPr>
                      <w:rFonts w:ascii="Times New Roman" w:hAnsi="Times New Roman"/>
                      <w:color w:val="auto"/>
                      <w:sz w:val="21"/>
                      <w:szCs w:val="21"/>
                      <w:vertAlign w:val="superscript"/>
                    </w:rPr>
                    <w:t>2</w:t>
                  </w:r>
                  <w:r>
                    <w:rPr>
                      <w:rFonts w:ascii="Times New Roman" w:hAnsi="Times New Roman"/>
                      <w:color w:val="auto"/>
                      <w:sz w:val="21"/>
                      <w:szCs w:val="21"/>
                    </w:rPr>
                    <w:t>，其他建设用地面积约11.55km</w:t>
                  </w:r>
                  <w:r>
                    <w:rPr>
                      <w:rFonts w:ascii="Times New Roman" w:hAnsi="Times New Roman"/>
                      <w:color w:val="auto"/>
                      <w:sz w:val="21"/>
                      <w:szCs w:val="21"/>
                      <w:vertAlign w:val="superscript"/>
                    </w:rPr>
                    <w:t>2</w:t>
                  </w:r>
                </w:p>
              </w:tc>
              <w:tc>
                <w:tcPr>
                  <w:tcW w:w="2274" w:type="dxa"/>
                  <w:noWrap w:val="0"/>
                  <w:vAlign w:val="center"/>
                </w:tcPr>
                <w:p>
                  <w:pPr>
                    <w:adjustRightInd w:val="0"/>
                    <w:snapToGrid w:val="0"/>
                    <w:spacing w:line="300" w:lineRule="atLeast"/>
                    <w:jc w:val="center"/>
                    <w:rPr>
                      <w:rFonts w:hint="default" w:ascii="Times New Roman" w:hAnsi="Times New Roman" w:eastAsia="宋体" w:cs="Times New Roman"/>
                      <w:color w:val="auto"/>
                      <w:sz w:val="21"/>
                      <w:szCs w:val="21"/>
                      <w:lang w:val="en-US" w:eastAsia="zh-CN"/>
                    </w:rPr>
                  </w:pPr>
                  <w:r>
                    <w:rPr>
                      <w:rFonts w:ascii="Times New Roman" w:hAnsi="Times New Roman"/>
                      <w:color w:val="auto"/>
                      <w:sz w:val="21"/>
                      <w:szCs w:val="21"/>
                    </w:rPr>
                    <w:t>本项目位于陕西省西咸新区泾河新城永乐镇尚家村，根据</w:t>
                  </w:r>
                  <w:r>
                    <w:rPr>
                      <w:rFonts w:hint="eastAsia" w:ascii="Times New Roman" w:hAnsi="Times New Roman"/>
                      <w:color w:val="auto"/>
                      <w:sz w:val="21"/>
                      <w:szCs w:val="21"/>
                      <w:lang w:val="en-US" w:eastAsia="zh-CN"/>
                    </w:rPr>
                    <w:t>陕西省西咸新区自然资源和规划局泾河工作部</w:t>
                  </w:r>
                  <w:r>
                    <w:rPr>
                      <w:rFonts w:ascii="Times New Roman" w:hAnsi="Times New Roman"/>
                      <w:color w:val="auto"/>
                      <w:sz w:val="21"/>
                      <w:szCs w:val="21"/>
                    </w:rPr>
                    <w:t>所出具的用地意见（</w:t>
                  </w:r>
                  <w:r>
                    <w:rPr>
                      <w:rFonts w:hint="eastAsia" w:ascii="Times New Roman" w:hAnsi="Times New Roman"/>
                      <w:color w:val="auto"/>
                      <w:sz w:val="21"/>
                      <w:szCs w:val="21"/>
                      <w:lang w:val="en-US" w:eastAsia="zh-CN"/>
                    </w:rPr>
                    <w:t>地字第61120520232006</w:t>
                  </w:r>
                  <w:r>
                    <w:rPr>
                      <w:rFonts w:ascii="Times New Roman" w:hAnsi="Times New Roman"/>
                      <w:color w:val="auto"/>
                      <w:sz w:val="21"/>
                      <w:szCs w:val="21"/>
                    </w:rPr>
                    <w:t>），该项目用地属于</w:t>
                  </w:r>
                  <w:r>
                    <w:rPr>
                      <w:rFonts w:hint="eastAsia" w:ascii="Times New Roman" w:hAnsi="Times New Roman"/>
                      <w:color w:val="auto"/>
                      <w:sz w:val="21"/>
                      <w:szCs w:val="21"/>
                      <w:lang w:val="en-US" w:eastAsia="zh-CN"/>
                    </w:rPr>
                    <w:t>道路用地</w:t>
                  </w:r>
                </w:p>
              </w:tc>
              <w:tc>
                <w:tcPr>
                  <w:tcW w:w="638" w:type="dxa"/>
                  <w:noWrap w:val="0"/>
                  <w:vAlign w:val="center"/>
                </w:tcPr>
                <w:p>
                  <w:pPr>
                    <w:rPr>
                      <w:rFonts w:ascii="Times New Roman" w:hAnsi="Times New Roman" w:eastAsia="宋体" w:cs="Times New Roman"/>
                      <w:bCs/>
                      <w:color w:val="auto"/>
                      <w:sz w:val="21"/>
                      <w:szCs w:val="21"/>
                    </w:rPr>
                  </w:pPr>
                  <w:r>
                    <w:rPr>
                      <w:rFonts w:hint="eastAsia" w:ascii="Times New Roman" w:hAnsi="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97" w:hRule="atLeast"/>
                <w:jc w:val="center"/>
              </w:trPr>
              <w:tc>
                <w:tcPr>
                  <w:tcW w:w="1020" w:type="pct"/>
                  <w:noWrap w:val="0"/>
                  <w:vAlign w:val="center"/>
                </w:tcPr>
                <w:p>
                  <w:pPr>
                    <w:wordWrap w:val="0"/>
                    <w:adjustRightInd w:val="0"/>
                    <w:snapToGrid w:val="0"/>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《西咸新区泾河新城分区规划（2016-2035）环境影响报告书》</w:t>
                  </w:r>
                </w:p>
              </w:tc>
              <w:tc>
                <w:tcPr>
                  <w:tcW w:w="2055" w:type="pct"/>
                  <w:noWrap w:val="0"/>
                  <w:vAlign w:val="center"/>
                </w:tcPr>
                <w:p>
                  <w:pPr>
                    <w:adjustRightInd w:val="0"/>
                    <w:snapToGrid w:val="0"/>
                    <w:spacing w:before="0" w:beforeAutospacing="0" w:line="240" w:lineRule="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规划将道路系统划分为快速路、主干路、次干路和支路四个等级，其中快速路是规划区对外快速联系的主要通道，主干路系统沟通规划区内部各组团，次干路系统满足组团内交通集散，支路系统方便用地开发，保障地块的通达性。规划最终形成以吉元大街、秦龙大道、茶马大道、正阳大道、西铜一级路、沣泾大道、泾河大道、高泾大道、原点大道为主，由快速路和主干路构成的</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五纵四横</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格网状主骨架路网。</w:t>
                  </w:r>
                </w:p>
              </w:tc>
              <w:tc>
                <w:tcPr>
                  <w:tcW w:w="1502" w:type="pct"/>
                  <w:noWrap w:val="0"/>
                  <w:vAlign w:val="center"/>
                </w:tcPr>
                <w:p>
                  <w:pPr>
                    <w:adjustRightInd w:val="0"/>
                    <w:snapToGrid w:val="0"/>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val="en-US" w:eastAsia="zh-CN"/>
                    </w:rPr>
                    <w:t>城市道路建设项目</w:t>
                  </w:r>
                  <w:r>
                    <w:rPr>
                      <w:rFonts w:ascii="Times New Roman" w:hAnsi="Times New Roman" w:eastAsia="宋体" w:cs="Times New Roman"/>
                      <w:color w:val="auto"/>
                      <w:sz w:val="21"/>
                      <w:szCs w:val="21"/>
                    </w:rPr>
                    <w:t>，</w:t>
                  </w:r>
                  <w:r>
                    <w:rPr>
                      <w:rFonts w:hint="eastAsia" w:cs="Times New Roman"/>
                      <w:color w:val="auto"/>
                      <w:sz w:val="21"/>
                      <w:szCs w:val="21"/>
                      <w:lang w:val="en-US" w:eastAsia="zh-CN"/>
                    </w:rPr>
                    <w:t>根据可研报告道路设计标准，项目道路等级为主干路，</w:t>
                  </w:r>
                  <w:r>
                    <w:rPr>
                      <w:rFonts w:ascii="Times New Roman" w:hAnsi="Times New Roman" w:eastAsia="宋体" w:cs="Times New Roman"/>
                      <w:color w:val="auto"/>
                      <w:sz w:val="21"/>
                      <w:szCs w:val="21"/>
                    </w:rPr>
                    <w:t>项目的建设</w:t>
                  </w:r>
                  <w:r>
                    <w:rPr>
                      <w:rFonts w:hint="eastAsia" w:cs="Times New Roman"/>
                      <w:color w:val="auto"/>
                      <w:sz w:val="21"/>
                      <w:szCs w:val="21"/>
                      <w:lang w:val="en-US" w:eastAsia="zh-CN"/>
                    </w:rPr>
                    <w:t>有助于完善</w:t>
                  </w:r>
                  <w:r>
                    <w:rPr>
                      <w:rFonts w:ascii="Times New Roman" w:hAnsi="Times New Roman" w:eastAsia="宋体" w:cs="Times New Roman"/>
                      <w:color w:val="auto"/>
                      <w:sz w:val="21"/>
                      <w:szCs w:val="21"/>
                    </w:rPr>
                    <w:t>泾河新城路网骨架的建设。</w:t>
                  </w:r>
                </w:p>
              </w:tc>
              <w:tc>
                <w:tcPr>
                  <w:tcW w:w="421" w:type="pct"/>
                  <w:noWrap w:val="0"/>
                  <w:vAlign w:val="center"/>
                </w:tcPr>
                <w:p>
                  <w:pPr>
                    <w:adjustRightInd w:val="0"/>
                    <w:snapToGrid w:val="0"/>
                    <w:spacing w:line="240" w:lineRule="auto"/>
                    <w:ind w:left="0" w:leftChars="0" w:right="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90" w:hRule="atLeast"/>
                <w:jc w:val="center"/>
              </w:trPr>
              <w:tc>
                <w:tcPr>
                  <w:tcW w:w="1020" w:type="pct"/>
                  <w:noWrap w:val="0"/>
                  <w:vAlign w:val="center"/>
                </w:tcPr>
                <w:p>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《西咸新区－泾河新城分区规划（2016-2035）环境影响报告书》的审查意见（陕西咸环函〔2021〕41号）</w:t>
                  </w:r>
                </w:p>
              </w:tc>
              <w:tc>
                <w:tcPr>
                  <w:tcW w:w="2055" w:type="pct"/>
                  <w:noWrap w:val="0"/>
                  <w:vAlign w:val="center"/>
                </w:tcPr>
                <w:p>
                  <w:pPr>
                    <w:adjustRightInd w:val="0"/>
                    <w:snapToGrid w:val="0"/>
                    <w:rPr>
                      <w:rFonts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严守环境质量底线，落实污染物总量管控要求。根据国家、陕西省、西咸新区有关大气、水、土壤污染防治行动计划相关要求，采取有效措施减少主要污染物排放总量，实现区域环境质量改善目标</w:t>
                  </w:r>
                </w:p>
              </w:tc>
              <w:tc>
                <w:tcPr>
                  <w:tcW w:w="1502" w:type="pct"/>
                  <w:noWrap w:val="0"/>
                  <w:vAlign w:val="center"/>
                </w:tcPr>
                <w:p>
                  <w:pPr>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rPr>
                    <w:t>本项目为市政道路，运营期道路径流雨水由雨水井收集后通过市政雨水管道排入泾河；过往人员乱丢的垃圾、车辆洒落的固体废物，定期清扫，分类收集、分类处置</w:t>
                  </w:r>
                  <w:r>
                    <w:rPr>
                      <w:rFonts w:hint="eastAsia" w:cs="Times New Roman"/>
                      <w:color w:val="auto"/>
                      <w:kern w:val="0"/>
                      <w:sz w:val="21"/>
                      <w:szCs w:val="21"/>
                      <w:highlight w:val="none"/>
                      <w:lang w:eastAsia="zh-CN"/>
                    </w:rPr>
                    <w:t>。</w:t>
                  </w:r>
                </w:p>
              </w:tc>
              <w:tc>
                <w:tcPr>
                  <w:tcW w:w="421" w:type="pct"/>
                  <w:noWrap w:val="0"/>
                  <w:vAlign w:val="center"/>
                </w:tcPr>
                <w:p>
                  <w:pPr>
                    <w:adjustRightInd w:val="0"/>
                    <w:snapToGrid w:val="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w:t>
                  </w:r>
                </w:p>
              </w:tc>
            </w:tr>
          </w:tbl>
          <w:p>
            <w:pPr>
              <w:pStyle w:val="62"/>
              <w:ind w:firstLine="480" w:firstLineChars="200"/>
              <w:jc w:val="left"/>
              <w:rPr>
                <w:rFonts w:hint="eastAsia" w:eastAsia="宋体"/>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25" w:hRule="atLeast"/>
        </w:trPr>
        <w:tc>
          <w:tcPr>
            <w:tcW w:w="1564" w:type="dxa"/>
            <w:tcMar>
              <w:top w:w="16" w:type="dxa"/>
              <w:left w:w="16" w:type="dxa"/>
              <w:right w:w="16" w:type="dxa"/>
            </w:tcMar>
            <w:vAlign w:val="center"/>
          </w:tcPr>
          <w:p>
            <w:pPr>
              <w:autoSpaceDE w:val="0"/>
              <w:autoSpaceDN w:val="0"/>
              <w:adjustRightInd w:val="0"/>
              <w:snapToGrid w:val="0"/>
              <w:jc w:val="center"/>
              <w:rPr>
                <w:rFonts w:ascii="宋体" w:hAnsi="宋体" w:cs="宋体"/>
                <w:color w:val="auto"/>
                <w:kern w:val="0"/>
                <w:szCs w:val="21"/>
              </w:rPr>
            </w:pPr>
            <w:bookmarkStart w:id="2" w:name="_Hlk56690880"/>
            <w:r>
              <w:rPr>
                <w:rFonts w:hint="eastAsia" w:ascii="Times New Roman" w:hAnsi="Times New Roman" w:cs="Times New Roman"/>
                <w:color w:val="auto"/>
                <w:kern w:val="0"/>
                <w:sz w:val="24"/>
                <w:szCs w:val="24"/>
              </w:rPr>
              <w:t>其他符合性分析</w:t>
            </w:r>
            <w:bookmarkEnd w:id="2"/>
          </w:p>
        </w:tc>
        <w:tc>
          <w:tcPr>
            <w:tcW w:w="7475" w:type="dxa"/>
            <w:gridSpan w:val="4"/>
            <w:tcMar>
              <w:top w:w="16" w:type="dxa"/>
              <w:left w:w="16" w:type="dxa"/>
              <w:right w:w="16" w:type="dxa"/>
            </w:tcMa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rPr>
              <w:t>1</w:t>
            </w:r>
            <w:r>
              <w:rPr>
                <w:rFonts w:hint="eastAsia"/>
                <w:b/>
                <w:bCs/>
                <w:color w:val="auto"/>
                <w:sz w:val="24"/>
                <w:szCs w:val="24"/>
                <w:lang w:eastAsia="zh-CN"/>
              </w:rPr>
              <w:t>、</w:t>
            </w:r>
            <w:r>
              <w:rPr>
                <w:rFonts w:hint="eastAsia"/>
                <w:b/>
                <w:bCs/>
                <w:color w:val="auto"/>
                <w:sz w:val="24"/>
                <w:szCs w:val="24"/>
              </w:rPr>
              <w:t>产业政策符合性分析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本项目为</w:t>
            </w:r>
            <w:r>
              <w:rPr>
                <w:rFonts w:hint="eastAsia"/>
                <w:color w:val="auto"/>
                <w:sz w:val="24"/>
                <w:szCs w:val="24"/>
                <w:lang w:val="en-US" w:eastAsia="zh-CN"/>
              </w:rPr>
              <w:t>城市道路建设</w:t>
            </w:r>
            <w:r>
              <w:rPr>
                <w:rFonts w:hint="eastAsia"/>
                <w:color w:val="auto"/>
                <w:sz w:val="24"/>
                <w:szCs w:val="24"/>
              </w:rPr>
              <w:t>项目，属于《产业结构调整指导目录（</w:t>
            </w:r>
            <w:r>
              <w:rPr>
                <w:rFonts w:hint="eastAsia"/>
                <w:color w:val="auto"/>
                <w:sz w:val="24"/>
                <w:szCs w:val="24"/>
                <w:lang w:val="en-US" w:eastAsia="zh-CN"/>
              </w:rPr>
              <w:t>2021</w:t>
            </w:r>
            <w:r>
              <w:rPr>
                <w:rFonts w:hint="eastAsia"/>
                <w:color w:val="auto"/>
                <w:sz w:val="24"/>
                <w:szCs w:val="24"/>
              </w:rPr>
              <w:t>年</w:t>
            </w:r>
            <w:r>
              <w:rPr>
                <w:rFonts w:hint="eastAsia"/>
                <w:color w:val="auto"/>
                <w:sz w:val="24"/>
                <w:szCs w:val="24"/>
                <w:lang w:val="en-US" w:eastAsia="zh-CN"/>
              </w:rPr>
              <w:t>修订</w:t>
            </w:r>
            <w:r>
              <w:rPr>
                <w:rFonts w:hint="eastAsia"/>
                <w:color w:val="auto"/>
                <w:sz w:val="24"/>
                <w:szCs w:val="24"/>
              </w:rPr>
              <w:t>本）》中</w:t>
            </w:r>
            <w:r>
              <w:rPr>
                <w:rFonts w:hint="eastAsia"/>
                <w:color w:val="auto"/>
                <w:sz w:val="24"/>
                <w:szCs w:val="24"/>
                <w:lang w:eastAsia="zh-CN"/>
              </w:rPr>
              <w:t>鼓励类“二十</w:t>
            </w:r>
            <w:r>
              <w:rPr>
                <w:rFonts w:hint="eastAsia"/>
                <w:color w:val="auto"/>
                <w:sz w:val="24"/>
                <w:szCs w:val="24"/>
                <w:lang w:val="en-US" w:eastAsia="zh-CN"/>
              </w:rPr>
              <w:t>二</w:t>
            </w:r>
            <w:r>
              <w:rPr>
                <w:rFonts w:hint="eastAsia"/>
                <w:color w:val="auto"/>
                <w:sz w:val="24"/>
                <w:szCs w:val="24"/>
                <w:lang w:eastAsia="zh-CN"/>
              </w:rPr>
              <w:t>、</w:t>
            </w:r>
            <w:r>
              <w:rPr>
                <w:rFonts w:hint="eastAsia"/>
                <w:color w:val="auto"/>
                <w:sz w:val="24"/>
                <w:szCs w:val="24"/>
                <w:lang w:val="en-US" w:eastAsia="zh-CN"/>
              </w:rPr>
              <w:t>城镇基础设施</w:t>
            </w:r>
            <w:r>
              <w:rPr>
                <w:rFonts w:hint="eastAsia"/>
                <w:color w:val="auto"/>
                <w:sz w:val="24"/>
                <w:szCs w:val="24"/>
                <w:lang w:eastAsia="zh-CN"/>
              </w:rPr>
              <w:t>”；</w:t>
            </w:r>
            <w:r>
              <w:rPr>
                <w:rFonts w:hint="eastAsia"/>
                <w:color w:val="auto"/>
                <w:sz w:val="24"/>
                <w:szCs w:val="24"/>
              </w:rPr>
              <w:t>本项目亦不属于《市场准入负面清单（2022年版）》中禁止准入类及许可准入类事项，符合国家产业政策</w:t>
            </w:r>
            <w:r>
              <w:rPr>
                <w:rFonts w:hint="eastAsia"/>
                <w:color w:val="auto"/>
                <w:sz w:val="24"/>
                <w:szCs w:val="24"/>
                <w:lang w:eastAsia="zh-CN"/>
              </w:rPr>
              <w:t>；</w:t>
            </w:r>
            <w:r>
              <w:rPr>
                <w:rFonts w:hint="eastAsia"/>
                <w:color w:val="auto"/>
                <w:sz w:val="24"/>
                <w:szCs w:val="24"/>
              </w:rPr>
              <w:t>同时本</w:t>
            </w:r>
            <w:r>
              <w:rPr>
                <w:rFonts w:hint="eastAsia"/>
                <w:color w:val="auto"/>
                <w:sz w:val="24"/>
                <w:szCs w:val="24"/>
                <w:lang w:eastAsia="zh-CN"/>
              </w:rPr>
              <w:t>工程</w:t>
            </w:r>
            <w:r>
              <w:rPr>
                <w:rFonts w:hint="eastAsia"/>
                <w:color w:val="auto"/>
                <w:sz w:val="24"/>
                <w:szCs w:val="24"/>
                <w:lang w:val="zh-CN"/>
              </w:rPr>
              <w:t>不在《陕西省限制投资类指导目录》（陕发改产业〔20</w:t>
            </w:r>
            <w:r>
              <w:rPr>
                <w:rFonts w:hint="eastAsia"/>
                <w:color w:val="auto"/>
                <w:sz w:val="24"/>
                <w:szCs w:val="24"/>
                <w:lang w:val="en-US" w:eastAsia="zh-CN"/>
              </w:rPr>
              <w:t>07</w:t>
            </w:r>
            <w:r>
              <w:rPr>
                <w:rFonts w:hint="eastAsia"/>
                <w:color w:val="auto"/>
                <w:sz w:val="24"/>
                <w:szCs w:val="24"/>
                <w:lang w:val="zh-CN"/>
              </w:rPr>
              <w:t>〕97号）之列，</w:t>
            </w:r>
            <w:r>
              <w:rPr>
                <w:rFonts w:hint="eastAsia"/>
                <w:color w:val="auto"/>
                <w:sz w:val="24"/>
                <w:szCs w:val="24"/>
              </w:rPr>
              <w:t>因此，</w:t>
            </w:r>
            <w:r>
              <w:rPr>
                <w:rFonts w:hint="eastAsia"/>
                <w:color w:val="auto"/>
                <w:sz w:val="24"/>
                <w:szCs w:val="24"/>
                <w:lang w:eastAsia="zh-CN"/>
              </w:rPr>
              <w:t>工程</w:t>
            </w:r>
            <w:r>
              <w:rPr>
                <w:rFonts w:hint="eastAsia"/>
                <w:color w:val="auto"/>
                <w:sz w:val="24"/>
                <w:szCs w:val="24"/>
              </w:rPr>
              <w:t>建设符合国家及陕西</w:t>
            </w:r>
            <w:r>
              <w:rPr>
                <w:rFonts w:hint="eastAsia"/>
                <w:color w:val="auto"/>
                <w:sz w:val="24"/>
                <w:szCs w:val="24"/>
                <w:lang w:val="en-US" w:eastAsia="zh-CN"/>
              </w:rPr>
              <w:t>省</w:t>
            </w:r>
            <w:r>
              <w:rPr>
                <w:rFonts w:hint="eastAsia"/>
                <w:color w:val="auto"/>
                <w:sz w:val="24"/>
                <w:szCs w:val="24"/>
              </w:rPr>
              <w:t>现行相关产业政策。</w:t>
            </w:r>
          </w:p>
          <w:p>
            <w:pPr>
              <w:pStyle w:val="59"/>
              <w:ind w:firstLine="480" w:firstLineChars="0"/>
              <w:rPr>
                <w:rFonts w:hint="eastAsia" w:ascii="Times New Roman" w:hAnsi="Times New Roman"/>
                <w:color w:val="auto"/>
              </w:rPr>
            </w:pPr>
            <w:r>
              <w:rPr>
                <w:rFonts w:hint="eastAsia" w:ascii="Times New Roman" w:hAnsi="Times New Roman"/>
                <w:color w:val="auto"/>
              </w:rPr>
              <w:t>综上，本项目符合相关产业政策</w:t>
            </w:r>
            <w:r>
              <w:rPr>
                <w:rFonts w:hint="eastAsia"/>
                <w:color w:val="auto"/>
                <w:lang w:val="en-US" w:eastAsia="zh-CN"/>
              </w:rPr>
              <w:t>要求</w:t>
            </w:r>
            <w:r>
              <w:rPr>
                <w:rFonts w:hint="eastAsia" w:ascii="Times New Roman" w:hAnsi="Times New Roman"/>
                <w:color w:val="auto"/>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rPr>
            </w:pPr>
            <w:r>
              <w:rPr>
                <w:rFonts w:hint="eastAsia"/>
                <w:b/>
                <w:bCs/>
                <w:color w:val="auto"/>
                <w:sz w:val="24"/>
                <w:szCs w:val="24"/>
              </w:rPr>
              <w:t>2、与路网规划的符合性分析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根据</w:t>
            </w:r>
            <w:r>
              <w:rPr>
                <w:rFonts w:hint="eastAsia"/>
                <w:color w:val="auto"/>
                <w:sz w:val="24"/>
                <w:szCs w:val="24"/>
                <w:lang w:val="en-US" w:eastAsia="zh-CN"/>
              </w:rPr>
              <w:t>《西咸新区泾河新城道路网专项规划》（2018-2030 年）</w:t>
            </w:r>
            <w:r>
              <w:rPr>
                <w:rFonts w:hint="eastAsia"/>
                <w:color w:val="auto"/>
                <w:sz w:val="24"/>
                <w:szCs w:val="24"/>
              </w:rPr>
              <w:t>，</w:t>
            </w:r>
            <w:r>
              <w:rPr>
                <w:rFonts w:hint="eastAsia"/>
                <w:color w:val="auto"/>
                <w:sz w:val="24"/>
                <w:szCs w:val="24"/>
                <w:lang w:val="en-US" w:eastAsia="zh-CN"/>
              </w:rPr>
              <w:t>本项目作为泾河湾院士科创区的重要组成道路，与周边主、次干 道形成互通的道路网络，对于完善科创区乃至整个新城路网系统级配 起到重要作用。</w:t>
            </w:r>
            <w:r>
              <w:rPr>
                <w:rFonts w:hint="eastAsia"/>
                <w:color w:val="auto"/>
                <w:sz w:val="24"/>
                <w:szCs w:val="24"/>
              </w:rPr>
              <w:t>”，因此，本</w:t>
            </w:r>
            <w:r>
              <w:rPr>
                <w:rFonts w:hint="eastAsia"/>
                <w:color w:val="auto"/>
                <w:sz w:val="24"/>
                <w:szCs w:val="24"/>
                <w:lang w:val="en-US" w:eastAsia="zh-CN"/>
              </w:rPr>
              <w:t>项目建设符合《西咸新区泾河新城道路网专项规划》（2018-2030 年）</w:t>
            </w:r>
            <w:r>
              <w:rPr>
                <w:rFonts w:hint="eastAsia"/>
                <w:color w:val="auto"/>
                <w:sz w:val="24"/>
                <w:szCs w:val="24"/>
              </w:rPr>
              <w:t>，相符性分析见表</w:t>
            </w:r>
            <w:r>
              <w:rPr>
                <w:rFonts w:hint="eastAsia"/>
                <w:color w:val="auto"/>
                <w:sz w:val="24"/>
                <w:szCs w:val="24"/>
                <w:lang w:val="en-US" w:eastAsia="zh-CN"/>
              </w:rPr>
              <w:t>1-</w:t>
            </w:r>
            <w:r>
              <w:rPr>
                <w:rFonts w:hint="eastAsia"/>
                <w:color w:val="auto"/>
                <w:sz w:val="24"/>
                <w:szCs w:val="24"/>
              </w:rPr>
              <w:t>2。</w:t>
            </w:r>
          </w:p>
          <w:p>
            <w:pPr>
              <w:pStyle w:val="77"/>
              <w:spacing w:before="120"/>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表</w:t>
            </w:r>
            <w:r>
              <w:rPr>
                <w:rFonts w:hint="default" w:ascii="Times New Roman" w:hAnsi="Times New Roman" w:eastAsia="宋体" w:cs="Times New Roman"/>
                <w:b/>
                <w:bCs w:val="0"/>
                <w:color w:val="auto"/>
                <w:lang w:val="en-US" w:eastAsia="zh-CN"/>
              </w:rPr>
              <w:t>1-</w:t>
            </w:r>
            <w:r>
              <w:rPr>
                <w:rFonts w:hint="default" w:ascii="Times New Roman" w:hAnsi="Times New Roman" w:eastAsia="宋体" w:cs="Times New Roman"/>
                <w:b/>
                <w:bCs w:val="0"/>
                <w:color w:val="auto"/>
              </w:rPr>
              <w:t xml:space="preserve">2 </w:t>
            </w:r>
            <w:r>
              <w:rPr>
                <w:rFonts w:hint="eastAsia" w:ascii="Times New Roman" w:hAnsi="Times New Roman" w:eastAsia="宋体" w:cs="Times New Roman"/>
                <w:b/>
                <w:bCs w:val="0"/>
                <w:color w:val="auto"/>
                <w:lang w:val="en-US" w:eastAsia="zh-CN"/>
              </w:rPr>
              <w:t xml:space="preserve">   </w:t>
            </w:r>
            <w:r>
              <w:rPr>
                <w:rFonts w:hint="default" w:ascii="Times New Roman" w:hAnsi="Times New Roman" w:eastAsia="宋体" w:cs="Times New Roman"/>
                <w:b/>
                <w:bCs w:val="0"/>
                <w:color w:val="auto"/>
              </w:rPr>
              <w:t>与</w:t>
            </w:r>
            <w:r>
              <w:rPr>
                <w:rFonts w:hint="default" w:ascii="Times New Roman" w:hAnsi="Times New Roman" w:eastAsia="宋体" w:cs="Times New Roman"/>
                <w:b/>
                <w:bCs w:val="0"/>
                <w:color w:val="auto"/>
                <w:lang w:eastAsia="zh-CN"/>
              </w:rPr>
              <w:t>《</w:t>
            </w:r>
            <w:r>
              <w:rPr>
                <w:rFonts w:hint="default" w:ascii="Times New Roman" w:hAnsi="Times New Roman" w:eastAsia="宋体" w:cs="Times New Roman"/>
                <w:b/>
                <w:bCs w:val="0"/>
                <w:color w:val="auto"/>
                <w:lang w:val="en-US" w:eastAsia="zh-CN"/>
              </w:rPr>
              <w:t>西咸新区泾河新城道路网专项规划》（2018-2030 年）</w:t>
            </w:r>
            <w:r>
              <w:rPr>
                <w:rFonts w:hint="default" w:ascii="Times New Roman" w:hAnsi="Times New Roman" w:eastAsia="宋体" w:cs="Times New Roman"/>
                <w:b/>
                <w:bCs w:val="0"/>
                <w:color w:val="auto"/>
              </w:rPr>
              <w:t>符合性分析</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727"/>
              <w:gridCol w:w="3247"/>
              <w:gridCol w:w="1234"/>
              <w:gridCol w:w="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5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76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相关法律、法规</w:t>
                  </w:r>
                </w:p>
              </w:tc>
              <w:tc>
                <w:tcPr>
                  <w:tcW w:w="346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12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94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554" w:type="dxa"/>
                  <w:tcBorders>
                    <w:tl2br w:val="nil"/>
                    <w:tr2bl w:val="nil"/>
                  </w:tcBorders>
                  <w:shd w:val="clear" w:color="auto" w:fill="auto"/>
                  <w:vAlign w:val="center"/>
                </w:tcPr>
                <w:p>
                  <w:pPr>
                    <w:pStyle w:val="77"/>
                    <w:keepNext w:val="0"/>
                    <w:keepLines w:val="0"/>
                    <w:pageBreakBefore w:val="0"/>
                    <w:kinsoku/>
                    <w:wordWrap/>
                    <w:overflowPunct/>
                    <w:topLinePunct w:val="0"/>
                    <w:autoSpaceDE/>
                    <w:autoSpaceDN/>
                    <w:bidi w:val="0"/>
                    <w:spacing w:beforeLines="0"/>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bCs w:val="0"/>
                      <w:color w:val="auto"/>
                      <w:kern w:val="2"/>
                      <w:sz w:val="21"/>
                      <w:szCs w:val="21"/>
                    </w:rPr>
                    <w:t>1</w:t>
                  </w:r>
                </w:p>
              </w:tc>
              <w:tc>
                <w:tcPr>
                  <w:tcW w:w="1760" w:type="dxa"/>
                  <w:tcBorders>
                    <w:tl2br w:val="nil"/>
                    <w:tr2bl w:val="nil"/>
                  </w:tcBorders>
                  <w:shd w:val="clear" w:color="auto" w:fill="auto"/>
                  <w:vAlign w:val="center"/>
                </w:tcPr>
                <w:p>
                  <w:pPr>
                    <w:pStyle w:val="77"/>
                    <w:keepNext w:val="0"/>
                    <w:keepLines w:val="0"/>
                    <w:pageBreakBefore w:val="0"/>
                    <w:kinsoku/>
                    <w:wordWrap/>
                    <w:overflowPunct/>
                    <w:topLinePunct w:val="0"/>
                    <w:autoSpaceDE/>
                    <w:autoSpaceDN/>
                    <w:bidi w:val="0"/>
                    <w:spacing w:beforeLines="0"/>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color w:val="auto"/>
                      <w:kern w:val="0"/>
                      <w:sz w:val="21"/>
                      <w:szCs w:val="21"/>
                      <w:lang w:val="en-US" w:eastAsia="zh-CN" w:bidi="ar"/>
                    </w:rPr>
                    <w:t>《西咸新区泾河新城道路网专项规划》（2018-2030 年）</w:t>
                  </w:r>
                </w:p>
              </w:tc>
              <w:tc>
                <w:tcPr>
                  <w:tcW w:w="3464" w:type="dxa"/>
                  <w:tcBorders>
                    <w:tl2br w:val="nil"/>
                    <w:tr2bl w:val="nil"/>
                  </w:tcBorders>
                  <w:shd w:val="clear" w:color="auto" w:fill="auto"/>
                  <w:vAlign w:val="center"/>
                </w:tcPr>
                <w:p>
                  <w:pPr>
                    <w:pStyle w:val="77"/>
                    <w:keepNext w:val="0"/>
                    <w:keepLines w:val="0"/>
                    <w:pageBreakBefore w:val="0"/>
                    <w:kinsoku/>
                    <w:wordWrap/>
                    <w:overflowPunct/>
                    <w:topLinePunct w:val="0"/>
                    <w:autoSpaceDE/>
                    <w:autoSpaceDN/>
                    <w:bidi w:val="0"/>
                    <w:spacing w:beforeLines="0"/>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bCs w:val="0"/>
                      <w:color w:val="auto"/>
                      <w:kern w:val="2"/>
                      <w:sz w:val="21"/>
                      <w:szCs w:val="21"/>
                      <w:lang w:val="en-US" w:eastAsia="zh-CN"/>
                    </w:rPr>
                    <w:t xml:space="preserve">在现状路网基础上，构建城市快速路体系，进一步优化 和完善干路网络，结合 城市改造和用地开发逐步有序加密城市支路 </w:t>
                  </w:r>
                </w:p>
                <w:p>
                  <w:pPr>
                    <w:pStyle w:val="77"/>
                    <w:keepNext w:val="0"/>
                    <w:keepLines w:val="0"/>
                    <w:pageBreakBefore w:val="0"/>
                    <w:kinsoku/>
                    <w:wordWrap/>
                    <w:overflowPunct/>
                    <w:topLinePunct w:val="0"/>
                    <w:autoSpaceDE/>
                    <w:autoSpaceDN/>
                    <w:bidi w:val="0"/>
                    <w:spacing w:beforeLines="0"/>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bCs w:val="0"/>
                      <w:color w:val="auto"/>
                      <w:kern w:val="2"/>
                      <w:sz w:val="21"/>
                      <w:szCs w:val="21"/>
                      <w:lang w:val="en-US" w:eastAsia="zh-CN"/>
                    </w:rPr>
                    <w:t>微循环路网，构建以快速路和主干路为骨架，次干路、支路为辅助， 路网级配合理、密度适宜、内外一体、层次分明、结构合理的道路网系统</w:t>
                  </w:r>
                </w:p>
              </w:tc>
              <w:tc>
                <w:tcPr>
                  <w:tcW w:w="1284" w:type="dxa"/>
                  <w:tcBorders>
                    <w:tl2br w:val="nil"/>
                    <w:tr2bl w:val="nil"/>
                  </w:tcBorders>
                  <w:shd w:val="clear" w:color="auto" w:fill="auto"/>
                  <w:vAlign w:val="center"/>
                </w:tcPr>
                <w:p>
                  <w:pPr>
                    <w:pStyle w:val="77"/>
                    <w:keepNext w:val="0"/>
                    <w:keepLines w:val="0"/>
                    <w:pageBreakBefore w:val="0"/>
                    <w:kinsoku/>
                    <w:wordWrap/>
                    <w:overflowPunct/>
                    <w:topLinePunct w:val="0"/>
                    <w:autoSpaceDE/>
                    <w:autoSpaceDN/>
                    <w:bidi w:val="0"/>
                    <w:spacing w:beforeLines="0"/>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color w:val="auto"/>
                      <w:kern w:val="0"/>
                      <w:sz w:val="21"/>
                      <w:szCs w:val="21"/>
                      <w:lang w:val="en-US" w:eastAsia="zh-CN" w:bidi="ar"/>
                    </w:rPr>
                    <w:t>本项目作为泾河湾院士科创区的重要组成道路，与周边主、次干 道形成互通的道路网络，</w:t>
                  </w:r>
                  <w:r>
                    <w:rPr>
                      <w:rFonts w:hint="default" w:ascii="Times New Roman" w:hAnsi="Times New Roman" w:eastAsia="宋体" w:cs="Times New Roman"/>
                      <w:color w:val="auto"/>
                      <w:sz w:val="21"/>
                      <w:szCs w:val="21"/>
                      <w:lang w:val="en-US" w:eastAsia="zh-CN"/>
                    </w:rPr>
                    <w:t>对于完善科创区乃至整个新城路网系统级配 起到重要作用</w:t>
                  </w:r>
                </w:p>
              </w:tc>
              <w:tc>
                <w:tcPr>
                  <w:tcW w:w="945" w:type="dxa"/>
                  <w:tcBorders>
                    <w:tl2br w:val="nil"/>
                    <w:tr2bl w:val="nil"/>
                  </w:tcBorders>
                  <w:shd w:val="clear" w:color="auto" w:fill="auto"/>
                  <w:vAlign w:val="center"/>
                </w:tcPr>
                <w:p>
                  <w:pPr>
                    <w:pStyle w:val="77"/>
                    <w:keepNext w:val="0"/>
                    <w:keepLines w:val="0"/>
                    <w:pageBreakBefore w:val="0"/>
                    <w:kinsoku/>
                    <w:wordWrap/>
                    <w:overflowPunct/>
                    <w:topLinePunct w:val="0"/>
                    <w:autoSpaceDE/>
                    <w:autoSpaceDN/>
                    <w:bidi w:val="0"/>
                    <w:spacing w:beforeLines="0"/>
                    <w:textAlignment w:val="auto"/>
                    <w:rPr>
                      <w:rFonts w:hint="default" w:ascii="Times New Roman" w:hAnsi="Times New Roman" w:eastAsia="宋体" w:cs="Times New Roman"/>
                      <w:bCs w:val="0"/>
                      <w:color w:val="auto"/>
                      <w:kern w:val="2"/>
                      <w:sz w:val="21"/>
                      <w:szCs w:val="21"/>
                    </w:rPr>
                  </w:pPr>
                  <w:r>
                    <w:rPr>
                      <w:rFonts w:hint="default" w:ascii="Times New Roman" w:hAnsi="Times New Roman" w:eastAsia="宋体" w:cs="Times New Roman"/>
                      <w:bCs w:val="0"/>
                      <w:color w:val="auto"/>
                      <w:kern w:val="2"/>
                      <w:sz w:val="21"/>
                      <w:szCs w:val="21"/>
                    </w:rPr>
                    <w:t>符合</w:t>
                  </w:r>
                </w:p>
              </w:tc>
            </w:tr>
          </w:tbl>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480" w:leftChars="0"/>
              <w:textAlignment w:val="auto"/>
              <w:rPr>
                <w:rFonts w:hint="default"/>
                <w:b/>
                <w:bCs/>
                <w:color w:val="auto"/>
                <w:highlight w:val="none"/>
                <w:lang w:val="en-US" w:eastAsia="zh-CN"/>
              </w:rPr>
            </w:pPr>
            <w:r>
              <w:rPr>
                <w:rFonts w:hint="eastAsia"/>
                <w:b/>
                <w:bCs/>
                <w:color w:val="auto"/>
                <w:highlight w:val="none"/>
                <w:lang w:val="en-US" w:eastAsia="zh-CN"/>
              </w:rPr>
              <w:t>3、“三线一单”符合性分析</w:t>
            </w:r>
          </w:p>
          <w:p>
            <w:pPr>
              <w:numPr>
                <w:ilvl w:val="0"/>
                <w:numId w:val="0"/>
              </w:numPr>
              <w:autoSpaceDE w:val="0"/>
              <w:autoSpaceDN w:val="0"/>
              <w:spacing w:line="360" w:lineRule="auto"/>
              <w:ind w:firstLine="480" w:firstLineChars="200"/>
              <w:jc w:val="left"/>
              <w:rPr>
                <w:rFonts w:hint="default" w:ascii="Times New Roman" w:hAnsi="Times New Roman" w:cs="Times New Roman"/>
                <w:b w:val="0"/>
                <w:bCs/>
                <w:color w:val="auto"/>
                <w:kern w:val="0"/>
                <w:sz w:val="24"/>
                <w:highlight w:val="none"/>
              </w:rPr>
            </w:pPr>
            <w:r>
              <w:rPr>
                <w:rFonts w:hint="default" w:ascii="Times New Roman" w:hAnsi="Times New Roman" w:eastAsia="宋体" w:cs="Times New Roman"/>
                <w:b w:val="0"/>
                <w:bCs/>
                <w:color w:val="auto"/>
                <w:kern w:val="0"/>
                <w:sz w:val="24"/>
                <w:highlight w:val="none"/>
              </w:rPr>
              <w:t>根据《陕西省人民政府关于加快实施“三线一单”生态环境分区管控的意见》（陕政发〔2020〕11号）</w:t>
            </w:r>
            <w:r>
              <w:rPr>
                <w:rFonts w:hint="default" w:ascii="Times New Roman" w:hAnsi="Times New Roman" w:eastAsia="宋体" w:cs="Times New Roman"/>
                <w:b w:val="0"/>
                <w:bCs/>
                <w:color w:val="auto"/>
                <w:kern w:val="0"/>
                <w:sz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w:t>
            </w:r>
            <w:r>
              <w:rPr>
                <w:rFonts w:hint="eastAsia" w:ascii="Times New Roman" w:hAnsi="Times New Roman" w:eastAsia="宋体" w:cs="Times New Roman"/>
                <w:b w:val="0"/>
                <w:bCs/>
                <w:color w:val="auto"/>
                <w:kern w:val="0"/>
                <w:sz w:val="24"/>
                <w:szCs w:val="24"/>
                <w:highlight w:val="none"/>
                <w:lang w:val="en-US" w:eastAsia="zh-CN"/>
              </w:rPr>
              <w:t>西安市</w:t>
            </w:r>
            <w:r>
              <w:rPr>
                <w:rFonts w:hint="default" w:ascii="Times New Roman" w:hAnsi="Times New Roman" w:eastAsia="宋体" w:cs="Times New Roman"/>
                <w:b w:val="0"/>
                <w:bCs/>
                <w:color w:val="auto"/>
                <w:kern w:val="0"/>
                <w:sz w:val="24"/>
                <w:szCs w:val="24"/>
                <w:highlight w:val="none"/>
                <w:lang w:val="en-US" w:eastAsia="zh-CN"/>
              </w:rPr>
              <w:t>“三线一单”生态环境分区管控方案》、</w:t>
            </w:r>
            <w:r>
              <w:rPr>
                <w:rFonts w:hint="default" w:ascii="Times New Roman" w:hAnsi="Times New Roman" w:eastAsia="宋体" w:cs="Times New Roman"/>
                <w:bCs/>
                <w:color w:val="auto"/>
                <w:kern w:val="0"/>
                <w:sz w:val="24"/>
                <w:highlight w:val="none"/>
              </w:rPr>
              <w:t>《陕西省“三线一单”生态环境分区管控应用技术指南：环境影响评价（试行）》</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环评文件涉及“三线一单”生态环境分区管控符合性分析应采取“一图一表一说明”的表达方式，本项目与</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三线一单</w:t>
            </w: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符合性分析如下：</w:t>
            </w:r>
          </w:p>
          <w:p>
            <w:pPr>
              <w:pStyle w:val="74"/>
              <w:spacing w:line="360" w:lineRule="auto"/>
              <w:ind w:firstLine="488"/>
              <w:rPr>
                <w:rFonts w:hAnsi="Times New Roman"/>
                <w:color w:val="auto"/>
                <w:spacing w:val="2"/>
              </w:rPr>
            </w:pPr>
            <w:r>
              <w:rPr>
                <w:rFonts w:hint="eastAsia" w:hAnsi="Times New Roman"/>
                <w:color w:val="auto"/>
                <w:spacing w:val="2"/>
              </w:rPr>
              <w:t>①“一图”</w:t>
            </w:r>
          </w:p>
          <w:p>
            <w:pPr>
              <w:pStyle w:val="74"/>
              <w:spacing w:line="360" w:lineRule="auto"/>
              <w:ind w:firstLine="488"/>
              <w:rPr>
                <w:rFonts w:hint="eastAsia" w:ascii="Calibri" w:hAnsi="Times New Roman" w:eastAsia="宋体" w:cs="Times New Roman"/>
                <w:color w:val="auto"/>
                <w:spacing w:val="2"/>
              </w:rPr>
            </w:pPr>
            <w:r>
              <w:rPr>
                <w:rFonts w:hAnsi="Times New Roman"/>
                <w:color w:val="auto"/>
                <w:spacing w:val="2"/>
              </w:rPr>
              <w:t>本项目位</w:t>
            </w:r>
            <w:r>
              <w:rPr>
                <w:rFonts w:hint="eastAsia" w:hAnsi="Times New Roman"/>
                <w:color w:val="auto"/>
                <w:spacing w:val="2"/>
              </w:rPr>
              <w:t>于陕西省生态环境管控单元分布示意图中</w:t>
            </w:r>
            <w:r>
              <w:rPr>
                <w:rFonts w:hAnsi="Times New Roman"/>
                <w:color w:val="auto"/>
                <w:spacing w:val="2"/>
              </w:rPr>
              <w:t>重点管控单元</w:t>
            </w:r>
            <w:r>
              <w:rPr>
                <w:rFonts w:hint="eastAsia" w:hAnsi="Times New Roman"/>
                <w:color w:val="auto"/>
                <w:spacing w:val="2"/>
              </w:rPr>
              <w:t>内，</w:t>
            </w:r>
            <w:r>
              <w:rPr>
                <w:rFonts w:hint="eastAsia" w:ascii="Calibri" w:hAnsi="Times New Roman" w:eastAsia="宋体" w:cs="Times New Roman"/>
                <w:color w:val="auto"/>
                <w:spacing w:val="2"/>
                <w:lang w:val="en-US" w:eastAsia="zh-CN"/>
              </w:rPr>
              <w:t>具体如下</w:t>
            </w:r>
            <w:r>
              <w:rPr>
                <w:rFonts w:hint="eastAsia" w:ascii="Calibri" w:hAnsi="Times New Roman" w:eastAsia="宋体" w:cs="Times New Roman"/>
                <w:color w:val="auto"/>
                <w:spacing w:val="2"/>
              </w:rPr>
              <w:t>。</w:t>
            </w:r>
          </w:p>
          <w:p>
            <w:pPr>
              <w:rPr>
                <w:rFonts w:hint="default"/>
                <w:color w:val="auto"/>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3576320</wp:posOffset>
                      </wp:positionH>
                      <wp:positionV relativeFrom="paragraph">
                        <wp:posOffset>671195</wp:posOffset>
                      </wp:positionV>
                      <wp:extent cx="676275" cy="276860"/>
                      <wp:effectExtent l="341630" t="4445" r="10795" b="23495"/>
                      <wp:wrapNone/>
                      <wp:docPr id="11" name="矩形标注 11"/>
                      <wp:cNvGraphicFramePr/>
                      <a:graphic xmlns:a="http://schemas.openxmlformats.org/drawingml/2006/main">
                        <a:graphicData uri="http://schemas.microsoft.com/office/word/2010/wordprocessingShape">
                          <wps:wsp>
                            <wps:cNvSpPr/>
                            <wps:spPr>
                              <a:xfrm>
                                <a:off x="0" y="0"/>
                                <a:ext cx="676275" cy="276860"/>
                              </a:xfrm>
                              <a:prstGeom prst="wedgeRectCallout">
                                <a:avLst>
                                  <a:gd name="adj1" fmla="val -94880"/>
                                  <a:gd name="adj2" fmla="val 10778"/>
                                </a:avLst>
                              </a:prstGeom>
                              <a:noFill/>
                              <a:ln w="9525" cap="flat" cmpd="sng">
                                <a:solidFill>
                                  <a:srgbClr val="FFFFFF"/>
                                </a:solidFill>
                                <a:prstDash val="solid"/>
                                <a:miter/>
                                <a:headEnd type="none" w="med" len="med"/>
                                <a:tailEnd type="none" w="med" len="med"/>
                              </a:ln>
                            </wps:spPr>
                            <wps:txbx>
                              <w:txbxContent>
                                <w:p>
                                  <w:pPr>
                                    <w:rPr>
                                      <w:rFonts w:hint="eastAsia" w:eastAsia="宋体"/>
                                      <w:b/>
                                      <w:bCs/>
                                      <w:lang w:val="en-US" w:eastAsia="zh-CN"/>
                                    </w:rPr>
                                  </w:pPr>
                                  <w:r>
                                    <w:rPr>
                                      <w:rFonts w:hint="eastAsia"/>
                                      <w:b/>
                                      <w:bCs/>
                                      <w:lang w:val="en-US" w:eastAsia="zh-CN"/>
                                    </w:rPr>
                                    <w:t>项目地</w:t>
                                  </w:r>
                                </w:p>
                              </w:txbxContent>
                            </wps:txbx>
                            <wps:bodyPr upright="1"/>
                          </wps:wsp>
                        </a:graphicData>
                      </a:graphic>
                    </wp:anchor>
                  </w:drawing>
                </mc:Choice>
                <mc:Fallback>
                  <w:pict>
                    <v:shape id="_x0000_s1026" o:spid="_x0000_s1026" o:spt="61" type="#_x0000_t61" style="position:absolute;left:0pt;margin-left:281.6pt;margin-top:52.85pt;height:21.8pt;width:53.25pt;z-index:251660288;mso-width-relative:page;mso-height-relative:page;" filled="f" stroked="t" coordsize="21600,21600" o:gfxdata="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U6OENoAAAALAQAADwAAAAAAAAABACAAAAAiAAAAZHJzL2Rvd25y&#10;ZXYueG1sUEsBAhQAFAAAAAgAh07iQLLLqRE1AgAAZQQAAA4AAAAAAAAAAQAgAAAAKQEAAGRycy9l&#10;Mm9Eb2MueG1sUEsFBgAAAAAGAAYAWQEAANAFAAAAAA==&#10;" adj="-9694,13128">
                      <v:fill on="f" focussize="0,0"/>
                      <v:stroke color="#FFFFFF" joinstyle="miter"/>
                      <v:imagedata o:title=""/>
                      <o:lock v:ext="edit" aspectratio="f"/>
                      <v:textbox>
                        <w:txbxContent>
                          <w:p>
                            <w:pPr>
                              <w:rPr>
                                <w:rFonts w:hint="eastAsia" w:eastAsia="宋体"/>
                                <w:b/>
                                <w:bCs/>
                                <w:lang w:val="en-US" w:eastAsia="zh-CN"/>
                              </w:rPr>
                            </w:pPr>
                            <w:r>
                              <w:rPr>
                                <w:rFonts w:hint="eastAsia"/>
                                <w:b/>
                                <w:bCs/>
                                <w:lang w:val="en-US" w:eastAsia="zh-CN"/>
                              </w:rPr>
                              <w:t>项目地</w:t>
                            </w:r>
                          </w:p>
                        </w:txbxContent>
                      </v:textbox>
                    </v:shape>
                  </w:pict>
                </mc:Fallback>
              </mc:AlternateContent>
            </w:r>
            <w:r>
              <w:rPr>
                <w:color w:val="auto"/>
              </w:rPr>
              <w:drawing>
                <wp:inline distT="0" distB="0" distL="114300" distR="114300">
                  <wp:extent cx="4725670" cy="3057525"/>
                  <wp:effectExtent l="0" t="0" r="1778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4725670" cy="3057525"/>
                          </a:xfrm>
                          <a:prstGeom prst="rect">
                            <a:avLst/>
                          </a:prstGeom>
                          <a:noFill/>
                          <a:ln>
                            <a:noFill/>
                          </a:ln>
                        </pic:spPr>
                      </pic:pic>
                    </a:graphicData>
                  </a:graphic>
                </wp:inline>
              </w:drawing>
            </w:r>
          </w:p>
          <w:p>
            <w:pPr>
              <w:numPr>
                <w:ilvl w:val="0"/>
                <w:numId w:val="0"/>
              </w:numPr>
              <w:autoSpaceDE w:val="0"/>
              <w:autoSpaceDN w:val="0"/>
              <w:spacing w:line="360" w:lineRule="auto"/>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图1</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 xml:space="preserve">  “三线一单”</w:t>
            </w:r>
            <w:r>
              <w:rPr>
                <w:rFonts w:hint="eastAsia" w:ascii="Times New Roman" w:hAnsi="Times New Roman" w:eastAsia="宋体" w:cs="Times New Roman"/>
                <w:b/>
                <w:bCs/>
                <w:color w:val="auto"/>
                <w:sz w:val="24"/>
                <w:szCs w:val="24"/>
                <w:highlight w:val="none"/>
                <w:lang w:val="en-US" w:eastAsia="zh-CN"/>
              </w:rPr>
              <w:t>冲突分析</w:t>
            </w:r>
            <w:r>
              <w:rPr>
                <w:rFonts w:hint="default" w:ascii="Times New Roman" w:hAnsi="Times New Roman" w:eastAsia="宋体" w:cs="Times New Roman"/>
                <w:b/>
                <w:bCs/>
                <w:color w:val="auto"/>
                <w:sz w:val="24"/>
                <w:szCs w:val="24"/>
                <w:highlight w:val="none"/>
                <w:lang w:val="en-US" w:eastAsia="zh-CN"/>
              </w:rPr>
              <w:t>图</w:t>
            </w:r>
          </w:p>
          <w:p>
            <w:pPr>
              <w:pStyle w:val="74"/>
              <w:spacing w:line="360" w:lineRule="auto"/>
              <w:ind w:firstLine="488"/>
              <w:rPr>
                <w:rFonts w:hint="eastAsia" w:ascii="Calibri" w:hAnsi="Times New Roman" w:eastAsia="宋体" w:cs="Times New Roman"/>
                <w:color w:val="auto"/>
                <w:spacing w:val="2"/>
              </w:rPr>
            </w:pPr>
            <w:r>
              <w:rPr>
                <w:rFonts w:hint="eastAsia" w:ascii="Calibri" w:hAnsi="Times New Roman" w:eastAsia="宋体" w:cs="Times New Roman"/>
                <w:color w:val="auto"/>
                <w:spacing w:val="2"/>
              </w:rPr>
              <w:t>②“一表”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lang w:val="en-US" w:eastAsia="zh-CN"/>
              </w:rPr>
              <w:t>根据从陕西省“三线一单”数据应用系统（V1.0）中导出的分析文件（具体见附件），</w:t>
            </w:r>
            <w:r>
              <w:rPr>
                <w:rFonts w:hint="eastAsia"/>
                <w:color w:val="auto"/>
                <w:sz w:val="24"/>
                <w:szCs w:val="24"/>
              </w:rPr>
              <w:t>本项目所涉及的《</w:t>
            </w:r>
            <w:r>
              <w:rPr>
                <w:rFonts w:hint="eastAsia"/>
                <w:color w:val="auto"/>
                <w:sz w:val="24"/>
                <w:szCs w:val="24"/>
                <w:lang w:val="en-US" w:eastAsia="zh-CN"/>
              </w:rPr>
              <w:t>西安</w:t>
            </w:r>
            <w:r>
              <w:rPr>
                <w:rFonts w:hint="eastAsia"/>
                <w:color w:val="auto"/>
                <w:sz w:val="24"/>
                <w:szCs w:val="24"/>
              </w:rPr>
              <w:t>市生态环境准入清单》如下表所示：</w:t>
            </w:r>
          </w:p>
          <w:p>
            <w:pPr>
              <w:pStyle w:val="32"/>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表</w:t>
            </w:r>
            <w:r>
              <w:rPr>
                <w:rFonts w:hint="default" w:ascii="Times New Roman" w:hAnsi="Times New Roman"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lang w:eastAsia="zh-CN"/>
              </w:rPr>
              <w:t xml:space="preserve"> </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2"/>
                <w:sz w:val="21"/>
                <w:szCs w:val="21"/>
                <w:highlight w:val="none"/>
              </w:rPr>
              <w:t>建设项目范围涉及的生态环境管控单元准入清单符合性分析</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871"/>
              <w:gridCol w:w="432"/>
              <w:gridCol w:w="432"/>
              <w:gridCol w:w="432"/>
              <w:gridCol w:w="432"/>
              <w:gridCol w:w="430"/>
              <w:gridCol w:w="1283"/>
              <w:gridCol w:w="1041"/>
              <w:gridCol w:w="1068"/>
              <w:gridCol w:w="4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521"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序号</w:t>
                  </w:r>
                </w:p>
              </w:tc>
              <w:tc>
                <w:tcPr>
                  <w:tcW w:w="569"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市</w:t>
                  </w:r>
                </w:p>
              </w:tc>
              <w:tc>
                <w:tcPr>
                  <w:tcW w:w="282"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区县</w:t>
                  </w:r>
                </w:p>
              </w:tc>
              <w:tc>
                <w:tcPr>
                  <w:tcW w:w="282"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环境管控单元名称</w:t>
                  </w:r>
                </w:p>
              </w:tc>
              <w:tc>
                <w:tcPr>
                  <w:tcW w:w="282"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单元要素属性</w:t>
                  </w:r>
                </w:p>
              </w:tc>
              <w:tc>
                <w:tcPr>
                  <w:tcW w:w="282"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管控单元分类</w:t>
                  </w:r>
                </w:p>
              </w:tc>
              <w:tc>
                <w:tcPr>
                  <w:tcW w:w="1119" w:type="pct"/>
                  <w:gridSpan w:val="2"/>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管控要求</w:t>
                  </w:r>
                </w:p>
              </w:tc>
              <w:tc>
                <w:tcPr>
                  <w:tcW w:w="680"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面积</w:t>
                  </w:r>
                </w:p>
              </w:tc>
              <w:tc>
                <w:tcPr>
                  <w:tcW w:w="697" w:type="pct"/>
                  <w:tcBorders>
                    <w:tl2br w:val="nil"/>
                    <w:tr2bl w:val="nil"/>
                  </w:tcBorders>
                  <w:vAlign w:val="center"/>
                </w:tcPr>
                <w:p>
                  <w:pPr>
                    <w:adjustRightInd/>
                    <w:snapToGrid/>
                    <w:spacing w:line="240" w:lineRule="auto"/>
                    <w:ind w:firstLine="0" w:firstLineChars="0"/>
                    <w:jc w:val="center"/>
                    <w:rPr>
                      <w:b/>
                      <w:bCs/>
                      <w:color w:val="auto"/>
                      <w:sz w:val="21"/>
                      <w:szCs w:val="21"/>
                    </w:rPr>
                  </w:pPr>
                  <w:r>
                    <w:rPr>
                      <w:rFonts w:hint="eastAsia"/>
                      <w:b/>
                      <w:bCs/>
                      <w:color w:val="auto"/>
                      <w:sz w:val="21"/>
                      <w:szCs w:val="21"/>
                    </w:rPr>
                    <w:t>本项目情况</w:t>
                  </w:r>
                </w:p>
              </w:tc>
              <w:tc>
                <w:tcPr>
                  <w:tcW w:w="282" w:type="pct"/>
                  <w:tcBorders>
                    <w:tl2br w:val="nil"/>
                    <w:tr2bl w:val="nil"/>
                  </w:tcBorders>
                  <w:vAlign w:val="center"/>
                </w:tcPr>
                <w:p>
                  <w:pPr>
                    <w:adjustRightInd/>
                    <w:snapToGrid/>
                    <w:spacing w:line="240" w:lineRule="auto"/>
                    <w:ind w:firstLine="0" w:firstLineChars="0"/>
                    <w:jc w:val="center"/>
                    <w:rPr>
                      <w:b/>
                      <w:bCs/>
                      <w:color w:val="auto"/>
                      <w:sz w:val="21"/>
                      <w:szCs w:val="21"/>
                    </w:rPr>
                  </w:pPr>
                  <w:r>
                    <w:rPr>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52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1</w:t>
                  </w:r>
                </w:p>
              </w:tc>
              <w:tc>
                <w:tcPr>
                  <w:tcW w:w="569" w:type="pct"/>
                  <w:tcBorders>
                    <w:tl2br w:val="nil"/>
                    <w:tr2bl w:val="nil"/>
                  </w:tcBorders>
                  <w:vAlign w:val="center"/>
                </w:tcPr>
                <w:p>
                  <w:pPr>
                    <w:adjustRightInd/>
                    <w:snapToGrid/>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西安市</w:t>
                  </w:r>
                </w:p>
              </w:tc>
              <w:tc>
                <w:tcPr>
                  <w:tcW w:w="282" w:type="pct"/>
                  <w:tcBorders>
                    <w:tl2br w:val="nil"/>
                    <w:tr2bl w:val="nil"/>
                  </w:tcBorders>
                  <w:vAlign w:val="center"/>
                </w:tcPr>
                <w:p>
                  <w:pPr>
                    <w:adjustRightInd/>
                    <w:snapToGrid/>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泾河新城</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重点管控单元2</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水环境城镇生活污染重点管控区</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w:t>
                  </w: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污染排放管控</w:t>
                  </w:r>
                </w:p>
              </w:tc>
              <w:tc>
                <w:tcPr>
                  <w:tcW w:w="838"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加强城镇污水收集处理设施建设与提标改造，推进渭河南岸西部污水处理厂建设，提升污水处理能力，因地制宜在污水处理厂出水口处建设人工水质净化工程。推进新建污水处理设施与配套管网的同步设计、同步建设、同步投运，加快污水管网建设与雨污分流改造，完成市区老旧城区管网升级改造。</w:t>
                  </w:r>
                </w:p>
              </w:tc>
              <w:tc>
                <w:tcPr>
                  <w:tcW w:w="680" w:type="pct"/>
                  <w:vMerge w:val="restart"/>
                  <w:tcBorders>
                    <w:tl2br w:val="nil"/>
                    <w:tr2bl w:val="nil"/>
                  </w:tcBorders>
                  <w:vAlign w:val="center"/>
                </w:tcPr>
                <w:p>
                  <w:pPr>
                    <w:adjustRightInd w:val="0"/>
                    <w:snapToGrid w:val="0"/>
                    <w:spacing w:line="240" w:lineRule="auto"/>
                    <w:ind w:firstLine="0" w:firstLineChars="0"/>
                    <w:jc w:val="left"/>
                    <w:rPr>
                      <w:color w:val="auto"/>
                      <w:sz w:val="21"/>
                      <w:szCs w:val="21"/>
                    </w:rPr>
                  </w:pPr>
                  <w:r>
                    <w:rPr>
                      <w:rFonts w:hint="eastAsia"/>
                      <w:color w:val="auto"/>
                      <w:spacing w:val="-6"/>
                      <w:sz w:val="21"/>
                      <w:szCs w:val="21"/>
                      <w:lang w:val="en-US" w:eastAsia="zh-CN"/>
                    </w:rPr>
                    <w:t>188932</w:t>
                  </w:r>
                  <w:r>
                    <w:rPr>
                      <w:color w:val="auto"/>
                      <w:spacing w:val="-6"/>
                      <w:sz w:val="21"/>
                      <w:szCs w:val="21"/>
                    </w:rPr>
                    <w:t>m</w:t>
                  </w:r>
                  <w:r>
                    <w:rPr>
                      <w:color w:val="auto"/>
                      <w:spacing w:val="-6"/>
                      <w:sz w:val="21"/>
                      <w:szCs w:val="21"/>
                      <w:vertAlign w:val="superscript"/>
                    </w:rPr>
                    <w:t>2</w:t>
                  </w: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rFonts w:hint="eastAsia"/>
                      <w:color w:val="auto"/>
                      <w:kern w:val="0"/>
                      <w:sz w:val="21"/>
                      <w:szCs w:val="21"/>
                    </w:rPr>
                    <w:t>项目</w:t>
                  </w:r>
                  <w:r>
                    <w:rPr>
                      <w:rFonts w:hint="default" w:ascii="Times New Roman" w:hAnsi="Times New Roman" w:cs="Times New Roman"/>
                      <w:color w:val="auto"/>
                      <w:sz w:val="21"/>
                      <w:szCs w:val="21"/>
                      <w:highlight w:val="none"/>
                    </w:rPr>
                    <w:t>道路两侧设雨污水管网；加强管网维护，保证雨污水疏排顺畅，防止路面积水</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521"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2</w:t>
                  </w:r>
                </w:p>
              </w:tc>
              <w:tc>
                <w:tcPr>
                  <w:tcW w:w="862" w:type="dxa"/>
                  <w:vMerge w:val="restart"/>
                  <w:tcBorders>
                    <w:tl2br w:val="nil"/>
                    <w:tr2bl w:val="nil"/>
                  </w:tcBorders>
                  <w:vAlign w:val="center"/>
                </w:tcPr>
                <w:p>
                  <w:pPr>
                    <w:adjustRightInd/>
                    <w:snapToGrid/>
                    <w:spacing w:line="240" w:lineRule="auto"/>
                    <w:ind w:firstLine="0" w:firstLineChars="0"/>
                    <w:jc w:val="center"/>
                    <w:rPr>
                      <w:color w:val="auto"/>
                      <w:sz w:val="21"/>
                      <w:szCs w:val="21"/>
                      <w:highlight w:val="green"/>
                    </w:rPr>
                  </w:pPr>
                  <w:r>
                    <w:rPr>
                      <w:rFonts w:hint="eastAsia"/>
                      <w:color w:val="auto"/>
                      <w:sz w:val="21"/>
                      <w:szCs w:val="21"/>
                      <w:lang w:val="en-US" w:eastAsia="zh-CN"/>
                    </w:rPr>
                    <w:t>西安市</w:t>
                  </w:r>
                </w:p>
              </w:tc>
              <w:tc>
                <w:tcPr>
                  <w:tcW w:w="427" w:type="dxa"/>
                  <w:vMerge w:val="restart"/>
                  <w:tcBorders>
                    <w:tl2br w:val="nil"/>
                    <w:tr2bl w:val="nil"/>
                  </w:tcBorders>
                  <w:vAlign w:val="center"/>
                </w:tcPr>
                <w:p>
                  <w:pPr>
                    <w:adjustRightInd/>
                    <w:snapToGrid/>
                    <w:spacing w:line="240" w:lineRule="auto"/>
                    <w:ind w:firstLine="0" w:firstLineChars="0"/>
                    <w:jc w:val="center"/>
                    <w:rPr>
                      <w:color w:val="auto"/>
                      <w:sz w:val="21"/>
                      <w:szCs w:val="21"/>
                      <w:highlight w:val="green"/>
                    </w:rPr>
                  </w:pPr>
                  <w:r>
                    <w:rPr>
                      <w:rFonts w:hint="eastAsia"/>
                      <w:color w:val="auto"/>
                      <w:sz w:val="21"/>
                      <w:szCs w:val="21"/>
                      <w:lang w:val="en-US" w:eastAsia="zh-CN"/>
                    </w:rPr>
                    <w:t>泾河新城</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重点管控单元2</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大气环境布局敏感重点管控区</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w:t>
                  </w: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空间布局约束</w:t>
                  </w:r>
                </w:p>
              </w:tc>
              <w:tc>
                <w:tcPr>
                  <w:tcW w:w="838"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1.坚决遏制高耗能高排放项目盲目发展，严控“两高”行业产能。</w:t>
                  </w:r>
                </w:p>
              </w:tc>
              <w:tc>
                <w:tcPr>
                  <w:tcW w:w="680" w:type="pct"/>
                  <w:vMerge w:val="continue"/>
                  <w:tcBorders>
                    <w:tl2br w:val="nil"/>
                    <w:tr2bl w:val="nil"/>
                  </w:tcBorders>
                  <w:vAlign w:val="center"/>
                </w:tcPr>
                <w:p>
                  <w:pPr>
                    <w:adjustRightInd w:val="0"/>
                    <w:snapToGrid w:val="0"/>
                    <w:spacing w:line="240" w:lineRule="auto"/>
                    <w:ind w:firstLine="0"/>
                    <w:jc w:val="left"/>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本项目属于</w:t>
                  </w:r>
                  <w:r>
                    <w:rPr>
                      <w:rFonts w:hint="eastAsia"/>
                      <w:color w:val="auto"/>
                      <w:sz w:val="21"/>
                      <w:szCs w:val="21"/>
                      <w:lang w:val="en-US" w:eastAsia="zh-CN"/>
                    </w:rPr>
                    <w:t>城市道路建设项目</w:t>
                  </w:r>
                  <w:r>
                    <w:rPr>
                      <w:rFonts w:hint="eastAsia"/>
                      <w:color w:val="auto"/>
                      <w:sz w:val="21"/>
                      <w:szCs w:val="21"/>
                    </w:rPr>
                    <w:t>，不属于“两高”行业</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521"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56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污染排放管控</w:t>
                  </w:r>
                </w:p>
              </w:tc>
              <w:tc>
                <w:tcPr>
                  <w:tcW w:w="838"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1.区域内保留企业采用先进生产工艺、严格落实污染治理措施。</w:t>
                  </w:r>
                </w:p>
                <w:p>
                  <w:pPr>
                    <w:adjustRightInd w:val="0"/>
                    <w:snapToGrid w:val="0"/>
                    <w:spacing w:line="240" w:lineRule="auto"/>
                    <w:ind w:firstLine="0"/>
                    <w:jc w:val="left"/>
                    <w:rPr>
                      <w:color w:val="auto"/>
                      <w:sz w:val="21"/>
                      <w:szCs w:val="21"/>
                    </w:rPr>
                  </w:pPr>
                  <w:r>
                    <w:rPr>
                      <w:color w:val="auto"/>
                      <w:sz w:val="21"/>
                      <w:szCs w:val="21"/>
                    </w:rPr>
                    <w:t>2.提升环境管理水平，减少污染物排放。</w:t>
                  </w:r>
                </w:p>
                <w:p>
                  <w:pPr>
                    <w:adjustRightInd w:val="0"/>
                    <w:snapToGrid w:val="0"/>
                    <w:spacing w:line="240" w:lineRule="auto"/>
                    <w:ind w:firstLine="0"/>
                    <w:jc w:val="left"/>
                    <w:rPr>
                      <w:color w:val="auto"/>
                      <w:sz w:val="21"/>
                      <w:szCs w:val="21"/>
                    </w:rPr>
                  </w:pPr>
                  <w:r>
                    <w:rPr>
                      <w:color w:val="auto"/>
                      <w:sz w:val="21"/>
                      <w:szCs w:val="21"/>
                    </w:rPr>
                    <w:t>3.支持企业开展能效提升、清洁生产、工业节水等绿色化升级改造，实施重点行业和企业循环化改造，推动资源循环再生利用，降低能源消耗和污染物排放量。</w:t>
                  </w:r>
                </w:p>
              </w:tc>
              <w:tc>
                <w:tcPr>
                  <w:tcW w:w="680" w:type="pct"/>
                  <w:vMerge w:val="continue"/>
                  <w:tcBorders>
                    <w:tl2br w:val="nil"/>
                    <w:tr2bl w:val="nil"/>
                  </w:tcBorders>
                  <w:vAlign w:val="center"/>
                </w:tcPr>
                <w:p>
                  <w:pPr>
                    <w:adjustRightInd w:val="0"/>
                    <w:snapToGrid w:val="0"/>
                    <w:spacing w:line="240" w:lineRule="auto"/>
                    <w:ind w:firstLine="0"/>
                    <w:jc w:val="left"/>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rFonts w:hint="eastAsia"/>
                      <w:color w:val="auto"/>
                      <w:sz w:val="21"/>
                      <w:szCs w:val="21"/>
                    </w:rPr>
                    <w:t>项目道路两侧设雨污水管网；加强管网维护，保证雨污水疏排顺畅，防止路面积水</w:t>
                  </w:r>
                </w:p>
              </w:tc>
              <w:tc>
                <w:tcPr>
                  <w:tcW w:w="282" w:type="pct"/>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521" w:type="pct"/>
                  <w:vMerge w:val="restart"/>
                  <w:tcBorders>
                    <w:tl2br w:val="nil"/>
                    <w:tr2bl w:val="nil"/>
                  </w:tcBorders>
                  <w:vAlign w:val="center"/>
                </w:tcPr>
                <w:p>
                  <w:pPr>
                    <w:adjustRightInd/>
                    <w:snapToGrid/>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862" w:type="dxa"/>
                  <w:vMerge w:val="restart"/>
                  <w:tcBorders>
                    <w:tl2br w:val="nil"/>
                    <w:tr2bl w:val="nil"/>
                  </w:tcBorders>
                  <w:vAlign w:val="center"/>
                </w:tcPr>
                <w:p>
                  <w:pPr>
                    <w:adjustRightInd/>
                    <w:snapToGrid/>
                    <w:spacing w:line="240" w:lineRule="auto"/>
                    <w:ind w:firstLine="0" w:firstLineChars="0"/>
                    <w:jc w:val="center"/>
                    <w:rPr>
                      <w:color w:val="auto"/>
                      <w:sz w:val="21"/>
                      <w:szCs w:val="21"/>
                      <w:highlight w:val="green"/>
                    </w:rPr>
                  </w:pPr>
                  <w:r>
                    <w:rPr>
                      <w:rFonts w:hint="eastAsia"/>
                      <w:color w:val="auto"/>
                      <w:sz w:val="21"/>
                      <w:szCs w:val="21"/>
                      <w:lang w:val="en-US" w:eastAsia="zh-CN"/>
                    </w:rPr>
                    <w:t>西安市</w:t>
                  </w:r>
                </w:p>
              </w:tc>
              <w:tc>
                <w:tcPr>
                  <w:tcW w:w="427" w:type="dxa"/>
                  <w:vMerge w:val="restart"/>
                  <w:tcBorders>
                    <w:tl2br w:val="nil"/>
                    <w:tr2bl w:val="nil"/>
                  </w:tcBorders>
                  <w:vAlign w:val="center"/>
                </w:tcPr>
                <w:p>
                  <w:pPr>
                    <w:adjustRightInd/>
                    <w:snapToGrid/>
                    <w:spacing w:line="240" w:lineRule="auto"/>
                    <w:ind w:firstLine="0" w:firstLineChars="0"/>
                    <w:jc w:val="center"/>
                    <w:rPr>
                      <w:color w:val="auto"/>
                      <w:sz w:val="21"/>
                      <w:szCs w:val="21"/>
                      <w:highlight w:val="green"/>
                    </w:rPr>
                  </w:pPr>
                  <w:r>
                    <w:rPr>
                      <w:rFonts w:hint="eastAsia"/>
                      <w:color w:val="auto"/>
                      <w:sz w:val="21"/>
                      <w:szCs w:val="21"/>
                      <w:lang w:val="en-US" w:eastAsia="zh-CN"/>
                    </w:rPr>
                    <w:t>泾河新城</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重点管控单元2</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高污染燃料禁燃区</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w:t>
                  </w: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空间布局约束</w:t>
                  </w:r>
                </w:p>
              </w:tc>
              <w:tc>
                <w:tcPr>
                  <w:tcW w:w="838"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禁燃区内禁止销售、燃用高污染燃料，禁止新建、扩建燃用高污染燃料的设施，已建成的应当在市（区）政府规定的期限内改用天然气、页岩气、液化石油气、电等清洁能源。全域全时段禁止生物质露天焚烧。</w:t>
                  </w:r>
                </w:p>
              </w:tc>
              <w:tc>
                <w:tcPr>
                  <w:tcW w:w="680" w:type="pct"/>
                  <w:vMerge w:val="continue"/>
                  <w:tcBorders>
                    <w:tl2br w:val="nil"/>
                    <w:tr2bl w:val="nil"/>
                  </w:tcBorders>
                  <w:vAlign w:val="center"/>
                </w:tcPr>
                <w:p>
                  <w:pPr>
                    <w:adjustRightInd w:val="0"/>
                    <w:snapToGrid w:val="0"/>
                    <w:spacing w:line="240" w:lineRule="auto"/>
                    <w:ind w:firstLine="0"/>
                    <w:jc w:val="left"/>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rFonts w:hint="eastAsia"/>
                      <w:color w:val="auto"/>
                      <w:sz w:val="21"/>
                      <w:szCs w:val="21"/>
                    </w:rPr>
                    <w:t>本项目属于城市道路建设项目，不涉及高污染燃料</w:t>
                  </w:r>
                </w:p>
              </w:tc>
              <w:tc>
                <w:tcPr>
                  <w:tcW w:w="282" w:type="pct"/>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521"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569"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污染排放管控</w:t>
                  </w:r>
                </w:p>
              </w:tc>
              <w:tc>
                <w:tcPr>
                  <w:tcW w:w="838" w:type="pct"/>
                  <w:tcBorders>
                    <w:tl2br w:val="nil"/>
                    <w:tr2bl w:val="nil"/>
                  </w:tcBorders>
                  <w:vAlign w:val="center"/>
                </w:tcPr>
                <w:p>
                  <w:pPr>
                    <w:adjustRightInd w:val="0"/>
                    <w:snapToGrid w:val="0"/>
                    <w:spacing w:line="240" w:lineRule="auto"/>
                    <w:ind w:firstLine="0"/>
                    <w:jc w:val="both"/>
                    <w:rPr>
                      <w:color w:val="auto"/>
                      <w:sz w:val="21"/>
                      <w:szCs w:val="21"/>
                    </w:rPr>
                  </w:pPr>
                  <w:r>
                    <w:rPr>
                      <w:rFonts w:hint="eastAsia"/>
                      <w:color w:val="auto"/>
                      <w:sz w:val="21"/>
                      <w:szCs w:val="21"/>
                    </w:rPr>
                    <w:t>1.</w:t>
                  </w:r>
                  <w:r>
                    <w:rPr>
                      <w:color w:val="auto"/>
                      <w:sz w:val="21"/>
                      <w:szCs w:val="21"/>
                    </w:rPr>
                    <w:t>推进各类园区循环化改造、规范发展和提质增效。大力推进企业清洁生产。全面实行排污许可管理，实现固定污染源排污许可制全覆盖燃料清洁低碳化替代方面，对以煤、石油焦、渣油、重油等为燃料的工业炉窑，加快利用清洁低碳能源、工厂余热、电厂热力等方式实施替代。</w:t>
                  </w:r>
                </w:p>
                <w:p>
                  <w:pPr>
                    <w:adjustRightInd w:val="0"/>
                    <w:snapToGrid w:val="0"/>
                    <w:spacing w:line="240" w:lineRule="auto"/>
                    <w:ind w:firstLine="0"/>
                    <w:jc w:val="both"/>
                    <w:rPr>
                      <w:color w:val="auto"/>
                      <w:sz w:val="21"/>
                      <w:szCs w:val="21"/>
                    </w:rPr>
                  </w:pPr>
                  <w:r>
                    <w:rPr>
                      <w:rFonts w:hint="eastAsia"/>
                      <w:color w:val="auto"/>
                      <w:sz w:val="21"/>
                      <w:szCs w:val="21"/>
                    </w:rPr>
                    <w:t>2.</w:t>
                  </w:r>
                  <w:r>
                    <w:rPr>
                      <w:color w:val="auto"/>
                      <w:sz w:val="21"/>
                      <w:szCs w:val="21"/>
                    </w:rPr>
                    <w:t>不再新建每小时35蒸吨以下的燃煤锅炉，每小时65蒸吨及以上燃煤锅炉全部完成节能和超低排放改造。对城市建成区生物质锅炉实施超低排放改造；具备条件的30万千瓦及以上燃煤机组全部实现供热改造。科学应对重污染天气，修订完善重污染天气应急减排清单，实施分级管控，与西安统一标准，统一等级，统一措施，实施区域应急联动。</w:t>
                  </w:r>
                </w:p>
              </w:tc>
              <w:tc>
                <w:tcPr>
                  <w:tcW w:w="680" w:type="pct"/>
                  <w:vMerge w:val="continue"/>
                  <w:tcBorders>
                    <w:tl2br w:val="nil"/>
                    <w:tr2bl w:val="nil"/>
                  </w:tcBorders>
                  <w:vAlign w:val="center"/>
                </w:tcPr>
                <w:p>
                  <w:pPr>
                    <w:adjustRightInd w:val="0"/>
                    <w:snapToGrid w:val="0"/>
                    <w:spacing w:line="240" w:lineRule="auto"/>
                    <w:ind w:firstLine="0"/>
                    <w:jc w:val="both"/>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rFonts w:hint="eastAsia"/>
                      <w:color w:val="auto"/>
                      <w:sz w:val="21"/>
                      <w:szCs w:val="21"/>
                    </w:rPr>
                    <w:t>本项目属于城市道路建设项目，不涉及高污染燃料</w:t>
                  </w:r>
                </w:p>
              </w:tc>
              <w:tc>
                <w:tcPr>
                  <w:tcW w:w="282" w:type="pct"/>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521"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569"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rPr>
                      <w:color w:val="auto"/>
                      <w:sz w:val="21"/>
                      <w:szCs w:val="21"/>
                    </w:rPr>
                  </w:pP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环境风险防控</w:t>
                  </w:r>
                </w:p>
              </w:tc>
              <w:tc>
                <w:tcPr>
                  <w:tcW w:w="838" w:type="pct"/>
                  <w:tcBorders>
                    <w:tl2br w:val="nil"/>
                    <w:tr2bl w:val="nil"/>
                  </w:tcBorders>
                  <w:vAlign w:val="center"/>
                </w:tcPr>
                <w:p>
                  <w:pPr>
                    <w:adjustRightInd w:val="0"/>
                    <w:snapToGrid w:val="0"/>
                    <w:spacing w:line="240" w:lineRule="auto"/>
                    <w:ind w:firstLine="0"/>
                    <w:jc w:val="both"/>
                    <w:rPr>
                      <w:color w:val="auto"/>
                      <w:sz w:val="21"/>
                      <w:szCs w:val="21"/>
                      <w:highlight w:val="none"/>
                    </w:rPr>
                  </w:pPr>
                  <w:r>
                    <w:rPr>
                      <w:color w:val="auto"/>
                      <w:sz w:val="21"/>
                      <w:szCs w:val="21"/>
                      <w:highlight w:val="none"/>
                    </w:rPr>
                    <w:t>重点工业污染源全面安装烟气在线监控设施</w:t>
                  </w:r>
                  <w:r>
                    <w:rPr>
                      <w:rFonts w:hint="eastAsia"/>
                      <w:color w:val="auto"/>
                      <w:sz w:val="21"/>
                      <w:szCs w:val="21"/>
                      <w:highlight w:val="none"/>
                    </w:rPr>
                    <w:t>，</w:t>
                  </w:r>
                  <w:r>
                    <w:rPr>
                      <w:color w:val="auto"/>
                      <w:sz w:val="21"/>
                      <w:szCs w:val="21"/>
                      <w:highlight w:val="none"/>
                    </w:rPr>
                    <w:t>监测结果及时报环境保护部门。将烟气在线监测数据作为执法依据，加大超标处罚和联合惩戒力度，对未达标排放的企业进行限期整改，未整改完成的企业一律依法停产整治。</w:t>
                  </w:r>
                </w:p>
              </w:tc>
              <w:tc>
                <w:tcPr>
                  <w:tcW w:w="680" w:type="pct"/>
                  <w:vMerge w:val="continue"/>
                  <w:tcBorders>
                    <w:tl2br w:val="nil"/>
                    <w:tr2bl w:val="nil"/>
                  </w:tcBorders>
                  <w:vAlign w:val="center"/>
                </w:tcPr>
                <w:p>
                  <w:pPr>
                    <w:adjustRightInd w:val="0"/>
                    <w:snapToGrid w:val="0"/>
                    <w:spacing w:line="240" w:lineRule="auto"/>
                    <w:ind w:firstLine="0"/>
                    <w:jc w:val="both"/>
                    <w:rPr>
                      <w:color w:val="auto"/>
                      <w:sz w:val="21"/>
                      <w:szCs w:val="21"/>
                      <w:highlight w:val="none"/>
                    </w:rPr>
                  </w:pPr>
                </w:p>
              </w:tc>
              <w:tc>
                <w:tcPr>
                  <w:tcW w:w="697" w:type="pct"/>
                  <w:tcBorders>
                    <w:tl2br w:val="nil"/>
                    <w:tr2bl w:val="nil"/>
                  </w:tcBorders>
                  <w:vAlign w:val="center"/>
                </w:tcPr>
                <w:p>
                  <w:pPr>
                    <w:adjustRightInd w:val="0"/>
                    <w:snapToGrid w:val="0"/>
                    <w:spacing w:line="240" w:lineRule="auto"/>
                    <w:ind w:firstLine="0"/>
                    <w:jc w:val="left"/>
                    <w:rPr>
                      <w:rFonts w:hint="default" w:eastAsia="宋体"/>
                      <w:color w:val="auto"/>
                      <w:sz w:val="21"/>
                      <w:szCs w:val="21"/>
                      <w:highlight w:val="none"/>
                      <w:lang w:val="en-US" w:eastAsia="zh-CN"/>
                    </w:rPr>
                  </w:pPr>
                  <w:r>
                    <w:rPr>
                      <w:rFonts w:hint="eastAsia"/>
                      <w:color w:val="auto"/>
                      <w:sz w:val="21"/>
                      <w:szCs w:val="21"/>
                      <w:highlight w:val="none"/>
                    </w:rPr>
                    <w:t>本项目属于城市道路建设项目，</w:t>
                  </w:r>
                  <w:r>
                    <w:rPr>
                      <w:rFonts w:hint="eastAsia"/>
                      <w:color w:val="auto"/>
                      <w:sz w:val="21"/>
                      <w:szCs w:val="21"/>
                      <w:highlight w:val="none"/>
                      <w:lang w:val="en-US" w:eastAsia="zh-CN"/>
                    </w:rPr>
                    <w:t>不属于重点工业项目</w:t>
                  </w:r>
                </w:p>
              </w:tc>
              <w:tc>
                <w:tcPr>
                  <w:tcW w:w="282" w:type="pct"/>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521"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56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资源开发效率要求</w:t>
                  </w:r>
                </w:p>
              </w:tc>
              <w:tc>
                <w:tcPr>
                  <w:tcW w:w="838" w:type="pct"/>
                  <w:tcBorders>
                    <w:tl2br w:val="nil"/>
                    <w:tr2bl w:val="nil"/>
                  </w:tcBorders>
                  <w:vAlign w:val="center"/>
                </w:tcPr>
                <w:p>
                  <w:pPr>
                    <w:adjustRightInd w:val="0"/>
                    <w:snapToGrid w:val="0"/>
                    <w:spacing w:line="240" w:lineRule="auto"/>
                    <w:ind w:firstLine="0"/>
                    <w:jc w:val="both"/>
                    <w:rPr>
                      <w:color w:val="auto"/>
                      <w:sz w:val="21"/>
                      <w:szCs w:val="21"/>
                    </w:rPr>
                  </w:pPr>
                  <w:r>
                    <w:rPr>
                      <w:color w:val="auto"/>
                      <w:sz w:val="21"/>
                      <w:szCs w:val="21"/>
                    </w:rPr>
                    <w:t>加快发展清洁能源和新能源。推广使用天然气、煤层气、液化石油气、电、太阳能等清洁能源，有序发展水电，优化风能、太阳能开发布局，因地制宜发展生物质能、地热能等。</w:t>
                  </w:r>
                </w:p>
              </w:tc>
              <w:tc>
                <w:tcPr>
                  <w:tcW w:w="680" w:type="pct"/>
                  <w:vMerge w:val="continue"/>
                  <w:tcBorders>
                    <w:tl2br w:val="nil"/>
                    <w:tr2bl w:val="nil"/>
                  </w:tcBorders>
                  <w:vAlign w:val="center"/>
                </w:tcPr>
                <w:p>
                  <w:pPr>
                    <w:adjustRightInd w:val="0"/>
                    <w:snapToGrid w:val="0"/>
                    <w:spacing w:line="240" w:lineRule="auto"/>
                    <w:ind w:firstLine="0"/>
                    <w:jc w:val="both"/>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rFonts w:hint="eastAsia"/>
                      <w:color w:val="auto"/>
                      <w:sz w:val="21"/>
                      <w:szCs w:val="21"/>
                    </w:rPr>
                    <w:t>本项目属于城市道路建设项目，不涉及高污染燃料</w:t>
                  </w:r>
                </w:p>
              </w:tc>
              <w:tc>
                <w:tcPr>
                  <w:tcW w:w="282" w:type="pct"/>
                  <w:tcBorders>
                    <w:tl2br w:val="nil"/>
                    <w:tr2bl w:val="nil"/>
                  </w:tcBorders>
                  <w:vAlign w:val="center"/>
                </w:tcPr>
                <w:p>
                  <w:pPr>
                    <w:adjustRightInd/>
                    <w:snapToGrid/>
                    <w:spacing w:line="240" w:lineRule="auto"/>
                    <w:ind w:firstLine="0" w:firstLineChars="0"/>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521" w:type="pct"/>
                  <w:vMerge w:val="restart"/>
                  <w:tcBorders>
                    <w:tl2br w:val="nil"/>
                    <w:tr2bl w:val="nil"/>
                  </w:tcBorders>
                  <w:vAlign w:val="center"/>
                </w:tcPr>
                <w:p>
                  <w:pPr>
                    <w:adjustRightInd/>
                    <w:snapToGrid/>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862" w:type="dxa"/>
                  <w:vMerge w:val="restart"/>
                  <w:tcBorders>
                    <w:tl2br w:val="nil"/>
                    <w:tr2bl w:val="nil"/>
                  </w:tcBorders>
                  <w:vAlign w:val="center"/>
                </w:tcPr>
                <w:p>
                  <w:pPr>
                    <w:adjustRightInd/>
                    <w:snapToGrid/>
                    <w:spacing w:line="240" w:lineRule="auto"/>
                    <w:ind w:firstLine="0" w:firstLineChars="0"/>
                    <w:jc w:val="center"/>
                    <w:rPr>
                      <w:color w:val="auto"/>
                      <w:sz w:val="21"/>
                      <w:szCs w:val="21"/>
                      <w:highlight w:val="green"/>
                    </w:rPr>
                  </w:pPr>
                  <w:r>
                    <w:rPr>
                      <w:rFonts w:hint="eastAsia"/>
                      <w:color w:val="auto"/>
                      <w:sz w:val="21"/>
                      <w:szCs w:val="21"/>
                      <w:lang w:val="en-US" w:eastAsia="zh-CN"/>
                    </w:rPr>
                    <w:t>西安市</w:t>
                  </w:r>
                </w:p>
              </w:tc>
              <w:tc>
                <w:tcPr>
                  <w:tcW w:w="427" w:type="dxa"/>
                  <w:vMerge w:val="restart"/>
                  <w:tcBorders>
                    <w:tl2br w:val="nil"/>
                    <w:tr2bl w:val="nil"/>
                  </w:tcBorders>
                  <w:vAlign w:val="center"/>
                </w:tcPr>
                <w:p>
                  <w:pPr>
                    <w:adjustRightInd/>
                    <w:snapToGrid/>
                    <w:spacing w:line="240" w:lineRule="auto"/>
                    <w:ind w:firstLine="0" w:firstLineChars="0"/>
                    <w:jc w:val="center"/>
                    <w:rPr>
                      <w:color w:val="auto"/>
                      <w:sz w:val="21"/>
                      <w:szCs w:val="21"/>
                      <w:highlight w:val="green"/>
                    </w:rPr>
                  </w:pPr>
                  <w:r>
                    <w:rPr>
                      <w:rFonts w:hint="eastAsia"/>
                      <w:color w:val="auto"/>
                      <w:sz w:val="21"/>
                      <w:szCs w:val="21"/>
                      <w:lang w:val="en-US" w:eastAsia="zh-CN"/>
                    </w:rPr>
                    <w:t>泾河新城</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重点管控单元2</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大气环境受体敏感重点管控区</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重点管控单元</w:t>
                  </w: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空间布局约束</w:t>
                  </w:r>
                </w:p>
              </w:tc>
              <w:tc>
                <w:tcPr>
                  <w:tcW w:w="838" w:type="pct"/>
                  <w:tcBorders>
                    <w:tl2br w:val="nil"/>
                    <w:tr2bl w:val="nil"/>
                  </w:tcBorders>
                  <w:vAlign w:val="center"/>
                </w:tcPr>
                <w:p>
                  <w:pPr>
                    <w:pStyle w:val="23"/>
                    <w:widowControl/>
                    <w:adjustRightInd w:val="0"/>
                    <w:snapToGrid w:val="0"/>
                    <w:ind w:firstLine="0" w:firstLineChars="0"/>
                    <w:jc w:val="both"/>
                    <w:rPr>
                      <w:color w:val="auto"/>
                      <w:sz w:val="21"/>
                      <w:szCs w:val="21"/>
                    </w:rPr>
                  </w:pPr>
                  <w:r>
                    <w:rPr>
                      <w:rFonts w:ascii="Times New Roman" w:hAnsi="Times New Roman"/>
                      <w:color w:val="auto"/>
                      <w:sz w:val="21"/>
                      <w:szCs w:val="21"/>
                    </w:rPr>
                    <w:t>加快城市建成区重污染企业搬迁改造或关闭退出。</w:t>
                  </w:r>
                </w:p>
              </w:tc>
              <w:tc>
                <w:tcPr>
                  <w:tcW w:w="680" w:type="pct"/>
                  <w:vMerge w:val="continue"/>
                  <w:tcBorders>
                    <w:tl2br w:val="nil"/>
                    <w:tr2bl w:val="nil"/>
                  </w:tcBorders>
                  <w:vAlign w:val="center"/>
                </w:tcPr>
                <w:p>
                  <w:pPr>
                    <w:adjustRightInd w:val="0"/>
                    <w:snapToGrid w:val="0"/>
                    <w:spacing w:line="240" w:lineRule="auto"/>
                    <w:ind w:firstLine="0"/>
                    <w:jc w:val="both"/>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rFonts w:hint="eastAsia"/>
                      <w:color w:val="auto"/>
                      <w:sz w:val="21"/>
                      <w:szCs w:val="21"/>
                    </w:rPr>
                  </w:pPr>
                  <w:r>
                    <w:rPr>
                      <w:rFonts w:hint="eastAsia"/>
                      <w:color w:val="auto"/>
                      <w:sz w:val="21"/>
                      <w:szCs w:val="21"/>
                    </w:rPr>
                    <w:t>本项目属于城市道路建设项目，不</w:t>
                  </w:r>
                  <w:r>
                    <w:rPr>
                      <w:rFonts w:hint="eastAsia"/>
                      <w:color w:val="auto"/>
                      <w:sz w:val="21"/>
                      <w:szCs w:val="21"/>
                      <w:lang w:val="en-US" w:eastAsia="zh-CN"/>
                    </w:rPr>
                    <w:t>属于</w:t>
                  </w:r>
                  <w:r>
                    <w:rPr>
                      <w:rFonts w:ascii="Times New Roman" w:hAnsi="Times New Roman"/>
                      <w:color w:val="auto"/>
                      <w:sz w:val="21"/>
                      <w:szCs w:val="21"/>
                    </w:rPr>
                    <w:t>重污染企业</w:t>
                  </w:r>
                </w:p>
              </w:tc>
              <w:tc>
                <w:tcPr>
                  <w:tcW w:w="282" w:type="pct"/>
                  <w:tcBorders>
                    <w:tl2br w:val="nil"/>
                    <w:tr2bl w:val="nil"/>
                  </w:tcBorders>
                  <w:vAlign w:val="center"/>
                </w:tcPr>
                <w:p>
                  <w:pPr>
                    <w:adjustRightInd/>
                    <w:snapToGrid/>
                    <w:spacing w:line="240" w:lineRule="auto"/>
                    <w:ind w:firstLine="0" w:firstLineChars="0"/>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521"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569"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281" w:type="pc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污染排放管控</w:t>
                  </w:r>
                </w:p>
              </w:tc>
              <w:tc>
                <w:tcPr>
                  <w:tcW w:w="838" w:type="pct"/>
                  <w:tcBorders>
                    <w:tl2br w:val="nil"/>
                    <w:tr2bl w:val="nil"/>
                  </w:tcBorders>
                  <w:vAlign w:val="center"/>
                </w:tcPr>
                <w:p>
                  <w:pPr>
                    <w:pStyle w:val="23"/>
                    <w:widowControl/>
                    <w:adjustRightInd w:val="0"/>
                    <w:snapToGrid w:val="0"/>
                    <w:ind w:firstLine="0" w:firstLineChars="0"/>
                    <w:jc w:val="both"/>
                    <w:rPr>
                      <w:rFonts w:ascii="Times New Roman" w:hAnsi="Times New Roman"/>
                      <w:color w:val="auto"/>
                      <w:sz w:val="21"/>
                      <w:szCs w:val="21"/>
                    </w:rPr>
                  </w:pPr>
                  <w:r>
                    <w:rPr>
                      <w:rFonts w:ascii="Times New Roman" w:hAnsi="Times New Roman"/>
                      <w:color w:val="auto"/>
                      <w:sz w:val="21"/>
                      <w:szCs w:val="21"/>
                    </w:rPr>
                    <w:t>全市不再新建35蒸吨/时以下燃煤锅炉，35蒸吨/时以下燃煤锅炉、燃煤设施和工业煤气发生炉、热风炉、导热油炉全部拆除或实行清洁能源改造。加快电源结构调整，减少煤电占比。加快天然气储气设施建设步伐</w:t>
                  </w:r>
                </w:p>
              </w:tc>
              <w:tc>
                <w:tcPr>
                  <w:tcW w:w="680" w:type="pct"/>
                  <w:vMerge w:val="continue"/>
                  <w:tcBorders>
                    <w:tl2br w:val="nil"/>
                    <w:tr2bl w:val="nil"/>
                  </w:tcBorders>
                  <w:vAlign w:val="center"/>
                </w:tcPr>
                <w:p>
                  <w:pPr>
                    <w:adjustRightInd w:val="0"/>
                    <w:snapToGrid w:val="0"/>
                    <w:spacing w:line="240" w:lineRule="auto"/>
                    <w:ind w:firstLine="0"/>
                    <w:jc w:val="both"/>
                    <w:rPr>
                      <w:color w:val="auto"/>
                      <w:sz w:val="21"/>
                      <w:szCs w:val="21"/>
                    </w:rPr>
                  </w:pPr>
                </w:p>
              </w:tc>
              <w:tc>
                <w:tcPr>
                  <w:tcW w:w="697" w:type="pct"/>
                  <w:tcBorders>
                    <w:tl2br w:val="nil"/>
                    <w:tr2bl w:val="nil"/>
                  </w:tcBorders>
                  <w:vAlign w:val="center"/>
                </w:tcPr>
                <w:p>
                  <w:pPr>
                    <w:adjustRightInd w:val="0"/>
                    <w:snapToGrid w:val="0"/>
                    <w:spacing w:line="240" w:lineRule="auto"/>
                    <w:ind w:firstLine="0"/>
                    <w:jc w:val="left"/>
                    <w:rPr>
                      <w:rFonts w:hint="eastAsia" w:eastAsia="宋体"/>
                      <w:color w:val="auto"/>
                      <w:sz w:val="21"/>
                      <w:szCs w:val="21"/>
                      <w:lang w:eastAsia="zh-CN"/>
                    </w:rPr>
                  </w:pPr>
                  <w:r>
                    <w:rPr>
                      <w:rFonts w:hint="eastAsia"/>
                      <w:color w:val="auto"/>
                      <w:sz w:val="21"/>
                      <w:szCs w:val="21"/>
                    </w:rPr>
                    <w:t>本项目属于城市道路建设项目，</w:t>
                  </w:r>
                  <w:r>
                    <w:rPr>
                      <w:rFonts w:hint="eastAsia"/>
                      <w:color w:val="auto"/>
                      <w:sz w:val="21"/>
                      <w:szCs w:val="21"/>
                      <w:lang w:val="en-US" w:eastAsia="zh-CN"/>
                    </w:rPr>
                    <w:t>无</w:t>
                  </w:r>
                  <w:r>
                    <w:rPr>
                      <w:rFonts w:ascii="Times New Roman" w:hAnsi="Times New Roman"/>
                      <w:color w:val="auto"/>
                      <w:sz w:val="21"/>
                      <w:szCs w:val="21"/>
                    </w:rPr>
                    <w:t>燃煤锅炉、燃煤设施和工业煤气发生炉、热风炉、导热油炉</w:t>
                  </w:r>
                  <w:r>
                    <w:rPr>
                      <w:rFonts w:hint="eastAsia" w:ascii="Times New Roman" w:hAnsi="Times New Roman"/>
                      <w:color w:val="auto"/>
                      <w:sz w:val="21"/>
                      <w:szCs w:val="21"/>
                      <w:lang w:eastAsia="zh-CN"/>
                    </w:rPr>
                    <w:t>。</w:t>
                  </w:r>
                </w:p>
              </w:tc>
              <w:tc>
                <w:tcPr>
                  <w:tcW w:w="282" w:type="pct"/>
                  <w:tcBorders>
                    <w:tl2br w:val="nil"/>
                    <w:tr2bl w:val="nil"/>
                  </w:tcBorders>
                  <w:vAlign w:val="center"/>
                </w:tcPr>
                <w:p>
                  <w:pPr>
                    <w:adjustRightInd/>
                    <w:snapToGrid/>
                    <w:spacing w:line="240" w:lineRule="auto"/>
                    <w:ind w:firstLine="0" w:firstLineChars="0"/>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87" w:hRule="atLeast"/>
                <w:jc w:val="center"/>
              </w:trPr>
              <w:tc>
                <w:tcPr>
                  <w:tcW w:w="1090" w:type="pct"/>
                  <w:gridSpan w:val="2"/>
                  <w:vMerge w:val="restar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ZH61042320002</w:t>
                  </w:r>
                </w:p>
              </w:tc>
              <w:tc>
                <w:tcPr>
                  <w:tcW w:w="282" w:type="pct"/>
                  <w:vMerge w:val="restart"/>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省城</w:t>
                  </w:r>
                </w:p>
              </w:tc>
              <w:tc>
                <w:tcPr>
                  <w:tcW w:w="564" w:type="pct"/>
                  <w:gridSpan w:val="2"/>
                  <w:tcBorders>
                    <w:tl2br w:val="nil"/>
                    <w:tr2bl w:val="nil"/>
                  </w:tcBorders>
                  <w:vAlign w:val="center"/>
                </w:tcPr>
                <w:p>
                  <w:pPr>
                    <w:adjustRightInd/>
                    <w:snapToGrid/>
                    <w:spacing w:line="240" w:lineRule="auto"/>
                    <w:ind w:firstLine="0" w:firstLineChars="0"/>
                    <w:jc w:val="center"/>
                    <w:rPr>
                      <w:color w:val="auto"/>
                      <w:kern w:val="0"/>
                      <w:sz w:val="21"/>
                      <w:szCs w:val="21"/>
                    </w:rPr>
                  </w:pPr>
                  <w:r>
                    <w:rPr>
                      <w:rFonts w:hint="eastAsia"/>
                      <w:color w:val="auto"/>
                      <w:kern w:val="0"/>
                      <w:sz w:val="21"/>
                      <w:szCs w:val="21"/>
                    </w:rPr>
                    <w:t>陕西省</w:t>
                  </w:r>
                </w:p>
              </w:tc>
              <w:tc>
                <w:tcPr>
                  <w:tcW w:w="563" w:type="pct"/>
                  <w:gridSpan w:val="2"/>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空间布局约束</w:t>
                  </w:r>
                </w:p>
              </w:tc>
              <w:tc>
                <w:tcPr>
                  <w:tcW w:w="1518" w:type="pct"/>
                  <w:gridSpan w:val="2"/>
                  <w:tcBorders>
                    <w:tl2br w:val="nil"/>
                    <w:tr2bl w:val="nil"/>
                  </w:tcBorders>
                  <w:vAlign w:val="center"/>
                </w:tcPr>
                <w:p>
                  <w:pPr>
                    <w:autoSpaceDE w:val="0"/>
                    <w:autoSpaceDN w:val="0"/>
                    <w:adjustRightInd w:val="0"/>
                    <w:snapToGrid w:val="0"/>
                    <w:spacing w:line="240" w:lineRule="auto"/>
                    <w:ind w:firstLine="0"/>
                    <w:jc w:val="both"/>
                    <w:rPr>
                      <w:color w:val="auto"/>
                      <w:kern w:val="0"/>
                      <w:sz w:val="21"/>
                      <w:szCs w:val="21"/>
                    </w:rPr>
                  </w:pPr>
                  <w:r>
                    <w:rPr>
                      <w:color w:val="auto"/>
                      <w:kern w:val="0"/>
                      <w:sz w:val="21"/>
                      <w:szCs w:val="21"/>
                    </w:rPr>
                    <w:t>1.执行国家法律法规对自然保护区、风景名胜区、森林公园、地质公园、世界自然和文化遗产、重要湿地、重要水源地等法定保护地的禁止性和限制性要求。</w:t>
                  </w:r>
                </w:p>
                <w:p>
                  <w:pPr>
                    <w:autoSpaceDE w:val="0"/>
                    <w:autoSpaceDN w:val="0"/>
                    <w:adjustRightInd w:val="0"/>
                    <w:snapToGrid w:val="0"/>
                    <w:spacing w:line="240" w:lineRule="auto"/>
                    <w:ind w:firstLine="0"/>
                    <w:jc w:val="both"/>
                    <w:rPr>
                      <w:color w:val="auto"/>
                      <w:kern w:val="0"/>
                      <w:sz w:val="21"/>
                      <w:szCs w:val="21"/>
                    </w:rPr>
                  </w:pPr>
                  <w:r>
                    <w:rPr>
                      <w:color w:val="auto"/>
                      <w:kern w:val="0"/>
                      <w:sz w:val="21"/>
                      <w:szCs w:val="21"/>
                    </w:rPr>
                    <w:t>2.城市建成区内现有钢铁、有色金属、造纸、印染、原料药制造、化工等污染严重企业须有序搬迁、改造入园（区）或依法关闭。</w:t>
                  </w:r>
                </w:p>
                <w:p>
                  <w:pPr>
                    <w:autoSpaceDE w:val="0"/>
                    <w:autoSpaceDN w:val="0"/>
                    <w:adjustRightInd w:val="0"/>
                    <w:snapToGrid w:val="0"/>
                    <w:spacing w:line="240" w:lineRule="auto"/>
                    <w:ind w:firstLine="0"/>
                    <w:jc w:val="both"/>
                    <w:rPr>
                      <w:color w:val="auto"/>
                      <w:kern w:val="0"/>
                      <w:sz w:val="21"/>
                      <w:szCs w:val="21"/>
                    </w:rPr>
                  </w:pPr>
                  <w:r>
                    <w:rPr>
                      <w:color w:val="auto"/>
                      <w:kern w:val="0"/>
                      <w:sz w:val="21"/>
                      <w:szCs w:val="21"/>
                    </w:rPr>
                    <w:t>3.禁止在居民区、学校、医疗和养老机构等周边新建、扩建有色金属冶炼、焦化等行业企业；结合推进新型城镇化、产业结构调整和化解过剩产能等，有序搬迁或依法关闭对土壤造成严重污染的现有企业。</w:t>
                  </w:r>
                </w:p>
                <w:p>
                  <w:pPr>
                    <w:autoSpaceDE w:val="0"/>
                    <w:autoSpaceDN w:val="0"/>
                    <w:adjustRightInd w:val="0"/>
                    <w:snapToGrid w:val="0"/>
                    <w:spacing w:line="240" w:lineRule="auto"/>
                    <w:ind w:firstLine="0"/>
                    <w:jc w:val="both"/>
                    <w:rPr>
                      <w:color w:val="auto"/>
                      <w:kern w:val="0"/>
                      <w:sz w:val="21"/>
                      <w:szCs w:val="21"/>
                    </w:rPr>
                  </w:pPr>
                  <w:r>
                    <w:rPr>
                      <w:color w:val="auto"/>
                      <w:kern w:val="0"/>
                      <w:sz w:val="21"/>
                      <w:szCs w:val="21"/>
                    </w:rPr>
                    <w:t>4.执行《市场准入负面清单（2019年版）》。</w:t>
                  </w:r>
                </w:p>
                <w:p>
                  <w:pPr>
                    <w:autoSpaceDE w:val="0"/>
                    <w:autoSpaceDN w:val="0"/>
                    <w:adjustRightInd w:val="0"/>
                    <w:snapToGrid w:val="0"/>
                    <w:spacing w:line="240" w:lineRule="auto"/>
                    <w:ind w:firstLine="0"/>
                    <w:jc w:val="both"/>
                    <w:rPr>
                      <w:color w:val="auto"/>
                      <w:sz w:val="21"/>
                      <w:szCs w:val="21"/>
                    </w:rPr>
                  </w:pPr>
                  <w:r>
                    <w:rPr>
                      <w:color w:val="auto"/>
                      <w:kern w:val="0"/>
                      <w:sz w:val="21"/>
                      <w:szCs w:val="21"/>
                    </w:rPr>
                    <w:t>5.执行《产业结构调整指导目录（2019年本）》。</w:t>
                  </w:r>
                </w:p>
              </w:tc>
              <w:tc>
                <w:tcPr>
                  <w:tcW w:w="697" w:type="pct"/>
                  <w:tcBorders>
                    <w:tl2br w:val="nil"/>
                    <w:tr2bl w:val="nil"/>
                  </w:tcBorders>
                  <w:vAlign w:val="center"/>
                </w:tcPr>
                <w:p>
                  <w:pPr>
                    <w:adjustRightInd w:val="0"/>
                    <w:snapToGrid w:val="0"/>
                    <w:spacing w:line="240" w:lineRule="auto"/>
                    <w:ind w:firstLine="0"/>
                    <w:jc w:val="left"/>
                    <w:rPr>
                      <w:rFonts w:hint="default" w:eastAsia="宋体"/>
                      <w:color w:val="auto"/>
                      <w:sz w:val="21"/>
                      <w:szCs w:val="21"/>
                      <w:lang w:val="en-US" w:eastAsia="zh-CN"/>
                    </w:rPr>
                  </w:pPr>
                  <w:r>
                    <w:rPr>
                      <w:color w:val="auto"/>
                      <w:sz w:val="21"/>
                      <w:szCs w:val="21"/>
                    </w:rPr>
                    <w:t>本项目位于</w:t>
                  </w:r>
                  <w:r>
                    <w:rPr>
                      <w:rFonts w:hint="eastAsia"/>
                      <w:color w:val="auto"/>
                      <w:sz w:val="21"/>
                      <w:szCs w:val="21"/>
                    </w:rPr>
                    <w:t>陕西省西咸新区泾河新城泾河湾院士科创区南部，泾河北岸</w:t>
                  </w:r>
                  <w:r>
                    <w:rPr>
                      <w:color w:val="auto"/>
                      <w:sz w:val="21"/>
                      <w:szCs w:val="21"/>
                    </w:rPr>
                    <w:t>，项目所在地周围无自然保护区、名胜古迹、疗养地等环境敏感目标。根据国家发展和改革委员会《产业结构调整指导目录（2021年修订本）》，本项目为“鼓励类”。对照《市场准入负面清单》（2022年版），本项目未列入市场准入负面清单。</w:t>
                  </w:r>
                  <w:r>
                    <w:rPr>
                      <w:rFonts w:hint="eastAsia"/>
                      <w:color w:val="auto"/>
                      <w:sz w:val="21"/>
                      <w:szCs w:val="21"/>
                      <w:lang w:val="en-US" w:eastAsia="zh-CN"/>
                    </w:rPr>
                    <w:t>项目距离陕西泾河湿地最近距离约90m，项目未进入湿地范围内</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090" w:type="pct"/>
                  <w:gridSpan w:val="2"/>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282" w:type="pct"/>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1127" w:type="pct"/>
                  <w:gridSpan w:val="4"/>
                  <w:tcBorders>
                    <w:tl2br w:val="nil"/>
                    <w:tr2bl w:val="nil"/>
                  </w:tcBorders>
                  <w:vAlign w:val="center"/>
                </w:tcPr>
                <w:p>
                  <w:pPr>
                    <w:adjustRightInd/>
                    <w:snapToGrid/>
                    <w:spacing w:line="240" w:lineRule="auto"/>
                    <w:ind w:firstLine="0" w:firstLineChars="0"/>
                    <w:jc w:val="center"/>
                    <w:rPr>
                      <w:color w:val="auto"/>
                      <w:sz w:val="21"/>
                      <w:szCs w:val="21"/>
                    </w:rPr>
                  </w:pPr>
                  <w:r>
                    <w:rPr>
                      <w:color w:val="auto"/>
                      <w:sz w:val="21"/>
                      <w:szCs w:val="21"/>
                    </w:rPr>
                    <w:t>污染排放管控</w:t>
                  </w:r>
                </w:p>
              </w:tc>
              <w:tc>
                <w:tcPr>
                  <w:tcW w:w="1518" w:type="pct"/>
                  <w:gridSpan w:val="2"/>
                  <w:tcBorders>
                    <w:tl2br w:val="nil"/>
                    <w:tr2bl w:val="nil"/>
                  </w:tcBorders>
                  <w:vAlign w:val="center"/>
                </w:tcPr>
                <w:p>
                  <w:pPr>
                    <w:adjustRightInd w:val="0"/>
                    <w:snapToGrid w:val="0"/>
                    <w:spacing w:line="240" w:lineRule="auto"/>
                    <w:ind w:firstLine="0"/>
                    <w:jc w:val="both"/>
                    <w:rPr>
                      <w:color w:val="auto"/>
                      <w:sz w:val="21"/>
                      <w:szCs w:val="21"/>
                    </w:rPr>
                  </w:pPr>
                  <w:r>
                    <w:rPr>
                      <w:color w:val="auto"/>
                      <w:sz w:val="21"/>
                      <w:szCs w:val="21"/>
                    </w:rPr>
                    <w:t>1.禁止新建燃煤集中供热站：有序淘汰排放不达标小火电机组：不再新建35蒸吨以下的燃煤锅炉：65蒸吨及以上燃煤锅炉全部完成节能改造：10万千瓦及以上燃煤火电机组全部实现超低排放。</w:t>
                  </w:r>
                </w:p>
                <w:p>
                  <w:pPr>
                    <w:adjustRightInd w:val="0"/>
                    <w:snapToGrid w:val="0"/>
                    <w:spacing w:line="240" w:lineRule="auto"/>
                    <w:ind w:firstLine="0"/>
                    <w:jc w:val="both"/>
                    <w:rPr>
                      <w:color w:val="auto"/>
                      <w:sz w:val="21"/>
                      <w:szCs w:val="21"/>
                    </w:rPr>
                  </w:pPr>
                  <w:r>
                    <w:rPr>
                      <w:color w:val="auto"/>
                      <w:sz w:val="21"/>
                      <w:szCs w:val="21"/>
                    </w:rPr>
                    <w:t>2.工业集聚区内工业废水必须经预处理达到集中处理要求，方可进入污水集中处理设施。</w:t>
                  </w:r>
                </w:p>
                <w:p>
                  <w:pPr>
                    <w:adjustRightInd w:val="0"/>
                    <w:snapToGrid w:val="0"/>
                    <w:spacing w:line="240" w:lineRule="auto"/>
                    <w:ind w:firstLine="0"/>
                    <w:jc w:val="both"/>
                    <w:rPr>
                      <w:color w:val="auto"/>
                      <w:sz w:val="21"/>
                      <w:szCs w:val="21"/>
                    </w:rPr>
                  </w:pPr>
                  <w:r>
                    <w:rPr>
                      <w:color w:val="auto"/>
                      <w:sz w:val="21"/>
                      <w:szCs w:val="21"/>
                    </w:rPr>
                    <w:t>3.黄河流域城镇污水处理设施执行《黄河流域（陕西段）污水综合排放标准》：汉江、丹江流域城镇污水处理设施执行《汉丹江流域（陕西段）重点行业水污染物排放限值》。</w:t>
                  </w:r>
                </w:p>
                <w:p>
                  <w:pPr>
                    <w:adjustRightInd w:val="0"/>
                    <w:snapToGrid w:val="0"/>
                    <w:spacing w:line="240" w:lineRule="auto"/>
                    <w:ind w:firstLine="0"/>
                    <w:jc w:val="both"/>
                    <w:rPr>
                      <w:color w:val="auto"/>
                      <w:sz w:val="21"/>
                      <w:szCs w:val="21"/>
                    </w:rPr>
                  </w:pPr>
                  <w:r>
                    <w:rPr>
                      <w:color w:val="auto"/>
                      <w:sz w:val="21"/>
                      <w:szCs w:val="21"/>
                    </w:rPr>
                    <w:t>4.新建、改建、扩建规模化畜禽养殖场（小区）要实施雨污分流、粪便污水资源化利用。</w:t>
                  </w:r>
                </w:p>
                <w:p>
                  <w:pPr>
                    <w:adjustRightInd w:val="0"/>
                    <w:snapToGrid w:val="0"/>
                    <w:spacing w:line="240" w:lineRule="auto"/>
                    <w:ind w:firstLine="0"/>
                    <w:jc w:val="both"/>
                    <w:rPr>
                      <w:color w:val="auto"/>
                      <w:sz w:val="21"/>
                      <w:szCs w:val="21"/>
                    </w:rPr>
                  </w:pPr>
                  <w:r>
                    <w:rPr>
                      <w:color w:val="auto"/>
                      <w:sz w:val="21"/>
                      <w:szCs w:val="21"/>
                    </w:rPr>
                    <w:t>5.产生废石（废渣）的矿山开发、选矿及废渣综合利用企业必须建设规范的堆场，对矿坑废水、选矿废水、堆场淋溶水、冲洗废水、生活污水等进行</w:t>
                  </w:r>
                  <w:r>
                    <w:rPr>
                      <w:rFonts w:hint="eastAsia"/>
                      <w:color w:val="auto"/>
                      <w:sz w:val="21"/>
                      <w:szCs w:val="21"/>
                      <w:lang w:eastAsia="zh-CN"/>
                    </w:rPr>
                    <w:t>全面</w:t>
                  </w:r>
                  <w:r>
                    <w:rPr>
                      <w:color w:val="auto"/>
                      <w:sz w:val="21"/>
                      <w:szCs w:val="21"/>
                    </w:rPr>
                    <w:t>收集、全处理。</w:t>
                  </w:r>
                </w:p>
                <w:p>
                  <w:pPr>
                    <w:adjustRightInd w:val="0"/>
                    <w:snapToGrid w:val="0"/>
                    <w:spacing w:line="240" w:lineRule="auto"/>
                    <w:ind w:firstLine="0"/>
                    <w:jc w:val="both"/>
                    <w:rPr>
                      <w:bCs/>
                      <w:color w:val="auto"/>
                      <w:kern w:val="0"/>
                      <w:sz w:val="21"/>
                      <w:szCs w:val="21"/>
                    </w:rPr>
                  </w:pPr>
                  <w:r>
                    <w:rPr>
                      <w:color w:val="auto"/>
                      <w:sz w:val="21"/>
                      <w:szCs w:val="21"/>
                    </w:rPr>
                    <w:t>6.严禁采用渗井、废坑、废矿井或净水稀释等手段排放有毒、有害废水。存放含有毒、有害物质的废水、废液的淋浸池、贮存池、沉淀池必须采取防腐、防渗漏、防流失等措施。</w:t>
                  </w:r>
                </w:p>
              </w:tc>
              <w:tc>
                <w:tcPr>
                  <w:tcW w:w="697" w:type="pct"/>
                  <w:tcBorders>
                    <w:tl2br w:val="nil"/>
                    <w:tr2bl w:val="nil"/>
                  </w:tcBorders>
                  <w:vAlign w:val="center"/>
                </w:tcPr>
                <w:p>
                  <w:pPr>
                    <w:adjustRightInd w:val="0"/>
                    <w:snapToGrid w:val="0"/>
                    <w:spacing w:line="240" w:lineRule="auto"/>
                    <w:ind w:firstLine="0"/>
                    <w:jc w:val="left"/>
                    <w:rPr>
                      <w:bCs/>
                      <w:color w:val="auto"/>
                      <w:kern w:val="0"/>
                      <w:sz w:val="21"/>
                      <w:szCs w:val="21"/>
                    </w:rPr>
                  </w:pPr>
                  <w:r>
                    <w:rPr>
                      <w:rFonts w:hint="eastAsia"/>
                      <w:color w:val="auto"/>
                      <w:sz w:val="21"/>
                      <w:szCs w:val="21"/>
                    </w:rPr>
                    <w:t>本项目属于城市道路建设项目，</w:t>
                  </w:r>
                  <w:r>
                    <w:rPr>
                      <w:rFonts w:hint="eastAsia"/>
                      <w:color w:val="auto"/>
                      <w:sz w:val="21"/>
                      <w:szCs w:val="21"/>
                      <w:lang w:val="en-US" w:eastAsia="zh-CN"/>
                    </w:rPr>
                    <w:t>无</w:t>
                  </w:r>
                  <w:r>
                    <w:rPr>
                      <w:rFonts w:ascii="Times New Roman" w:hAnsi="Times New Roman"/>
                      <w:color w:val="auto"/>
                      <w:sz w:val="21"/>
                      <w:szCs w:val="21"/>
                    </w:rPr>
                    <w:t>燃煤</w:t>
                  </w:r>
                  <w:r>
                    <w:rPr>
                      <w:rFonts w:hint="eastAsia" w:ascii="Times New Roman" w:hAnsi="Times New Roman"/>
                      <w:color w:val="auto"/>
                      <w:sz w:val="21"/>
                      <w:szCs w:val="21"/>
                      <w:lang w:val="en-US" w:eastAsia="zh-CN"/>
                    </w:rPr>
                    <w:t>设施</w:t>
                  </w:r>
                  <w:r>
                    <w:rPr>
                      <w:bCs/>
                      <w:color w:val="auto"/>
                      <w:kern w:val="0"/>
                      <w:sz w:val="21"/>
                      <w:szCs w:val="21"/>
                    </w:rPr>
                    <w:t>；</w:t>
                  </w:r>
                  <w:r>
                    <w:rPr>
                      <w:rFonts w:hint="default"/>
                      <w:bCs/>
                      <w:color w:val="auto"/>
                      <w:kern w:val="0"/>
                      <w:sz w:val="21"/>
                      <w:szCs w:val="21"/>
                    </w:rPr>
                    <w:t>道路两侧设雨污水管网；加强管网维护，保证雨污水疏排顺畅，防止路面积水</w:t>
                  </w:r>
                  <w:r>
                    <w:rPr>
                      <w:bCs/>
                      <w:color w:val="auto"/>
                      <w:kern w:val="0"/>
                      <w:sz w:val="21"/>
                      <w:szCs w:val="21"/>
                    </w:rPr>
                    <w:t>。</w:t>
                  </w:r>
                </w:p>
              </w:tc>
              <w:tc>
                <w:tcPr>
                  <w:tcW w:w="282" w:type="pct"/>
                  <w:tcBorders>
                    <w:tl2br w:val="nil"/>
                    <w:tr2bl w:val="nil"/>
                  </w:tcBorders>
                  <w:vAlign w:val="center"/>
                </w:tcPr>
                <w:p>
                  <w:pPr>
                    <w:adjustRightInd/>
                    <w:snapToGrid/>
                    <w:spacing w:line="240" w:lineRule="auto"/>
                    <w:ind w:firstLine="0" w:firstLineChars="0"/>
                    <w:jc w:val="center"/>
                    <w:rPr>
                      <w:bCs/>
                      <w:color w:val="auto"/>
                      <w:kern w:val="0"/>
                      <w:sz w:val="21"/>
                      <w:szCs w:val="21"/>
                    </w:rPr>
                  </w:pPr>
                  <w:r>
                    <w:rPr>
                      <w:rFonts w:hint="eastAsia"/>
                      <w:bCs/>
                      <w:color w:val="auto"/>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pct"/>
                  <w:gridSpan w:val="2"/>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282" w:type="pct"/>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1127" w:type="pct"/>
                  <w:gridSpan w:val="4"/>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环境风险防控</w:t>
                  </w:r>
                </w:p>
              </w:tc>
              <w:tc>
                <w:tcPr>
                  <w:tcW w:w="1518" w:type="pct"/>
                  <w:gridSpan w:val="2"/>
                  <w:tcBorders>
                    <w:tl2br w:val="nil"/>
                    <w:tr2bl w:val="nil"/>
                  </w:tcBorders>
                  <w:vAlign w:val="center"/>
                </w:tcPr>
                <w:p>
                  <w:pPr>
                    <w:adjustRightInd w:val="0"/>
                    <w:snapToGrid w:val="0"/>
                    <w:spacing w:line="240" w:lineRule="auto"/>
                    <w:ind w:firstLine="0"/>
                    <w:jc w:val="both"/>
                    <w:rPr>
                      <w:color w:val="auto"/>
                      <w:kern w:val="0"/>
                      <w:sz w:val="21"/>
                      <w:szCs w:val="21"/>
                    </w:rPr>
                  </w:pPr>
                  <w:r>
                    <w:rPr>
                      <w:color w:val="auto"/>
                      <w:kern w:val="0"/>
                      <w:sz w:val="21"/>
                      <w:szCs w:val="21"/>
                    </w:rPr>
                    <w:t>1.重点加强饮用水源地、化工企业、工业园区、陕北原油管道、陕南尾矿库等领域的环境风险防控。</w:t>
                  </w:r>
                </w:p>
                <w:p>
                  <w:pPr>
                    <w:adjustRightInd w:val="0"/>
                    <w:snapToGrid w:val="0"/>
                    <w:spacing w:line="240" w:lineRule="auto"/>
                    <w:ind w:firstLine="0"/>
                    <w:jc w:val="both"/>
                    <w:rPr>
                      <w:color w:val="auto"/>
                      <w:sz w:val="21"/>
                      <w:szCs w:val="21"/>
                    </w:rPr>
                  </w:pPr>
                  <w:r>
                    <w:rPr>
                      <w:color w:val="auto"/>
                      <w:kern w:val="0"/>
                      <w:sz w:val="21"/>
                      <w:szCs w:val="21"/>
                    </w:rPr>
                    <w:t>2.渭河、延河、无定河、汉江、丹江、嘉陵江等六条主要河流干流沿岸，要严格控制石油加工，化学原料和化学制品制造、医药制造、化学纤维制造、有色金属冶炼、纺织印染等项目，合理布局生产装置及危险化学品仓储等设施。</w:t>
                  </w:r>
                </w:p>
              </w:tc>
              <w:tc>
                <w:tcPr>
                  <w:tcW w:w="697" w:type="pct"/>
                  <w:tcBorders>
                    <w:tl2br w:val="nil"/>
                    <w:tr2bl w:val="nil"/>
                  </w:tcBorders>
                  <w:vAlign w:val="center"/>
                </w:tcPr>
                <w:p>
                  <w:pPr>
                    <w:adjustRightInd w:val="0"/>
                    <w:snapToGrid w:val="0"/>
                    <w:spacing w:line="240" w:lineRule="auto"/>
                    <w:ind w:firstLine="0"/>
                    <w:jc w:val="left"/>
                    <w:rPr>
                      <w:color w:val="auto"/>
                      <w:sz w:val="21"/>
                    </w:rPr>
                  </w:pPr>
                  <w:r>
                    <w:rPr>
                      <w:rFonts w:hint="default" w:ascii="Times New Roman" w:hAnsi="Times New Roman" w:cs="Times New Roman"/>
                      <w:color w:val="auto"/>
                      <w:sz w:val="21"/>
                      <w:szCs w:val="21"/>
                      <w:highlight w:val="none"/>
                    </w:rPr>
                    <w:t>道路两侧设雨污水管网；加强管网维护，保证雨污水疏排顺畅，防止路面积水</w:t>
                  </w:r>
                  <w:r>
                    <w:rPr>
                      <w:color w:val="auto"/>
                      <w:sz w:val="21"/>
                      <w:szCs w:val="21"/>
                    </w:rPr>
                    <w:t>。</w:t>
                  </w:r>
                </w:p>
              </w:tc>
              <w:tc>
                <w:tcPr>
                  <w:tcW w:w="282" w:type="pct"/>
                  <w:tcBorders>
                    <w:tl2br w:val="nil"/>
                    <w:tr2bl w:val="nil"/>
                  </w:tcBorders>
                  <w:vAlign w:val="center"/>
                </w:tcPr>
                <w:p>
                  <w:pPr>
                    <w:adjustRightInd/>
                    <w:snapToGrid/>
                    <w:spacing w:line="240" w:lineRule="auto"/>
                    <w:ind w:firstLine="0" w:firstLineChars="0"/>
                    <w:jc w:val="center"/>
                    <w:rPr>
                      <w:color w:val="auto"/>
                      <w:sz w:val="21"/>
                    </w:rPr>
                  </w:pPr>
                  <w:r>
                    <w:rPr>
                      <w:rFonts w:hint="eastAsia"/>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pct"/>
                  <w:gridSpan w:val="2"/>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27" w:type="pct"/>
                  <w:gridSpan w:val="4"/>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资源开发效率要求</w:t>
                  </w:r>
                </w:p>
              </w:tc>
              <w:tc>
                <w:tcPr>
                  <w:tcW w:w="1518" w:type="pct"/>
                  <w:gridSpan w:val="2"/>
                  <w:tcBorders>
                    <w:tl2br w:val="nil"/>
                    <w:tr2bl w:val="nil"/>
                  </w:tcBorders>
                  <w:vAlign w:val="center"/>
                </w:tcPr>
                <w:p>
                  <w:pPr>
                    <w:adjustRightInd w:val="0"/>
                    <w:snapToGrid w:val="0"/>
                    <w:spacing w:line="240" w:lineRule="auto"/>
                    <w:ind w:firstLine="0"/>
                    <w:jc w:val="both"/>
                    <w:rPr>
                      <w:color w:val="auto"/>
                      <w:kern w:val="0"/>
                      <w:sz w:val="21"/>
                      <w:szCs w:val="21"/>
                    </w:rPr>
                  </w:pPr>
                  <w:r>
                    <w:rPr>
                      <w:color w:val="auto"/>
                      <w:kern w:val="0"/>
                      <w:sz w:val="21"/>
                      <w:szCs w:val="21"/>
                    </w:rPr>
                    <w:t>1.2020年大型发电集团单位供电二氧化碳排放水平控制在550克/千瓦时以内。</w:t>
                  </w:r>
                </w:p>
                <w:p>
                  <w:pPr>
                    <w:adjustRightInd w:val="0"/>
                    <w:snapToGrid w:val="0"/>
                    <w:spacing w:line="240" w:lineRule="auto"/>
                    <w:ind w:firstLine="0"/>
                    <w:jc w:val="both"/>
                    <w:rPr>
                      <w:color w:val="auto"/>
                      <w:kern w:val="0"/>
                      <w:sz w:val="21"/>
                      <w:szCs w:val="21"/>
                    </w:rPr>
                  </w:pPr>
                  <w:r>
                    <w:rPr>
                      <w:color w:val="auto"/>
                      <w:kern w:val="0"/>
                      <w:sz w:val="21"/>
                      <w:szCs w:val="21"/>
                    </w:rPr>
                    <w:t>2.2020年全省万元国内生产总值用水量、万元工业增加值用水量比2013年的55.59立方米、32.43立方米分别下降15%、13%以上。</w:t>
                  </w:r>
                </w:p>
                <w:p>
                  <w:pPr>
                    <w:adjustRightInd w:val="0"/>
                    <w:snapToGrid w:val="0"/>
                    <w:spacing w:line="240" w:lineRule="auto"/>
                    <w:ind w:firstLine="0"/>
                    <w:jc w:val="both"/>
                    <w:rPr>
                      <w:color w:val="auto"/>
                      <w:kern w:val="0"/>
                      <w:sz w:val="21"/>
                      <w:szCs w:val="21"/>
                    </w:rPr>
                  </w:pPr>
                  <w:r>
                    <w:rPr>
                      <w:color w:val="auto"/>
                      <w:kern w:val="0"/>
                      <w:sz w:val="21"/>
                      <w:szCs w:val="21"/>
                    </w:rPr>
                    <w:t>3</w:t>
                  </w:r>
                  <w:r>
                    <w:rPr>
                      <w:rFonts w:hint="eastAsia"/>
                      <w:color w:val="auto"/>
                      <w:kern w:val="0"/>
                      <w:sz w:val="21"/>
                      <w:szCs w:val="21"/>
                    </w:rPr>
                    <w:t>.</w:t>
                  </w:r>
                  <w:r>
                    <w:rPr>
                      <w:color w:val="auto"/>
                      <w:kern w:val="0"/>
                      <w:sz w:val="21"/>
                      <w:szCs w:val="21"/>
                    </w:rPr>
                    <w:t>2020年电力、钢铁、纺织、造纸、石油石化、化工、食品发酵等高耗水行业达到先进定额标准。</w:t>
                  </w:r>
                </w:p>
                <w:p>
                  <w:pPr>
                    <w:adjustRightInd w:val="0"/>
                    <w:snapToGrid w:val="0"/>
                    <w:spacing w:line="240" w:lineRule="auto"/>
                    <w:ind w:firstLine="0"/>
                    <w:jc w:val="both"/>
                    <w:rPr>
                      <w:color w:val="auto"/>
                      <w:kern w:val="0"/>
                      <w:sz w:val="21"/>
                      <w:szCs w:val="21"/>
                    </w:rPr>
                  </w:pPr>
                  <w:r>
                    <w:rPr>
                      <w:color w:val="auto"/>
                      <w:kern w:val="0"/>
                      <w:sz w:val="21"/>
                      <w:szCs w:val="21"/>
                    </w:rPr>
                    <w:t>4.2020年陕北、关中地区城市再生水利用率达20%以上。</w:t>
                  </w:r>
                </w:p>
                <w:p>
                  <w:pPr>
                    <w:adjustRightInd w:val="0"/>
                    <w:snapToGrid w:val="0"/>
                    <w:spacing w:line="240" w:lineRule="auto"/>
                    <w:ind w:firstLine="0"/>
                    <w:jc w:val="both"/>
                    <w:rPr>
                      <w:color w:val="auto"/>
                      <w:kern w:val="0"/>
                      <w:sz w:val="21"/>
                      <w:szCs w:val="21"/>
                    </w:rPr>
                  </w:pPr>
                  <w:r>
                    <w:rPr>
                      <w:color w:val="auto"/>
                      <w:kern w:val="0"/>
                      <w:sz w:val="21"/>
                      <w:szCs w:val="21"/>
                    </w:rPr>
                    <w:t>5.严格限制高耗水行业发展，提高水资源利用水平</w:t>
                  </w:r>
                  <w:r>
                    <w:rPr>
                      <w:rFonts w:hint="eastAsia"/>
                      <w:color w:val="auto"/>
                      <w:kern w:val="0"/>
                      <w:sz w:val="21"/>
                      <w:szCs w:val="21"/>
                    </w:rPr>
                    <w:t>；</w:t>
                  </w:r>
                  <w:r>
                    <w:rPr>
                      <w:color w:val="auto"/>
                      <w:kern w:val="0"/>
                      <w:sz w:val="21"/>
                      <w:szCs w:val="21"/>
                    </w:rPr>
                    <w:t>严禁挤占生态用水。</w:t>
                  </w:r>
                </w:p>
                <w:p>
                  <w:pPr>
                    <w:adjustRightInd w:val="0"/>
                    <w:snapToGrid w:val="0"/>
                    <w:spacing w:line="240" w:lineRule="auto"/>
                    <w:ind w:firstLine="0"/>
                    <w:jc w:val="both"/>
                    <w:rPr>
                      <w:color w:val="auto"/>
                      <w:kern w:val="0"/>
                      <w:sz w:val="21"/>
                      <w:szCs w:val="21"/>
                    </w:rPr>
                  </w:pPr>
                  <w:r>
                    <w:rPr>
                      <w:color w:val="auto"/>
                      <w:kern w:val="0"/>
                      <w:sz w:val="21"/>
                      <w:szCs w:val="21"/>
                    </w:rPr>
                    <w:t>6.对已接近或达到用水总量指标的地区，限制和停止审批新增取水。</w:t>
                  </w:r>
                </w:p>
                <w:p>
                  <w:pPr>
                    <w:adjustRightInd w:val="0"/>
                    <w:snapToGrid w:val="0"/>
                    <w:spacing w:line="240" w:lineRule="auto"/>
                    <w:ind w:firstLine="0"/>
                    <w:jc w:val="both"/>
                    <w:rPr>
                      <w:color w:val="auto"/>
                      <w:kern w:val="0"/>
                      <w:sz w:val="21"/>
                      <w:szCs w:val="21"/>
                    </w:rPr>
                  </w:pPr>
                  <w:r>
                    <w:rPr>
                      <w:color w:val="auto"/>
                      <w:kern w:val="0"/>
                      <w:sz w:val="21"/>
                      <w:szCs w:val="21"/>
                    </w:rPr>
                    <w:t>7.煤炭矿区的补充用水、周边地区生产和生态用水应优先使用矿井水，洗煤废水闭路循环不外排。</w:t>
                  </w:r>
                </w:p>
                <w:p>
                  <w:pPr>
                    <w:adjustRightInd w:val="0"/>
                    <w:snapToGrid w:val="0"/>
                    <w:spacing w:line="240" w:lineRule="auto"/>
                    <w:ind w:firstLine="0"/>
                    <w:jc w:val="both"/>
                    <w:rPr>
                      <w:color w:val="auto"/>
                      <w:kern w:val="0"/>
                      <w:sz w:val="21"/>
                      <w:szCs w:val="21"/>
                    </w:rPr>
                  </w:pPr>
                  <w:r>
                    <w:rPr>
                      <w:color w:val="auto"/>
                      <w:kern w:val="0"/>
                      <w:sz w:val="21"/>
                      <w:szCs w:val="21"/>
                    </w:rPr>
                    <w:t>8.具备使用再生水条件但未充分利用的钢铁、火电、化工、制浆造纸、印染等项目，不得批准其新增取水许可。</w:t>
                  </w:r>
                </w:p>
                <w:p>
                  <w:pPr>
                    <w:adjustRightInd w:val="0"/>
                    <w:snapToGrid w:val="0"/>
                    <w:spacing w:line="240" w:lineRule="auto"/>
                    <w:ind w:firstLine="0"/>
                    <w:jc w:val="both"/>
                    <w:rPr>
                      <w:color w:val="auto"/>
                      <w:kern w:val="0"/>
                      <w:sz w:val="21"/>
                      <w:szCs w:val="21"/>
                    </w:rPr>
                  </w:pPr>
                  <w:r>
                    <w:rPr>
                      <w:color w:val="auto"/>
                      <w:kern w:val="0"/>
                      <w:sz w:val="21"/>
                      <w:szCs w:val="21"/>
                    </w:rPr>
                    <w:t>9.在地面沉降、地裂缝、岩溶塌陷等地质灾害易发区开发利用地下水，应进行地质灾害危险性评估。</w:t>
                  </w:r>
                </w:p>
                <w:p>
                  <w:pPr>
                    <w:adjustRightInd w:val="0"/>
                    <w:snapToGrid w:val="0"/>
                    <w:spacing w:line="240" w:lineRule="auto"/>
                    <w:ind w:firstLine="0"/>
                    <w:jc w:val="both"/>
                    <w:rPr>
                      <w:color w:val="auto"/>
                      <w:kern w:val="0"/>
                      <w:sz w:val="21"/>
                      <w:szCs w:val="21"/>
                    </w:rPr>
                  </w:pPr>
                  <w:r>
                    <w:rPr>
                      <w:color w:val="auto"/>
                      <w:kern w:val="0"/>
                      <w:sz w:val="21"/>
                      <w:szCs w:val="21"/>
                    </w:rPr>
                    <w:t>10.断流河流所在流域范围、地下水降落漏斗范围内不得新增工业企业用水规模。</w:t>
                  </w:r>
                </w:p>
                <w:p>
                  <w:pPr>
                    <w:adjustRightInd w:val="0"/>
                    <w:snapToGrid w:val="0"/>
                    <w:spacing w:line="240" w:lineRule="auto"/>
                    <w:ind w:firstLine="0"/>
                    <w:jc w:val="both"/>
                    <w:rPr>
                      <w:color w:val="auto"/>
                      <w:kern w:val="0"/>
                      <w:sz w:val="21"/>
                      <w:szCs w:val="21"/>
                    </w:rPr>
                  </w:pPr>
                  <w:r>
                    <w:rPr>
                      <w:color w:val="auto"/>
                      <w:kern w:val="0"/>
                      <w:sz w:val="21"/>
                      <w:szCs w:val="21"/>
                    </w:rPr>
                    <w:t>11.地下水超采区内禁止工农业生产及服务业新增取用地下水。</w:t>
                  </w:r>
                </w:p>
                <w:p>
                  <w:pPr>
                    <w:adjustRightInd w:val="0"/>
                    <w:snapToGrid w:val="0"/>
                    <w:spacing w:line="240" w:lineRule="auto"/>
                    <w:ind w:firstLine="0"/>
                    <w:jc w:val="both"/>
                    <w:rPr>
                      <w:color w:val="auto"/>
                      <w:sz w:val="21"/>
                      <w:szCs w:val="21"/>
                    </w:rPr>
                  </w:pPr>
                  <w:r>
                    <w:rPr>
                      <w:color w:val="auto"/>
                      <w:kern w:val="0"/>
                      <w:sz w:val="21"/>
                      <w:szCs w:val="21"/>
                    </w:rPr>
                    <w:t>12.延河、无定河总体生态水量不低于天然径流量的30%。</w:t>
                  </w:r>
                </w:p>
              </w:tc>
              <w:tc>
                <w:tcPr>
                  <w:tcW w:w="697" w:type="pct"/>
                  <w:tcBorders>
                    <w:tl2br w:val="nil"/>
                    <w:tr2bl w:val="nil"/>
                  </w:tcBorders>
                  <w:vAlign w:val="center"/>
                </w:tcPr>
                <w:p>
                  <w:pPr>
                    <w:adjustRightInd w:val="0"/>
                    <w:snapToGrid w:val="0"/>
                    <w:spacing w:line="240" w:lineRule="auto"/>
                    <w:ind w:firstLine="0"/>
                    <w:jc w:val="left"/>
                    <w:rPr>
                      <w:rFonts w:hint="default"/>
                      <w:color w:val="auto"/>
                      <w:sz w:val="21"/>
                      <w:szCs w:val="21"/>
                      <w:lang w:val="en-US"/>
                    </w:rPr>
                  </w:pPr>
                  <w:r>
                    <w:rPr>
                      <w:color w:val="auto"/>
                      <w:sz w:val="21"/>
                      <w:szCs w:val="21"/>
                    </w:rPr>
                    <w:t>本项目属于</w:t>
                  </w:r>
                  <w:r>
                    <w:rPr>
                      <w:rFonts w:hint="eastAsia"/>
                      <w:color w:val="auto"/>
                      <w:sz w:val="21"/>
                      <w:szCs w:val="21"/>
                      <w:lang w:val="en-US" w:eastAsia="zh-CN"/>
                    </w:rPr>
                    <w:t>城市道路建设项目，不属于</w:t>
                  </w:r>
                  <w:r>
                    <w:rPr>
                      <w:color w:val="auto"/>
                      <w:kern w:val="0"/>
                      <w:sz w:val="21"/>
                      <w:szCs w:val="21"/>
                    </w:rPr>
                    <w:t>电力、钢铁、纺织、造纸、石油石化、化工、食品发酵等高耗水行业</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1090" w:type="pct"/>
                  <w:gridSpan w:val="2"/>
                  <w:vMerge w:val="restart"/>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r>
                    <w:rPr>
                      <w:color w:val="auto"/>
                      <w:sz w:val="21"/>
                      <w:szCs w:val="21"/>
                    </w:rPr>
                    <w:t>ZH61042320002</w:t>
                  </w:r>
                </w:p>
              </w:tc>
              <w:tc>
                <w:tcPr>
                  <w:tcW w:w="282" w:type="pct"/>
                  <w:vMerge w:val="restart"/>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r>
                    <w:rPr>
                      <w:color w:val="auto"/>
                      <w:sz w:val="21"/>
                      <w:szCs w:val="21"/>
                    </w:rPr>
                    <w:t>关中地区</w:t>
                  </w:r>
                </w:p>
              </w:tc>
              <w:tc>
                <w:tcPr>
                  <w:tcW w:w="1127" w:type="pct"/>
                  <w:gridSpan w:val="4"/>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空间布局约束</w:t>
                  </w:r>
                </w:p>
              </w:tc>
              <w:tc>
                <w:tcPr>
                  <w:tcW w:w="1518" w:type="pct"/>
                  <w:gridSpan w:val="2"/>
                  <w:tcBorders>
                    <w:tl2br w:val="nil"/>
                    <w:tr2bl w:val="nil"/>
                  </w:tcBorders>
                  <w:vAlign w:val="center"/>
                </w:tcPr>
                <w:p>
                  <w:pPr>
                    <w:adjustRightInd w:val="0"/>
                    <w:snapToGrid w:val="0"/>
                    <w:spacing w:line="240" w:lineRule="auto"/>
                    <w:ind w:firstLine="0"/>
                    <w:jc w:val="both"/>
                    <w:rPr>
                      <w:color w:val="auto"/>
                      <w:kern w:val="0"/>
                      <w:sz w:val="21"/>
                      <w:szCs w:val="21"/>
                    </w:rPr>
                  </w:pPr>
                  <w:r>
                    <w:rPr>
                      <w:color w:val="auto"/>
                      <w:kern w:val="0"/>
                      <w:sz w:val="21"/>
                      <w:szCs w:val="21"/>
                    </w:rPr>
                    <w:t>1</w:t>
                  </w:r>
                  <w:r>
                    <w:rPr>
                      <w:rFonts w:hint="eastAsia"/>
                      <w:color w:val="auto"/>
                      <w:kern w:val="0"/>
                      <w:sz w:val="21"/>
                      <w:szCs w:val="21"/>
                    </w:rPr>
                    <w:t>.</w:t>
                  </w:r>
                  <w:r>
                    <w:rPr>
                      <w:color w:val="auto"/>
                      <w:kern w:val="0"/>
                      <w:sz w:val="21"/>
                      <w:szCs w:val="21"/>
                    </w:rPr>
                    <w:t>本行政区域内的自然保护区、风景名胜区、森林公园、地质公园、世界自然和文化遗产、饮用水水源保护区等区域的禁止性和限制性准入要求依照国家相关法律法规执行。</w:t>
                  </w:r>
                </w:p>
                <w:p>
                  <w:pPr>
                    <w:adjustRightInd w:val="0"/>
                    <w:snapToGrid w:val="0"/>
                    <w:spacing w:line="240" w:lineRule="auto"/>
                    <w:ind w:firstLine="0"/>
                    <w:jc w:val="both"/>
                    <w:rPr>
                      <w:color w:val="auto"/>
                      <w:kern w:val="0"/>
                      <w:sz w:val="21"/>
                      <w:szCs w:val="21"/>
                    </w:rPr>
                  </w:pPr>
                  <w:r>
                    <w:rPr>
                      <w:color w:val="auto"/>
                      <w:kern w:val="0"/>
                      <w:sz w:val="21"/>
                      <w:szCs w:val="21"/>
                    </w:rPr>
                    <w:t>2</w:t>
                  </w:r>
                  <w:r>
                    <w:rPr>
                      <w:rFonts w:hint="eastAsia"/>
                      <w:color w:val="auto"/>
                      <w:kern w:val="0"/>
                      <w:sz w:val="21"/>
                      <w:szCs w:val="21"/>
                    </w:rPr>
                    <w:t>.</w:t>
                  </w:r>
                  <w:r>
                    <w:rPr>
                      <w:color w:val="auto"/>
                      <w:kern w:val="0"/>
                      <w:sz w:val="21"/>
                      <w:szCs w:val="21"/>
                    </w:rPr>
                    <w:t>西安、宝鸡、咸阳、铜川、渭南、韩城、杨凌示范区和西咸新区城市规划区以及以西安市钟楼为基准点、半径100公里范围内禁止新建、扩建燃煤发电、燃煤热电联产和燃煤集中供热项目，禁止新建、改建和扩建石油化工、煤化工项目。</w:t>
                  </w:r>
                </w:p>
                <w:p>
                  <w:pPr>
                    <w:adjustRightInd w:val="0"/>
                    <w:snapToGrid w:val="0"/>
                    <w:spacing w:line="240" w:lineRule="auto"/>
                    <w:ind w:firstLine="0"/>
                    <w:jc w:val="both"/>
                    <w:rPr>
                      <w:color w:val="auto"/>
                      <w:kern w:val="0"/>
                      <w:sz w:val="21"/>
                      <w:szCs w:val="21"/>
                    </w:rPr>
                  </w:pPr>
                  <w:r>
                    <w:rPr>
                      <w:color w:val="auto"/>
                      <w:kern w:val="0"/>
                      <w:sz w:val="21"/>
                      <w:szCs w:val="21"/>
                    </w:rPr>
                    <w:t>3</w:t>
                  </w:r>
                  <w:r>
                    <w:rPr>
                      <w:rFonts w:hint="eastAsia"/>
                      <w:color w:val="auto"/>
                      <w:kern w:val="0"/>
                      <w:sz w:val="21"/>
                      <w:szCs w:val="21"/>
                    </w:rPr>
                    <w:t>.</w:t>
                  </w:r>
                  <w:r>
                    <w:rPr>
                      <w:color w:val="auto"/>
                      <w:kern w:val="0"/>
                      <w:sz w:val="21"/>
                      <w:szCs w:val="21"/>
                    </w:rPr>
                    <w:t>渭河两岸划定保护区域，区域内禁止建设任何与水环境管理无关的项目，并在适宜地区建设生态湿地，构建渭河生态屏障。</w:t>
                  </w:r>
                </w:p>
                <w:p>
                  <w:pPr>
                    <w:adjustRightInd w:val="0"/>
                    <w:snapToGrid w:val="0"/>
                    <w:spacing w:line="240" w:lineRule="auto"/>
                    <w:ind w:firstLine="0"/>
                    <w:jc w:val="both"/>
                    <w:rPr>
                      <w:color w:val="auto"/>
                      <w:kern w:val="0"/>
                      <w:sz w:val="21"/>
                      <w:szCs w:val="21"/>
                    </w:rPr>
                  </w:pPr>
                  <w:r>
                    <w:rPr>
                      <w:color w:val="auto"/>
                      <w:kern w:val="0"/>
                      <w:sz w:val="21"/>
                      <w:szCs w:val="21"/>
                    </w:rPr>
                    <w:t>4</w:t>
                  </w:r>
                  <w:r>
                    <w:rPr>
                      <w:rFonts w:hint="eastAsia"/>
                      <w:color w:val="auto"/>
                      <w:kern w:val="0"/>
                      <w:sz w:val="21"/>
                      <w:szCs w:val="21"/>
                    </w:rPr>
                    <w:t>.</w:t>
                  </w:r>
                  <w:r>
                    <w:rPr>
                      <w:color w:val="auto"/>
                      <w:kern w:val="0"/>
                      <w:sz w:val="21"/>
                      <w:szCs w:val="21"/>
                    </w:rPr>
                    <w:t>禁止新建、扩建粘土实心砖厂。</w:t>
                  </w:r>
                </w:p>
                <w:p>
                  <w:pPr>
                    <w:adjustRightInd w:val="0"/>
                    <w:snapToGrid w:val="0"/>
                    <w:spacing w:line="240" w:lineRule="auto"/>
                    <w:ind w:firstLine="0"/>
                    <w:jc w:val="both"/>
                    <w:rPr>
                      <w:color w:val="auto"/>
                      <w:kern w:val="0"/>
                      <w:sz w:val="21"/>
                      <w:szCs w:val="21"/>
                    </w:rPr>
                  </w:pPr>
                  <w:r>
                    <w:rPr>
                      <w:color w:val="auto"/>
                      <w:kern w:val="0"/>
                      <w:sz w:val="21"/>
                      <w:szCs w:val="21"/>
                    </w:rPr>
                    <w:t>5</w:t>
                  </w:r>
                  <w:r>
                    <w:rPr>
                      <w:rFonts w:hint="eastAsia"/>
                      <w:color w:val="auto"/>
                      <w:kern w:val="0"/>
                      <w:sz w:val="21"/>
                      <w:szCs w:val="21"/>
                    </w:rPr>
                    <w:t>.</w:t>
                  </w:r>
                  <w:r>
                    <w:rPr>
                      <w:color w:val="auto"/>
                      <w:kern w:val="0"/>
                      <w:sz w:val="21"/>
                      <w:szCs w:val="21"/>
                    </w:rPr>
                    <w:t>西安市城区地热开采区、山阳县钒矿开采区、商南县钒矿开采区、华阴市华阳川铀铌铅矿区，以上4 个区域应分别限制地热、钒和铀铌铅矿的开采。</w:t>
                  </w:r>
                </w:p>
                <w:p>
                  <w:pPr>
                    <w:adjustRightInd w:val="0"/>
                    <w:snapToGrid w:val="0"/>
                    <w:spacing w:line="240" w:lineRule="auto"/>
                    <w:ind w:firstLine="0"/>
                    <w:jc w:val="both"/>
                    <w:rPr>
                      <w:color w:val="auto"/>
                      <w:sz w:val="21"/>
                      <w:szCs w:val="21"/>
                    </w:rPr>
                  </w:pPr>
                  <w:r>
                    <w:rPr>
                      <w:color w:val="auto"/>
                      <w:kern w:val="0"/>
                      <w:sz w:val="21"/>
                      <w:szCs w:val="21"/>
                    </w:rPr>
                    <w:t>6</w:t>
                  </w:r>
                  <w:r>
                    <w:rPr>
                      <w:rFonts w:hint="eastAsia"/>
                      <w:color w:val="auto"/>
                      <w:kern w:val="0"/>
                      <w:sz w:val="21"/>
                      <w:szCs w:val="21"/>
                    </w:rPr>
                    <w:t>.</w:t>
                  </w:r>
                  <w:r>
                    <w:rPr>
                      <w:color w:val="auto"/>
                      <w:kern w:val="0"/>
                      <w:sz w:val="21"/>
                      <w:szCs w:val="21"/>
                    </w:rPr>
                    <w:t>控制开发渭北煤炭、水泥用灰岩和关中城市核心区地热等矿产资源。</w:t>
                  </w: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1.本项目位于陕西省</w:t>
                  </w:r>
                  <w:r>
                    <w:rPr>
                      <w:rFonts w:hint="eastAsia"/>
                      <w:color w:val="auto"/>
                      <w:sz w:val="21"/>
                      <w:szCs w:val="21"/>
                      <w:lang w:val="en-US" w:eastAsia="zh-CN"/>
                    </w:rPr>
                    <w:t>西咸新区泾河新城泾河湾院士科创区南部，泾河北岸</w:t>
                  </w:r>
                  <w:r>
                    <w:rPr>
                      <w:color w:val="auto"/>
                      <w:sz w:val="21"/>
                      <w:szCs w:val="21"/>
                    </w:rPr>
                    <w:t>，项目所在地周围无自然保护区、风景名胜区、森林公园、地质公园、自然和文化遗产、水产种质资源保护区、重要水源地等法定保护地的禁止性和限制性要求。</w:t>
                  </w:r>
                </w:p>
                <w:p>
                  <w:pPr>
                    <w:adjustRightInd w:val="0"/>
                    <w:snapToGrid w:val="0"/>
                    <w:spacing w:line="240" w:lineRule="auto"/>
                    <w:ind w:firstLine="0"/>
                    <w:jc w:val="left"/>
                    <w:rPr>
                      <w:color w:val="auto"/>
                      <w:sz w:val="21"/>
                      <w:szCs w:val="21"/>
                    </w:rPr>
                  </w:pPr>
                  <w:r>
                    <w:rPr>
                      <w:color w:val="auto"/>
                      <w:sz w:val="21"/>
                      <w:szCs w:val="21"/>
                    </w:rPr>
                    <w:t>2.项目为</w:t>
                  </w:r>
                  <w:r>
                    <w:rPr>
                      <w:rFonts w:hint="eastAsia" w:ascii="Times New Roman" w:hAnsi="Times New Roman" w:eastAsia="宋体" w:cs="Times New Roman"/>
                      <w:color w:val="auto"/>
                      <w:sz w:val="21"/>
                      <w:szCs w:val="21"/>
                      <w:lang w:val="en-US" w:eastAsia="zh-CN"/>
                    </w:rPr>
                    <w:t>城市道路建设项目</w:t>
                  </w:r>
                  <w:r>
                    <w:rPr>
                      <w:color w:val="auto"/>
                      <w:sz w:val="21"/>
                      <w:szCs w:val="21"/>
                    </w:rPr>
                    <w:t>，不属于高耗水和高污染项目</w:t>
                  </w:r>
                </w:p>
              </w:tc>
              <w:tc>
                <w:tcPr>
                  <w:tcW w:w="282" w:type="pc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pct"/>
                  <w:gridSpan w:val="2"/>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27" w:type="pct"/>
                  <w:gridSpan w:val="4"/>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污染排放管控</w:t>
                  </w:r>
                </w:p>
              </w:tc>
              <w:tc>
                <w:tcPr>
                  <w:tcW w:w="1518" w:type="pct"/>
                  <w:gridSpan w:val="2"/>
                  <w:tcBorders>
                    <w:tl2br w:val="nil"/>
                    <w:tr2bl w:val="nil"/>
                  </w:tcBorders>
                  <w:vAlign w:val="center"/>
                </w:tcPr>
                <w:p>
                  <w:pPr>
                    <w:adjustRightInd w:val="0"/>
                    <w:snapToGrid w:val="0"/>
                    <w:spacing w:line="240" w:lineRule="auto"/>
                    <w:ind w:firstLine="0"/>
                    <w:jc w:val="both"/>
                    <w:rPr>
                      <w:color w:val="auto"/>
                      <w:kern w:val="0"/>
                      <w:sz w:val="21"/>
                      <w:szCs w:val="21"/>
                    </w:rPr>
                  </w:pPr>
                  <w:r>
                    <w:rPr>
                      <w:color w:val="auto"/>
                      <w:kern w:val="0"/>
                      <w:sz w:val="21"/>
                      <w:szCs w:val="21"/>
                    </w:rPr>
                    <w:t>1西安、咸阳、渭南市建成区内20蒸吨以下燃煤锅炉应拆尽拆，宝鸡、铜川、韩城市及杨凌示范区建成区内10蒸吨以下燃煤锅炉全部拆除。</w:t>
                  </w:r>
                </w:p>
                <w:p>
                  <w:pPr>
                    <w:adjustRightInd w:val="0"/>
                    <w:snapToGrid w:val="0"/>
                    <w:spacing w:line="240" w:lineRule="auto"/>
                    <w:ind w:firstLine="0"/>
                    <w:jc w:val="both"/>
                    <w:rPr>
                      <w:color w:val="auto"/>
                      <w:kern w:val="0"/>
                      <w:sz w:val="21"/>
                      <w:szCs w:val="21"/>
                    </w:rPr>
                  </w:pPr>
                  <w:r>
                    <w:rPr>
                      <w:color w:val="auto"/>
                      <w:kern w:val="0"/>
                      <w:sz w:val="21"/>
                      <w:szCs w:val="21"/>
                    </w:rPr>
                    <w:t>2按照环境承载力和环境容量，严格控制火电、水泥、钢铁、焦化、煤化工、冶炼、制浆造纸、印染、果汁、淀粉加工等项目，切实降低污染负荷。</w:t>
                  </w:r>
                </w:p>
                <w:p>
                  <w:pPr>
                    <w:adjustRightInd w:val="0"/>
                    <w:snapToGrid w:val="0"/>
                    <w:spacing w:line="240" w:lineRule="auto"/>
                    <w:ind w:firstLine="0"/>
                    <w:jc w:val="both"/>
                    <w:rPr>
                      <w:color w:val="auto"/>
                      <w:kern w:val="0"/>
                      <w:sz w:val="21"/>
                      <w:szCs w:val="21"/>
                    </w:rPr>
                  </w:pPr>
                  <w:r>
                    <w:rPr>
                      <w:color w:val="auto"/>
                      <w:kern w:val="0"/>
                      <w:sz w:val="21"/>
                      <w:szCs w:val="21"/>
                    </w:rPr>
                    <w:t>3二氧化硫、氮氧化物、颗粒物、挥发性有机物（VOCs）全面执行大气污染物特别排放限值。</w:t>
                  </w:r>
                </w:p>
                <w:p>
                  <w:pPr>
                    <w:adjustRightInd w:val="0"/>
                    <w:snapToGrid w:val="0"/>
                    <w:spacing w:line="240" w:lineRule="auto"/>
                    <w:ind w:firstLine="0"/>
                    <w:jc w:val="both"/>
                    <w:rPr>
                      <w:color w:val="auto"/>
                      <w:kern w:val="0"/>
                      <w:sz w:val="21"/>
                      <w:szCs w:val="21"/>
                    </w:rPr>
                  </w:pPr>
                  <w:r>
                    <w:rPr>
                      <w:color w:val="auto"/>
                      <w:kern w:val="0"/>
                      <w:sz w:val="21"/>
                      <w:szCs w:val="21"/>
                    </w:rPr>
                    <w:t>4 严格控制高耗煤行业新增项目；严禁新增焦化、水泥、铸造、钢铁、电解铝和平板玻璃等产能。</w:t>
                  </w:r>
                </w:p>
                <w:p>
                  <w:pPr>
                    <w:adjustRightInd w:val="0"/>
                    <w:snapToGrid w:val="0"/>
                    <w:spacing w:line="240" w:lineRule="auto"/>
                    <w:ind w:firstLine="0"/>
                    <w:jc w:val="both"/>
                    <w:rPr>
                      <w:color w:val="auto"/>
                      <w:kern w:val="0"/>
                      <w:sz w:val="21"/>
                      <w:szCs w:val="21"/>
                    </w:rPr>
                  </w:pPr>
                  <w:r>
                    <w:rPr>
                      <w:color w:val="auto"/>
                      <w:kern w:val="0"/>
                      <w:sz w:val="21"/>
                      <w:szCs w:val="21"/>
                    </w:rPr>
                    <w:t>5城市建成区内焦炉实施炉体加罩封闭，并对废气进行收集处理。</w:t>
                  </w:r>
                </w:p>
                <w:p>
                  <w:pPr>
                    <w:adjustRightInd w:val="0"/>
                    <w:snapToGrid w:val="0"/>
                    <w:spacing w:line="240" w:lineRule="auto"/>
                    <w:ind w:firstLine="0"/>
                    <w:jc w:val="both"/>
                    <w:rPr>
                      <w:color w:val="auto"/>
                      <w:sz w:val="21"/>
                      <w:szCs w:val="21"/>
                    </w:rPr>
                  </w:pPr>
                  <w:r>
                    <w:rPr>
                      <w:color w:val="auto"/>
                      <w:kern w:val="0"/>
                      <w:sz w:val="21"/>
                      <w:szCs w:val="21"/>
                    </w:rPr>
                    <w:t>6“渭南片区”包括韩城、合阳、大荔、潼关四个县（市），在该片区禁止新建扩建不符合产业政策、不能执行清洁生产的项目：禁止新建20蒸吨以下燃煤锅炉；禁止销售和使用不符合标准的煤炭；禁止新建扩建造纸、化工、印染、果汁和淀粉加工等高耗水、高污染项目。</w:t>
                  </w: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rFonts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val="en-US" w:eastAsia="zh-CN"/>
                    </w:rPr>
                    <w:t>城市道路建设项目，不属于</w:t>
                  </w:r>
                  <w:r>
                    <w:rPr>
                      <w:color w:val="auto"/>
                      <w:kern w:val="0"/>
                      <w:sz w:val="21"/>
                      <w:szCs w:val="21"/>
                    </w:rPr>
                    <w:t>火电、水泥、钢铁、焦化、煤化工、冶炼、制浆造纸、印染、果汁、淀粉加工等项目</w:t>
                  </w:r>
                  <w:r>
                    <w:rPr>
                      <w:rFonts w:hint="eastAsia" w:ascii="Times New Roman" w:hAnsi="Times New Roman" w:eastAsia="宋体" w:cs="Times New Roman"/>
                      <w:color w:val="auto"/>
                      <w:sz w:val="21"/>
                      <w:szCs w:val="21"/>
                      <w:lang w:val="en-US" w:eastAsia="zh-CN"/>
                    </w:rPr>
                    <w:t>。</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1090" w:type="pct"/>
                  <w:gridSpan w:val="2"/>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27" w:type="pct"/>
                  <w:gridSpan w:val="4"/>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环境风险防控</w:t>
                  </w:r>
                </w:p>
              </w:tc>
              <w:tc>
                <w:tcPr>
                  <w:tcW w:w="1518" w:type="pct"/>
                  <w:gridSpan w:val="2"/>
                  <w:tcBorders>
                    <w:tl2br w:val="nil"/>
                    <w:tr2bl w:val="nil"/>
                  </w:tcBorders>
                  <w:vAlign w:val="center"/>
                </w:tcPr>
                <w:p>
                  <w:pPr>
                    <w:adjustRightInd w:val="0"/>
                    <w:snapToGrid w:val="0"/>
                    <w:spacing w:line="240" w:lineRule="auto"/>
                    <w:ind w:firstLine="0"/>
                    <w:jc w:val="both"/>
                    <w:rPr>
                      <w:color w:val="auto"/>
                      <w:kern w:val="0"/>
                      <w:sz w:val="21"/>
                      <w:szCs w:val="21"/>
                    </w:rPr>
                  </w:pPr>
                  <w:r>
                    <w:rPr>
                      <w:color w:val="auto"/>
                      <w:kern w:val="0"/>
                      <w:sz w:val="21"/>
                      <w:szCs w:val="21"/>
                    </w:rPr>
                    <w:t>1 禁止新增化工园区。</w:t>
                  </w:r>
                </w:p>
                <w:p>
                  <w:pPr>
                    <w:adjustRightInd w:val="0"/>
                    <w:snapToGrid w:val="0"/>
                    <w:spacing w:line="240" w:lineRule="auto"/>
                    <w:ind w:firstLine="0"/>
                    <w:jc w:val="both"/>
                    <w:rPr>
                      <w:color w:val="auto"/>
                      <w:sz w:val="21"/>
                      <w:szCs w:val="21"/>
                    </w:rPr>
                  </w:pPr>
                  <w:r>
                    <w:rPr>
                      <w:color w:val="auto"/>
                      <w:kern w:val="0"/>
                      <w:sz w:val="21"/>
                      <w:szCs w:val="21"/>
                    </w:rPr>
                    <w:t>2 渭河干流沿岸要严格控制石油加工、化学原料和化学制品制造、医药制造、化学纤维制造、有色金属冶炼、纺织印染等项目，合理布局生产装置及危险化学品仓储等设施。</w:t>
                  </w:r>
                </w:p>
              </w:tc>
              <w:tc>
                <w:tcPr>
                  <w:tcW w:w="697" w:type="pct"/>
                  <w:tcBorders>
                    <w:tl2br w:val="nil"/>
                    <w:tr2bl w:val="nil"/>
                  </w:tcBorders>
                  <w:vAlign w:val="center"/>
                </w:tcPr>
                <w:p>
                  <w:pPr>
                    <w:adjustRightInd w:val="0"/>
                    <w:snapToGrid w:val="0"/>
                    <w:spacing w:line="240" w:lineRule="auto"/>
                    <w:ind w:firstLine="0"/>
                    <w:jc w:val="left"/>
                    <w:rPr>
                      <w:color w:val="auto"/>
                      <w:sz w:val="21"/>
                      <w:szCs w:val="21"/>
                    </w:rPr>
                  </w:pPr>
                  <w:r>
                    <w:rPr>
                      <w:color w:val="auto"/>
                      <w:sz w:val="21"/>
                      <w:szCs w:val="21"/>
                    </w:rPr>
                    <w:t>本项目为</w:t>
                  </w:r>
                  <w:r>
                    <w:rPr>
                      <w:rFonts w:hint="eastAsia" w:ascii="Times New Roman" w:hAnsi="Times New Roman" w:eastAsia="宋体" w:cs="Times New Roman"/>
                      <w:color w:val="auto"/>
                      <w:sz w:val="21"/>
                      <w:szCs w:val="21"/>
                      <w:lang w:val="en-US" w:eastAsia="zh-CN"/>
                    </w:rPr>
                    <w:t>城市道路建设项目</w:t>
                  </w:r>
                  <w:r>
                    <w:rPr>
                      <w:color w:val="auto"/>
                      <w:sz w:val="21"/>
                      <w:szCs w:val="21"/>
                    </w:rPr>
                    <w:t>，不属于石油加工、化学原料和化学制品制造、医药制造、化学纤维制造、有色金属冶炼、纺织印染等项目</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090" w:type="pct"/>
                  <w:gridSpan w:val="2"/>
                  <w:vMerge w:val="continue"/>
                  <w:tcBorders>
                    <w:tl2br w:val="nil"/>
                    <w:tr2bl w:val="nil"/>
                  </w:tcBorders>
                  <w:vAlign w:val="center"/>
                </w:tcPr>
                <w:p>
                  <w:pPr>
                    <w:widowControl/>
                    <w:adjustRightInd/>
                    <w:snapToGrid/>
                    <w:spacing w:line="240" w:lineRule="auto"/>
                    <w:ind w:firstLine="0" w:firstLineChars="0"/>
                    <w:jc w:val="center"/>
                    <w:textAlignment w:val="center"/>
                    <w:rPr>
                      <w:color w:val="auto"/>
                      <w:sz w:val="21"/>
                      <w:szCs w:val="21"/>
                    </w:rPr>
                  </w:pPr>
                </w:p>
              </w:tc>
              <w:tc>
                <w:tcPr>
                  <w:tcW w:w="282" w:type="pct"/>
                  <w:vMerge w:val="continue"/>
                  <w:tcBorders>
                    <w:tl2br w:val="nil"/>
                    <w:tr2bl w:val="nil"/>
                  </w:tcBorders>
                  <w:vAlign w:val="center"/>
                </w:tcPr>
                <w:p>
                  <w:pPr>
                    <w:adjustRightInd/>
                    <w:snapToGrid/>
                    <w:spacing w:line="240" w:lineRule="auto"/>
                    <w:ind w:firstLine="0" w:firstLineChars="0"/>
                    <w:jc w:val="center"/>
                    <w:rPr>
                      <w:color w:val="auto"/>
                      <w:sz w:val="21"/>
                      <w:szCs w:val="21"/>
                    </w:rPr>
                  </w:pPr>
                </w:p>
              </w:tc>
              <w:tc>
                <w:tcPr>
                  <w:tcW w:w="1127" w:type="pct"/>
                  <w:gridSpan w:val="4"/>
                  <w:tcBorders>
                    <w:tl2br w:val="nil"/>
                    <w:tr2bl w:val="nil"/>
                  </w:tcBorders>
                  <w:vAlign w:val="center"/>
                </w:tcPr>
                <w:p>
                  <w:pPr>
                    <w:adjustRightInd/>
                    <w:snapToGrid/>
                    <w:spacing w:line="240" w:lineRule="auto"/>
                    <w:ind w:firstLine="0" w:firstLineChars="0"/>
                    <w:jc w:val="center"/>
                    <w:rPr>
                      <w:color w:val="auto"/>
                      <w:kern w:val="0"/>
                      <w:sz w:val="21"/>
                      <w:szCs w:val="21"/>
                    </w:rPr>
                  </w:pPr>
                  <w:r>
                    <w:rPr>
                      <w:color w:val="auto"/>
                      <w:sz w:val="21"/>
                      <w:szCs w:val="21"/>
                    </w:rPr>
                    <w:t>资源开发效率要求</w:t>
                  </w:r>
                </w:p>
              </w:tc>
              <w:tc>
                <w:tcPr>
                  <w:tcW w:w="1518" w:type="pct"/>
                  <w:gridSpan w:val="2"/>
                  <w:tcBorders>
                    <w:tl2br w:val="nil"/>
                    <w:tr2bl w:val="nil"/>
                  </w:tcBorders>
                  <w:vAlign w:val="center"/>
                </w:tcPr>
                <w:p>
                  <w:pPr>
                    <w:adjustRightInd w:val="0"/>
                    <w:snapToGrid w:val="0"/>
                    <w:spacing w:line="240" w:lineRule="auto"/>
                    <w:ind w:firstLine="0"/>
                    <w:jc w:val="left"/>
                    <w:rPr>
                      <w:color w:val="auto"/>
                      <w:kern w:val="0"/>
                      <w:sz w:val="21"/>
                      <w:szCs w:val="21"/>
                    </w:rPr>
                  </w:pPr>
                  <w:r>
                    <w:rPr>
                      <w:color w:val="auto"/>
                      <w:kern w:val="0"/>
                      <w:sz w:val="21"/>
                      <w:szCs w:val="21"/>
                    </w:rPr>
                    <w:t>1城市再生水利用率达20%以上。</w:t>
                  </w:r>
                </w:p>
                <w:p>
                  <w:pPr>
                    <w:adjustRightInd w:val="0"/>
                    <w:snapToGrid w:val="0"/>
                    <w:spacing w:line="240" w:lineRule="auto"/>
                    <w:ind w:firstLine="0"/>
                    <w:jc w:val="left"/>
                    <w:rPr>
                      <w:color w:val="auto"/>
                      <w:sz w:val="21"/>
                      <w:szCs w:val="21"/>
                    </w:rPr>
                  </w:pPr>
                  <w:r>
                    <w:rPr>
                      <w:color w:val="auto"/>
                      <w:kern w:val="0"/>
                      <w:sz w:val="21"/>
                      <w:szCs w:val="21"/>
                    </w:rPr>
                    <w:t>2 新增耗煤项目实行煤炭消耗等量或减量替代。</w:t>
                  </w:r>
                </w:p>
              </w:tc>
              <w:tc>
                <w:tcPr>
                  <w:tcW w:w="697" w:type="pct"/>
                  <w:tcBorders>
                    <w:tl2br w:val="nil"/>
                    <w:tr2bl w:val="nil"/>
                  </w:tcBorders>
                  <w:vAlign w:val="center"/>
                </w:tcPr>
                <w:p>
                  <w:pPr>
                    <w:adjustRightInd w:val="0"/>
                    <w:snapToGrid w:val="0"/>
                    <w:spacing w:line="240" w:lineRule="auto"/>
                    <w:ind w:firstLine="0"/>
                    <w:jc w:val="left"/>
                    <w:rPr>
                      <w:rFonts w:hint="default"/>
                      <w:color w:val="auto"/>
                      <w:sz w:val="21"/>
                      <w:szCs w:val="21"/>
                      <w:lang w:val="en-US"/>
                    </w:rPr>
                  </w:pPr>
                  <w:r>
                    <w:rPr>
                      <w:rFonts w:ascii="Times New Roman" w:hAnsi="Times New Roman" w:eastAsia="宋体" w:cs="Times New Roman"/>
                      <w:color w:val="auto"/>
                      <w:sz w:val="21"/>
                      <w:szCs w:val="21"/>
                    </w:rPr>
                    <w:t>本项目为</w:t>
                  </w:r>
                  <w:r>
                    <w:rPr>
                      <w:rFonts w:hint="eastAsia" w:ascii="Times New Roman" w:hAnsi="Times New Roman" w:eastAsia="宋体" w:cs="Times New Roman"/>
                      <w:color w:val="auto"/>
                      <w:sz w:val="21"/>
                      <w:szCs w:val="21"/>
                      <w:lang w:val="en-US" w:eastAsia="zh-CN"/>
                    </w:rPr>
                    <w:t>城市道路建设项目，不属于耗煤项目</w:t>
                  </w:r>
                </w:p>
              </w:tc>
              <w:tc>
                <w:tcPr>
                  <w:tcW w:w="282" w:type="pct"/>
                  <w:tcBorders>
                    <w:tl2br w:val="nil"/>
                    <w:tr2bl w:val="nil"/>
                  </w:tcBorders>
                  <w:vAlign w:val="center"/>
                </w:tcPr>
                <w:p>
                  <w:pPr>
                    <w:adjustRightInd/>
                    <w:snapToGrid/>
                    <w:spacing w:line="240" w:lineRule="auto"/>
                    <w:ind w:firstLine="0" w:firstLineChars="0"/>
                    <w:jc w:val="center"/>
                    <w:rPr>
                      <w:color w:val="auto"/>
                      <w:sz w:val="21"/>
                      <w:szCs w:val="21"/>
                    </w:rPr>
                  </w:pPr>
                  <w:r>
                    <w:rPr>
                      <w:rFonts w:hint="eastAsia"/>
                      <w:color w:val="auto"/>
                      <w:sz w:val="21"/>
                      <w:szCs w:val="21"/>
                    </w:rPr>
                    <w:t>符合</w:t>
                  </w:r>
                </w:p>
              </w:tc>
            </w:tr>
          </w:tbl>
          <w:p>
            <w:pPr>
              <w:pStyle w:val="59"/>
              <w:ind w:firstLine="480" w:firstLineChars="0"/>
              <w:rPr>
                <w:b/>
                <w:bCs/>
                <w:color w:val="auto"/>
                <w:highlight w:val="none"/>
              </w:rPr>
            </w:pPr>
            <w:r>
              <w:rPr>
                <w:rFonts w:hint="eastAsia"/>
                <w:b/>
                <w:bCs/>
                <w:color w:val="auto"/>
                <w:highlight w:val="none"/>
                <w:lang w:val="en-US" w:eastAsia="zh-CN"/>
              </w:rPr>
              <w:t>4、与相关</w:t>
            </w:r>
            <w:r>
              <w:rPr>
                <w:rFonts w:hint="eastAsia"/>
                <w:b/>
                <w:bCs/>
                <w:color w:val="auto"/>
                <w:highlight w:val="none"/>
              </w:rPr>
              <w:t>政策符合性分析</w:t>
            </w:r>
          </w:p>
          <w:p>
            <w:pPr>
              <w:spacing w:line="240" w:lineRule="auto"/>
              <w:contextualSpacing/>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表1</w:t>
            </w:r>
            <w:r>
              <w:rPr>
                <w:rFonts w:hint="eastAsia" w:cs="Times New Roman"/>
                <w:b/>
                <w:color w:val="auto"/>
                <w:sz w:val="21"/>
                <w:szCs w:val="21"/>
                <w:highlight w:val="none"/>
                <w:lang w:val="en-US" w:eastAsia="zh-CN"/>
              </w:rPr>
              <w:t xml:space="preserve">-4 </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与</w:t>
            </w:r>
            <w:r>
              <w:rPr>
                <w:rFonts w:hint="default" w:ascii="Times New Roman" w:hAnsi="Times New Roman" w:eastAsia="宋体" w:cs="Times New Roman"/>
                <w:b/>
                <w:color w:val="auto"/>
                <w:sz w:val="21"/>
                <w:szCs w:val="21"/>
                <w:highlight w:val="none"/>
                <w:lang w:eastAsia="zh-CN"/>
              </w:rPr>
              <w:t>相关</w:t>
            </w:r>
            <w:r>
              <w:rPr>
                <w:rFonts w:hint="eastAsia" w:cs="Times New Roman"/>
                <w:b/>
                <w:color w:val="auto"/>
                <w:sz w:val="21"/>
                <w:szCs w:val="21"/>
                <w:highlight w:val="none"/>
                <w:lang w:val="en-US" w:eastAsia="zh-CN"/>
              </w:rPr>
              <w:t>政策</w:t>
            </w:r>
            <w:r>
              <w:rPr>
                <w:rFonts w:hint="default" w:ascii="Times New Roman" w:hAnsi="Times New Roman" w:eastAsia="宋体" w:cs="Times New Roman"/>
                <w:b/>
                <w:color w:val="auto"/>
                <w:sz w:val="21"/>
                <w:szCs w:val="21"/>
                <w:highlight w:val="none"/>
              </w:rPr>
              <w:t>符合性分析</w:t>
            </w:r>
          </w:p>
          <w:tbl>
            <w:tblPr>
              <w:tblStyle w:val="27"/>
              <w:tblW w:w="493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75"/>
              <w:gridCol w:w="3526"/>
              <w:gridCol w:w="1647"/>
              <w:gridCol w:w="6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相关</w:t>
                  </w:r>
                  <w:r>
                    <w:rPr>
                      <w:rFonts w:hint="default" w:ascii="Times New Roman" w:hAnsi="Times New Roman" w:eastAsia="宋体" w:cs="Times New Roman"/>
                      <w:b/>
                      <w:bCs w:val="0"/>
                      <w:color w:val="auto"/>
                      <w:sz w:val="21"/>
                      <w:szCs w:val="21"/>
                      <w:highlight w:val="none"/>
                    </w:rPr>
                    <w:t>政策</w:t>
                  </w:r>
                </w:p>
              </w:tc>
              <w:tc>
                <w:tcPr>
                  <w:tcW w:w="2332" w:type="pct"/>
                  <w:tcBorders>
                    <w:tl2br w:val="nil"/>
                    <w:tr2bl w:val="nil"/>
                  </w:tcBorders>
                  <w:vAlign w:val="center"/>
                </w:tcPr>
                <w:p>
                  <w:pPr>
                    <w:bidi w:val="0"/>
                    <w:jc w:val="center"/>
                    <w:rPr>
                      <w:rFonts w:hint="default"/>
                      <w:b/>
                      <w:bCs w:val="0"/>
                      <w:color w:val="auto"/>
                    </w:rPr>
                  </w:pPr>
                  <w:r>
                    <w:rPr>
                      <w:rFonts w:hint="default"/>
                      <w:b/>
                      <w:bCs w:val="0"/>
                      <w:color w:val="auto"/>
                    </w:rPr>
                    <w:t>政策要求</w:t>
                  </w:r>
                </w:p>
              </w:tc>
              <w:tc>
                <w:tcPr>
                  <w:tcW w:w="1089" w:type="pct"/>
                  <w:tcBorders>
                    <w:tl2br w:val="nil"/>
                    <w:tr2bl w:val="nil"/>
                  </w:tcBorders>
                  <w:vAlign w:val="center"/>
                </w:tcPr>
                <w:p>
                  <w:pPr>
                    <w:bidi w:val="0"/>
                    <w:jc w:val="center"/>
                    <w:rPr>
                      <w:rFonts w:hint="default"/>
                      <w:b/>
                      <w:bCs w:val="0"/>
                      <w:color w:val="auto"/>
                    </w:rPr>
                  </w:pPr>
                  <w:r>
                    <w:rPr>
                      <w:rFonts w:hint="default"/>
                      <w:b/>
                      <w:bCs w:val="0"/>
                      <w:color w:val="auto"/>
                    </w:rPr>
                    <w:t>本</w:t>
                  </w:r>
                  <w:r>
                    <w:rPr>
                      <w:rFonts w:hint="default"/>
                      <w:b/>
                      <w:bCs w:val="0"/>
                      <w:color w:val="auto"/>
                      <w:lang w:eastAsia="zh-CN"/>
                    </w:rPr>
                    <w:t>工程</w:t>
                  </w:r>
                  <w:r>
                    <w:rPr>
                      <w:rFonts w:hint="default"/>
                      <w:b/>
                      <w:bCs w:val="0"/>
                      <w:color w:val="auto"/>
                    </w:rPr>
                    <w:t>情况</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陕西省大气污染防治条例（2019）</w:t>
                  </w:r>
                  <w:r>
                    <w:rPr>
                      <w:rFonts w:hint="eastAsia" w:cs="Times New Roman"/>
                      <w:color w:val="auto"/>
                      <w:kern w:val="0"/>
                      <w:sz w:val="21"/>
                      <w:szCs w:val="21"/>
                      <w:highlight w:val="none"/>
                      <w:lang w:val="en-US" w:eastAsia="zh-CN" w:bidi="ar"/>
                    </w:rPr>
                    <w:t>》</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default"/>
                      <w:color w:val="auto"/>
                      <w:lang w:val="en-US" w:eastAsia="zh-CN"/>
                    </w:rPr>
                    <w:t>第五十六条 从事房屋建筑、道路、市政基础设施、矿产资源开发、河道整治及建筑拆除等施工工程、物料运输和堆放及其他产生扬尘污染的活动，必须采取防治措施。</w:t>
                  </w:r>
                </w:p>
              </w:tc>
              <w:tc>
                <w:tcPr>
                  <w:tcW w:w="108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eastAsia"/>
                      <w:color w:val="auto"/>
                      <w:lang w:val="en-US" w:eastAsia="zh-CN"/>
                    </w:rPr>
                    <w:t>本项目</w:t>
                  </w:r>
                  <w:r>
                    <w:rPr>
                      <w:rFonts w:hint="default"/>
                      <w:color w:val="auto"/>
                    </w:rPr>
                    <w:t>施工过程严格执行</w:t>
                  </w:r>
                  <w:r>
                    <w:rPr>
                      <w:rFonts w:hint="eastAsia"/>
                      <w:color w:val="auto"/>
                    </w:rPr>
                    <w:t>“六个百分之百”</w:t>
                  </w:r>
                  <w:r>
                    <w:rPr>
                      <w:rFonts w:hint="default"/>
                      <w:color w:val="auto"/>
                    </w:rPr>
                    <w:t>，渣土车运输过程保持密闭，实施围挡封闭化施工。</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default"/>
                      <w:color w:val="auto"/>
                      <w:lang w:val="en-US" w:eastAsia="zh-CN"/>
                    </w:rPr>
                    <w:t>施工</w:t>
                  </w:r>
                  <w:r>
                    <w:rPr>
                      <w:rFonts w:hint="eastAsia"/>
                      <w:color w:val="auto"/>
                      <w:lang w:val="en-US" w:eastAsia="zh-CN"/>
                    </w:rPr>
                    <w:t>场地</w:t>
                  </w:r>
                  <w:r>
                    <w:rPr>
                      <w:rFonts w:hint="default"/>
                      <w:color w:val="auto"/>
                      <w:lang w:val="en-US" w:eastAsia="zh-CN"/>
                    </w:rPr>
                    <w:t>内堆放水泥、灰土、砂石等易产生扬尘污染物料和建筑垃圾、工程渣土，应当遮盖或者在库房内存放</w:t>
                  </w:r>
                  <w:r>
                    <w:rPr>
                      <w:rFonts w:hint="eastAsia"/>
                      <w:color w:val="auto"/>
                      <w:lang w:val="en-US" w:eastAsia="zh-CN"/>
                    </w:rPr>
                    <w:t>。</w:t>
                  </w:r>
                </w:p>
              </w:tc>
              <w:tc>
                <w:tcPr>
                  <w:tcW w:w="108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default"/>
                      <w:color w:val="auto"/>
                      <w:lang w:val="en-US" w:eastAsia="zh-CN"/>
                    </w:rPr>
                    <w:t>土方、拆除、洗刨工程作业时应当分段作业，采取洒水压尘措施，缩短起尘操作时间；气象预报风速达到四级以上或者出现重污染天气状况时，城市市区应当停止土石方作业、拆除工程以及其他可能产生扬尘污染的施工</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项目土方工程作业时应当分段作业，采取洒水压尘措施，出现四级以上重污染天气时，禁止进行土方作业</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陕西省人民政府办公室关于印发“十四五”生态环境保护规划的通知</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陕政办发</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2021</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25号</w:t>
                  </w:r>
                  <w:r>
                    <w:rPr>
                      <w:rFonts w:hint="eastAsia" w:cs="Times New Roman"/>
                      <w:color w:val="auto"/>
                      <w:kern w:val="0"/>
                      <w:sz w:val="21"/>
                      <w:szCs w:val="21"/>
                      <w:highlight w:val="none"/>
                      <w:lang w:val="en-US" w:eastAsia="zh-CN" w:bidi="ar"/>
                    </w:rPr>
                    <w:t>）</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default"/>
                      <w:color w:val="auto"/>
                      <w:lang w:val="en-US" w:eastAsia="zh-CN"/>
                    </w:rPr>
                    <w:t>建立健全生态环境分区管控措施。立足资源环境承载能力，发挥各地比较优势，优化重点基础设施、重大生产力和公共资源布局，建立以“三线一单”为核心的全省生态环境分区管控体系</w:t>
                  </w:r>
                  <w:r>
                    <w:rPr>
                      <w:rFonts w:hint="eastAsia"/>
                      <w:color w:val="auto"/>
                      <w:lang w:val="en-US" w:eastAsia="zh-CN"/>
                    </w:rPr>
                    <w:t>。</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color w:val="auto"/>
                    </w:rPr>
                    <w:t>本项目为</w:t>
                  </w:r>
                  <w:r>
                    <w:rPr>
                      <w:rFonts w:hint="eastAsia"/>
                      <w:color w:val="auto"/>
                      <w:lang w:val="en-US" w:eastAsia="zh-CN"/>
                    </w:rPr>
                    <w:t>城市道路建设项目</w:t>
                  </w:r>
                  <w:r>
                    <w:rPr>
                      <w:rFonts w:hint="default"/>
                      <w:color w:val="auto"/>
                    </w:rPr>
                    <w:t>，属于市政基础设施建设</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tcBorders>
                    <w:tl2br w:val="nil"/>
                    <w:tr2bl w:val="nil"/>
                  </w:tcBorders>
                  <w:vAlign w:val="center"/>
                </w:tcPr>
                <w:p>
                  <w:pPr>
                    <w:bidi w:val="0"/>
                    <w:rPr>
                      <w:rFonts w:hint="default"/>
                      <w:color w:val="auto"/>
                      <w:lang w:val="en-US" w:eastAsia="zh-CN"/>
                    </w:rPr>
                  </w:pPr>
                  <w:r>
                    <w:rPr>
                      <w:rFonts w:hint="eastAsia" w:cs="Times New Roman"/>
                      <w:color w:val="auto"/>
                      <w:kern w:val="0"/>
                      <w:sz w:val="21"/>
                      <w:szCs w:val="21"/>
                      <w:highlight w:val="none"/>
                      <w:lang w:val="en-US" w:eastAsia="zh-CN" w:bidi="ar"/>
                    </w:rPr>
                    <w:t>《</w:t>
                  </w:r>
                  <w:r>
                    <w:rPr>
                      <w:rFonts w:hint="default"/>
                      <w:color w:val="auto"/>
                      <w:lang w:val="en-US" w:eastAsia="zh-CN"/>
                    </w:rPr>
                    <w:t>西安市人民政府关于印发“十四五”生态保护规划的通知</w:t>
                  </w:r>
                  <w:r>
                    <w:rPr>
                      <w:rFonts w:hint="eastAsia" w:cs="Times New Roman"/>
                      <w:color w:val="auto"/>
                      <w:kern w:val="0"/>
                      <w:sz w:val="21"/>
                      <w:szCs w:val="21"/>
                      <w:highlight w:val="none"/>
                      <w:lang w:val="en-US" w:eastAsia="zh-CN" w:bidi="ar"/>
                    </w:rPr>
                    <w:t>》</w:t>
                  </w:r>
                  <w:r>
                    <w:rPr>
                      <w:rFonts w:hint="eastAsia"/>
                      <w:color w:val="auto"/>
                      <w:lang w:val="en-US" w:eastAsia="zh-CN"/>
                    </w:rPr>
                    <w:t>（</w:t>
                  </w:r>
                  <w:r>
                    <w:rPr>
                      <w:rFonts w:hint="default"/>
                      <w:color w:val="auto"/>
                      <w:lang w:val="en-US" w:eastAsia="zh-CN"/>
                    </w:rPr>
                    <w:t>市政发〔2021〕21</w:t>
                  </w:r>
                </w:p>
                <w:p>
                  <w:pPr>
                    <w:bidi w:val="0"/>
                    <w:rPr>
                      <w:rFonts w:hint="default"/>
                      <w:color w:val="auto"/>
                      <w:lang w:val="en-US" w:eastAsia="zh-CN"/>
                    </w:rPr>
                  </w:pPr>
                  <w:r>
                    <w:rPr>
                      <w:rFonts w:hint="default"/>
                      <w:color w:val="auto"/>
                      <w:lang w:val="en-US" w:eastAsia="zh-CN"/>
                    </w:rPr>
                    <w:t>号</w:t>
                  </w:r>
                  <w:r>
                    <w:rPr>
                      <w:rFonts w:hint="eastAsia"/>
                      <w:color w:val="auto"/>
                      <w:lang w:val="en-US" w:eastAsia="zh-CN"/>
                    </w:rPr>
                    <w:t>）</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default"/>
                      <w:color w:val="auto"/>
                      <w:lang w:val="en-US" w:eastAsia="zh-CN"/>
                    </w:rPr>
                    <w:t>道路交通噪声防治。合理规划道路和敏感建筑物之间的距离，新建、改建、扩建城市道路、公路、城市轨道交通等应采取低噪声路面技术和材料，对噪声敏感点采取必要的隔音措施，确保噪声敏感点声环境质量达标。加强对道路的维护和保养，降低车辆通行产生的噪声。</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rPr>
                    <w:t>本项目噪声现状监测均达标，运营期加强对道路的维护和保养，降低车辆通行产生的噪声，经预测，项目建成后对周围噪声影响</w:t>
                  </w:r>
                  <w:r>
                    <w:rPr>
                      <w:rFonts w:hint="eastAsia"/>
                      <w:color w:val="auto"/>
                      <w:lang w:val="en-US" w:eastAsia="zh-CN"/>
                    </w:rPr>
                    <w:t>可行</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tcBorders>
                    <w:tl2br w:val="nil"/>
                    <w:tr2bl w:val="nil"/>
                  </w:tcBorders>
                  <w:vAlign w:val="center"/>
                </w:tcPr>
                <w:p>
                  <w:pPr>
                    <w:bidi w:val="0"/>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陕西省西咸新区开发建设管理委员会关于印发《</w:t>
                  </w:r>
                  <w:r>
                    <w:rPr>
                      <w:rFonts w:hint="default"/>
                      <w:color w:val="auto"/>
                      <w:lang w:val="en-US" w:eastAsia="zh-CN"/>
                    </w:rPr>
                    <w:t>西</w:t>
                  </w:r>
                  <w:r>
                    <w:rPr>
                      <w:rFonts w:hint="eastAsia"/>
                      <w:color w:val="auto"/>
                      <w:lang w:val="en-US" w:eastAsia="zh-CN"/>
                    </w:rPr>
                    <w:t>咸新区</w:t>
                  </w:r>
                  <w:r>
                    <w:rPr>
                      <w:rFonts w:hint="default"/>
                      <w:color w:val="auto"/>
                      <w:lang w:val="en-US" w:eastAsia="zh-CN"/>
                    </w:rPr>
                    <w:t>“十四五”生态保护规划</w:t>
                  </w:r>
                  <w:r>
                    <w:rPr>
                      <w:rFonts w:hint="eastAsia"/>
                      <w:color w:val="auto"/>
                      <w:lang w:val="en-US" w:eastAsia="zh-CN"/>
                    </w:rPr>
                    <w:t>》</w:t>
                  </w:r>
                  <w:r>
                    <w:rPr>
                      <w:rFonts w:hint="default"/>
                      <w:color w:val="auto"/>
                      <w:lang w:val="en-US" w:eastAsia="zh-CN"/>
                    </w:rPr>
                    <w:t>的通知</w:t>
                  </w:r>
                  <w:r>
                    <w:rPr>
                      <w:rFonts w:hint="eastAsia"/>
                      <w:color w:val="auto"/>
                      <w:lang w:val="en-US" w:eastAsia="zh-CN"/>
                    </w:rPr>
                    <w:t>（陕西咸</w:t>
                  </w:r>
                  <w:r>
                    <w:rPr>
                      <w:rFonts w:hint="default"/>
                      <w:color w:val="auto"/>
                      <w:lang w:val="en-US" w:eastAsia="zh-CN"/>
                    </w:rPr>
                    <w:t>发〔2021〕</w:t>
                  </w:r>
                  <w:r>
                    <w:rPr>
                      <w:rFonts w:hint="eastAsia"/>
                      <w:color w:val="auto"/>
                      <w:lang w:val="en-US" w:eastAsia="zh-CN"/>
                    </w:rPr>
                    <w:t>4</w:t>
                  </w:r>
                  <w:r>
                    <w:rPr>
                      <w:rFonts w:hint="default"/>
                      <w:color w:val="auto"/>
                      <w:lang w:val="en-US" w:eastAsia="zh-CN"/>
                    </w:rPr>
                    <w:t>号</w:t>
                  </w:r>
                  <w:r>
                    <w:rPr>
                      <w:rFonts w:hint="eastAsia"/>
                      <w:color w:val="auto"/>
                      <w:lang w:val="en-US" w:eastAsia="zh-CN"/>
                    </w:rPr>
                    <w:t>）</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color w:val="auto"/>
                      <w:lang w:val="en-US" w:eastAsia="zh-CN"/>
                    </w:rPr>
                  </w:pPr>
                  <w:r>
                    <w:rPr>
                      <w:rFonts w:hint="default"/>
                      <w:color w:val="auto"/>
                      <w:lang w:val="en-US" w:eastAsia="zh-CN"/>
                    </w:rPr>
                    <w:t>加强交通噪声防治。建立健全交通噪声监测体系，新建、改建或扩建城市道路、公路、轨道交通等采用低噪声技术、材料和设备，对噪声敏感点采取隔音措施。合理规划道路与住宅、办公楼、学校、医院等敏感建筑物之间的距离，完善高架路、快速路、城市轨道等交通干线隔声屏障。机动车按照规定使用声响装置，加强道路维护和保养，降低车辆通行产生的噪声污染。强化机场噪声污染防治。</w:t>
                  </w:r>
                </w:p>
              </w:tc>
              <w:tc>
                <w:tcPr>
                  <w:tcW w:w="16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rPr>
                  </w:pPr>
                  <w:r>
                    <w:rPr>
                      <w:rFonts w:hint="eastAsia"/>
                      <w:color w:val="auto"/>
                    </w:rPr>
                    <w:t>本项目噪声现状监测均达标，运营期加强对道路的维护和保养，降低车辆通行产生的噪声，经预测，项目建成后对周围噪声影响</w:t>
                  </w:r>
                  <w:r>
                    <w:rPr>
                      <w:rFonts w:hint="eastAsia"/>
                      <w:color w:val="auto"/>
                      <w:lang w:val="en-US" w:eastAsia="zh-CN"/>
                    </w:rPr>
                    <w:t>可行</w:t>
                  </w:r>
                </w:p>
              </w:tc>
              <w:tc>
                <w:tcPr>
                  <w:tcW w:w="603"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中共陕西省委陕西省人民政府关于印发《陕西省大气污染治理专项行动方案（2023</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2027年）》的通知（陕发〔2023〕4号）</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lang w:val="en-US" w:eastAsia="zh-CN"/>
                    </w:rPr>
                  </w:pPr>
                  <w:r>
                    <w:rPr>
                      <w:rFonts w:hint="eastAsia"/>
                      <w:color w:val="auto"/>
                      <w:lang w:val="en-US" w:eastAsia="zh-CN"/>
                    </w:rPr>
                    <w:t>西安市、咸阳市、渭南市建立工地、道路扬尘监管体系，安装建筑工地扬尘在线监测系统和视频监控，与行业监管部门联网。</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项目施工过程安装扬尘在线监测设备</w:t>
                  </w:r>
                  <w:r>
                    <w:rPr>
                      <w:rFonts w:hint="eastAsia"/>
                      <w:color w:val="auto"/>
                      <w:lang w:eastAsia="zh-CN"/>
                    </w:rPr>
                    <w:t>，</w:t>
                  </w:r>
                  <w:r>
                    <w:rPr>
                      <w:rFonts w:hint="eastAsia"/>
                      <w:color w:val="auto"/>
                      <w:lang w:val="en-US" w:eastAsia="zh-CN"/>
                    </w:rPr>
                    <w:t>并与监管部门联网</w:t>
                  </w:r>
                  <w:r>
                    <w:rPr>
                      <w:rFonts w:hint="default"/>
                      <w:color w:val="auto"/>
                    </w:rPr>
                    <w:t>。</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施工场地严格执行“六个百分百”</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default"/>
                      <w:color w:val="auto"/>
                    </w:rPr>
                    <w:t>本项目施工期严格执行六个百分之百要求，施工场地进行围挡，施工原料、建筑垃圾进行遮盖，路面进行硬化，设置清洗装置，出入车辆须进行清洗，土方采用湿式开挖，渣土采用密闭车辆</w:t>
                  </w:r>
                  <w:r>
                    <w:rPr>
                      <w:rFonts w:hint="eastAsia"/>
                      <w:color w:val="auto"/>
                      <w:lang w:val="en-US" w:eastAsia="zh-CN"/>
                    </w:rPr>
                    <w:t>运输</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中共西安市委</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西安市人民政府关于印发《西安市大气污染治理专项行动方案</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（2023-2027）》</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的通知（市字</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〔2023〕32号</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加强渣土车扬尘管理，推进渣土车车轮、底盘和车身高效冲洗，保持行驶途中全密闭，通过视频监控、车牌号识别、卫星定位跟踪手段，实行道路扬尘全过程监督</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default"/>
                      <w:color w:val="auto"/>
                    </w:rPr>
                    <w:t>项目设置清洗装置，出入车辆须进行清洗，渣土采用密闭车辆</w:t>
                  </w:r>
                  <w:r>
                    <w:rPr>
                      <w:rFonts w:hint="eastAsia"/>
                      <w:color w:val="auto"/>
                      <w:lang w:val="en-US" w:eastAsia="zh-CN"/>
                    </w:rPr>
                    <w:t>运输</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持续推进扬尘在线监测系统建设，建立工地、道路扬尘监管体系，安装建筑工地扬尘在线监测系统和视频监控，与行业监管部门联网</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项目施工过程安装扬尘在线监测设备</w:t>
                  </w:r>
                  <w:r>
                    <w:rPr>
                      <w:rFonts w:hint="eastAsia"/>
                      <w:color w:val="auto"/>
                      <w:lang w:eastAsia="zh-CN"/>
                    </w:rPr>
                    <w:t>，</w:t>
                  </w:r>
                  <w:r>
                    <w:rPr>
                      <w:rFonts w:hint="eastAsia"/>
                      <w:color w:val="auto"/>
                      <w:lang w:val="en-US" w:eastAsia="zh-CN"/>
                    </w:rPr>
                    <w:t>并与监管部门联网</w:t>
                  </w:r>
                  <w:r>
                    <w:rPr>
                      <w:rFonts w:hint="default"/>
                      <w:color w:val="auto"/>
                    </w:rPr>
                    <w:t>。</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建立动态管理清单，全面落实“六个百分百”“七个到位”要求，强化洒水抑尘，增加作业车辆和机械冲洗次数，防治带泥行驶</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施工期严格执行</w:t>
                  </w:r>
                  <w:r>
                    <w:rPr>
                      <w:rFonts w:hint="eastAsia"/>
                      <w:color w:val="auto"/>
                      <w:lang w:val="en-US" w:eastAsia="zh-CN"/>
                    </w:rPr>
                    <w:t>“六个百分百”“七个到位”</w:t>
                  </w:r>
                  <w:r>
                    <w:rPr>
                      <w:rFonts w:hint="default"/>
                      <w:color w:val="auto"/>
                    </w:rPr>
                    <w:t>要求</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严格易产生扬尘运输车辆监管，落实砂石运输和建筑垃圾运输密闭运输要求，防治运输过程中抛洒滴漏及扬尘问题</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项目砂石以及</w:t>
                  </w:r>
                  <w:r>
                    <w:rPr>
                      <w:rFonts w:hint="eastAsia"/>
                      <w:color w:val="auto"/>
                      <w:lang w:val="en-US" w:eastAsia="zh-CN"/>
                    </w:rPr>
                    <w:t>土方</w:t>
                  </w:r>
                  <w:r>
                    <w:rPr>
                      <w:rFonts w:hint="default"/>
                      <w:color w:val="auto"/>
                    </w:rPr>
                    <w:t>运输过程必须严格密闭</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中共</w:t>
                  </w:r>
                  <w:r>
                    <w:rPr>
                      <w:rFonts w:hint="eastAsia" w:cs="Times New Roman"/>
                      <w:color w:val="auto"/>
                      <w:kern w:val="0"/>
                      <w:sz w:val="21"/>
                      <w:szCs w:val="21"/>
                      <w:highlight w:val="none"/>
                      <w:lang w:val="en-US" w:eastAsia="zh-CN" w:bidi="ar"/>
                    </w:rPr>
                    <w:t>陕西省西咸新区工作委员会</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陕西省西咸新区开发建设管理委员会</w:t>
                  </w:r>
                  <w:r>
                    <w:rPr>
                      <w:rFonts w:hint="default" w:ascii="Times New Roman" w:hAnsi="Times New Roman" w:eastAsia="宋体" w:cs="Times New Roman"/>
                      <w:color w:val="auto"/>
                      <w:kern w:val="0"/>
                      <w:sz w:val="21"/>
                      <w:szCs w:val="21"/>
                      <w:highlight w:val="none"/>
                      <w:lang w:val="en-US" w:eastAsia="zh-CN" w:bidi="ar"/>
                    </w:rPr>
                    <w:t>关于印发《</w:t>
                  </w:r>
                  <w:r>
                    <w:rPr>
                      <w:rFonts w:hint="eastAsia" w:cs="Times New Roman"/>
                      <w:color w:val="auto"/>
                      <w:kern w:val="0"/>
                      <w:sz w:val="21"/>
                      <w:szCs w:val="21"/>
                      <w:highlight w:val="none"/>
                      <w:lang w:val="en-US" w:eastAsia="zh-CN" w:bidi="ar"/>
                    </w:rPr>
                    <w:t>西咸新区</w:t>
                  </w:r>
                  <w:r>
                    <w:rPr>
                      <w:rFonts w:hint="default" w:ascii="Times New Roman" w:hAnsi="Times New Roman" w:eastAsia="宋体" w:cs="Times New Roman"/>
                      <w:color w:val="auto"/>
                      <w:kern w:val="0"/>
                      <w:sz w:val="21"/>
                      <w:szCs w:val="21"/>
                      <w:highlight w:val="none"/>
                      <w:lang w:val="en-US" w:eastAsia="zh-CN" w:bidi="ar"/>
                    </w:rPr>
                    <w:t>大气污染治理专项行动方案</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（2023-2027）》</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的通知（</w:t>
                  </w:r>
                  <w:r>
                    <w:rPr>
                      <w:rFonts w:hint="eastAsia" w:cs="Times New Roman"/>
                      <w:color w:val="auto"/>
                      <w:kern w:val="0"/>
                      <w:sz w:val="21"/>
                      <w:szCs w:val="21"/>
                      <w:highlight w:val="none"/>
                      <w:lang w:val="en-US" w:eastAsia="zh-CN" w:bidi="ar"/>
                    </w:rPr>
                    <w:t>陕西咸党发</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〔2023〕</w:t>
                  </w:r>
                  <w:r>
                    <w:rPr>
                      <w:rFonts w:hint="eastAsia"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号</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r>
                    <w:rPr>
                      <w:rFonts w:hint="eastAsia"/>
                      <w:color w:val="auto"/>
                      <w:highlight w:val="none"/>
                      <w:lang w:val="en-US" w:eastAsia="zh-CN"/>
                    </w:rPr>
                    <w:t>加强交通、绿化项目及建筑垃圾清运、消纳作业施工扬尘精细化管控。建立动态管理清单，全面落实“六个百分百”“七个到位”要求，强化洒水抑尘，增加作业车辆和机械冲洗次数，防止带泥行驶。加强日常督导检查，对发现的问题组织相关辖区进行</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r>
                    <w:rPr>
                      <w:rFonts w:hint="eastAsia"/>
                      <w:color w:val="auto"/>
                      <w:highlight w:val="none"/>
                      <w:lang w:val="en-US" w:eastAsia="zh-CN"/>
                    </w:rPr>
                    <w:t>整改。将扬尘管理工作不到位的不良信息移交住建部门纳入建筑市场信用管理体系，情节严重的实行信用惩戒。按照全市统一安排部署，持续推进扬尘在线监测系统建设，应安装扬尘在线监测系统和视频监控的，完成安装并与市智慧环保指挥中心联网后方可施工。以降低PM</w:t>
                  </w:r>
                  <w:r>
                    <w:rPr>
                      <w:rFonts w:hint="eastAsia"/>
                      <w:color w:val="auto"/>
                      <w:highlight w:val="none"/>
                      <w:vertAlign w:val="subscript"/>
                      <w:lang w:val="en-US" w:eastAsia="zh-CN"/>
                    </w:rPr>
                    <w:t>10</w:t>
                  </w:r>
                  <w:r>
                    <w:rPr>
                      <w:rFonts w:hint="eastAsia"/>
                      <w:color w:val="auto"/>
                      <w:highlight w:val="none"/>
                      <w:lang w:val="en-US" w:eastAsia="zh-CN"/>
                    </w:rPr>
                    <w:t>指标为导向建立动态管控机制，施工工地扬</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highlight w:val="none"/>
                      <w:lang w:val="en-US" w:eastAsia="zh-CN"/>
                    </w:rPr>
                  </w:pPr>
                  <w:r>
                    <w:rPr>
                      <w:rFonts w:hint="eastAsia"/>
                      <w:color w:val="auto"/>
                      <w:highlight w:val="none"/>
                      <w:lang w:val="en-US" w:eastAsia="zh-CN"/>
                    </w:rPr>
                    <w:t>尘排放超过《施工扬尘排放限值》（DB61/ 1078-2017）的立即停工整改；除沙尘天气影响外，PM</w:t>
                  </w:r>
                  <w:r>
                    <w:rPr>
                      <w:rFonts w:hint="eastAsia"/>
                      <w:color w:val="auto"/>
                      <w:highlight w:val="none"/>
                      <w:vertAlign w:val="subscript"/>
                      <w:lang w:val="en-US" w:eastAsia="zh-CN"/>
                    </w:rPr>
                    <w:t>10</w:t>
                  </w:r>
                  <w:r>
                    <w:rPr>
                      <w:rFonts w:hint="eastAsia"/>
                      <w:color w:val="auto"/>
                      <w:highlight w:val="none"/>
                      <w:lang w:val="en-US" w:eastAsia="zh-CN"/>
                    </w:rPr>
                    <w:t>小时浓度连续3小时超过150微克/立方米时，暂停超过环境质量监测值2.5倍以上的施工工地作业。</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highlight w:val="none"/>
                    </w:rPr>
                  </w:pPr>
                  <w:r>
                    <w:rPr>
                      <w:rFonts w:hint="default"/>
                      <w:color w:val="auto"/>
                      <w:highlight w:val="none"/>
                    </w:rPr>
                    <w:t>项目设置清洗装置，出入车辆须进行清洗，渣土采用密闭车辆</w:t>
                  </w:r>
                  <w:r>
                    <w:rPr>
                      <w:rFonts w:hint="eastAsia"/>
                      <w:color w:val="auto"/>
                      <w:highlight w:val="none"/>
                      <w:lang w:val="en-US" w:eastAsia="zh-CN"/>
                    </w:rPr>
                    <w:t>运输；</w:t>
                  </w:r>
                  <w:r>
                    <w:rPr>
                      <w:rFonts w:hint="default"/>
                      <w:color w:val="auto"/>
                      <w:highlight w:val="none"/>
                    </w:rPr>
                    <w:t>施工期严格执行</w:t>
                  </w:r>
                  <w:r>
                    <w:rPr>
                      <w:rFonts w:hint="eastAsia"/>
                      <w:color w:val="auto"/>
                      <w:highlight w:val="none"/>
                      <w:lang w:val="en-US" w:eastAsia="zh-CN"/>
                    </w:rPr>
                    <w:t>“六个百分百”“七个到位”</w:t>
                  </w:r>
                  <w:r>
                    <w:rPr>
                      <w:rFonts w:hint="default"/>
                      <w:color w:val="auto"/>
                      <w:highlight w:val="none"/>
                    </w:rPr>
                    <w:t>要求</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中共</w:t>
                  </w:r>
                  <w:r>
                    <w:rPr>
                      <w:rFonts w:hint="eastAsia" w:cs="Times New Roman"/>
                      <w:color w:val="auto"/>
                      <w:kern w:val="0"/>
                      <w:sz w:val="21"/>
                      <w:szCs w:val="21"/>
                      <w:lang w:val="en-US" w:eastAsia="zh-CN" w:bidi="ar"/>
                    </w:rPr>
                    <w:t>陕西省西咸新区泾河新城委员会</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关于印发《</w:t>
                  </w:r>
                  <w:r>
                    <w:rPr>
                      <w:rFonts w:hint="eastAsia" w:ascii="Times New Roman" w:hAnsi="Times New Roman" w:cs="Times New Roman"/>
                      <w:color w:val="auto"/>
                      <w:kern w:val="0"/>
                      <w:sz w:val="21"/>
                      <w:szCs w:val="21"/>
                      <w:lang w:val="en-US" w:eastAsia="zh-CN" w:bidi="ar"/>
                    </w:rPr>
                    <w:t>泾河新城</w:t>
                  </w:r>
                  <w:r>
                    <w:rPr>
                      <w:rFonts w:hint="default" w:ascii="Times New Roman" w:hAnsi="Times New Roman" w:eastAsia="宋体" w:cs="Times New Roman"/>
                      <w:color w:val="auto"/>
                      <w:kern w:val="0"/>
                      <w:sz w:val="21"/>
                      <w:szCs w:val="21"/>
                      <w:lang w:val="en-US" w:eastAsia="zh-CN" w:bidi="ar"/>
                    </w:rPr>
                    <w:t>大气污染治理专项行动方案</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（2023-2027）》</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的通知（</w:t>
                  </w:r>
                  <w:r>
                    <w:rPr>
                      <w:rFonts w:hint="eastAsia" w:cs="Times New Roman"/>
                      <w:color w:val="auto"/>
                      <w:kern w:val="0"/>
                      <w:sz w:val="21"/>
                      <w:szCs w:val="21"/>
                      <w:lang w:val="en-US" w:eastAsia="zh-CN" w:bidi="ar"/>
                    </w:rPr>
                    <w:t>陕泾河发</w:t>
                  </w:r>
                </w:p>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〔2023〕</w:t>
                  </w:r>
                  <w:r>
                    <w:rPr>
                      <w:rFonts w:hint="eastAsia" w:cs="Times New Roman"/>
                      <w:color w:val="auto"/>
                      <w:kern w:val="0"/>
                      <w:sz w:val="21"/>
                      <w:szCs w:val="21"/>
                      <w:lang w:val="en-US" w:eastAsia="zh-CN" w:bidi="ar"/>
                    </w:rPr>
                    <w:t>22</w:t>
                  </w:r>
                  <w:r>
                    <w:rPr>
                      <w:rFonts w:hint="default" w:ascii="Times New Roman" w:hAnsi="Times New Roman" w:eastAsia="宋体" w:cs="Times New Roman"/>
                      <w:color w:val="auto"/>
                      <w:kern w:val="0"/>
                      <w:sz w:val="21"/>
                      <w:szCs w:val="21"/>
                      <w:lang w:val="en-US" w:eastAsia="zh-CN" w:bidi="ar"/>
                    </w:rPr>
                    <w:t>号</w:t>
                  </w: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严格易产生扬尘运输车辆监管，落实物料、建筑垃圾运输车辆密闭运输要求，防止运输过程中抛洒滴漏及扬尘问题。加强车辆扬尘治理，推进车轮、底盘和车身高效冲洗，保持行驶途中全密闭，通过视频监控、车牌号识别、卫星定位跟踪等手段，实行全过程监督。</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项目设置清洗装置，出入车辆须进行清洗，渣土采用密闭车辆</w:t>
                  </w:r>
                  <w:r>
                    <w:rPr>
                      <w:rFonts w:hint="eastAsia"/>
                      <w:color w:val="auto"/>
                      <w:lang w:val="en-US" w:eastAsia="zh-CN"/>
                    </w:rPr>
                    <w:t>运输</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4" w:type="pct"/>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2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加强房建、市政、水利及地铁项目施工扬尘精细化管控。建立动态管理清单，全面落实“六个百分百”“七个到位”要求。强化洒水抑尘，增加作业车辆和机械冲洗次数，防止带泥行驶。加强日常督导检查，对发现的问题组织相关辖区进行整改。将扬尘管</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理工作不到位的不良信息纳入建筑市场信用管理体系，情节严重的实行信用惩戒。按照全市统一安排部署，持续推进扬尘在线监测系统建设，应安装扬尘在线监测系统和视频监控的，完成安装并与市智慧环保指挥中心联网后方可施工。以降低PM</w:t>
                  </w:r>
                  <w:r>
                    <w:rPr>
                      <w:rFonts w:hint="eastAsia"/>
                      <w:color w:val="auto"/>
                      <w:vertAlign w:val="subscript"/>
                      <w:lang w:val="en-US" w:eastAsia="zh-CN"/>
                    </w:rPr>
                    <w:t>10</w:t>
                  </w:r>
                  <w:r>
                    <w:rPr>
                      <w:rFonts w:hint="eastAsia"/>
                      <w:color w:val="auto"/>
                      <w:lang w:val="en-US" w:eastAsia="zh-CN"/>
                    </w:rPr>
                    <w:t>指标为导向建立动态管控机制，施工工地扬尘排放超过《施工扬尘排放限</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color w:val="auto"/>
                      <w:lang w:val="en-US" w:eastAsia="zh-CN"/>
                    </w:rPr>
                  </w:pPr>
                  <w:r>
                    <w:rPr>
                      <w:rFonts w:hint="eastAsia"/>
                      <w:color w:val="auto"/>
                      <w:lang w:val="en-US" w:eastAsia="zh-CN"/>
                    </w:rPr>
                    <w:t>值》（DB61/1078-2017）的立即停工整改；除沙尘天气影响外，PM</w:t>
                  </w:r>
                  <w:r>
                    <w:rPr>
                      <w:rFonts w:hint="eastAsia"/>
                      <w:color w:val="auto"/>
                      <w:vertAlign w:val="subscript"/>
                      <w:lang w:val="en-US" w:eastAsia="zh-CN"/>
                    </w:rPr>
                    <w:t>10</w:t>
                  </w:r>
                  <w:r>
                    <w:rPr>
                      <w:rFonts w:hint="eastAsia"/>
                      <w:color w:val="auto"/>
                      <w:lang w:val="en-US" w:eastAsia="zh-CN"/>
                    </w:rPr>
                    <w:t>小时浓度连续3小时超过150微克/立方米时，暂停超过环境质量监测值2.5倍以上的施工工地作业。</w:t>
                  </w:r>
                </w:p>
              </w:tc>
              <w:tc>
                <w:tcPr>
                  <w:tcW w:w="10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rFonts w:hint="default"/>
                      <w:color w:val="auto"/>
                    </w:rPr>
                    <w:t>施工期严格执行</w:t>
                  </w:r>
                  <w:r>
                    <w:rPr>
                      <w:rFonts w:hint="eastAsia"/>
                      <w:color w:val="auto"/>
                      <w:lang w:val="en-US" w:eastAsia="zh-CN"/>
                    </w:rPr>
                    <w:t>“六个百分百”“七个到位”</w:t>
                  </w:r>
                  <w:r>
                    <w:rPr>
                      <w:rFonts w:hint="default"/>
                      <w:color w:val="auto"/>
                    </w:rPr>
                    <w:t>要求</w:t>
                  </w:r>
                </w:p>
              </w:tc>
              <w:tc>
                <w:tcPr>
                  <w:tcW w:w="403"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p>
            <w:pPr>
              <w:pStyle w:val="59"/>
              <w:ind w:left="0" w:leftChars="0" w:firstLine="0" w:firstLineChars="0"/>
              <w:rPr>
                <w:color w:val="auto"/>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53"/>
        <w:rPr>
          <w:color w:val="auto"/>
        </w:rPr>
      </w:pPr>
      <w:r>
        <w:rPr>
          <w:rFonts w:hint="eastAsia"/>
          <w:color w:val="auto"/>
        </w:rPr>
        <w:t>二、建设内容</w:t>
      </w:r>
    </w:p>
    <w:tbl>
      <w:tblPr>
        <w:tblStyle w:val="27"/>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85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710" w:type="dxa"/>
            <w:vAlign w:val="center"/>
          </w:tcPr>
          <w:p>
            <w:pPr>
              <w:pStyle w:val="59"/>
              <w:ind w:firstLine="0" w:firstLineChars="0"/>
              <w:jc w:val="center"/>
              <w:rPr>
                <w:color w:val="auto"/>
              </w:rPr>
            </w:pPr>
            <w:r>
              <w:rPr>
                <w:rFonts w:hint="eastAsia"/>
                <w:color w:val="auto"/>
              </w:rPr>
              <w:t>地理位置</w:t>
            </w:r>
          </w:p>
        </w:tc>
        <w:tc>
          <w:tcPr>
            <w:tcW w:w="83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sz w:val="24"/>
                <w:szCs w:val="24"/>
                <w:lang w:val="en-US" w:eastAsia="zh-CN"/>
              </w:rPr>
              <w:t>项目位于泾河新城泾河湾院士科创区南部，泾河北岸，西起茶马大道，东至泾河二街。道路全长3029.7米。</w:t>
            </w:r>
            <w:r>
              <w:rPr>
                <w:rFonts w:hint="eastAsia"/>
                <w:color w:val="auto"/>
                <w:sz w:val="24"/>
                <w:szCs w:val="24"/>
                <w:lang w:eastAsia="zh-CN"/>
              </w:rPr>
              <w:t>具体地理位置见附图1。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8" w:hRule="atLeast"/>
          <w:jc w:val="center"/>
        </w:trPr>
        <w:tc>
          <w:tcPr>
            <w:tcW w:w="710" w:type="dxa"/>
            <w:vAlign w:val="center"/>
          </w:tcPr>
          <w:p>
            <w:pPr>
              <w:pStyle w:val="59"/>
              <w:ind w:firstLine="0" w:firstLineChars="0"/>
              <w:jc w:val="center"/>
              <w:rPr>
                <w:color w:val="auto"/>
              </w:rPr>
            </w:pPr>
            <w:r>
              <w:rPr>
                <w:rFonts w:hint="eastAsia"/>
                <w:color w:val="auto"/>
              </w:rPr>
              <w:t>项目组成及规模</w:t>
            </w:r>
          </w:p>
        </w:tc>
        <w:tc>
          <w:tcPr>
            <w:tcW w:w="8380" w:type="dxa"/>
          </w:tcPr>
          <w:p>
            <w:pPr>
              <w:pStyle w:val="54"/>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textAlignment w:val="auto"/>
              <w:rPr>
                <w:color w:val="auto"/>
              </w:rPr>
            </w:pPr>
            <w:r>
              <w:rPr>
                <w:rFonts w:hint="eastAsia"/>
                <w:color w:val="auto"/>
                <w:lang w:val="en-US" w:eastAsia="zh-CN"/>
              </w:rPr>
              <w:t>1、</w:t>
            </w:r>
            <w:r>
              <w:rPr>
                <w:rFonts w:hint="eastAsia"/>
                <w:color w:val="auto"/>
              </w:rPr>
              <w:t>项目基本概况</w:t>
            </w:r>
          </w:p>
          <w:p>
            <w:pPr>
              <w:pStyle w:val="59"/>
              <w:keepNext w:val="0"/>
              <w:keepLines w:val="0"/>
              <w:pageBreakBefore w:val="0"/>
              <w:widowControl w:val="0"/>
              <w:kinsoku/>
              <w:wordWrap/>
              <w:overflowPunct/>
              <w:topLinePunct w:val="0"/>
              <w:autoSpaceDE/>
              <w:autoSpaceDN/>
              <w:bidi w:val="0"/>
              <w:adjustRightInd w:val="0"/>
              <w:snapToGrid w:val="0"/>
              <w:ind w:left="719" w:leftChars="228" w:hanging="240" w:hangingChars="100"/>
              <w:textAlignment w:val="auto"/>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项目名称：</w:t>
            </w:r>
            <w:r>
              <w:rPr>
                <w:rFonts w:hint="eastAsia" w:ascii="Calibri" w:hAnsi="Calibri" w:eastAsia="宋体" w:cs="Times New Roman"/>
                <w:color w:val="auto"/>
                <w:sz w:val="24"/>
              </w:rPr>
              <w:t>泾河新城滨河北路（茶马大道</w:t>
            </w:r>
            <w:r>
              <w:rPr>
                <w:rFonts w:hint="eastAsia" w:ascii="Calibri" w:hAnsi="Calibri" w:cs="Times New Roman"/>
                <w:color w:val="auto"/>
                <w:sz w:val="24"/>
                <w:lang w:eastAsia="zh-CN"/>
              </w:rPr>
              <w:t>－</w:t>
            </w:r>
            <w:r>
              <w:rPr>
                <w:rFonts w:hint="eastAsia" w:ascii="Calibri" w:hAnsi="Calibri" w:eastAsia="宋体" w:cs="Times New Roman"/>
                <w:color w:val="auto"/>
                <w:sz w:val="24"/>
              </w:rPr>
              <w:t>泾河二街）市政道路工程</w:t>
            </w:r>
          </w:p>
          <w:p>
            <w:pPr>
              <w:pStyle w:val="59"/>
              <w:ind w:firstLine="48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建设地点：泾河新城泾河湾院士科创区南部，泾河北岸，西起茶马大道，东至泾河二街</w:t>
            </w:r>
          </w:p>
          <w:p>
            <w:pPr>
              <w:pStyle w:val="59"/>
              <w:ind w:firstLine="480"/>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建设单位：陕西西咸新区泾河新城城市建设投资有限公司</w:t>
            </w:r>
          </w:p>
          <w:p>
            <w:pPr>
              <w:pStyle w:val="59"/>
              <w:ind w:firstLine="48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建设性</w:t>
            </w:r>
            <w:r>
              <w:rPr>
                <w:rFonts w:hint="eastAsia"/>
                <w:color w:val="auto"/>
                <w:highlight w:val="none"/>
              </w:rPr>
              <w:t>质：</w:t>
            </w:r>
            <w:r>
              <w:rPr>
                <w:rFonts w:hint="eastAsia"/>
                <w:color w:val="auto"/>
                <w:highlight w:val="none"/>
                <w:lang w:val="en-US" w:eastAsia="zh-CN"/>
              </w:rPr>
              <w:t>新</w:t>
            </w:r>
            <w:r>
              <w:rPr>
                <w:rFonts w:hint="eastAsia"/>
                <w:color w:val="auto"/>
                <w:highlight w:val="none"/>
              </w:rPr>
              <w:t>建</w:t>
            </w:r>
          </w:p>
          <w:p>
            <w:pPr>
              <w:pStyle w:val="59"/>
              <w:ind w:firstLine="480"/>
              <w:rPr>
                <w:rFonts w:hint="default" w:eastAsia="宋体"/>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道路等级：</w:t>
            </w:r>
            <w:r>
              <w:rPr>
                <w:rFonts w:hint="eastAsia"/>
                <w:color w:val="auto"/>
                <w:lang w:val="en-US" w:eastAsia="zh-CN"/>
              </w:rPr>
              <w:t>城市主干道1条</w:t>
            </w:r>
          </w:p>
          <w:p>
            <w:pPr>
              <w:pStyle w:val="59"/>
              <w:spacing w:line="360" w:lineRule="auto"/>
              <w:ind w:firstLine="480"/>
              <w:rPr>
                <w:rFonts w:hint="eastAsia"/>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rPr>
              <w:t>建设内容：项目道路全长约3029.7</w:t>
            </w:r>
            <w:r>
              <w:rPr>
                <w:rFonts w:hint="eastAsia"/>
                <w:color w:val="auto"/>
                <w:lang w:val="en-US" w:eastAsia="zh-CN"/>
              </w:rPr>
              <w:t>m</w:t>
            </w:r>
            <w:r>
              <w:rPr>
                <w:rFonts w:hint="eastAsia"/>
                <w:color w:val="auto"/>
              </w:rPr>
              <w:t>，红线宽60</w:t>
            </w:r>
            <w:r>
              <w:rPr>
                <w:rFonts w:hint="eastAsia"/>
                <w:color w:val="auto"/>
                <w:lang w:val="en-US" w:eastAsia="zh-CN"/>
              </w:rPr>
              <w:t>m</w:t>
            </w:r>
            <w:r>
              <w:rPr>
                <w:rFonts w:hint="eastAsia"/>
                <w:color w:val="auto"/>
              </w:rPr>
              <w:t>，设有机动车道、非机动车道、人行道和绿化带，设计车速50km/h。建设内容主要包括道路工程、给排水工程、照明电力电信、交通工程等。</w:t>
            </w:r>
          </w:p>
          <w:p>
            <w:pPr>
              <w:pStyle w:val="59"/>
              <w:spacing w:line="360" w:lineRule="auto"/>
              <w:ind w:firstLine="480"/>
              <w:rPr>
                <w:color w:val="auto"/>
              </w:rPr>
            </w:pPr>
            <w:r>
              <w:rPr>
                <w:rFonts w:hint="eastAsia"/>
                <w:color w:val="auto"/>
                <w:lang w:eastAsia="zh-CN"/>
              </w:rPr>
              <w:t>（</w:t>
            </w:r>
            <w:r>
              <w:rPr>
                <w:rFonts w:hint="eastAsia"/>
                <w:color w:val="auto"/>
                <w:lang w:val="en-US" w:eastAsia="zh-CN"/>
              </w:rPr>
              <w:t>7</w:t>
            </w:r>
            <w:r>
              <w:rPr>
                <w:rFonts w:hint="eastAsia"/>
                <w:color w:val="auto"/>
                <w:lang w:eastAsia="zh-CN"/>
              </w:rPr>
              <w:t>）</w:t>
            </w:r>
            <w:r>
              <w:rPr>
                <w:rFonts w:hint="eastAsia"/>
                <w:color w:val="auto"/>
              </w:rPr>
              <w:t>项目投资：工程投资</w:t>
            </w:r>
            <w:r>
              <w:rPr>
                <w:rFonts w:hint="eastAsia"/>
                <w:color w:val="auto"/>
                <w:lang w:val="en-US" w:eastAsia="zh-CN"/>
              </w:rPr>
              <w:t>31344.23</w:t>
            </w:r>
            <w:r>
              <w:rPr>
                <w:rFonts w:hint="eastAsia"/>
                <w:color w:val="auto"/>
              </w:rPr>
              <w:t>万元</w:t>
            </w:r>
          </w:p>
          <w:p>
            <w:pPr>
              <w:pStyle w:val="54"/>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textAlignment w:val="auto"/>
              <w:rPr>
                <w:color w:val="auto"/>
              </w:rPr>
            </w:pPr>
            <w:r>
              <w:rPr>
                <w:rFonts w:hint="eastAsia"/>
                <w:color w:val="auto"/>
                <w:lang w:val="en-US" w:eastAsia="zh-CN"/>
              </w:rPr>
              <w:t>2、</w:t>
            </w:r>
            <w:r>
              <w:rPr>
                <w:rFonts w:hint="eastAsia"/>
                <w:color w:val="auto"/>
              </w:rPr>
              <w:t>项目建设内容</w:t>
            </w:r>
          </w:p>
          <w:p>
            <w:pPr>
              <w:pStyle w:val="59"/>
              <w:bidi w:val="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项目道路全长约3029.7</w:t>
            </w:r>
            <w:r>
              <w:rPr>
                <w:rFonts w:hint="eastAsia" w:cs="Times New Roman"/>
                <w:color w:val="auto"/>
                <w:highlight w:val="none"/>
                <w:lang w:val="en-US" w:eastAsia="zh-CN"/>
              </w:rPr>
              <w:t>m</w:t>
            </w:r>
            <w:r>
              <w:rPr>
                <w:rFonts w:hint="default" w:ascii="Times New Roman" w:hAnsi="Times New Roman" w:eastAsia="宋体" w:cs="Times New Roman"/>
                <w:color w:val="auto"/>
                <w:highlight w:val="none"/>
              </w:rPr>
              <w:t>，红线宽60</w:t>
            </w:r>
            <w:r>
              <w:rPr>
                <w:rFonts w:hint="eastAsia" w:cs="Times New Roman"/>
                <w:color w:val="auto"/>
                <w:highlight w:val="none"/>
                <w:lang w:val="en-US" w:eastAsia="zh-CN"/>
              </w:rPr>
              <w:t>m，全段分为两部分，其中泾河三街至泾河二街段进行拆除后进行重建，茶马大道至泾河三街为新建道路。</w:t>
            </w:r>
            <w:r>
              <w:rPr>
                <w:rFonts w:hint="default" w:ascii="Times New Roman" w:hAnsi="Times New Roman" w:cs="Times New Roman"/>
                <w:color w:val="auto"/>
                <w:highlight w:val="none"/>
              </w:rPr>
              <w:t>本项目</w:t>
            </w:r>
            <w:r>
              <w:rPr>
                <w:rFonts w:hint="eastAsia" w:cs="Times New Roman"/>
                <w:color w:val="auto"/>
                <w:highlight w:val="none"/>
                <w:lang w:val="en-US" w:eastAsia="zh-CN"/>
              </w:rPr>
              <w:t>新建和重建段示意见附图2，</w:t>
            </w:r>
            <w:r>
              <w:rPr>
                <w:rFonts w:hint="default" w:ascii="Times New Roman" w:hAnsi="Times New Roman" w:cs="Times New Roman"/>
                <w:color w:val="auto"/>
                <w:highlight w:val="none"/>
              </w:rPr>
              <w:t>工程组成见表2</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pPr>
              <w:pStyle w:val="47"/>
              <w:ind w:firstLine="422"/>
              <w:rPr>
                <w:color w:val="auto"/>
                <w:sz w:val="21"/>
                <w:szCs w:val="21"/>
              </w:rPr>
            </w:pPr>
            <w:r>
              <w:rPr>
                <w:rFonts w:hint="eastAsia"/>
                <w:color w:val="auto"/>
                <w:sz w:val="21"/>
                <w:szCs w:val="21"/>
              </w:rPr>
              <w:t>表2</w:t>
            </w:r>
            <w:r>
              <w:rPr>
                <w:rFonts w:hint="eastAsia"/>
                <w:color w:val="auto"/>
                <w:sz w:val="21"/>
                <w:szCs w:val="21"/>
                <w:lang w:val="en-US" w:eastAsia="zh-CN"/>
              </w:rPr>
              <w:t>-1</w:t>
            </w:r>
            <w:r>
              <w:rPr>
                <w:rFonts w:hint="eastAsia"/>
                <w:color w:val="auto"/>
                <w:sz w:val="21"/>
                <w:szCs w:val="21"/>
              </w:rPr>
              <w:t xml:space="preserve"> </w:t>
            </w:r>
            <w:r>
              <w:rPr>
                <w:color w:val="auto"/>
                <w:sz w:val="21"/>
                <w:szCs w:val="21"/>
              </w:rPr>
              <w:t xml:space="preserve">  </w:t>
            </w:r>
            <w:r>
              <w:rPr>
                <w:rFonts w:hint="eastAsia"/>
                <w:color w:val="auto"/>
                <w:sz w:val="21"/>
                <w:szCs w:val="21"/>
              </w:rPr>
              <w:t>项目组成一览表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770"/>
              <w:gridCol w:w="909"/>
              <w:gridCol w:w="6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b/>
                      <w:bCs/>
                      <w:color w:val="auto"/>
                    </w:rPr>
                  </w:pPr>
                  <w:r>
                    <w:rPr>
                      <w:rFonts w:hint="eastAsia"/>
                      <w:b/>
                      <w:bCs/>
                      <w:color w:val="auto"/>
                    </w:rPr>
                    <w:t>名称</w:t>
                  </w:r>
                </w:p>
              </w:tc>
              <w:tc>
                <w:tcPr>
                  <w:tcW w:w="4700" w:type="pct"/>
                  <w:gridSpan w:val="3"/>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b/>
                      <w:bCs/>
                      <w:color w:val="auto"/>
                    </w:rPr>
                  </w:pPr>
                  <w:r>
                    <w:rPr>
                      <w:rFonts w:hint="eastAsia"/>
                      <w:b/>
                      <w:bCs/>
                      <w:color w:val="auto"/>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rPr>
                  </w:pPr>
                  <w:r>
                    <w:rPr>
                      <w:rFonts w:hint="eastAsia"/>
                      <w:color w:val="auto"/>
                      <w:lang w:val="en-US" w:eastAsia="zh-CN"/>
                    </w:rPr>
                    <w:t>主体</w:t>
                  </w:r>
                  <w:r>
                    <w:rPr>
                      <w:rFonts w:hint="eastAsia"/>
                      <w:color w:val="auto"/>
                    </w:rPr>
                    <w:t>工程</w:t>
                  </w:r>
                </w:p>
              </w:tc>
              <w:tc>
                <w:tcPr>
                  <w:tcW w:w="463"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eastAsia="宋体"/>
                      <w:color w:val="auto"/>
                      <w:lang w:eastAsia="zh-CN"/>
                    </w:rPr>
                  </w:pPr>
                  <w:r>
                    <w:rPr>
                      <w:rFonts w:hint="eastAsia"/>
                      <w:color w:val="auto"/>
                    </w:rPr>
                    <w:t>泾河新城滨河北路</w:t>
                  </w:r>
                  <w:r>
                    <w:rPr>
                      <w:rFonts w:hint="eastAsia"/>
                      <w:color w:val="auto"/>
                      <w:lang w:eastAsia="zh-CN"/>
                    </w:rPr>
                    <w:t>（茶马大道-泾河二街）</w:t>
                  </w: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rPr>
                  </w:pPr>
                  <w:r>
                    <w:rPr>
                      <w:rFonts w:hint="eastAsia"/>
                      <w:color w:val="auto"/>
                    </w:rPr>
                    <w:t>茶马大道</w:t>
                  </w:r>
                  <w:r>
                    <w:rPr>
                      <w:rFonts w:hint="eastAsia"/>
                      <w:color w:val="auto"/>
                      <w:lang w:eastAsia="zh-CN"/>
                    </w:rPr>
                    <w:t>－</w:t>
                  </w:r>
                  <w:r>
                    <w:rPr>
                      <w:rFonts w:hint="eastAsia"/>
                      <w:color w:val="auto"/>
                    </w:rPr>
                    <w:t>泾河</w:t>
                  </w:r>
                  <w:r>
                    <w:rPr>
                      <w:rFonts w:hint="eastAsia"/>
                      <w:color w:val="auto"/>
                      <w:lang w:val="en-US" w:eastAsia="zh-CN"/>
                    </w:rPr>
                    <w:t>三</w:t>
                  </w:r>
                  <w:r>
                    <w:rPr>
                      <w:rFonts w:hint="eastAsia"/>
                      <w:color w:val="auto"/>
                    </w:rPr>
                    <w:t>街</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eastAsia="宋体"/>
                      <w:color w:val="auto"/>
                      <w:lang w:val="en-US" w:eastAsia="zh-CN"/>
                    </w:rPr>
                  </w:pPr>
                  <w:r>
                    <w:rPr>
                      <w:rFonts w:hint="eastAsia" w:cs="Times New Roman"/>
                      <w:color w:val="auto"/>
                      <w:sz w:val="21"/>
                      <w:szCs w:val="21"/>
                      <w:lang w:val="en-US" w:eastAsia="zh-CN"/>
                    </w:rPr>
                    <w:t>新建道路，规划为城市主干路，道路全长约2229.7米，红线宽60米，设有机动车道、非机动车道、设人行道和绿化带，设计车速50km/h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color w:val="auto"/>
                      <w:lang w:val="en-US" w:eastAsia="zh-CN"/>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color w:val="auto"/>
                    </w:rPr>
                  </w:pP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lang w:val="en-US" w:eastAsia="zh-CN"/>
                    </w:rPr>
                  </w:pPr>
                  <w:r>
                    <w:rPr>
                      <w:rFonts w:hint="eastAsia"/>
                      <w:color w:val="auto"/>
                      <w:lang w:val="en-US" w:eastAsia="zh-CN"/>
                    </w:rPr>
                    <w:t>泾河三街至泾河二街</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路面拆除后重建，规划为城市主干路，道路全长约800米，红线宽度20米拓宽为60米，设计车速50km/h，路面（20m）、给水（dn300mm）工程进行拆除，排水（dn500-1000mm）、电力管沟（1.4mx1.8m）保留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eastAsia="宋体"/>
                      <w:color w:val="auto"/>
                      <w:lang w:val="en-US" w:eastAsia="zh-CN"/>
                    </w:rPr>
                  </w:pPr>
                  <w:r>
                    <w:rPr>
                      <w:rFonts w:hint="eastAsia"/>
                      <w:color w:val="auto"/>
                      <w:lang w:val="en-US" w:eastAsia="zh-CN"/>
                    </w:rPr>
                    <w:t>管道工程</w:t>
                  </w: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lang w:val="en-US"/>
                    </w:rPr>
                  </w:pPr>
                  <w:r>
                    <w:rPr>
                      <w:rFonts w:hint="eastAsia"/>
                      <w:color w:val="auto"/>
                      <w:lang w:val="en-US" w:eastAsia="zh-CN"/>
                    </w:rPr>
                    <w:t>雨水工程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both"/>
                    <w:textAlignment w:val="auto"/>
                    <w:rPr>
                      <w:rFonts w:hint="eastAsia"/>
                      <w:color w:val="auto"/>
                      <w:lang w:val="en-US" w:eastAsia="zh-CN"/>
                    </w:rPr>
                  </w:pPr>
                  <w:r>
                    <w:rPr>
                      <w:rFonts w:hint="eastAsia"/>
                      <w:color w:val="auto"/>
                      <w:lang w:val="en-US" w:eastAsia="zh-CN"/>
                    </w:rPr>
                    <w:t>雨水管主管径为dn300～dn1500mm，总长度为3029.7m；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lang w:val="en-US" w:eastAsia="zh-CN"/>
                    </w:rPr>
                  </w:pPr>
                  <w:r>
                    <w:rPr>
                      <w:rFonts w:hint="eastAsia"/>
                      <w:color w:val="auto"/>
                      <w:lang w:val="en-US" w:eastAsia="zh-CN"/>
                    </w:rPr>
                    <w:t>污水工程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污水管主管径为</w:t>
                  </w:r>
                  <w:r>
                    <w:rPr>
                      <w:rFonts w:hint="eastAsia" w:cs="Times New Roman"/>
                      <w:color w:val="auto"/>
                      <w:sz w:val="21"/>
                      <w:szCs w:val="21"/>
                      <w:lang w:val="en-US" w:eastAsia="zh-CN"/>
                    </w:rPr>
                    <w:t>dn600</w:t>
                  </w:r>
                  <w:r>
                    <w:rPr>
                      <w:rFonts w:hint="eastAsia" w:ascii="Times New Roman" w:hAnsi="Times New Roman" w:eastAsia="宋体" w:cs="Times New Roman"/>
                      <w:color w:val="auto"/>
                      <w:sz w:val="21"/>
                      <w:szCs w:val="21"/>
                      <w:lang w:val="en-US" w:eastAsia="zh-CN"/>
                    </w:rPr>
                    <w:t>mm，总长度为</w:t>
                  </w:r>
                  <w:r>
                    <w:rPr>
                      <w:rFonts w:hint="eastAsia"/>
                      <w:color w:val="auto"/>
                      <w:lang w:val="en-US" w:eastAsia="zh-CN"/>
                    </w:rPr>
                    <w:t>3029.7</w:t>
                  </w:r>
                  <w:r>
                    <w:rPr>
                      <w:rFonts w:hint="eastAsia" w:ascii="Times New Roman" w:hAnsi="Times New Roman" w:eastAsia="宋体" w:cs="Times New Roman"/>
                      <w:color w:val="auto"/>
                      <w:sz w:val="21"/>
                      <w:szCs w:val="21"/>
                      <w:lang w:val="en-US" w:eastAsia="zh-CN"/>
                    </w:rPr>
                    <w:t>m</w:t>
                  </w: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lang w:val="en-US" w:eastAsia="zh-CN"/>
                    </w:rPr>
                  </w:pPr>
                  <w:r>
                    <w:rPr>
                      <w:rFonts w:hint="eastAsia"/>
                      <w:color w:val="auto"/>
                      <w:lang w:val="en-US" w:eastAsia="zh-CN"/>
                    </w:rPr>
                    <w:t>给水工程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全段给水设计主管径为dn300mm，</w:t>
                  </w:r>
                  <w:r>
                    <w:rPr>
                      <w:rFonts w:hint="eastAsia" w:ascii="Times New Roman" w:hAnsi="Times New Roman" w:eastAsia="宋体" w:cs="Times New Roman"/>
                      <w:color w:val="auto"/>
                      <w:sz w:val="21"/>
                      <w:szCs w:val="21"/>
                      <w:lang w:val="en-US" w:eastAsia="zh-CN"/>
                    </w:rPr>
                    <w:t>总长度</w:t>
                  </w:r>
                  <w:r>
                    <w:rPr>
                      <w:rFonts w:hint="eastAsia" w:cs="Times New Roman"/>
                      <w:color w:val="auto"/>
                      <w:sz w:val="21"/>
                      <w:szCs w:val="21"/>
                      <w:lang w:val="en-US" w:eastAsia="zh-CN"/>
                    </w:rPr>
                    <w:t>3029.7m；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highlight w:val="none"/>
                      <w:lang w:val="en-US" w:eastAsia="zh-CN"/>
                    </w:rPr>
                  </w:pPr>
                  <w:r>
                    <w:rPr>
                      <w:rFonts w:hint="eastAsia"/>
                      <w:color w:val="auto"/>
                      <w:highlight w:val="none"/>
                      <w:lang w:val="en-US" w:eastAsia="zh-CN"/>
                    </w:rPr>
                    <w:t>电力通信工程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采用6</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φ200BWFRP纤维编绕拉挤管，沿线路每隔40米设置一处电力检查井，共计3029.7m；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highlight w:val="none"/>
                      <w:lang w:val="en-US" w:eastAsia="zh-CN"/>
                    </w:rPr>
                  </w:pPr>
                  <w:r>
                    <w:rPr>
                      <w:rFonts w:hint="eastAsia"/>
                      <w:color w:val="auto"/>
                      <w:highlight w:val="none"/>
                      <w:lang w:val="en-US" w:eastAsia="zh-CN"/>
                    </w:rPr>
                    <w:t>电力管沟</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电力管沟布置在道路北侧人行道下，管沟中心线距道路中心线29.5米，平行于道路中心线，</w:t>
                  </w:r>
                  <w:r>
                    <w:rPr>
                      <w:rFonts w:hint="eastAsia" w:ascii="Times New Roman" w:hAnsi="Times New Roman" w:eastAsia="宋体" w:cs="Times New Roman"/>
                      <w:color w:val="auto"/>
                      <w:sz w:val="21"/>
                      <w:szCs w:val="21"/>
                      <w:lang w:val="en-US" w:eastAsia="zh-CN"/>
                    </w:rPr>
                    <w:t>总长度3029.7</w:t>
                  </w:r>
                  <w:r>
                    <w:rPr>
                      <w:rFonts w:hint="eastAsia" w:cs="Times New Roman"/>
                      <w:color w:val="auto"/>
                      <w:sz w:val="21"/>
                      <w:szCs w:val="21"/>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99"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eastAsia="宋体"/>
                      <w:color w:val="auto"/>
                      <w:lang w:val="en-US" w:eastAsia="zh-CN"/>
                    </w:rPr>
                  </w:pPr>
                  <w:r>
                    <w:rPr>
                      <w:rFonts w:hint="eastAsia"/>
                      <w:color w:val="auto"/>
                      <w:lang w:val="en-US" w:eastAsia="zh-CN"/>
                    </w:rPr>
                    <w:t>附属工程</w:t>
                  </w: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highlight w:val="none"/>
                      <w:lang w:val="en-US" w:eastAsia="zh-CN"/>
                    </w:rPr>
                  </w:pPr>
                  <w:r>
                    <w:rPr>
                      <w:rFonts w:hint="eastAsia"/>
                      <w:color w:val="auto"/>
                      <w:highlight w:val="none"/>
                      <w:lang w:val="en-US" w:eastAsia="zh-CN"/>
                    </w:rPr>
                    <w:t>绿化景观工程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行道树采用乔木、灌木，株距5m相间种植，胸径10—12cm，高500cm，绿化面积54814m</w:t>
                  </w:r>
                  <w:r>
                    <w:rPr>
                      <w:rFonts w:hint="eastAsia"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color w:val="auto"/>
                      <w:lang w:val="en-US" w:eastAsia="zh-CN"/>
                    </w:rPr>
                  </w:pPr>
                </w:p>
              </w:tc>
              <w:tc>
                <w:tcPr>
                  <w:tcW w:w="1010" w:type="pct"/>
                  <w:gridSpan w:val="2"/>
                  <w:tcBorders>
                    <w:tl2br w:val="nil"/>
                    <w:tr2bl w:val="nil"/>
                  </w:tcBorders>
                  <w:shd w:val="clear" w:color="auto" w:fill="auto"/>
                  <w:vAlign w:val="center"/>
                </w:tcPr>
                <w:p>
                  <w:pPr>
                    <w:pStyle w:val="62"/>
                    <w:ind w:firstLine="0" w:firstLineChars="0"/>
                    <w:rPr>
                      <w:rFonts w:hint="eastAsia"/>
                      <w:color w:val="auto"/>
                      <w:highlight w:val="none"/>
                      <w:lang w:val="en-US" w:eastAsia="zh-CN"/>
                    </w:rPr>
                  </w:pPr>
                  <w:r>
                    <w:rPr>
                      <w:rFonts w:hint="eastAsia"/>
                      <w:color w:val="auto"/>
                    </w:rPr>
                    <w:t>交叉工程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ind w:firstLine="420" w:firstLineChars="200"/>
                    <w:jc w:val="left"/>
                    <w:textAlignment w:val="auto"/>
                    <w:rPr>
                      <w:rFonts w:hint="eastAsia" w:cs="Times New Roman"/>
                      <w:color w:val="auto"/>
                      <w:sz w:val="21"/>
                      <w:szCs w:val="21"/>
                      <w:highlight w:val="none"/>
                      <w:lang w:val="en-US" w:eastAsia="zh-CN"/>
                    </w:rPr>
                  </w:pPr>
                  <w:r>
                    <w:rPr>
                      <w:rFonts w:hint="eastAsia"/>
                      <w:color w:val="auto"/>
                    </w:rPr>
                    <w:t>平面交叉</w:t>
                  </w:r>
                  <w:r>
                    <w:rPr>
                      <w:rFonts w:hint="eastAsia"/>
                      <w:color w:val="auto"/>
                      <w:lang w:val="en-US" w:eastAsia="zh-CN"/>
                    </w:rPr>
                    <w:t>10</w:t>
                  </w:r>
                  <w:r>
                    <w:rPr>
                      <w:rFonts w:hint="eastAsia"/>
                      <w:color w:val="auto"/>
                    </w:rPr>
                    <w:t>处</w:t>
                  </w:r>
                  <w:r>
                    <w:rPr>
                      <w:rFonts w:hint="eastAsia"/>
                      <w:color w:val="auto"/>
                      <w:lang w:eastAsia="zh-CN"/>
                    </w:rPr>
                    <w:t>，</w:t>
                  </w:r>
                  <w:r>
                    <w:rPr>
                      <w:rFonts w:hint="eastAsia"/>
                      <w:color w:val="auto"/>
                    </w:rPr>
                    <w:t>与</w:t>
                  </w:r>
                  <w:r>
                    <w:rPr>
                      <w:rFonts w:hint="eastAsia"/>
                      <w:color w:val="auto"/>
                      <w:lang w:val="en-US" w:eastAsia="zh-CN"/>
                    </w:rPr>
                    <w:t>支路交叉5处，次干路交叉2处，主干路交叉2处，规划快速道路交叉1处，交叉形式Y、T形交叉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color w:val="auto"/>
                      <w:lang w:val="en-US" w:eastAsia="zh-CN"/>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rPr>
                  </w:pPr>
                  <w:r>
                    <w:rPr>
                      <w:rFonts w:hint="eastAsia"/>
                      <w:color w:val="auto"/>
                      <w:highlight w:val="none"/>
                      <w:lang w:val="en-US" w:eastAsia="zh-CN"/>
                    </w:rPr>
                    <w:t>照明工程</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eastAsia"/>
                      <w:color w:val="auto"/>
                    </w:rPr>
                  </w:pPr>
                  <w:r>
                    <w:rPr>
                      <w:rFonts w:hint="eastAsia" w:cs="Times New Roman"/>
                      <w:color w:val="auto"/>
                      <w:sz w:val="21"/>
                      <w:szCs w:val="21"/>
                      <w:highlight w:val="none"/>
                      <w:lang w:val="en-US" w:eastAsia="zh-CN"/>
                    </w:rPr>
                    <w:t>项目设置2处箱式变电站用于道路照明；采用多杆合一（与交通标志牌、信号灯系统合杆），在分隔带对称设置12米高景观型路灯，路灯设置间距36~40米，车行道侧功率为200W，非机动车道侧功率为120W，灯杆中心距车行道路缘石1.0米；在人行道布置5米高步道灯，路灯间距约为20米，灯具功率为60W；道路平交口采用14米高景观型路灯，灯具功率为3</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315W，路灯配光均采用截光型灯具，每座路灯设置接线井与电缆连接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color w:val="auto"/>
                      <w:highlight w:val="yellow"/>
                      <w:lang w:val="en-US"/>
                    </w:rPr>
                  </w:pPr>
                  <w:r>
                    <w:rPr>
                      <w:rFonts w:hint="eastAsia"/>
                      <w:color w:val="auto"/>
                      <w:highlight w:val="none"/>
                      <w:lang w:val="en-US" w:eastAsia="zh-CN"/>
                    </w:rPr>
                    <w:t>临时工程</w:t>
                  </w: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eastAsia="宋体"/>
                      <w:color w:val="auto"/>
                      <w:highlight w:val="none"/>
                      <w:lang w:val="en-US" w:eastAsia="zh-CN"/>
                    </w:rPr>
                  </w:pPr>
                  <w:r>
                    <w:rPr>
                      <w:rFonts w:hint="eastAsia"/>
                      <w:color w:val="auto"/>
                      <w:highlight w:val="none"/>
                      <w:lang w:val="en-US" w:eastAsia="zh-CN"/>
                    </w:rPr>
                    <w:t>施工营地</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eastAsia="宋体"/>
                      <w:color w:val="auto"/>
                      <w:highlight w:val="none"/>
                      <w:lang w:val="en-US" w:eastAsia="zh-CN"/>
                    </w:rPr>
                  </w:pPr>
                  <w:r>
                    <w:rPr>
                      <w:rFonts w:hint="eastAsia"/>
                      <w:color w:val="auto"/>
                      <w:highlight w:val="none"/>
                      <w:lang w:val="en-US" w:eastAsia="zh-CN"/>
                    </w:rPr>
                    <w:t>项目</w:t>
                  </w:r>
                  <w:r>
                    <w:rPr>
                      <w:rFonts w:hint="default" w:eastAsia="宋体"/>
                      <w:color w:val="auto"/>
                      <w:highlight w:val="none"/>
                      <w:lang w:val="en-US" w:eastAsia="zh-CN"/>
                    </w:rPr>
                    <w:t>不设置施工营地</w:t>
                  </w:r>
                  <w:r>
                    <w:rPr>
                      <w:rFonts w:hint="eastAsia"/>
                      <w:color w:val="auto"/>
                      <w:highlight w:val="none"/>
                      <w:lang w:val="en-US" w:eastAsia="zh-CN"/>
                    </w:rPr>
                    <w:t>，租用当地房屋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default" w:eastAsia="宋体"/>
                      <w:color w:val="auto"/>
                      <w:highlight w:val="none"/>
                      <w:lang w:val="en-US" w:eastAsia="zh-CN"/>
                    </w:rPr>
                  </w:pPr>
                  <w:r>
                    <w:rPr>
                      <w:rFonts w:hint="eastAsia"/>
                      <w:color w:val="auto"/>
                      <w:highlight w:val="none"/>
                      <w:lang w:val="en-US" w:eastAsia="zh-CN"/>
                    </w:rPr>
                    <w:t>施工场地</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eastAsia" w:eastAsia="宋体"/>
                      <w:color w:val="auto"/>
                      <w:highlight w:val="none"/>
                      <w:lang w:eastAsia="zh-CN"/>
                    </w:rPr>
                  </w:pPr>
                  <w:r>
                    <w:rPr>
                      <w:rFonts w:hint="eastAsia" w:eastAsia="宋体"/>
                      <w:color w:val="auto"/>
                      <w:highlight w:val="none"/>
                      <w:lang w:eastAsia="zh-CN"/>
                    </w:rPr>
                    <w:t>项目外购商品沥青混凝土、</w:t>
                  </w:r>
                  <w:r>
                    <w:rPr>
                      <w:rFonts w:hint="eastAsia"/>
                      <w:color w:val="auto"/>
                      <w:highlight w:val="none"/>
                      <w:lang w:val="en-US" w:eastAsia="zh-CN"/>
                    </w:rPr>
                    <w:t>水泥混凝土、水稳物料</w:t>
                  </w:r>
                  <w:r>
                    <w:rPr>
                      <w:rFonts w:hint="eastAsia" w:eastAsia="宋体"/>
                      <w:color w:val="auto"/>
                      <w:highlight w:val="none"/>
                      <w:lang w:eastAsia="zh-CN"/>
                    </w:rPr>
                    <w:t>，不单独设置沥青拌合站、</w:t>
                  </w:r>
                  <w:r>
                    <w:rPr>
                      <w:rFonts w:hint="eastAsia"/>
                      <w:color w:val="auto"/>
                      <w:highlight w:val="none"/>
                      <w:lang w:val="en-US" w:eastAsia="zh-CN"/>
                    </w:rPr>
                    <w:t>水稳</w:t>
                  </w:r>
                  <w:r>
                    <w:rPr>
                      <w:rFonts w:hint="eastAsia" w:eastAsia="宋体"/>
                      <w:color w:val="auto"/>
                      <w:highlight w:val="none"/>
                      <w:lang w:eastAsia="zh-CN"/>
                    </w:rPr>
                    <w:t>拌合站</w:t>
                  </w:r>
                  <w:r>
                    <w:rPr>
                      <w:rFonts w:hint="eastAsia"/>
                      <w:color w:val="auto"/>
                      <w:highlight w:val="none"/>
                      <w:lang w:eastAsia="zh-CN"/>
                    </w:rPr>
                    <w:t>、</w:t>
                  </w:r>
                  <w:r>
                    <w:rPr>
                      <w:rFonts w:hint="eastAsia"/>
                      <w:color w:val="auto"/>
                      <w:highlight w:val="none"/>
                      <w:lang w:val="en-US" w:eastAsia="zh-CN"/>
                    </w:rPr>
                    <w:t>混凝土拌合站</w:t>
                  </w:r>
                  <w:r>
                    <w:rPr>
                      <w:rFonts w:hint="eastAsia" w:eastAsia="宋体"/>
                      <w:color w:val="auto"/>
                      <w:highlight w:val="none"/>
                      <w:lang w:eastAsia="zh-CN"/>
                    </w:rPr>
                    <w:t>。全线根据施工的需要将未施工的永久性占地车道作为临时施工场地，用于机械设备临时停放和原材料临时堆放</w:t>
                  </w:r>
                  <w:r>
                    <w:rPr>
                      <w:rFonts w:hint="eastAsia"/>
                      <w:color w:val="auto"/>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color w:val="auto"/>
                      <w:highlight w:val="none"/>
                    </w:rPr>
                  </w:pPr>
                  <w:r>
                    <w:rPr>
                      <w:rFonts w:hint="eastAsia"/>
                      <w:color w:val="auto"/>
                      <w:highlight w:val="none"/>
                    </w:rPr>
                    <w:t>施工便道</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eastAsia="宋体"/>
                      <w:color w:val="auto"/>
                      <w:highlight w:val="none"/>
                      <w:lang w:val="en-US" w:eastAsia="zh-CN"/>
                    </w:rPr>
                  </w:pPr>
                  <w:r>
                    <w:rPr>
                      <w:rFonts w:hint="default" w:eastAsia="宋体"/>
                      <w:color w:val="auto"/>
                      <w:highlight w:val="none"/>
                      <w:lang w:val="en-US" w:eastAsia="zh-CN"/>
                    </w:rPr>
                    <w:t>本项目新建道路在市区范围内，</w:t>
                  </w:r>
                  <w:r>
                    <w:rPr>
                      <w:rFonts w:hint="eastAsia"/>
                      <w:color w:val="auto"/>
                      <w:highlight w:val="none"/>
                      <w:lang w:val="en-US" w:eastAsia="zh-CN"/>
                    </w:rPr>
                    <w:t>周边路网发达，项目施工期</w:t>
                  </w:r>
                  <w:r>
                    <w:rPr>
                      <w:rFonts w:hint="default" w:eastAsia="宋体"/>
                      <w:color w:val="auto"/>
                      <w:highlight w:val="none"/>
                      <w:lang w:val="en-US" w:eastAsia="zh-CN"/>
                    </w:rPr>
                    <w:t>主要依靠</w:t>
                  </w:r>
                  <w:r>
                    <w:rPr>
                      <w:rFonts w:hint="eastAsia"/>
                      <w:color w:val="auto"/>
                      <w:highlight w:val="none"/>
                      <w:lang w:val="en-US" w:eastAsia="zh-CN"/>
                    </w:rPr>
                    <w:t>茶马大道、泾河大道</w:t>
                  </w:r>
                  <w:r>
                    <w:rPr>
                      <w:rFonts w:hint="default" w:eastAsia="宋体"/>
                      <w:color w:val="auto"/>
                      <w:highlight w:val="none"/>
                      <w:lang w:val="en-US" w:eastAsia="zh-CN"/>
                    </w:rPr>
                    <w:t>等干道，不需</w:t>
                  </w:r>
                  <w:r>
                    <w:rPr>
                      <w:rFonts w:hint="eastAsia"/>
                      <w:color w:val="auto"/>
                      <w:highlight w:val="none"/>
                      <w:lang w:val="en-US" w:eastAsia="zh-CN"/>
                    </w:rPr>
                    <w:t>新建施工便道。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eastAsia="宋体"/>
                      <w:color w:val="auto"/>
                      <w:highlight w:val="none"/>
                      <w:lang w:val="en-US" w:eastAsia="zh-CN"/>
                    </w:rPr>
                  </w:pPr>
                  <w:r>
                    <w:rPr>
                      <w:rFonts w:hint="default" w:eastAsia="宋体"/>
                      <w:color w:val="auto"/>
                      <w:highlight w:val="none"/>
                      <w:lang w:val="en-US" w:eastAsia="zh-CN"/>
                    </w:rPr>
                    <w:t>取弃土场</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eastAsia" w:eastAsia="宋体"/>
                      <w:color w:val="auto"/>
                      <w:highlight w:val="none"/>
                      <w:lang w:eastAsia="zh-CN"/>
                    </w:rPr>
                  </w:pPr>
                  <w:r>
                    <w:rPr>
                      <w:rFonts w:hint="eastAsia"/>
                      <w:color w:val="auto"/>
                      <w:highlight w:val="none"/>
                    </w:rPr>
                    <w:t>本项目不设置取土场和弃土场。项目所需土石料全部依托周边现有合法商业料场；项目产生的挖方回用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1010" w:type="pct"/>
                  <w:gridSpan w:val="2"/>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eastAsia="宋体"/>
                      <w:color w:val="auto"/>
                      <w:highlight w:val="none"/>
                      <w:lang w:val="en-US" w:eastAsia="zh-CN"/>
                    </w:rPr>
                  </w:pPr>
                  <w:r>
                    <w:rPr>
                      <w:rFonts w:hint="eastAsia"/>
                      <w:color w:val="auto"/>
                      <w:highlight w:val="none"/>
                      <w:lang w:val="en-US" w:eastAsia="zh-CN"/>
                    </w:rPr>
                    <w:t>临时表土堆放场</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eastAsia"/>
                      <w:color w:val="auto"/>
                      <w:highlight w:val="none"/>
                    </w:rPr>
                  </w:pPr>
                  <w:r>
                    <w:rPr>
                      <w:rFonts w:hint="eastAsia"/>
                      <w:color w:val="auto"/>
                      <w:highlight w:val="none"/>
                    </w:rPr>
                    <w:t>本项目路基工程、施工场地剥离表土堆放于</w:t>
                  </w:r>
                  <w:r>
                    <w:rPr>
                      <w:rFonts w:hint="eastAsia"/>
                      <w:color w:val="auto"/>
                      <w:highlight w:val="none"/>
                      <w:lang w:val="en-US" w:eastAsia="zh-CN"/>
                    </w:rPr>
                    <w:t>红线</w:t>
                  </w:r>
                  <w:r>
                    <w:rPr>
                      <w:rFonts w:hint="eastAsia"/>
                      <w:color w:val="auto"/>
                      <w:highlight w:val="none"/>
                    </w:rPr>
                    <w:t>范围内，不</w:t>
                  </w:r>
                  <w:r>
                    <w:rPr>
                      <w:rFonts w:hint="eastAsia"/>
                      <w:color w:val="auto"/>
                      <w:highlight w:val="none"/>
                      <w:lang w:val="en-US" w:eastAsia="zh-CN"/>
                    </w:rPr>
                    <w:t>额外占用临时用地</w:t>
                  </w: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none"/>
                    </w:rPr>
                  </w:pPr>
                  <w:r>
                    <w:rPr>
                      <w:rFonts w:hint="eastAsia"/>
                      <w:color w:val="auto"/>
                      <w:highlight w:val="none"/>
                    </w:rPr>
                    <w:t>环保工程</w:t>
                  </w:r>
                </w:p>
              </w:tc>
              <w:tc>
                <w:tcPr>
                  <w:tcW w:w="463"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default" w:eastAsia="宋体"/>
                      <w:color w:val="auto"/>
                      <w:highlight w:val="none"/>
                      <w:lang w:val="en-US" w:eastAsia="zh-CN"/>
                    </w:rPr>
                  </w:pPr>
                  <w:r>
                    <w:rPr>
                      <w:rFonts w:hint="eastAsia"/>
                      <w:color w:val="auto"/>
                      <w:highlight w:val="none"/>
                      <w:lang w:val="en-US" w:eastAsia="zh-CN"/>
                    </w:rPr>
                    <w:t>施工期</w:t>
                  </w: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highlight w:val="none"/>
                    </w:rPr>
                  </w:pPr>
                  <w:r>
                    <w:rPr>
                      <w:rFonts w:hint="eastAsia"/>
                      <w:color w:val="auto"/>
                      <w:highlight w:val="none"/>
                    </w:rPr>
                    <w:t>废气</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color w:val="auto"/>
                      <w:highlight w:val="none"/>
                    </w:rPr>
                  </w:pPr>
                  <w:r>
                    <w:rPr>
                      <w:rFonts w:hint="eastAsia"/>
                      <w:color w:val="auto"/>
                      <w:highlight w:val="none"/>
                    </w:rPr>
                    <w:t>对施工现场实施围栏封闭，定期洒水；场地实施硬化，出入口设置洗车台定期清洗进出车辆；运输车辆遮盖篷布及作业面适当洒水抑尘、易产尘物料密网覆盖；选用符合国家标准的施工机械设备和运输车辆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highlight w:val="none"/>
                    </w:rPr>
                  </w:pPr>
                  <w:r>
                    <w:rPr>
                      <w:rFonts w:hint="eastAsia"/>
                      <w:color w:val="auto"/>
                      <w:highlight w:val="none"/>
                    </w:rPr>
                    <w:t>废水</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rFonts w:hint="default" w:eastAsia="宋体"/>
                      <w:color w:val="auto"/>
                      <w:highlight w:val="none"/>
                      <w:lang w:val="en-US" w:eastAsia="zh-CN"/>
                    </w:rPr>
                  </w:pPr>
                  <w:r>
                    <w:rPr>
                      <w:rFonts w:hint="eastAsia"/>
                      <w:color w:val="auto"/>
                      <w:highlight w:val="none"/>
                      <w:lang w:val="en-US" w:eastAsia="zh-CN"/>
                    </w:rPr>
                    <w:t>车辆冲洗废水设置60</w:t>
                  </w:r>
                  <w:r>
                    <w:rPr>
                      <w:rFonts w:hint="eastAsia"/>
                      <w:color w:val="auto"/>
                      <w:highlight w:val="none"/>
                    </w:rPr>
                    <w:t>m</w:t>
                  </w:r>
                  <w:r>
                    <w:rPr>
                      <w:rFonts w:hint="eastAsia"/>
                      <w:color w:val="auto"/>
                      <w:highlight w:val="none"/>
                      <w:vertAlign w:val="superscript"/>
                    </w:rPr>
                    <w:t>3</w:t>
                  </w:r>
                  <w:r>
                    <w:rPr>
                      <w:rFonts w:hint="eastAsia"/>
                      <w:color w:val="auto"/>
                      <w:highlight w:val="none"/>
                      <w:vertAlign w:val="baseline"/>
                      <w:lang w:val="en-US" w:eastAsia="zh-CN"/>
                    </w:rPr>
                    <w:t>三级</w:t>
                  </w:r>
                  <w:r>
                    <w:rPr>
                      <w:rFonts w:hint="eastAsia"/>
                      <w:color w:val="auto"/>
                      <w:highlight w:val="none"/>
                    </w:rPr>
                    <w:t>沉淀池</w:t>
                  </w:r>
                  <w:r>
                    <w:rPr>
                      <w:rFonts w:hint="eastAsia"/>
                      <w:color w:val="auto"/>
                      <w:highlight w:val="none"/>
                      <w:lang w:eastAsia="zh-CN"/>
                    </w:rPr>
                    <w:t>，</w:t>
                  </w:r>
                  <w:r>
                    <w:rPr>
                      <w:rFonts w:hint="eastAsia"/>
                      <w:color w:val="auto"/>
                      <w:highlight w:val="none"/>
                    </w:rPr>
                    <w:t>沉淀后回用于洒水降尘</w:t>
                  </w:r>
                  <w:r>
                    <w:rPr>
                      <w:rFonts w:hint="eastAsia"/>
                      <w:color w:val="auto"/>
                      <w:highlight w:val="none"/>
                      <w:lang w:eastAsia="zh-CN"/>
                    </w:rPr>
                    <w:t>；</w:t>
                  </w:r>
                  <w:r>
                    <w:rPr>
                      <w:rFonts w:hint="eastAsia"/>
                      <w:color w:val="auto"/>
                      <w:highlight w:val="none"/>
                      <w:lang w:val="en-US" w:eastAsia="zh-CN"/>
                    </w:rPr>
                    <w:t>施工人员生活污水依托附近公共设施收集处置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highlight w:val="none"/>
                    </w:rPr>
                  </w:pPr>
                  <w:r>
                    <w:rPr>
                      <w:rFonts w:hint="eastAsia"/>
                      <w:color w:val="auto"/>
                      <w:highlight w:val="none"/>
                    </w:rPr>
                    <w:t>噪声</w:t>
                  </w:r>
                </w:p>
              </w:tc>
              <w:tc>
                <w:tcPr>
                  <w:tcW w:w="3690"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420" w:firstLineChars="200"/>
                    <w:jc w:val="left"/>
                    <w:textAlignment w:val="auto"/>
                    <w:rPr>
                      <w:color w:val="auto"/>
                      <w:highlight w:val="none"/>
                    </w:rPr>
                  </w:pPr>
                  <w:r>
                    <w:rPr>
                      <w:rFonts w:hint="eastAsia"/>
                      <w:color w:val="auto"/>
                      <w:highlight w:val="none"/>
                    </w:rPr>
                    <w:t>加强施工现场管理，合理安排施工时间；施工场地周围设置临时围挡</w:t>
                  </w:r>
                  <w:r>
                    <w:rPr>
                      <w:rFonts w:hint="eastAsia"/>
                      <w:color w:val="auto"/>
                      <w:highlight w:val="none"/>
                      <w:lang w:eastAsia="zh-CN"/>
                    </w:rPr>
                    <w:t>，</w:t>
                  </w:r>
                  <w:r>
                    <w:rPr>
                      <w:rFonts w:hint="eastAsia"/>
                      <w:color w:val="auto"/>
                      <w:highlight w:val="none"/>
                    </w:rPr>
                    <w:t>选用低噪声设备，并加强机械设备的维护保养；</w:t>
                  </w:r>
                  <w:r>
                    <w:rPr>
                      <w:rFonts w:hint="eastAsia"/>
                      <w:color w:val="auto"/>
                      <w:highlight w:val="none"/>
                      <w:lang w:eastAsia="zh-CN"/>
                    </w:rPr>
                    <w:t>最大限度地减少</w:t>
                  </w:r>
                  <w:r>
                    <w:rPr>
                      <w:rFonts w:hint="eastAsia"/>
                      <w:color w:val="auto"/>
                      <w:highlight w:val="none"/>
                    </w:rPr>
                    <w:t>施工期噪声对环境的影响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color w:val="auto"/>
                      <w:highlight w:val="none"/>
                    </w:rPr>
                  </w:pPr>
                  <w:r>
                    <w:rPr>
                      <w:rFonts w:hint="eastAsia"/>
                      <w:color w:val="auto"/>
                      <w:highlight w:val="none"/>
                    </w:rPr>
                    <w:t>固废</w:t>
                  </w:r>
                </w:p>
              </w:tc>
              <w:tc>
                <w:tcPr>
                  <w:tcW w:w="3690" w:type="pct"/>
                  <w:tcBorders>
                    <w:tl2br w:val="nil"/>
                    <w:tr2bl w:val="nil"/>
                  </w:tcBorders>
                  <w:shd w:val="clear" w:color="auto" w:fill="auto"/>
                  <w:vAlign w:val="center"/>
                </w:tcPr>
                <w:p>
                  <w:pPr>
                    <w:pStyle w:val="62"/>
                    <w:keepNext w:val="0"/>
                    <w:keepLines w:val="0"/>
                    <w:pageBreakBefore w:val="0"/>
                    <w:widowControl w:val="0"/>
                    <w:kinsoku/>
                    <w:wordWrap w:val="0"/>
                    <w:overflowPunct/>
                    <w:topLinePunct w:val="0"/>
                    <w:autoSpaceDE/>
                    <w:autoSpaceDN/>
                    <w:bidi w:val="0"/>
                    <w:adjustRightInd w:val="0"/>
                    <w:snapToGrid w:val="0"/>
                    <w:spacing w:line="340" w:lineRule="atLeast"/>
                    <w:ind w:firstLine="420" w:firstLineChars="200"/>
                    <w:jc w:val="left"/>
                    <w:textAlignment w:val="auto"/>
                    <w:rPr>
                      <w:rFonts w:hint="default"/>
                      <w:color w:val="auto"/>
                      <w:highlight w:val="none"/>
                      <w:lang w:val="en-US"/>
                    </w:rPr>
                  </w:pPr>
                  <w:r>
                    <w:rPr>
                      <w:rFonts w:hint="default"/>
                      <w:color w:val="auto"/>
                      <w:highlight w:val="none"/>
                      <w:lang w:val="en-US"/>
                    </w:rPr>
                    <w:t>建筑垃圾运至</w:t>
                  </w:r>
                  <w:r>
                    <w:rPr>
                      <w:rFonts w:hint="eastAsia"/>
                      <w:color w:val="auto"/>
                      <w:highlight w:val="none"/>
                      <w:lang w:val="en-US" w:eastAsia="zh-CN"/>
                    </w:rPr>
                    <w:t>行政主管部门指定场所</w:t>
                  </w:r>
                  <w:r>
                    <w:rPr>
                      <w:rFonts w:hint="default"/>
                      <w:color w:val="auto"/>
                      <w:highlight w:val="none"/>
                      <w:lang w:val="en-US"/>
                    </w:rPr>
                    <w:t>；</w:t>
                  </w:r>
                  <w:r>
                    <w:rPr>
                      <w:rFonts w:hint="eastAsia"/>
                      <w:color w:val="auto"/>
                      <w:highlight w:val="none"/>
                      <w:lang w:val="en-US" w:eastAsia="zh-CN"/>
                    </w:rPr>
                    <w:t>项目挖方全部回填</w:t>
                  </w:r>
                  <w:r>
                    <w:rPr>
                      <w:rFonts w:hint="default"/>
                      <w:color w:val="auto"/>
                      <w:highlight w:val="none"/>
                      <w:lang w:val="en-US"/>
                    </w:rPr>
                    <w:t>；</w:t>
                  </w:r>
                  <w:r>
                    <w:rPr>
                      <w:rFonts w:hint="default"/>
                      <w:color w:val="auto"/>
                      <w:highlight w:val="none"/>
                      <w:lang w:val="en-US"/>
                    </w:rPr>
                    <w:t>生活垃圾集中收集，由环卫部门定期清运处置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546" w:type="pc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ind w:firstLine="0" w:firstLineChars="0"/>
                    <w:textAlignment w:val="auto"/>
                    <w:rPr>
                      <w:rFonts w:hint="eastAsia" w:eastAsia="宋体"/>
                      <w:color w:val="auto"/>
                      <w:highlight w:val="none"/>
                      <w:lang w:val="en-US" w:eastAsia="zh-CN"/>
                    </w:rPr>
                  </w:pPr>
                  <w:r>
                    <w:rPr>
                      <w:rFonts w:hint="eastAsia"/>
                      <w:color w:val="auto"/>
                      <w:highlight w:val="none"/>
                      <w:lang w:val="en-US" w:eastAsia="zh-CN"/>
                    </w:rPr>
                    <w:t>生态</w:t>
                  </w:r>
                </w:p>
              </w:tc>
              <w:tc>
                <w:tcPr>
                  <w:tcW w:w="3690" w:type="pct"/>
                  <w:tcBorders>
                    <w:tl2br w:val="nil"/>
                    <w:tr2bl w:val="nil"/>
                  </w:tcBorders>
                  <w:shd w:val="clear" w:color="auto" w:fill="auto"/>
                  <w:vAlign w:val="center"/>
                </w:tcPr>
                <w:p>
                  <w:pPr>
                    <w:pStyle w:val="62"/>
                    <w:keepNext w:val="0"/>
                    <w:keepLines w:val="0"/>
                    <w:pageBreakBefore w:val="0"/>
                    <w:widowControl w:val="0"/>
                    <w:kinsoku/>
                    <w:wordWrap w:val="0"/>
                    <w:overflowPunct/>
                    <w:topLinePunct w:val="0"/>
                    <w:autoSpaceDE/>
                    <w:autoSpaceDN/>
                    <w:bidi w:val="0"/>
                    <w:adjustRightInd w:val="0"/>
                    <w:snapToGrid w:val="0"/>
                    <w:spacing w:line="340" w:lineRule="atLeast"/>
                    <w:ind w:firstLine="420" w:firstLineChars="200"/>
                    <w:jc w:val="left"/>
                    <w:textAlignment w:val="auto"/>
                    <w:rPr>
                      <w:rFonts w:hint="default"/>
                      <w:color w:val="auto"/>
                      <w:highlight w:val="none"/>
                      <w:lang w:val="en-US"/>
                    </w:rPr>
                  </w:pPr>
                  <w:r>
                    <w:rPr>
                      <w:rFonts w:hint="default"/>
                      <w:color w:val="auto"/>
                      <w:highlight w:val="none"/>
                      <w:lang w:val="en-US"/>
                    </w:rPr>
                    <w:t>加强管理，严格按照划定的道路红线施工并采取防护措施；分段施工、及时回填，临时堆土表面及时采用密目网掩盖，防止水土流失；施工结束后做好施工占地的生态恢复，进行道路的绿化恢复工作，进行生态补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restart"/>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eastAsia="宋体"/>
                      <w:color w:val="auto"/>
                      <w:highlight w:val="none"/>
                      <w:lang w:val="en-US" w:eastAsia="zh-CN"/>
                    </w:rPr>
                  </w:pPr>
                  <w:r>
                    <w:rPr>
                      <w:rFonts w:hint="eastAsia"/>
                      <w:color w:val="auto"/>
                      <w:highlight w:val="none"/>
                      <w:lang w:val="en-US" w:eastAsia="zh-CN"/>
                    </w:rPr>
                    <w:t>运营期</w:t>
                  </w:r>
                </w:p>
              </w:tc>
              <w:tc>
                <w:tcPr>
                  <w:tcW w:w="546"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0" w:firstLineChars="0"/>
                    <w:textAlignment w:val="auto"/>
                    <w:rPr>
                      <w:rFonts w:hint="eastAsia" w:ascii="Times New Roman" w:hAnsi="Times New Roman" w:eastAsia="宋体" w:cs="Times New Roman"/>
                      <w:color w:val="auto"/>
                      <w:spacing w:val="6"/>
                      <w:sz w:val="21"/>
                      <w:szCs w:val="21"/>
                      <w:highlight w:val="none"/>
                      <w:lang w:val="en-US" w:eastAsia="zh-CN"/>
                    </w:rPr>
                  </w:pPr>
                  <w:r>
                    <w:rPr>
                      <w:rFonts w:hint="eastAsia" w:hAnsi="Times New Roman" w:cs="Times New Roman"/>
                      <w:color w:val="auto"/>
                      <w:spacing w:val="6"/>
                      <w:sz w:val="21"/>
                      <w:szCs w:val="21"/>
                      <w:highlight w:val="none"/>
                      <w:lang w:val="en-US" w:eastAsia="zh-CN"/>
                    </w:rPr>
                    <w:t>废气</w:t>
                  </w:r>
                </w:p>
              </w:tc>
              <w:tc>
                <w:tcPr>
                  <w:tcW w:w="3690"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道路两旁绿化、加强道路清扫、定期洒水等措施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eastAsia="宋体"/>
                      <w:color w:val="auto"/>
                      <w:highlight w:val="none"/>
                      <w:lang w:val="en-US" w:eastAsia="zh-CN"/>
                    </w:rPr>
                  </w:pPr>
                </w:p>
              </w:tc>
              <w:tc>
                <w:tcPr>
                  <w:tcW w:w="546"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0" w:firstLineChars="0"/>
                    <w:textAlignment w:val="auto"/>
                    <w:rPr>
                      <w:rFonts w:hint="eastAsia"/>
                      <w:color w:val="auto"/>
                      <w:highlight w:val="none"/>
                    </w:rPr>
                  </w:pPr>
                  <w:r>
                    <w:rPr>
                      <w:rFonts w:hint="eastAsia" w:hAnsi="Times New Roman" w:cs="Times New Roman"/>
                      <w:color w:val="auto"/>
                      <w:spacing w:val="6"/>
                      <w:sz w:val="21"/>
                      <w:szCs w:val="21"/>
                      <w:highlight w:val="none"/>
                      <w:lang w:val="en-US" w:eastAsia="zh-CN"/>
                    </w:rPr>
                    <w:t>废水</w:t>
                  </w:r>
                </w:p>
              </w:tc>
              <w:tc>
                <w:tcPr>
                  <w:tcW w:w="3690"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420" w:firstLineChars="200"/>
                    <w:jc w:val="both"/>
                    <w:textAlignment w:val="auto"/>
                    <w:rPr>
                      <w:rFonts w:hint="eastAsia"/>
                      <w:color w:val="auto"/>
                      <w:highlight w:val="none"/>
                    </w:rPr>
                  </w:pPr>
                  <w:r>
                    <w:rPr>
                      <w:rFonts w:hint="default" w:ascii="Times New Roman" w:hAnsi="Times New Roman" w:cs="Times New Roman"/>
                      <w:color w:val="auto"/>
                      <w:sz w:val="21"/>
                      <w:szCs w:val="21"/>
                      <w:highlight w:val="none"/>
                    </w:rPr>
                    <w:t>道路两侧设雨污水管网；加强管网维护，保证雨污水疏排顺畅，防止路面积水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rFonts w:hint="eastAsia"/>
                      <w:color w:val="auto"/>
                      <w:highlight w:val="none"/>
                      <w:lang w:val="en-US" w:eastAsia="zh-CN"/>
                    </w:rPr>
                  </w:pPr>
                </w:p>
              </w:tc>
              <w:tc>
                <w:tcPr>
                  <w:tcW w:w="546"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0" w:firstLineChars="0"/>
                    <w:textAlignment w:val="auto"/>
                    <w:rPr>
                      <w:rFonts w:hint="default" w:ascii="Times New Roman" w:hAnsi="Times New Roman" w:eastAsia="宋体" w:cs="Times New Roman"/>
                      <w:color w:val="auto"/>
                      <w:spacing w:val="6"/>
                      <w:sz w:val="21"/>
                      <w:szCs w:val="21"/>
                      <w:highlight w:val="none"/>
                      <w:lang w:val="en-US" w:eastAsia="zh-CN"/>
                    </w:rPr>
                  </w:pPr>
                  <w:r>
                    <w:rPr>
                      <w:rFonts w:hint="eastAsia" w:hAnsi="Times New Roman" w:cs="Times New Roman"/>
                      <w:color w:val="auto"/>
                      <w:spacing w:val="6"/>
                      <w:sz w:val="21"/>
                      <w:szCs w:val="21"/>
                      <w:highlight w:val="none"/>
                      <w:lang w:val="en-US" w:eastAsia="zh-CN"/>
                    </w:rPr>
                    <w:t>噪声</w:t>
                  </w:r>
                </w:p>
              </w:tc>
              <w:tc>
                <w:tcPr>
                  <w:tcW w:w="3690"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加强道路交通管理，加强道路养护，沿线设置限速、禁鸣等标志、减速带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yellow"/>
                    </w:rPr>
                  </w:pPr>
                </w:p>
              </w:tc>
              <w:tc>
                <w:tcPr>
                  <w:tcW w:w="463" w:type="pct"/>
                  <w:vMerge w:val="continue"/>
                  <w:tcBorders>
                    <w:tl2br w:val="nil"/>
                    <w:tr2bl w:val="nil"/>
                  </w:tcBorders>
                  <w:shd w:val="clear" w:color="auto" w:fill="auto"/>
                  <w:vAlign w:val="center"/>
                </w:tcPr>
                <w:p>
                  <w:pPr>
                    <w:pStyle w:val="62"/>
                    <w:keepNext w:val="0"/>
                    <w:keepLines w:val="0"/>
                    <w:pageBreakBefore w:val="0"/>
                    <w:widowControl w:val="0"/>
                    <w:kinsoku/>
                    <w:overflowPunct/>
                    <w:topLinePunct w:val="0"/>
                    <w:autoSpaceDE/>
                    <w:autoSpaceDN/>
                    <w:bidi w:val="0"/>
                    <w:spacing w:line="340" w:lineRule="atLeast"/>
                    <w:textAlignment w:val="auto"/>
                    <w:rPr>
                      <w:color w:val="auto"/>
                      <w:highlight w:val="none"/>
                    </w:rPr>
                  </w:pPr>
                </w:p>
              </w:tc>
              <w:tc>
                <w:tcPr>
                  <w:tcW w:w="546"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0" w:firstLineChars="0"/>
                    <w:textAlignment w:val="auto"/>
                    <w:rPr>
                      <w:rFonts w:hint="eastAsia"/>
                      <w:color w:val="auto"/>
                      <w:highlight w:val="none"/>
                    </w:rPr>
                  </w:pPr>
                  <w:r>
                    <w:rPr>
                      <w:rFonts w:hint="default" w:ascii="Times New Roman" w:hAnsi="Times New Roman" w:cs="Times New Roman"/>
                      <w:color w:val="auto"/>
                      <w:spacing w:val="6"/>
                      <w:sz w:val="21"/>
                      <w:szCs w:val="21"/>
                      <w:highlight w:val="none"/>
                    </w:rPr>
                    <w:t>固废</w:t>
                  </w:r>
                </w:p>
              </w:tc>
              <w:tc>
                <w:tcPr>
                  <w:tcW w:w="3690" w:type="pct"/>
                  <w:tcBorders>
                    <w:tl2br w:val="nil"/>
                    <w:tr2bl w:val="nil"/>
                  </w:tcBorders>
                  <w:shd w:val="clear" w:color="auto" w:fill="auto"/>
                  <w:vAlign w:val="center"/>
                </w:tcPr>
                <w:p>
                  <w:pPr>
                    <w:pStyle w:val="69"/>
                    <w:keepNext w:val="0"/>
                    <w:keepLines w:val="0"/>
                    <w:pageBreakBefore w:val="0"/>
                    <w:widowControl w:val="0"/>
                    <w:kinsoku/>
                    <w:overflowPunct/>
                    <w:topLinePunct w:val="0"/>
                    <w:autoSpaceDE/>
                    <w:autoSpaceDN/>
                    <w:bidi w:val="0"/>
                    <w:snapToGrid/>
                    <w:spacing w:line="340" w:lineRule="atLeast"/>
                    <w:ind w:firstLine="444" w:firstLineChars="200"/>
                    <w:jc w:val="both"/>
                    <w:textAlignment w:val="auto"/>
                    <w:rPr>
                      <w:rFonts w:hint="eastAsia"/>
                      <w:color w:val="auto"/>
                      <w:highlight w:val="none"/>
                    </w:rPr>
                  </w:pPr>
                  <w:r>
                    <w:rPr>
                      <w:rFonts w:hint="default" w:ascii="Times New Roman" w:hAnsi="Times New Roman" w:cs="Times New Roman"/>
                      <w:color w:val="auto"/>
                      <w:spacing w:val="6"/>
                      <w:sz w:val="21"/>
                      <w:szCs w:val="21"/>
                      <w:highlight w:val="none"/>
                    </w:rPr>
                    <w:t>加强文明宣传，加强管理，全线养护，道路沿线设置生活垃圾收集设施</w:t>
                  </w:r>
                  <w:r>
                    <w:rPr>
                      <w:rFonts w:hint="eastAsia" w:hAnsi="Times New Roman" w:cs="Times New Roman"/>
                      <w:color w:val="auto"/>
                      <w:spacing w:val="6"/>
                      <w:sz w:val="21"/>
                      <w:szCs w:val="21"/>
                      <w:highlight w:val="none"/>
                      <w:lang w:eastAsia="zh-CN"/>
                    </w:rPr>
                    <w:t>，</w:t>
                  </w:r>
                  <w:r>
                    <w:rPr>
                      <w:rFonts w:hint="default" w:ascii="Times New Roman" w:hAnsi="Times New Roman" w:cs="Times New Roman"/>
                      <w:color w:val="auto"/>
                      <w:spacing w:val="6"/>
                      <w:sz w:val="21"/>
                      <w:szCs w:val="21"/>
                      <w:highlight w:val="none"/>
                    </w:rPr>
                    <w:t>道路遗撒物定期清扫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99"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340" w:lineRule="atLeast"/>
                    <w:jc w:val="center"/>
                    <w:textAlignment w:val="auto"/>
                    <w:rPr>
                      <w:rFonts w:hint="default" w:ascii="Times New Roman" w:hAnsi="Times New Roman" w:cs="Times New Roman"/>
                      <w:color w:val="auto"/>
                      <w:spacing w:val="6"/>
                      <w:sz w:val="21"/>
                      <w:szCs w:val="21"/>
                    </w:rPr>
                  </w:pPr>
                </w:p>
              </w:tc>
              <w:tc>
                <w:tcPr>
                  <w:tcW w:w="46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340" w:lineRule="atLeast"/>
                    <w:jc w:val="center"/>
                    <w:textAlignment w:val="auto"/>
                    <w:rPr>
                      <w:rFonts w:hint="default" w:ascii="Times New Roman" w:hAnsi="Times New Roman" w:cs="Times New Roman"/>
                      <w:color w:val="auto"/>
                      <w:sz w:val="21"/>
                      <w:szCs w:val="21"/>
                      <w:highlight w:val="none"/>
                      <w:vertAlign w:val="baseline"/>
                      <w:lang w:val="en-US" w:eastAsia="zh-CN"/>
                    </w:rPr>
                  </w:pPr>
                </w:p>
              </w:tc>
              <w:tc>
                <w:tcPr>
                  <w:tcW w:w="54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340" w:lineRule="atLeas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w:t>
                  </w:r>
                </w:p>
              </w:tc>
              <w:tc>
                <w:tcPr>
                  <w:tcW w:w="3690"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340" w:lineRule="atLeast"/>
                    <w:ind w:firstLine="420" w:firstLineChars="200"/>
                    <w:jc w:val="both"/>
                    <w:textAlignment w:val="auto"/>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z w:val="21"/>
                      <w:szCs w:val="21"/>
                      <w:highlight w:val="none"/>
                      <w:vertAlign w:val="baseline"/>
                      <w:lang w:val="en-US" w:eastAsia="zh-CN"/>
                    </w:rPr>
                    <w:t>按道路绿化设计的要求，完成拟建道路两侧设计的</w:t>
                  </w:r>
                  <w:r>
                    <w:rPr>
                      <w:rFonts w:hint="eastAsia" w:cs="Times New Roman"/>
                      <w:color w:val="auto"/>
                      <w:sz w:val="21"/>
                      <w:szCs w:val="21"/>
                      <w:highlight w:val="none"/>
                      <w:vertAlign w:val="baseline"/>
                      <w:lang w:val="en-US" w:eastAsia="zh-CN"/>
                    </w:rPr>
                    <w:t>植树</w:t>
                  </w:r>
                  <w:r>
                    <w:rPr>
                      <w:rFonts w:hint="default" w:ascii="Times New Roman" w:hAnsi="Times New Roman" w:cs="Times New Roman"/>
                      <w:color w:val="auto"/>
                      <w:sz w:val="21"/>
                      <w:szCs w:val="21"/>
                      <w:highlight w:val="none"/>
                      <w:vertAlign w:val="baseline"/>
                      <w:lang w:val="en-US" w:eastAsia="zh-CN"/>
                    </w:rPr>
                    <w:t>工作；加强管理，注意沿线绿化的日常维护（包括浇水、修剪等），对道路沿线进行景观提升</w:t>
                  </w:r>
                </w:p>
              </w:tc>
            </w:tr>
          </w:tbl>
          <w:p>
            <w:pPr>
              <w:pStyle w:val="59"/>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firstLine="482" w:firstLineChars="200"/>
              <w:textAlignment w:val="auto"/>
              <w:rPr>
                <w:rFonts w:hint="default"/>
                <w:b/>
                <w:bCs/>
                <w:color w:val="auto"/>
                <w:lang w:val="en-US" w:eastAsia="zh-CN"/>
              </w:rPr>
            </w:pPr>
            <w:r>
              <w:rPr>
                <w:rFonts w:hint="eastAsia"/>
                <w:b/>
                <w:bCs/>
                <w:color w:val="auto"/>
                <w:lang w:val="en-US" w:eastAsia="zh-CN"/>
              </w:rPr>
              <w:t>3、主要经济技术指标</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b w:val="0"/>
                <w:bCs w:val="0"/>
                <w:color w:val="auto"/>
              </w:rPr>
            </w:pPr>
            <w:r>
              <w:rPr>
                <w:rFonts w:hint="eastAsia"/>
                <w:b w:val="0"/>
                <w:bCs w:val="0"/>
                <w:color w:val="auto"/>
                <w:lang w:eastAsia="zh-CN"/>
              </w:rPr>
              <w:t>（</w:t>
            </w:r>
            <w:r>
              <w:rPr>
                <w:rFonts w:hint="eastAsia"/>
                <w:b w:val="0"/>
                <w:bCs w:val="0"/>
                <w:color w:val="auto"/>
                <w:lang w:val="en-US" w:eastAsia="zh-CN"/>
              </w:rPr>
              <w:t>1</w:t>
            </w:r>
            <w:r>
              <w:rPr>
                <w:rFonts w:hint="eastAsia"/>
                <w:b w:val="0"/>
                <w:bCs w:val="0"/>
                <w:color w:val="auto"/>
                <w:lang w:eastAsia="zh-CN"/>
              </w:rPr>
              <w:t>）</w:t>
            </w:r>
            <w:r>
              <w:rPr>
                <w:rFonts w:hint="eastAsia"/>
                <w:b w:val="0"/>
                <w:bCs w:val="0"/>
                <w:color w:val="auto"/>
              </w:rPr>
              <w:t>项目技术指标</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b w:val="0"/>
                <w:bCs w:val="0"/>
                <w:color w:val="auto"/>
                <w:sz w:val="24"/>
                <w:szCs w:val="24"/>
              </w:rPr>
            </w:pPr>
            <w:r>
              <w:rPr>
                <w:rFonts w:hint="default" w:ascii="Times New Roman" w:hAnsi="Times New Roman" w:eastAsia="宋体" w:cs="Times New Roman"/>
                <w:color w:val="auto"/>
                <w:kern w:val="2"/>
                <w:sz w:val="24"/>
                <w:szCs w:val="24"/>
                <w:lang w:val="en-US" w:eastAsia="zh-CN" w:bidi="ar-SA"/>
              </w:rPr>
              <w:t>本次评价道路全长约</w:t>
            </w:r>
            <w:r>
              <w:rPr>
                <w:rFonts w:hint="eastAsia" w:cs="Times New Roman"/>
                <w:color w:val="auto"/>
                <w:kern w:val="2"/>
                <w:sz w:val="24"/>
                <w:szCs w:val="24"/>
                <w:lang w:val="en-US" w:eastAsia="zh-CN" w:bidi="ar-SA"/>
              </w:rPr>
              <w:t>3029.7</w:t>
            </w:r>
            <w:r>
              <w:rPr>
                <w:rFonts w:hint="default"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全段为城市主干路</w:t>
            </w:r>
            <w:r>
              <w:rPr>
                <w:rFonts w:hint="default" w:ascii="Times New Roman" w:hAnsi="Times New Roman" w:eastAsia="宋体" w:cs="Times New Roman"/>
                <w:color w:val="auto"/>
                <w:sz w:val="24"/>
                <w:szCs w:val="24"/>
                <w:lang w:val="en-US" w:eastAsia="zh-CN"/>
              </w:rPr>
              <w:t>，主要技术标准如表</w:t>
            </w:r>
            <w:r>
              <w:rPr>
                <w:rFonts w:hint="eastAsia"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p>
          <w:p>
            <w:pPr>
              <w:pStyle w:val="47"/>
              <w:rPr>
                <w:color w:val="auto"/>
                <w:sz w:val="21"/>
                <w:szCs w:val="21"/>
              </w:rPr>
            </w:pPr>
            <w:r>
              <w:rPr>
                <w:rFonts w:hint="eastAsia"/>
                <w:color w:val="auto"/>
                <w:sz w:val="21"/>
                <w:szCs w:val="21"/>
              </w:rPr>
              <w:t>表</w:t>
            </w:r>
            <w:r>
              <w:rPr>
                <w:rFonts w:hint="eastAsia"/>
                <w:color w:val="auto"/>
                <w:sz w:val="21"/>
                <w:szCs w:val="21"/>
                <w:lang w:val="en-US" w:eastAsia="zh-CN"/>
              </w:rPr>
              <w:t>2-2</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color w:val="auto"/>
                <w:sz w:val="21"/>
                <w:szCs w:val="21"/>
                <w:lang w:val="en-US" w:eastAsia="zh-CN"/>
              </w:rPr>
              <w:t>城市主干路</w:t>
            </w:r>
            <w:r>
              <w:rPr>
                <w:rFonts w:hint="eastAsia"/>
                <w:color w:val="auto"/>
                <w:sz w:val="21"/>
                <w:szCs w:val="21"/>
              </w:rPr>
              <w:t>技术指标</w:t>
            </w:r>
          </w:p>
          <w:tbl>
            <w:tblPr>
              <w:tblStyle w:val="27"/>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51"/>
              <w:gridCol w:w="2021"/>
              <w:gridCol w:w="1430"/>
              <w:gridCol w:w="400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auto" w:sz="12" w:space="0"/>
                    <w:left w:val="nil"/>
                    <w:bottom w:val="single" w:color="000000" w:sz="4" w:space="0"/>
                    <w:right w:val="single" w:color="000000" w:sz="4" w:space="0"/>
                  </w:tcBorders>
                  <w:vAlign w:val="center"/>
                </w:tcPr>
                <w:p>
                  <w:pPr>
                    <w:pStyle w:val="62"/>
                    <w:rPr>
                      <w:b/>
                      <w:bCs/>
                      <w:color w:val="auto"/>
                    </w:rPr>
                  </w:pPr>
                  <w:r>
                    <w:rPr>
                      <w:rFonts w:hint="eastAsia"/>
                      <w:b/>
                      <w:bCs/>
                      <w:color w:val="auto"/>
                    </w:rPr>
                    <w:t>序号</w:t>
                  </w:r>
                </w:p>
              </w:tc>
              <w:tc>
                <w:tcPr>
                  <w:tcW w:w="1216" w:type="pct"/>
                  <w:tcBorders>
                    <w:top w:val="single" w:color="auto" w:sz="12" w:space="0"/>
                    <w:left w:val="single" w:color="000000" w:sz="4" w:space="0"/>
                    <w:bottom w:val="single" w:color="000000" w:sz="4" w:space="0"/>
                    <w:right w:val="single" w:color="000000" w:sz="4" w:space="0"/>
                  </w:tcBorders>
                  <w:vAlign w:val="center"/>
                </w:tcPr>
                <w:p>
                  <w:pPr>
                    <w:pStyle w:val="62"/>
                    <w:rPr>
                      <w:rFonts w:hint="default" w:eastAsia="宋体"/>
                      <w:b/>
                      <w:bCs/>
                      <w:color w:val="auto"/>
                      <w:lang w:val="en-US" w:eastAsia="zh-CN"/>
                    </w:rPr>
                  </w:pPr>
                  <w:r>
                    <w:rPr>
                      <w:rFonts w:hint="eastAsia"/>
                      <w:b/>
                      <w:bCs/>
                      <w:color w:val="auto"/>
                      <w:lang w:val="en-US" w:eastAsia="zh-CN"/>
                    </w:rPr>
                    <w:t>项目名称</w:t>
                  </w:r>
                </w:p>
              </w:tc>
              <w:tc>
                <w:tcPr>
                  <w:tcW w:w="860" w:type="pct"/>
                  <w:tcBorders>
                    <w:top w:val="single" w:color="auto" w:sz="12" w:space="0"/>
                    <w:left w:val="single" w:color="000000" w:sz="4" w:space="0"/>
                    <w:bottom w:val="single" w:color="000000" w:sz="4" w:space="0"/>
                    <w:right w:val="single" w:color="000000" w:sz="4" w:space="0"/>
                  </w:tcBorders>
                  <w:vAlign w:val="center"/>
                </w:tcPr>
                <w:p>
                  <w:pPr>
                    <w:pStyle w:val="62"/>
                    <w:rPr>
                      <w:b/>
                      <w:bCs/>
                      <w:color w:val="auto"/>
                    </w:rPr>
                  </w:pPr>
                  <w:r>
                    <w:rPr>
                      <w:rFonts w:hint="eastAsia"/>
                      <w:b/>
                      <w:bCs/>
                      <w:color w:val="auto"/>
                    </w:rPr>
                    <w:t>单位</w:t>
                  </w:r>
                </w:p>
              </w:tc>
              <w:tc>
                <w:tcPr>
                  <w:tcW w:w="2411" w:type="pct"/>
                  <w:tcBorders>
                    <w:top w:val="single" w:color="auto" w:sz="12" w:space="0"/>
                    <w:left w:val="single" w:color="000000" w:sz="4" w:space="0"/>
                    <w:bottom w:val="single" w:color="000000" w:sz="4" w:space="0"/>
                    <w:right w:val="nil"/>
                  </w:tcBorders>
                  <w:vAlign w:val="center"/>
                </w:tcPr>
                <w:p>
                  <w:pPr>
                    <w:pStyle w:val="62"/>
                    <w:rPr>
                      <w:rFonts w:hint="default" w:eastAsia="宋体"/>
                      <w:b/>
                      <w:bCs/>
                      <w:color w:val="auto"/>
                      <w:lang w:val="en-US" w:eastAsia="zh-CN"/>
                    </w:rPr>
                  </w:pPr>
                  <w:r>
                    <w:rPr>
                      <w:rFonts w:hint="eastAsia"/>
                      <w:b/>
                      <w:bCs/>
                      <w:color w:val="auto"/>
                      <w:lang w:val="en-US" w:eastAsia="zh-CN"/>
                    </w:rPr>
                    <w:t>技术指标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color w:val="auto"/>
                    </w:rPr>
                  </w:pPr>
                  <w:r>
                    <w:rPr>
                      <w:rFonts w:hint="eastAsia"/>
                      <w:color w:val="auto"/>
                    </w:rPr>
                    <w:t>1</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color w:val="auto"/>
                    </w:rPr>
                  </w:pPr>
                  <w:r>
                    <w:rPr>
                      <w:rFonts w:hint="eastAsia"/>
                      <w:color w:val="auto"/>
                      <w:lang w:val="en-US" w:eastAsia="zh-CN"/>
                    </w:rPr>
                    <w:t>道路</w:t>
                  </w:r>
                  <w:r>
                    <w:rPr>
                      <w:rFonts w:hint="eastAsia"/>
                      <w:color w:val="auto"/>
                    </w:rPr>
                    <w:t>等级</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eastAsia="宋体"/>
                      <w:color w:val="auto"/>
                      <w:lang w:val="en-US" w:eastAsia="zh-CN"/>
                    </w:rPr>
                  </w:pPr>
                  <w:r>
                    <w:rPr>
                      <w:rFonts w:hint="eastAsia"/>
                      <w:color w:val="auto"/>
                      <w:lang w:val="en-US" w:eastAsia="zh-CN"/>
                    </w:rPr>
                    <w:t>主干路</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eastAsia" w:eastAsia="宋体"/>
                      <w:color w:val="auto"/>
                      <w:lang w:eastAsia="zh-CN"/>
                    </w:rPr>
                  </w:pPr>
                  <w:r>
                    <w:rPr>
                      <w:rFonts w:hint="eastAsia"/>
                      <w:color w:val="auto"/>
                      <w:lang w:val="en-US" w:eastAsia="zh-CN"/>
                    </w:rPr>
                    <w:t>2</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eastAsia="宋体"/>
                      <w:color w:val="auto"/>
                      <w:lang w:eastAsia="zh-CN"/>
                    </w:rPr>
                  </w:pPr>
                  <w:r>
                    <w:rPr>
                      <w:rFonts w:hint="eastAsia"/>
                      <w:color w:val="auto"/>
                    </w:rPr>
                    <w:t>设计</w:t>
                  </w:r>
                  <w:r>
                    <w:rPr>
                      <w:rFonts w:hint="eastAsia"/>
                      <w:color w:val="auto"/>
                      <w:lang w:val="en-US" w:eastAsia="zh-CN"/>
                    </w:rPr>
                    <w:t>速度</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公里/小时</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eastAsia="宋体"/>
                      <w:color w:val="auto"/>
                      <w:lang w:val="en-US" w:eastAsia="zh-CN"/>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eastAsia" w:eastAsia="宋体"/>
                      <w:color w:val="auto"/>
                      <w:lang w:eastAsia="zh-CN"/>
                    </w:rPr>
                  </w:pPr>
                  <w:r>
                    <w:rPr>
                      <w:rFonts w:hint="eastAsia"/>
                      <w:color w:val="auto"/>
                      <w:lang w:val="en-US" w:eastAsia="zh-CN"/>
                    </w:rPr>
                    <w:t>3</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红线宽度</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米</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eastAsia="宋体"/>
                      <w:color w:val="auto"/>
                      <w:lang w:val="en-US" w:eastAsia="zh-CN"/>
                    </w:rPr>
                  </w:pPr>
                  <w:r>
                    <w:rPr>
                      <w:rFonts w:hint="eastAsia"/>
                      <w:color w:val="auto"/>
                      <w:lang w:val="en-US" w:eastAsia="zh-CN"/>
                    </w:rPr>
                    <w:t>60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4</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路面类型</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w:t>
                  </w:r>
                </w:p>
              </w:tc>
              <w:tc>
                <w:tcPr>
                  <w:tcW w:w="2411" w:type="pct"/>
                  <w:tcBorders>
                    <w:top w:val="single" w:color="000000" w:sz="4" w:space="0"/>
                    <w:left w:val="single" w:color="000000" w:sz="4" w:space="0"/>
                    <w:bottom w:val="single" w:color="000000" w:sz="4" w:space="0"/>
                    <w:right w:val="nil"/>
                  </w:tcBorders>
                  <w:vAlign w:val="center"/>
                </w:tcPr>
                <w:p>
                  <w:pPr>
                    <w:pStyle w:val="62"/>
                    <w:rPr>
                      <w:rFonts w:hint="eastAsia"/>
                      <w:color w:val="auto"/>
                      <w:lang w:val="en-US" w:eastAsia="zh-CN"/>
                    </w:rPr>
                  </w:pPr>
                  <w:r>
                    <w:rPr>
                      <w:rFonts w:hint="eastAsia"/>
                      <w:color w:val="auto"/>
                      <w:lang w:val="en-US" w:eastAsia="zh-CN"/>
                    </w:rPr>
                    <w:t>沥青混凝土</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5</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路面结构使用年限</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年</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color w:val="auto"/>
                      <w:lang w:val="en-US" w:eastAsia="zh-CN"/>
                    </w:rPr>
                  </w:pPr>
                  <w:r>
                    <w:rPr>
                      <w:rFonts w:hint="eastAsia"/>
                      <w:color w:val="auto"/>
                      <w:lang w:val="en-US" w:eastAsia="zh-CN"/>
                    </w:rPr>
                    <w:t>15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6</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荷载标准</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w:t>
                  </w:r>
                </w:p>
              </w:tc>
              <w:tc>
                <w:tcPr>
                  <w:tcW w:w="2411" w:type="pct"/>
                  <w:tcBorders>
                    <w:top w:val="single" w:color="000000" w:sz="4" w:space="0"/>
                    <w:left w:val="single" w:color="000000" w:sz="4" w:space="0"/>
                    <w:bottom w:val="single" w:color="000000" w:sz="4" w:space="0"/>
                    <w:right w:val="nil"/>
                  </w:tcBorders>
                  <w:vAlign w:val="center"/>
                </w:tcPr>
                <w:p>
                  <w:pPr>
                    <w:pStyle w:val="62"/>
                    <w:rPr>
                      <w:rFonts w:hint="eastAsia"/>
                      <w:color w:val="auto"/>
                      <w:lang w:val="en-US" w:eastAsia="zh-CN"/>
                    </w:rPr>
                  </w:pPr>
                  <w:r>
                    <w:rPr>
                      <w:rFonts w:hint="eastAsia"/>
                      <w:color w:val="auto"/>
                      <w:lang w:val="en-US" w:eastAsia="zh-CN"/>
                    </w:rPr>
                    <w:t>BZZ－100 KN</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7</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平曲线最小平半径</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米</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color w:val="auto"/>
                      <w:lang w:val="en-US" w:eastAsia="zh-CN"/>
                    </w:rPr>
                  </w:pPr>
                  <w:r>
                    <w:rPr>
                      <w:rFonts w:hint="eastAsia"/>
                      <w:color w:val="auto"/>
                      <w:lang w:val="en-US" w:eastAsia="zh-CN"/>
                    </w:rPr>
                    <w:t>300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8</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竖曲线最小半径</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米</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color w:val="auto"/>
                      <w:lang w:val="en-US" w:eastAsia="zh-CN"/>
                    </w:rPr>
                  </w:pPr>
                  <w:r>
                    <w:rPr>
                      <w:rFonts w:hint="eastAsia"/>
                      <w:color w:val="auto"/>
                      <w:lang w:val="en-US" w:eastAsia="zh-CN"/>
                    </w:rPr>
                    <w:t>8200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restart"/>
                  <w:tcBorders>
                    <w:top w:val="single" w:color="000000" w:sz="4" w:space="0"/>
                    <w:left w:val="nil"/>
                    <w:right w:val="single" w:color="000000" w:sz="4" w:space="0"/>
                  </w:tcBorders>
                  <w:vAlign w:val="center"/>
                </w:tcPr>
                <w:p>
                  <w:pPr>
                    <w:pStyle w:val="62"/>
                    <w:rPr>
                      <w:rFonts w:hint="default"/>
                      <w:color w:val="auto"/>
                      <w:lang w:val="en-US" w:eastAsia="zh-CN"/>
                    </w:rPr>
                  </w:pPr>
                  <w:r>
                    <w:rPr>
                      <w:rFonts w:hint="eastAsia"/>
                      <w:color w:val="auto"/>
                      <w:lang w:val="en-US" w:eastAsia="zh-CN"/>
                    </w:rPr>
                    <w:t>9</w:t>
                  </w:r>
                </w:p>
              </w:tc>
              <w:tc>
                <w:tcPr>
                  <w:tcW w:w="1216" w:type="pct"/>
                  <w:vMerge w:val="restart"/>
                  <w:tcBorders>
                    <w:top w:val="single" w:color="000000" w:sz="4" w:space="0"/>
                    <w:left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路面横坡</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机动车道</w:t>
                  </w:r>
                </w:p>
              </w:tc>
              <w:tc>
                <w:tcPr>
                  <w:tcW w:w="2411" w:type="pct"/>
                  <w:tcBorders>
                    <w:top w:val="single" w:color="000000" w:sz="4" w:space="0"/>
                    <w:left w:val="single" w:color="000000" w:sz="4" w:space="0"/>
                    <w:bottom w:val="single" w:color="000000" w:sz="4" w:space="0"/>
                    <w:right w:val="nil"/>
                  </w:tcBorders>
                  <w:vAlign w:val="center"/>
                </w:tcPr>
                <w:p>
                  <w:pPr>
                    <w:pStyle w:val="62"/>
                    <w:rPr>
                      <w:rFonts w:hint="eastAsia"/>
                      <w:color w:val="auto"/>
                      <w:lang w:val="en-US" w:eastAsia="zh-CN"/>
                    </w:rPr>
                  </w:pPr>
                  <w:r>
                    <w:rPr>
                      <w:rFonts w:hint="eastAsia"/>
                      <w:color w:val="auto"/>
                      <w:lang w:val="en-US" w:eastAsia="zh-CN"/>
                    </w:rPr>
                    <w:t>横坡向外 1.5%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vMerge w:val="continue"/>
                  <w:tcBorders>
                    <w:left w:val="nil"/>
                    <w:bottom w:val="single" w:color="000000" w:sz="4" w:space="0"/>
                    <w:right w:val="single" w:color="000000" w:sz="4" w:space="0"/>
                  </w:tcBorders>
                  <w:vAlign w:val="center"/>
                </w:tcPr>
                <w:p>
                  <w:pPr>
                    <w:pStyle w:val="62"/>
                    <w:rPr>
                      <w:rFonts w:hint="eastAsia"/>
                      <w:color w:val="auto"/>
                      <w:lang w:val="en-US" w:eastAsia="zh-CN"/>
                    </w:rPr>
                  </w:pPr>
                </w:p>
              </w:tc>
              <w:tc>
                <w:tcPr>
                  <w:tcW w:w="1216" w:type="pct"/>
                  <w:vMerge w:val="continue"/>
                  <w:tcBorders>
                    <w:left w:val="single" w:color="000000" w:sz="4" w:space="0"/>
                    <w:bottom w:val="single" w:color="000000" w:sz="4" w:space="0"/>
                    <w:right w:val="single" w:color="000000" w:sz="4" w:space="0"/>
                  </w:tcBorders>
                  <w:vAlign w:val="center"/>
                </w:tcPr>
                <w:p>
                  <w:pPr>
                    <w:pStyle w:val="62"/>
                    <w:rPr>
                      <w:rFonts w:hint="eastAsia"/>
                      <w:color w:val="auto"/>
                      <w:lang w:val="en-US" w:eastAsia="zh-CN"/>
                    </w:rPr>
                  </w:pP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tabs>
                      <w:tab w:val="left" w:pos="397"/>
                    </w:tabs>
                    <w:jc w:val="left"/>
                    <w:rPr>
                      <w:rFonts w:hint="eastAsia"/>
                      <w:color w:val="auto"/>
                      <w:lang w:val="en-US" w:eastAsia="zh-CN"/>
                    </w:rPr>
                  </w:pPr>
                  <w:r>
                    <w:rPr>
                      <w:rFonts w:hint="eastAsia"/>
                      <w:color w:val="auto"/>
                      <w:lang w:val="en-US" w:eastAsia="zh-CN"/>
                    </w:rPr>
                    <w:t>非机动车道</w:t>
                  </w:r>
                </w:p>
              </w:tc>
              <w:tc>
                <w:tcPr>
                  <w:tcW w:w="2411" w:type="pct"/>
                  <w:tcBorders>
                    <w:top w:val="single" w:color="000000" w:sz="4" w:space="0"/>
                    <w:left w:val="single" w:color="000000" w:sz="4" w:space="0"/>
                    <w:bottom w:val="single" w:color="000000" w:sz="4" w:space="0"/>
                    <w:right w:val="nil"/>
                  </w:tcBorders>
                  <w:vAlign w:val="center"/>
                </w:tcPr>
                <w:p>
                  <w:pPr>
                    <w:pStyle w:val="62"/>
                    <w:rPr>
                      <w:rFonts w:hint="eastAsia"/>
                      <w:color w:val="auto"/>
                      <w:lang w:val="en-US" w:eastAsia="zh-CN"/>
                    </w:rPr>
                  </w:pPr>
                  <w:r>
                    <w:rPr>
                      <w:rFonts w:hint="eastAsia"/>
                      <w:color w:val="auto"/>
                      <w:lang w:val="en-US" w:eastAsia="zh-CN"/>
                    </w:rPr>
                    <w:t>横坡向内 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color w:val="auto"/>
                      <w:lang w:val="en-US" w:eastAsia="zh-CN"/>
                    </w:rPr>
                  </w:pPr>
                  <w:r>
                    <w:rPr>
                      <w:rFonts w:hint="eastAsia"/>
                      <w:color w:val="auto"/>
                      <w:lang w:val="en-US" w:eastAsia="zh-CN"/>
                    </w:rPr>
                    <w:t>10</w:t>
                  </w:r>
                </w:p>
              </w:tc>
              <w:tc>
                <w:tcPr>
                  <w:tcW w:w="1216" w:type="pct"/>
                  <w:tcBorders>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color w:val="auto"/>
                      <w:lang w:val="en-US" w:eastAsia="zh-CN"/>
                    </w:rPr>
                  </w:pPr>
                  <w:r>
                    <w:rPr>
                      <w:rFonts w:hint="eastAsia" w:ascii="宋体" w:hAnsi="宋体" w:eastAsia="宋体" w:cs="宋体"/>
                      <w:color w:val="auto"/>
                      <w:kern w:val="0"/>
                      <w:sz w:val="21"/>
                      <w:szCs w:val="21"/>
                      <w:lang w:val="en-US" w:eastAsia="zh-CN" w:bidi="ar"/>
                    </w:rPr>
                    <w:t>抗震设防烈度</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color w:val="auto"/>
                      <w:lang w:val="en-US" w:eastAsia="zh-CN"/>
                    </w:rPr>
                  </w:pPr>
                  <w:r>
                    <w:rPr>
                      <w:rFonts w:hint="eastAsia"/>
                      <w:color w:val="auto"/>
                      <w:lang w:val="en-US" w:eastAsia="zh-CN"/>
                    </w:rPr>
                    <w:t>度</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color w:val="auto"/>
                      <w:lang w:val="en-US" w:eastAsia="zh-CN"/>
                    </w:rPr>
                  </w:pPr>
                  <w:r>
                    <w:rPr>
                      <w:rFonts w:hint="eastAsia"/>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11</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default" w:eastAsia="宋体"/>
                      <w:color w:val="auto"/>
                      <w:lang w:val="en-US" w:eastAsia="zh-CN"/>
                    </w:rPr>
                    <w:t>地震加速度值</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eastAsia" w:eastAsia="宋体"/>
                      <w:color w:val="auto"/>
                      <w:lang w:val="en-US" w:eastAsia="zh-CN"/>
                    </w:rPr>
                  </w:pPr>
                  <w:r>
                    <w:rPr>
                      <w:rFonts w:hint="eastAsia"/>
                      <w:color w:val="auto"/>
                      <w:lang w:val="en-US" w:eastAsia="zh-CN"/>
                    </w:rPr>
                    <w:t>g</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eastAsia="宋体"/>
                      <w:color w:val="auto"/>
                      <w:lang w:val="en-US" w:eastAsia="zh-CN"/>
                    </w:rPr>
                  </w:pPr>
                  <w:r>
                    <w:rPr>
                      <w:rFonts w:hint="eastAsia"/>
                      <w:color w:val="auto"/>
                      <w:lang w:val="en-US" w:eastAsia="zh-CN"/>
                    </w:rPr>
                    <w:t>0.20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12</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default" w:eastAsia="宋体"/>
                      <w:color w:val="auto"/>
                      <w:lang w:val="en-US" w:eastAsia="zh-CN"/>
                    </w:rPr>
                    <w:t>路面设计弯沉</w:t>
                  </w:r>
                </w:p>
              </w:tc>
              <w:tc>
                <w:tcPr>
                  <w:tcW w:w="860"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w:t>
                  </w:r>
                </w:p>
              </w:tc>
              <w:tc>
                <w:tcPr>
                  <w:tcW w:w="2411" w:type="pct"/>
                  <w:tcBorders>
                    <w:top w:val="single" w:color="000000" w:sz="4" w:space="0"/>
                    <w:left w:val="single" w:color="000000" w:sz="4" w:space="0"/>
                    <w:bottom w:val="single" w:color="000000" w:sz="4" w:space="0"/>
                    <w:right w:val="nil"/>
                  </w:tcBorders>
                  <w:vAlign w:val="center"/>
                </w:tcPr>
                <w:p>
                  <w:pPr>
                    <w:pStyle w:val="62"/>
                    <w:rPr>
                      <w:rFonts w:hint="default" w:eastAsia="宋体"/>
                      <w:color w:val="auto"/>
                      <w:lang w:val="en-US" w:eastAsia="zh-CN"/>
                    </w:rPr>
                  </w:pPr>
                  <w:r>
                    <w:rPr>
                      <w:rFonts w:hint="default" w:eastAsia="宋体"/>
                      <w:color w:val="auto"/>
                      <w:lang w:val="en-US" w:eastAsia="zh-CN"/>
                    </w:rPr>
                    <w:t>24.6（0.01mm）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2" w:type="pct"/>
                  <w:tcBorders>
                    <w:top w:val="single" w:color="000000" w:sz="4" w:space="0"/>
                    <w:left w:val="nil"/>
                    <w:bottom w:val="single" w:color="000000" w:sz="4" w:space="0"/>
                    <w:right w:val="single" w:color="000000" w:sz="4" w:space="0"/>
                  </w:tcBorders>
                  <w:vAlign w:val="center"/>
                </w:tcPr>
                <w:p>
                  <w:pPr>
                    <w:pStyle w:val="62"/>
                    <w:rPr>
                      <w:rFonts w:hint="default" w:eastAsia="宋体"/>
                      <w:color w:val="auto"/>
                      <w:lang w:val="en-US" w:eastAsia="zh-CN"/>
                    </w:rPr>
                  </w:pPr>
                  <w:r>
                    <w:rPr>
                      <w:rFonts w:hint="eastAsia"/>
                      <w:color w:val="auto"/>
                      <w:lang w:val="en-US" w:eastAsia="zh-CN"/>
                    </w:rPr>
                    <w:t>13</w:t>
                  </w:r>
                </w:p>
              </w:tc>
              <w:tc>
                <w:tcPr>
                  <w:tcW w:w="1216" w:type="pct"/>
                  <w:tcBorders>
                    <w:top w:val="single" w:color="000000" w:sz="4" w:space="0"/>
                    <w:left w:val="single" w:color="000000" w:sz="4" w:space="0"/>
                    <w:bottom w:val="single" w:color="000000" w:sz="4" w:space="0"/>
                    <w:right w:val="single" w:color="000000" w:sz="4" w:space="0"/>
                  </w:tcBorders>
                  <w:vAlign w:val="center"/>
                </w:tcPr>
                <w:p>
                  <w:pPr>
                    <w:pStyle w:val="62"/>
                    <w:rPr>
                      <w:rFonts w:hint="default" w:eastAsia="宋体"/>
                      <w:color w:val="auto"/>
                      <w:lang w:val="en-US" w:eastAsia="zh-CN"/>
                    </w:rPr>
                  </w:pPr>
                  <w:r>
                    <w:rPr>
                      <w:rFonts w:hint="default" w:eastAsia="宋体"/>
                      <w:color w:val="auto"/>
                      <w:lang w:val="en-US" w:eastAsia="zh-CN"/>
                    </w:rPr>
                    <w:t>路面验收标准</w:t>
                  </w:r>
                </w:p>
              </w:tc>
              <w:tc>
                <w:tcPr>
                  <w:tcW w:w="3271" w:type="pct"/>
                  <w:gridSpan w:val="2"/>
                  <w:tcBorders>
                    <w:top w:val="single" w:color="000000" w:sz="4" w:space="0"/>
                    <w:left w:val="single" w:color="000000" w:sz="4" w:space="0"/>
                    <w:bottom w:val="single" w:color="000000" w:sz="4" w:space="0"/>
                    <w:right w:val="nil"/>
                  </w:tcBorders>
                  <w:vAlign w:val="center"/>
                </w:tcPr>
                <w:p>
                  <w:pPr>
                    <w:pStyle w:val="62"/>
                    <w:rPr>
                      <w:rFonts w:hint="default" w:eastAsia="宋体"/>
                      <w:color w:val="auto"/>
                      <w:lang w:val="en-US" w:eastAsia="zh-CN"/>
                    </w:rPr>
                  </w:pPr>
                  <w:r>
                    <w:rPr>
                      <w:rFonts w:hint="default" w:eastAsia="宋体"/>
                      <w:color w:val="auto"/>
                      <w:lang w:val="en-US" w:eastAsia="zh-CN"/>
                    </w:rPr>
                    <w:t>抗滑标准：路面构造深度TD≥0.5（mm），横向力系数SFC60≥50</w:t>
                  </w:r>
                </w:p>
              </w:tc>
            </w:tr>
          </w:tbl>
          <w:p>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Chars="0" w:firstLine="480" w:firstLineChars="200"/>
              <w:textAlignment w:val="auto"/>
              <w:rPr>
                <w:rFonts w:hint="eastAsia"/>
                <w:b w:val="0"/>
                <w:bCs/>
                <w:color w:val="auto"/>
                <w:lang w:val="en-US" w:eastAsia="zh-CN"/>
              </w:rPr>
            </w:pPr>
            <w:r>
              <w:rPr>
                <w:rFonts w:hint="eastAsia"/>
                <w:b w:val="0"/>
                <w:bCs/>
                <w:color w:val="auto"/>
                <w:lang w:val="en-US" w:eastAsia="zh-CN"/>
              </w:rPr>
              <w:t>（2）道路平面设计</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西咸新区泾河新城控制性详规土地利用规划，道路两侧用地范围已确定，本项目道路平面线位依据道路专项规划线位布置，主干路，红线宽60m。设计速度50km/h，道路全长3029.7m，设置6处平曲线，最小平曲线半径R=300m。平面线形满足城市主干路规划设计速度的设计标准</w:t>
            </w:r>
            <w:r>
              <w:rPr>
                <w:rFonts w:hint="eastAsia" w:cs="Times New Roman"/>
                <w:color w:val="auto"/>
                <w:kern w:val="2"/>
                <w:sz w:val="24"/>
                <w:szCs w:val="24"/>
                <w:lang w:val="en-US" w:eastAsia="zh-CN" w:bidi="ar-SA"/>
              </w:rPr>
              <w:t>，</w:t>
            </w:r>
            <w:r>
              <w:rPr>
                <w:rFonts w:hint="eastAsia" w:cs="Times New Roman"/>
                <w:color w:val="auto"/>
                <w:kern w:val="2"/>
                <w:sz w:val="24"/>
                <w:szCs w:val="24"/>
                <w:lang w:val="en-US" w:eastAsia="zh-CN" w:bidi="ar-SA"/>
              </w:rPr>
              <w:t>项目平面设计图见</w:t>
            </w:r>
            <w:r>
              <w:rPr>
                <w:rFonts w:hint="eastAsia" w:ascii="Times New Roman" w:hAnsi="Times New Roman" w:eastAsia="宋体" w:cs="Times New Roman"/>
                <w:color w:val="auto"/>
                <w:kern w:val="2"/>
                <w:sz w:val="24"/>
                <w:szCs w:val="24"/>
                <w:lang w:val="en-US" w:eastAsia="zh-CN" w:bidi="ar-SA"/>
              </w:rPr>
              <w:t>附图。</w:t>
            </w:r>
          </w:p>
          <w:p>
            <w:pPr>
              <w:pStyle w:val="5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ind w:leftChars="0" w:firstLine="480" w:firstLineChars="200"/>
              <w:textAlignment w:val="auto"/>
              <w:rPr>
                <w:rFonts w:hint="eastAsia"/>
                <w:b w:val="0"/>
                <w:bCs/>
                <w:color w:val="auto"/>
                <w:lang w:val="en-US" w:eastAsia="zh-CN"/>
              </w:rPr>
            </w:pPr>
            <w:r>
              <w:rPr>
                <w:rFonts w:hint="eastAsia"/>
                <w:b w:val="0"/>
                <w:bCs/>
                <w:color w:val="auto"/>
                <w:lang w:val="en-US" w:eastAsia="zh-CN"/>
              </w:rPr>
              <w:t>（3）道路纵断面设计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道路起点、交叉路口、终点标高按道路竖向规划标高进行设计衔接，并结合现状地形进行微调。路段全线共设置3处竖曲线，最小纵坡0.3％，最大纵坡1.410％，竖曲线最小半径8200m，竖曲线最小长度为100m。纵向线形均能满足《城市道路路线设计规范》（CJJ193-2012）和《城市道路工程设计规范》（CJJ37-2012）的要求</w:t>
            </w:r>
            <w:r>
              <w:rPr>
                <w:rFonts w:hint="eastAsia" w:cs="Times New Roman"/>
                <w:color w:val="auto"/>
                <w:sz w:val="24"/>
                <w:szCs w:val="24"/>
                <w:lang w:val="en-US" w:eastAsia="zh-CN"/>
              </w:rPr>
              <w:t>，</w:t>
            </w:r>
            <w:r>
              <w:rPr>
                <w:rFonts w:hint="eastAsia" w:cs="Times New Roman"/>
                <w:color w:val="auto"/>
                <w:sz w:val="24"/>
                <w:szCs w:val="24"/>
                <w:lang w:val="en-US" w:eastAsia="zh-CN"/>
              </w:rPr>
              <w:t>道路</w:t>
            </w:r>
            <w:r>
              <w:rPr>
                <w:rFonts w:hint="eastAsia" w:cs="Times New Roman"/>
                <w:color w:val="auto"/>
                <w:kern w:val="2"/>
                <w:sz w:val="24"/>
                <w:szCs w:val="24"/>
                <w:lang w:val="en-US" w:eastAsia="zh-CN" w:bidi="ar-SA"/>
              </w:rPr>
              <w:t>纵面设计图见</w:t>
            </w:r>
            <w:r>
              <w:rPr>
                <w:rFonts w:hint="eastAsia" w:ascii="Times New Roman" w:hAnsi="Times New Roman" w:eastAsia="宋体" w:cs="Times New Roman"/>
                <w:color w:val="auto"/>
                <w:kern w:val="2"/>
                <w:sz w:val="24"/>
                <w:szCs w:val="24"/>
                <w:lang w:val="en-US" w:eastAsia="zh-CN" w:bidi="ar-SA"/>
              </w:rPr>
              <w:t>附图</w:t>
            </w:r>
            <w:r>
              <w:rPr>
                <w:rFonts w:hint="default" w:ascii="Times New Roman" w:hAnsi="Times New Roman" w:cs="Times New Roman"/>
                <w:color w:val="auto"/>
                <w:sz w:val="24"/>
                <w:szCs w:val="24"/>
                <w:lang w:val="en-US" w:eastAsia="zh-CN"/>
              </w:rPr>
              <w:t>。</w:t>
            </w:r>
          </w:p>
          <w:p>
            <w:pPr>
              <w:pStyle w:val="54"/>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b w:val="0"/>
                <w:bCs/>
                <w:color w:val="auto"/>
                <w:lang w:val="en-US" w:eastAsia="zh-CN"/>
              </w:rPr>
            </w:pPr>
            <w:r>
              <w:rPr>
                <w:rFonts w:hint="eastAsia"/>
                <w:b w:val="0"/>
                <w:bCs/>
                <w:color w:val="auto"/>
                <w:lang w:val="en-US" w:eastAsia="zh-CN"/>
              </w:rPr>
              <w:t>（4）道路横断面设计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①茶马大道－泾河三街道路标准横断面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本项目自西下穿茶马大道，起点无相交道路，现状为荒地，终点与泾河二街十字形相交，路面结构和横断面与本次设计相同；</w:t>
            </w:r>
            <w:r>
              <w:rPr>
                <w:rFonts w:hint="eastAsia" w:cs="Times New Roman"/>
                <w:color w:val="auto"/>
                <w:sz w:val="24"/>
                <w:szCs w:val="24"/>
                <w:lang w:val="en-US" w:eastAsia="zh-CN"/>
              </w:rPr>
              <w:t>设置中央分隔带的非对称断面，四幅路，机非分离，人非分离，双向六车道。具体布置如下：6m（人行道）+4.5m（非机动车道）+5m（机非分隔带）+10.5m（机动车道）+8m（中央分隔带）+10.5m（机动车道）+5m（机非分隔带）+6m（非机动车道）+4.5m（人行道）=60m。</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lang w:val="en-US" w:eastAsia="zh-CN"/>
              </w:rPr>
            </w:pPr>
            <w:r>
              <w:rPr>
                <w:color w:val="auto"/>
              </w:rPr>
              <w:drawing>
                <wp:inline distT="0" distB="0" distL="114300" distR="114300">
                  <wp:extent cx="4439920" cy="2232025"/>
                  <wp:effectExtent l="0" t="0" r="1778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439920" cy="22320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b/>
                <w:bCs/>
                <w:color w:val="auto"/>
                <w:sz w:val="24"/>
                <w:szCs w:val="24"/>
                <w:lang w:val="en-US" w:eastAsia="zh-CN"/>
              </w:rPr>
            </w:pPr>
            <w:r>
              <w:rPr>
                <w:rFonts w:hint="eastAsia" w:ascii="Times New Roman" w:eastAsia="宋体"/>
                <w:b/>
                <w:bCs/>
                <w:color w:val="auto"/>
                <w:sz w:val="24"/>
                <w:szCs w:val="24"/>
                <w:lang w:val="en-US" w:eastAsia="zh-CN"/>
              </w:rPr>
              <w:t>图2-1   茶马大道-泾河三街道路标准横断面图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2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泾河三街至泾河二街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滨河北路泾河三街至泾河二街段为现状道路，长约800m，红线宽20m，与本次规划红线宽度不一致，地下敷设有电力、污水、雨水和给水管线，为确保全线断面、景观效果图统一，建议采用标准断面，结合现状断面在推荐方案的基础上微调，保留人行道、现状行道树，保留利用电力、污水及雨水，迁改给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lang w:val="en-US" w:eastAsia="zh-CN"/>
              </w:rPr>
            </w:pPr>
            <w:r>
              <w:rPr>
                <w:color w:val="auto"/>
              </w:rPr>
              <w:drawing>
                <wp:inline distT="0" distB="0" distL="114300" distR="114300">
                  <wp:extent cx="5268595" cy="235839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8595" cy="2358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b/>
                <w:bCs/>
                <w:color w:val="auto"/>
                <w:sz w:val="24"/>
                <w:szCs w:val="24"/>
                <w:lang w:val="en-US" w:eastAsia="zh-CN"/>
              </w:rPr>
            </w:pPr>
            <w:r>
              <w:rPr>
                <w:rFonts w:hint="eastAsia" w:ascii="Times New Roman" w:eastAsia="宋体"/>
                <w:b/>
                <w:bCs/>
                <w:color w:val="auto"/>
                <w:sz w:val="24"/>
                <w:szCs w:val="24"/>
                <w:lang w:val="en-US" w:eastAsia="zh-CN"/>
              </w:rPr>
              <w:t>图2-2   泾河三街至泾河二街</w:t>
            </w:r>
            <w:r>
              <w:rPr>
                <w:rFonts w:hint="eastAsia"/>
                <w:b/>
                <w:bCs/>
                <w:color w:val="auto"/>
                <w:sz w:val="24"/>
                <w:szCs w:val="24"/>
                <w:lang w:val="en-US" w:eastAsia="zh-CN"/>
              </w:rPr>
              <w:t>道路</w:t>
            </w:r>
            <w:r>
              <w:rPr>
                <w:rFonts w:hint="eastAsia" w:ascii="Times New Roman" w:eastAsia="宋体"/>
                <w:b/>
                <w:bCs/>
                <w:color w:val="auto"/>
                <w:sz w:val="24"/>
                <w:szCs w:val="24"/>
                <w:lang w:val="en-US" w:eastAsia="zh-CN"/>
              </w:rPr>
              <w:t>标准横断面图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ascii="Times New Roman" w:eastAsia="宋体"/>
                <w:color w:val="auto"/>
                <w:sz w:val="24"/>
                <w:szCs w:val="24"/>
                <w:lang w:val="en-US" w:eastAsia="zh-CN"/>
              </w:rPr>
              <w:t>（</w:t>
            </w:r>
            <w:r>
              <w:rPr>
                <w:rFonts w:hint="eastAsia"/>
                <w:color w:val="auto"/>
                <w:sz w:val="24"/>
                <w:szCs w:val="24"/>
                <w:lang w:val="en-US" w:eastAsia="zh-CN"/>
              </w:rPr>
              <w:t>5</w:t>
            </w:r>
            <w:r>
              <w:rPr>
                <w:rFonts w:hint="eastAsia" w:ascii="Times New Roman" w:eastAsia="宋体"/>
                <w:color w:val="auto"/>
                <w:sz w:val="24"/>
                <w:szCs w:val="24"/>
                <w:lang w:val="en-US" w:eastAsia="zh-CN"/>
              </w:rPr>
              <w:t>）路基设计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ascii="Times New Roman" w:eastAsia="宋体"/>
                <w:color w:val="auto"/>
                <w:sz w:val="24"/>
                <w:szCs w:val="24"/>
                <w:lang w:val="en-US" w:eastAsia="zh-CN"/>
              </w:rPr>
              <w:t>路基基底为建筑垃圾或旧沥青、混凝土路面时，应先拆除旧路面、混凝土块等杂物，碾压夯实地表，压实度达到设计要求后方可填筑路基</w:t>
            </w:r>
            <w:r>
              <w:rPr>
                <w:rFonts w:hint="eastAsia"/>
                <w:color w:val="auto"/>
                <w:sz w:val="24"/>
                <w:szCs w:val="24"/>
                <w:lang w:val="en-US" w:eastAsia="zh-CN"/>
              </w:rPr>
              <w:t>。</w:t>
            </w:r>
          </w:p>
          <w:p>
            <w:pPr>
              <w:bidi w:val="0"/>
              <w:jc w:val="center"/>
              <w:rPr>
                <w:rFonts w:hint="eastAsia"/>
                <w:b/>
                <w:bCs/>
                <w:color w:val="auto"/>
                <w:sz w:val="21"/>
                <w:szCs w:val="21"/>
                <w:lang w:val="en-US" w:eastAsia="zh-CN"/>
              </w:rPr>
            </w:pPr>
            <w:r>
              <w:rPr>
                <w:rFonts w:hint="eastAsia"/>
                <w:b/>
                <w:bCs/>
                <w:color w:val="auto"/>
                <w:sz w:val="21"/>
                <w:szCs w:val="21"/>
                <w:lang w:val="en-US" w:eastAsia="zh-CN"/>
              </w:rPr>
              <w:t>表2-3    路基压实度标准</w:t>
            </w:r>
          </w:p>
          <w:tbl>
            <w:tblPr>
              <w:tblStyle w:val="6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52"/>
              <w:gridCol w:w="1983"/>
              <w:gridCol w:w="2106"/>
              <w:gridCol w:w="25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restart"/>
                  <w:tcBorders>
                    <w:tl2br w:val="nil"/>
                    <w:tr2bl w:val="nil"/>
                  </w:tcBorders>
                  <w:vAlign w:val="center"/>
                </w:tcPr>
                <w:p>
                  <w:pPr>
                    <w:autoSpaceDE w:val="0"/>
                    <w:autoSpaceDN w:val="0"/>
                    <w:bidi w:val="0"/>
                    <w:jc w:val="center"/>
                    <w:rPr>
                      <w:b/>
                      <w:bCs/>
                      <w:color w:val="auto"/>
                      <w:sz w:val="21"/>
                      <w:szCs w:val="21"/>
                    </w:rPr>
                  </w:pPr>
                  <w:r>
                    <w:rPr>
                      <w:b/>
                      <w:bCs/>
                      <w:color w:val="auto"/>
                      <w:sz w:val="21"/>
                      <w:szCs w:val="21"/>
                    </w:rPr>
                    <w:t>填挖类型</w:t>
                  </w:r>
                </w:p>
              </w:tc>
              <w:tc>
                <w:tcPr>
                  <w:tcW w:w="1193" w:type="pct"/>
                  <w:vMerge w:val="restart"/>
                  <w:tcBorders>
                    <w:tl2br w:val="nil"/>
                    <w:tr2bl w:val="nil"/>
                  </w:tcBorders>
                  <w:vAlign w:val="center"/>
                </w:tcPr>
                <w:p>
                  <w:pPr>
                    <w:autoSpaceDE w:val="0"/>
                    <w:autoSpaceDN w:val="0"/>
                    <w:bidi w:val="0"/>
                    <w:jc w:val="center"/>
                    <w:rPr>
                      <w:b/>
                      <w:bCs/>
                      <w:color w:val="auto"/>
                      <w:sz w:val="21"/>
                      <w:szCs w:val="21"/>
                    </w:rPr>
                  </w:pPr>
                  <w:r>
                    <w:rPr>
                      <w:b/>
                      <w:bCs/>
                      <w:color w:val="auto"/>
                      <w:sz w:val="21"/>
                      <w:szCs w:val="21"/>
                    </w:rPr>
                    <w:t>路床顶面以下深度</w:t>
                  </w:r>
                  <w:r>
                    <w:rPr>
                      <w:rFonts w:hint="eastAsia"/>
                      <w:b/>
                      <w:bCs/>
                      <w:color w:val="auto"/>
                      <w:sz w:val="21"/>
                      <w:szCs w:val="21"/>
                      <w:lang w:eastAsia="zh-CN"/>
                    </w:rPr>
                    <w:t>（</w:t>
                  </w:r>
                  <w:r>
                    <w:rPr>
                      <w:b/>
                      <w:bCs/>
                      <w:color w:val="auto"/>
                      <w:sz w:val="21"/>
                      <w:szCs w:val="21"/>
                    </w:rPr>
                    <w:t>cm</w:t>
                  </w:r>
                  <w:r>
                    <w:rPr>
                      <w:rFonts w:hint="eastAsia"/>
                      <w:b/>
                      <w:bCs/>
                      <w:color w:val="auto"/>
                      <w:sz w:val="21"/>
                      <w:szCs w:val="21"/>
                      <w:lang w:eastAsia="zh-CN"/>
                    </w:rPr>
                    <w:t>）</w:t>
                  </w:r>
                </w:p>
              </w:tc>
              <w:tc>
                <w:tcPr>
                  <w:tcW w:w="2811" w:type="pct"/>
                  <w:gridSpan w:val="2"/>
                  <w:tcBorders>
                    <w:tl2br w:val="nil"/>
                    <w:tr2bl w:val="nil"/>
                  </w:tcBorders>
                  <w:vAlign w:val="center"/>
                </w:tcPr>
                <w:p>
                  <w:pPr>
                    <w:autoSpaceDE w:val="0"/>
                    <w:autoSpaceDN w:val="0"/>
                    <w:bidi w:val="0"/>
                    <w:jc w:val="center"/>
                    <w:rPr>
                      <w:b/>
                      <w:bCs/>
                      <w:color w:val="auto"/>
                      <w:sz w:val="21"/>
                      <w:szCs w:val="21"/>
                    </w:rPr>
                  </w:pPr>
                  <w:r>
                    <w:rPr>
                      <w:b/>
                      <w:bCs/>
                      <w:color w:val="auto"/>
                      <w:sz w:val="21"/>
                      <w:szCs w:val="21"/>
                    </w:rPr>
                    <w:t>路基最小压实度</w:t>
                  </w:r>
                  <w:r>
                    <w:rPr>
                      <w:rFonts w:hint="eastAsia"/>
                      <w:b/>
                      <w:bCs/>
                      <w:color w:val="auto"/>
                      <w:sz w:val="21"/>
                      <w:szCs w:val="21"/>
                      <w:lang w:eastAsia="zh-CN"/>
                    </w:rPr>
                    <w:t>（</w:t>
                  </w:r>
                  <w:r>
                    <w:rPr>
                      <w:rFonts w:hint="eastAsia"/>
                      <w:b/>
                      <w:bCs/>
                      <w:color w:val="auto"/>
                      <w:sz w:val="21"/>
                      <w:szCs w:val="21"/>
                      <w:lang w:val="en-US" w:eastAsia="zh-CN"/>
                    </w:rPr>
                    <w:t>%</w:t>
                  </w:r>
                  <w:r>
                    <w:rPr>
                      <w:rFonts w:hint="eastAsia"/>
                      <w:b/>
                      <w:bCs/>
                      <w:color w:val="auto"/>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continue"/>
                  <w:tcBorders>
                    <w:tl2br w:val="nil"/>
                    <w:tr2bl w:val="nil"/>
                  </w:tcBorders>
                  <w:vAlign w:val="center"/>
                </w:tcPr>
                <w:p>
                  <w:pPr>
                    <w:autoSpaceDE w:val="0"/>
                    <w:autoSpaceDN w:val="0"/>
                    <w:bidi w:val="0"/>
                    <w:jc w:val="center"/>
                    <w:rPr>
                      <w:b/>
                      <w:bCs/>
                      <w:color w:val="auto"/>
                      <w:sz w:val="21"/>
                      <w:szCs w:val="21"/>
                    </w:rPr>
                  </w:pPr>
                </w:p>
              </w:tc>
              <w:tc>
                <w:tcPr>
                  <w:tcW w:w="1193" w:type="pct"/>
                  <w:vMerge w:val="continue"/>
                  <w:tcBorders>
                    <w:tl2br w:val="nil"/>
                    <w:tr2bl w:val="nil"/>
                  </w:tcBorders>
                  <w:vAlign w:val="center"/>
                </w:tcPr>
                <w:p>
                  <w:pPr>
                    <w:autoSpaceDE w:val="0"/>
                    <w:autoSpaceDN w:val="0"/>
                    <w:bidi w:val="0"/>
                    <w:jc w:val="center"/>
                    <w:rPr>
                      <w:b/>
                      <w:bCs/>
                      <w:color w:val="auto"/>
                      <w:sz w:val="21"/>
                      <w:szCs w:val="21"/>
                    </w:rPr>
                  </w:pPr>
                </w:p>
              </w:tc>
              <w:tc>
                <w:tcPr>
                  <w:tcW w:w="1267" w:type="pct"/>
                  <w:tcBorders>
                    <w:tl2br w:val="nil"/>
                    <w:tr2bl w:val="nil"/>
                  </w:tcBorders>
                  <w:vAlign w:val="center"/>
                </w:tcPr>
                <w:p>
                  <w:pPr>
                    <w:autoSpaceDE w:val="0"/>
                    <w:autoSpaceDN w:val="0"/>
                    <w:bidi w:val="0"/>
                    <w:jc w:val="center"/>
                    <w:rPr>
                      <w:b/>
                      <w:bCs/>
                      <w:color w:val="auto"/>
                      <w:sz w:val="21"/>
                      <w:szCs w:val="21"/>
                    </w:rPr>
                  </w:pPr>
                  <w:r>
                    <w:rPr>
                      <w:b/>
                      <w:bCs/>
                      <w:color w:val="auto"/>
                      <w:sz w:val="21"/>
                      <w:szCs w:val="21"/>
                    </w:rPr>
                    <w:t>车行道</w:t>
                  </w:r>
                </w:p>
              </w:tc>
              <w:tc>
                <w:tcPr>
                  <w:tcW w:w="1543" w:type="pct"/>
                  <w:tcBorders>
                    <w:tl2br w:val="nil"/>
                    <w:tr2bl w:val="nil"/>
                  </w:tcBorders>
                  <w:vAlign w:val="center"/>
                </w:tcPr>
                <w:p>
                  <w:pPr>
                    <w:autoSpaceDE w:val="0"/>
                    <w:autoSpaceDN w:val="0"/>
                    <w:bidi w:val="0"/>
                    <w:jc w:val="center"/>
                    <w:rPr>
                      <w:b/>
                      <w:bCs/>
                      <w:color w:val="auto"/>
                      <w:sz w:val="21"/>
                      <w:szCs w:val="21"/>
                    </w:rPr>
                  </w:pPr>
                  <w:r>
                    <w:rPr>
                      <w:b/>
                      <w:bCs/>
                      <w:color w:val="auto"/>
                      <w:sz w:val="21"/>
                      <w:szCs w:val="21"/>
                    </w:rPr>
                    <w:t>非机动车道、人行道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restart"/>
                  <w:tcBorders>
                    <w:tl2br w:val="nil"/>
                    <w:tr2bl w:val="nil"/>
                  </w:tcBorders>
                  <w:vAlign w:val="center"/>
                </w:tcPr>
                <w:p>
                  <w:pPr>
                    <w:autoSpaceDE w:val="0"/>
                    <w:autoSpaceDN w:val="0"/>
                    <w:bidi w:val="0"/>
                    <w:jc w:val="center"/>
                    <w:rPr>
                      <w:color w:val="auto"/>
                      <w:sz w:val="21"/>
                      <w:szCs w:val="21"/>
                    </w:rPr>
                  </w:pPr>
                  <w:r>
                    <w:rPr>
                      <w:color w:val="auto"/>
                      <w:sz w:val="21"/>
                      <w:szCs w:val="21"/>
                    </w:rPr>
                    <w:t>填方</w:t>
                  </w:r>
                </w:p>
              </w:tc>
              <w:tc>
                <w:tcPr>
                  <w:tcW w:w="1193" w:type="pct"/>
                  <w:tcBorders>
                    <w:tl2br w:val="nil"/>
                    <w:tr2bl w:val="nil"/>
                  </w:tcBorders>
                  <w:vAlign w:val="center"/>
                </w:tcPr>
                <w:p>
                  <w:pPr>
                    <w:autoSpaceDE w:val="0"/>
                    <w:autoSpaceDN w:val="0"/>
                    <w:bidi w:val="0"/>
                    <w:jc w:val="center"/>
                    <w:rPr>
                      <w:color w:val="auto"/>
                      <w:sz w:val="21"/>
                      <w:szCs w:val="21"/>
                    </w:rPr>
                  </w:pPr>
                  <w:r>
                    <w:rPr>
                      <w:color w:val="auto"/>
                      <w:sz w:val="21"/>
                      <w:szCs w:val="21"/>
                    </w:rPr>
                    <w:t>0-80</w:t>
                  </w:r>
                </w:p>
              </w:tc>
              <w:tc>
                <w:tcPr>
                  <w:tcW w:w="1267" w:type="pct"/>
                  <w:tcBorders>
                    <w:tl2br w:val="nil"/>
                    <w:tr2bl w:val="nil"/>
                  </w:tcBorders>
                  <w:vAlign w:val="center"/>
                </w:tcPr>
                <w:p>
                  <w:pPr>
                    <w:autoSpaceDE w:val="0"/>
                    <w:autoSpaceDN w:val="0"/>
                    <w:bidi w:val="0"/>
                    <w:jc w:val="center"/>
                    <w:rPr>
                      <w:color w:val="auto"/>
                      <w:sz w:val="21"/>
                      <w:szCs w:val="21"/>
                    </w:rPr>
                  </w:pPr>
                  <w:r>
                    <w:rPr>
                      <w:color w:val="auto"/>
                      <w:sz w:val="21"/>
                      <w:szCs w:val="21"/>
                    </w:rPr>
                    <w:t>95</w:t>
                  </w:r>
                </w:p>
              </w:tc>
              <w:tc>
                <w:tcPr>
                  <w:tcW w:w="1543" w:type="pct"/>
                  <w:tcBorders>
                    <w:tl2br w:val="nil"/>
                    <w:tr2bl w:val="nil"/>
                  </w:tcBorders>
                  <w:vAlign w:val="center"/>
                </w:tcPr>
                <w:p>
                  <w:pPr>
                    <w:autoSpaceDE w:val="0"/>
                    <w:autoSpaceDN w:val="0"/>
                    <w:bidi w:val="0"/>
                    <w:jc w:val="center"/>
                    <w:rPr>
                      <w:color w:val="auto"/>
                      <w:sz w:val="21"/>
                      <w:szCs w:val="21"/>
                    </w:rPr>
                  </w:pPr>
                  <w:r>
                    <w:rPr>
                      <w:color w:val="auto"/>
                      <w:sz w:val="21"/>
                      <w:szCs w:val="21"/>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continue"/>
                  <w:tcBorders>
                    <w:tl2br w:val="nil"/>
                    <w:tr2bl w:val="nil"/>
                  </w:tcBorders>
                  <w:vAlign w:val="center"/>
                </w:tcPr>
                <w:p>
                  <w:pPr>
                    <w:autoSpaceDE w:val="0"/>
                    <w:autoSpaceDN w:val="0"/>
                    <w:bidi w:val="0"/>
                    <w:jc w:val="center"/>
                    <w:rPr>
                      <w:color w:val="auto"/>
                      <w:sz w:val="21"/>
                      <w:szCs w:val="21"/>
                    </w:rPr>
                  </w:pPr>
                </w:p>
              </w:tc>
              <w:tc>
                <w:tcPr>
                  <w:tcW w:w="1193" w:type="pct"/>
                  <w:tcBorders>
                    <w:tl2br w:val="nil"/>
                    <w:tr2bl w:val="nil"/>
                  </w:tcBorders>
                  <w:vAlign w:val="center"/>
                </w:tcPr>
                <w:p>
                  <w:pPr>
                    <w:autoSpaceDE w:val="0"/>
                    <w:autoSpaceDN w:val="0"/>
                    <w:bidi w:val="0"/>
                    <w:jc w:val="center"/>
                    <w:rPr>
                      <w:color w:val="auto"/>
                      <w:sz w:val="21"/>
                      <w:szCs w:val="21"/>
                    </w:rPr>
                  </w:pPr>
                  <w:r>
                    <w:rPr>
                      <w:color w:val="auto"/>
                      <w:sz w:val="21"/>
                      <w:szCs w:val="21"/>
                    </w:rPr>
                    <w:t>80-150</w:t>
                  </w:r>
                </w:p>
              </w:tc>
              <w:tc>
                <w:tcPr>
                  <w:tcW w:w="1267" w:type="pct"/>
                  <w:tcBorders>
                    <w:tl2br w:val="nil"/>
                    <w:tr2bl w:val="nil"/>
                  </w:tcBorders>
                  <w:vAlign w:val="center"/>
                </w:tcPr>
                <w:p>
                  <w:pPr>
                    <w:autoSpaceDE w:val="0"/>
                    <w:autoSpaceDN w:val="0"/>
                    <w:bidi w:val="0"/>
                    <w:jc w:val="center"/>
                    <w:rPr>
                      <w:color w:val="auto"/>
                      <w:sz w:val="21"/>
                      <w:szCs w:val="21"/>
                    </w:rPr>
                  </w:pPr>
                  <w:r>
                    <w:rPr>
                      <w:color w:val="auto"/>
                      <w:sz w:val="21"/>
                      <w:szCs w:val="21"/>
                    </w:rPr>
                    <w:t>93</w:t>
                  </w:r>
                </w:p>
              </w:tc>
              <w:tc>
                <w:tcPr>
                  <w:tcW w:w="1543" w:type="pct"/>
                  <w:tcBorders>
                    <w:tl2br w:val="nil"/>
                    <w:tr2bl w:val="nil"/>
                  </w:tcBorders>
                  <w:vAlign w:val="center"/>
                </w:tcPr>
                <w:p>
                  <w:pPr>
                    <w:autoSpaceDE w:val="0"/>
                    <w:autoSpaceDN w:val="0"/>
                    <w:bidi w:val="0"/>
                    <w:jc w:val="center"/>
                    <w:rPr>
                      <w:color w:val="auto"/>
                      <w:sz w:val="21"/>
                      <w:szCs w:val="21"/>
                    </w:rPr>
                  </w:pPr>
                  <w:r>
                    <w:rPr>
                      <w:color w:val="auto"/>
                      <w:sz w:val="21"/>
                      <w:szCs w:val="21"/>
                    </w:rPr>
                    <w:t>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continue"/>
                  <w:tcBorders>
                    <w:tl2br w:val="nil"/>
                    <w:tr2bl w:val="nil"/>
                  </w:tcBorders>
                  <w:vAlign w:val="center"/>
                </w:tcPr>
                <w:p>
                  <w:pPr>
                    <w:autoSpaceDE w:val="0"/>
                    <w:autoSpaceDN w:val="0"/>
                    <w:bidi w:val="0"/>
                    <w:jc w:val="center"/>
                    <w:rPr>
                      <w:color w:val="auto"/>
                      <w:sz w:val="21"/>
                      <w:szCs w:val="21"/>
                    </w:rPr>
                  </w:pPr>
                </w:p>
              </w:tc>
              <w:tc>
                <w:tcPr>
                  <w:tcW w:w="1193" w:type="pct"/>
                  <w:tcBorders>
                    <w:tl2br w:val="nil"/>
                    <w:tr2bl w:val="nil"/>
                  </w:tcBorders>
                  <w:vAlign w:val="center"/>
                </w:tcPr>
                <w:p>
                  <w:pPr>
                    <w:autoSpaceDE w:val="0"/>
                    <w:autoSpaceDN w:val="0"/>
                    <w:bidi w:val="0"/>
                    <w:jc w:val="center"/>
                    <w:rPr>
                      <w:color w:val="auto"/>
                      <w:sz w:val="21"/>
                      <w:szCs w:val="21"/>
                    </w:rPr>
                  </w:pPr>
                  <w:r>
                    <w:rPr>
                      <w:color w:val="auto"/>
                      <w:sz w:val="21"/>
                      <w:szCs w:val="21"/>
                    </w:rPr>
                    <w:t>＞150</w:t>
                  </w:r>
                </w:p>
              </w:tc>
              <w:tc>
                <w:tcPr>
                  <w:tcW w:w="1267" w:type="pct"/>
                  <w:tcBorders>
                    <w:tl2br w:val="nil"/>
                    <w:tr2bl w:val="nil"/>
                  </w:tcBorders>
                  <w:vAlign w:val="center"/>
                </w:tcPr>
                <w:p>
                  <w:pPr>
                    <w:autoSpaceDE w:val="0"/>
                    <w:autoSpaceDN w:val="0"/>
                    <w:bidi w:val="0"/>
                    <w:jc w:val="center"/>
                    <w:rPr>
                      <w:color w:val="auto"/>
                      <w:sz w:val="21"/>
                      <w:szCs w:val="21"/>
                    </w:rPr>
                  </w:pPr>
                  <w:r>
                    <w:rPr>
                      <w:color w:val="auto"/>
                      <w:sz w:val="21"/>
                      <w:szCs w:val="21"/>
                    </w:rPr>
                    <w:t>92</w:t>
                  </w:r>
                </w:p>
              </w:tc>
              <w:tc>
                <w:tcPr>
                  <w:tcW w:w="1543" w:type="pct"/>
                  <w:tcBorders>
                    <w:tl2br w:val="nil"/>
                    <w:tr2bl w:val="nil"/>
                  </w:tcBorders>
                  <w:vAlign w:val="center"/>
                </w:tcPr>
                <w:p>
                  <w:pPr>
                    <w:autoSpaceDE w:val="0"/>
                    <w:autoSpaceDN w:val="0"/>
                    <w:bidi w:val="0"/>
                    <w:jc w:val="center"/>
                    <w:rPr>
                      <w:color w:val="auto"/>
                      <w:sz w:val="21"/>
                      <w:szCs w:val="21"/>
                    </w:rPr>
                  </w:pPr>
                  <w:r>
                    <w:rPr>
                      <w:color w:val="auto"/>
                      <w:sz w:val="21"/>
                      <w:szCs w:val="21"/>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restart"/>
                  <w:tcBorders>
                    <w:tl2br w:val="nil"/>
                    <w:tr2bl w:val="nil"/>
                  </w:tcBorders>
                  <w:vAlign w:val="center"/>
                </w:tcPr>
                <w:p>
                  <w:pPr>
                    <w:autoSpaceDE w:val="0"/>
                    <w:autoSpaceDN w:val="0"/>
                    <w:bidi w:val="0"/>
                    <w:jc w:val="center"/>
                    <w:rPr>
                      <w:color w:val="auto"/>
                      <w:sz w:val="21"/>
                      <w:szCs w:val="21"/>
                    </w:rPr>
                  </w:pPr>
                  <w:r>
                    <w:rPr>
                      <w:color w:val="auto"/>
                      <w:sz w:val="21"/>
                      <w:szCs w:val="21"/>
                    </w:rPr>
                    <w:t>零填方或挖方</w:t>
                  </w:r>
                </w:p>
              </w:tc>
              <w:tc>
                <w:tcPr>
                  <w:tcW w:w="1193" w:type="pct"/>
                  <w:tcBorders>
                    <w:tl2br w:val="nil"/>
                    <w:tr2bl w:val="nil"/>
                  </w:tcBorders>
                  <w:vAlign w:val="center"/>
                </w:tcPr>
                <w:p>
                  <w:pPr>
                    <w:autoSpaceDE w:val="0"/>
                    <w:autoSpaceDN w:val="0"/>
                    <w:bidi w:val="0"/>
                    <w:jc w:val="center"/>
                    <w:rPr>
                      <w:color w:val="auto"/>
                      <w:sz w:val="21"/>
                      <w:szCs w:val="21"/>
                    </w:rPr>
                  </w:pPr>
                  <w:r>
                    <w:rPr>
                      <w:color w:val="auto"/>
                      <w:sz w:val="21"/>
                      <w:szCs w:val="21"/>
                    </w:rPr>
                    <w:t>0-30</w:t>
                  </w:r>
                </w:p>
              </w:tc>
              <w:tc>
                <w:tcPr>
                  <w:tcW w:w="1267" w:type="pct"/>
                  <w:tcBorders>
                    <w:tl2br w:val="nil"/>
                    <w:tr2bl w:val="nil"/>
                  </w:tcBorders>
                  <w:vAlign w:val="center"/>
                </w:tcPr>
                <w:p>
                  <w:pPr>
                    <w:autoSpaceDE w:val="0"/>
                    <w:autoSpaceDN w:val="0"/>
                    <w:bidi w:val="0"/>
                    <w:jc w:val="center"/>
                    <w:rPr>
                      <w:color w:val="auto"/>
                      <w:sz w:val="21"/>
                      <w:szCs w:val="21"/>
                    </w:rPr>
                  </w:pPr>
                  <w:r>
                    <w:rPr>
                      <w:color w:val="auto"/>
                      <w:sz w:val="21"/>
                      <w:szCs w:val="21"/>
                    </w:rPr>
                    <w:t>95</w:t>
                  </w:r>
                </w:p>
              </w:tc>
              <w:tc>
                <w:tcPr>
                  <w:tcW w:w="1543" w:type="pct"/>
                  <w:tcBorders>
                    <w:tl2br w:val="nil"/>
                    <w:tr2bl w:val="nil"/>
                  </w:tcBorders>
                  <w:vAlign w:val="center"/>
                </w:tcPr>
                <w:p>
                  <w:pPr>
                    <w:autoSpaceDE w:val="0"/>
                    <w:autoSpaceDN w:val="0"/>
                    <w:bidi w:val="0"/>
                    <w:jc w:val="center"/>
                    <w:rPr>
                      <w:color w:val="auto"/>
                      <w:sz w:val="21"/>
                      <w:szCs w:val="21"/>
                    </w:rPr>
                  </w:pPr>
                  <w:r>
                    <w:rPr>
                      <w:color w:val="auto"/>
                      <w:sz w:val="21"/>
                      <w:szCs w:val="21"/>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5" w:type="pct"/>
                  <w:vMerge w:val="continue"/>
                  <w:tcBorders>
                    <w:tl2br w:val="nil"/>
                    <w:tr2bl w:val="nil"/>
                  </w:tcBorders>
                  <w:vAlign w:val="center"/>
                </w:tcPr>
                <w:p>
                  <w:pPr>
                    <w:autoSpaceDE w:val="0"/>
                    <w:autoSpaceDN w:val="0"/>
                    <w:bidi w:val="0"/>
                    <w:jc w:val="center"/>
                    <w:rPr>
                      <w:color w:val="auto"/>
                      <w:sz w:val="21"/>
                      <w:szCs w:val="21"/>
                    </w:rPr>
                  </w:pPr>
                </w:p>
              </w:tc>
              <w:tc>
                <w:tcPr>
                  <w:tcW w:w="1193" w:type="pct"/>
                  <w:tcBorders>
                    <w:tl2br w:val="nil"/>
                    <w:tr2bl w:val="nil"/>
                  </w:tcBorders>
                  <w:vAlign w:val="center"/>
                </w:tcPr>
                <w:p>
                  <w:pPr>
                    <w:autoSpaceDE w:val="0"/>
                    <w:autoSpaceDN w:val="0"/>
                    <w:bidi w:val="0"/>
                    <w:jc w:val="center"/>
                    <w:rPr>
                      <w:color w:val="auto"/>
                      <w:sz w:val="21"/>
                      <w:szCs w:val="21"/>
                    </w:rPr>
                  </w:pPr>
                  <w:r>
                    <w:rPr>
                      <w:color w:val="auto"/>
                      <w:sz w:val="21"/>
                      <w:szCs w:val="21"/>
                    </w:rPr>
                    <w:t>30-80</w:t>
                  </w:r>
                </w:p>
              </w:tc>
              <w:tc>
                <w:tcPr>
                  <w:tcW w:w="1267" w:type="pct"/>
                  <w:tcBorders>
                    <w:tl2br w:val="nil"/>
                    <w:tr2bl w:val="nil"/>
                  </w:tcBorders>
                  <w:vAlign w:val="center"/>
                </w:tcPr>
                <w:p>
                  <w:pPr>
                    <w:autoSpaceDE w:val="0"/>
                    <w:autoSpaceDN w:val="0"/>
                    <w:bidi w:val="0"/>
                    <w:jc w:val="center"/>
                    <w:rPr>
                      <w:color w:val="auto"/>
                      <w:sz w:val="21"/>
                      <w:szCs w:val="21"/>
                    </w:rPr>
                  </w:pPr>
                  <w:r>
                    <w:rPr>
                      <w:color w:val="auto"/>
                      <w:sz w:val="21"/>
                      <w:szCs w:val="21"/>
                    </w:rPr>
                    <w:t>93</w:t>
                  </w:r>
                </w:p>
              </w:tc>
              <w:tc>
                <w:tcPr>
                  <w:tcW w:w="1543"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（6）路基边坡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本项目所在区域地势平坦，路基填挖高度不大，故路堤边坡坡度采用1：1.5，路堑边坡坡率采用1：1</w:t>
            </w:r>
            <w:r>
              <w:rPr>
                <w:rFonts w:hint="eastAsia" w:ascii="Times New Roman" w:eastAsia="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特殊路基处理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val="en-US" w:eastAsia="zh-CN"/>
              </w:rPr>
              <w:t>湿陷性黄土地基处理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参照本项目周围道路的地质情况，本工程设计范围内按等级为Ⅰ级</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中等</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的湿陷性黄土考虑，设计中根据湿陷量等级以及现行技术标准及规范，参照同类地区的处理方法对本段道路的地基进行处理。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湿陷性黄土地基处理</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对路床采用8%</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质量比</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石灰改良土进行填筑，机动车道范围内处理厚度为80cm，非机动车道范围内处理厚度为60cm，人行道范围内处理厚度为40cm；对于填方路段，在清表完成后，采用30cm灰土填筑，防止地表水下渗而引起湿陷危害。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t>特殊地基的处理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若遇湿软地基，可采用晾晒、换土或掺加生石灰等措施处理；项目紧邻泾河，考虑地下水对工程的影响，根据勘察报告显示，各勘探点见到地下水，地下水位埋深为3.2</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11.5m，水位高程为371.14</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373.85m，勘察期间为平水期。地下水补给主要为泾河、大气降水，以地下径流形式向下游排泄，地下水变幅为1.0</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2.0m，本项目设计高程最低点在379.460</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380.160m，故地下水对本工程的影响不大。</w:t>
            </w:r>
          </w:p>
          <w:p>
            <w:pPr>
              <w:pStyle w:val="8"/>
              <w:ind w:firstLine="480" w:firstLineChars="200"/>
              <w:rPr>
                <w:rFonts w:hint="default"/>
                <w:color w:val="auto"/>
                <w:sz w:val="24"/>
                <w:szCs w:val="24"/>
                <w:lang w:val="en-US" w:eastAsia="zh-CN"/>
              </w:rPr>
            </w:pPr>
            <w:r>
              <w:rPr>
                <w:rFonts w:hint="eastAsia"/>
                <w:color w:val="auto"/>
                <w:sz w:val="24"/>
                <w:szCs w:val="24"/>
                <w:lang w:val="en-US" w:eastAsia="zh-CN"/>
              </w:rPr>
              <w:t>（</w:t>
            </w:r>
            <w:r>
              <w:rPr>
                <w:rFonts w:hint="eastAsia" w:ascii="Times New Roman" w:hAnsi="Times New Roman" w:cs="Times New Roman"/>
                <w:color w:val="auto"/>
                <w:sz w:val="24"/>
                <w:szCs w:val="24"/>
                <w:lang w:val="en-US" w:eastAsia="zh-CN"/>
              </w:rPr>
              <w:t>8</w:t>
            </w:r>
            <w:r>
              <w:rPr>
                <w:rFonts w:hint="eastAsia"/>
                <w:color w:val="auto"/>
                <w:sz w:val="24"/>
                <w:szCs w:val="24"/>
                <w:lang w:val="en-US" w:eastAsia="zh-CN"/>
              </w:rPr>
              <w:t>）路面设计</w:t>
            </w:r>
          </w:p>
          <w:p>
            <w:pPr>
              <w:bidi w:val="0"/>
              <w:jc w:val="center"/>
              <w:rPr>
                <w:rFonts w:hint="eastAsia"/>
                <w:b/>
                <w:bCs/>
                <w:color w:val="auto"/>
                <w:sz w:val="21"/>
                <w:szCs w:val="21"/>
                <w:lang w:val="en-US" w:eastAsia="zh-CN"/>
              </w:rPr>
            </w:pPr>
            <w:r>
              <w:rPr>
                <w:rFonts w:hint="eastAsia" w:ascii="Times New Roman" w:eastAsia="宋体"/>
                <w:b/>
                <w:bCs/>
                <w:color w:val="auto"/>
                <w:sz w:val="21"/>
                <w:szCs w:val="21"/>
                <w:lang w:val="en-US" w:eastAsia="zh-CN"/>
              </w:rPr>
              <w:t>表2-</w:t>
            </w:r>
            <w:r>
              <w:rPr>
                <w:rFonts w:hint="eastAsia"/>
                <w:b/>
                <w:bCs/>
                <w:color w:val="auto"/>
                <w:sz w:val="21"/>
                <w:szCs w:val="21"/>
                <w:lang w:val="en-US" w:eastAsia="zh-CN"/>
              </w:rPr>
              <w:t>4</w:t>
            </w:r>
            <w:r>
              <w:rPr>
                <w:rFonts w:hint="eastAsia" w:ascii="Times New Roman" w:eastAsia="宋体"/>
                <w:b/>
                <w:bCs/>
                <w:color w:val="auto"/>
                <w:sz w:val="21"/>
                <w:szCs w:val="21"/>
                <w:lang w:val="en-US" w:eastAsia="zh-CN"/>
              </w:rPr>
              <w:t xml:space="preserve">    路面设计标准</w:t>
            </w:r>
          </w:p>
          <w:tbl>
            <w:tblPr>
              <w:tblStyle w:val="6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93"/>
              <w:gridCol w:w="1335"/>
              <w:gridCol w:w="2168"/>
              <w:gridCol w:w="2349"/>
              <w:gridCol w:w="16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b/>
                      <w:bCs/>
                      <w:color w:val="auto"/>
                      <w:sz w:val="21"/>
                      <w:szCs w:val="21"/>
                      <w:lang w:val="en-US" w:eastAsia="zh-CN"/>
                    </w:rPr>
                  </w:pPr>
                  <w:r>
                    <w:rPr>
                      <w:rFonts w:hint="eastAsia"/>
                      <w:b/>
                      <w:bCs/>
                      <w:color w:val="auto"/>
                      <w:sz w:val="21"/>
                      <w:szCs w:val="21"/>
                      <w:lang w:val="en-US" w:eastAsia="zh-CN"/>
                    </w:rPr>
                    <w:t>序号</w:t>
                  </w:r>
                </w:p>
              </w:tc>
              <w:tc>
                <w:tcPr>
                  <w:tcW w:w="803" w:type="pct"/>
                  <w:tcBorders>
                    <w:tl2br w:val="nil"/>
                    <w:tr2bl w:val="nil"/>
                  </w:tcBorders>
                  <w:vAlign w:val="center"/>
                </w:tcPr>
                <w:p>
                  <w:pPr>
                    <w:autoSpaceDE w:val="0"/>
                    <w:autoSpaceDN w:val="0"/>
                    <w:bidi w:val="0"/>
                    <w:jc w:val="center"/>
                    <w:rPr>
                      <w:rFonts w:hint="default"/>
                      <w:b/>
                      <w:bCs/>
                      <w:color w:val="auto"/>
                      <w:sz w:val="21"/>
                      <w:szCs w:val="21"/>
                      <w:lang w:val="en-US" w:eastAsia="zh-CN"/>
                    </w:rPr>
                  </w:pPr>
                  <w:r>
                    <w:rPr>
                      <w:rFonts w:hint="eastAsia"/>
                      <w:b/>
                      <w:bCs/>
                      <w:color w:val="auto"/>
                      <w:sz w:val="21"/>
                      <w:szCs w:val="21"/>
                      <w:lang w:val="en-US" w:eastAsia="zh-CN"/>
                    </w:rPr>
                    <w:t>类别</w:t>
                  </w:r>
                </w:p>
              </w:tc>
              <w:tc>
                <w:tcPr>
                  <w:tcW w:w="1304" w:type="pct"/>
                  <w:tcBorders>
                    <w:tl2br w:val="nil"/>
                    <w:tr2bl w:val="nil"/>
                  </w:tcBorders>
                  <w:vAlign w:val="center"/>
                </w:tcPr>
                <w:p>
                  <w:pPr>
                    <w:autoSpaceDE w:val="0"/>
                    <w:autoSpaceDN w:val="0"/>
                    <w:bidi w:val="0"/>
                    <w:jc w:val="center"/>
                    <w:rPr>
                      <w:rFonts w:hint="eastAsia"/>
                      <w:b/>
                      <w:bCs/>
                      <w:color w:val="auto"/>
                      <w:sz w:val="21"/>
                      <w:szCs w:val="21"/>
                      <w:lang w:val="en-US" w:eastAsia="zh-CN"/>
                    </w:rPr>
                  </w:pPr>
                  <w:r>
                    <w:rPr>
                      <w:rFonts w:hint="eastAsia"/>
                      <w:b/>
                      <w:bCs/>
                      <w:color w:val="auto"/>
                      <w:sz w:val="21"/>
                      <w:szCs w:val="21"/>
                      <w:lang w:val="en-US" w:eastAsia="zh-CN"/>
                    </w:rPr>
                    <w:t>机动车道路面结构</w:t>
                  </w:r>
                </w:p>
              </w:tc>
              <w:tc>
                <w:tcPr>
                  <w:tcW w:w="1413" w:type="pct"/>
                  <w:tcBorders>
                    <w:tl2br w:val="nil"/>
                    <w:tr2bl w:val="nil"/>
                  </w:tcBorders>
                  <w:vAlign w:val="center"/>
                </w:tcPr>
                <w:p>
                  <w:pPr>
                    <w:autoSpaceDE w:val="0"/>
                    <w:autoSpaceDN w:val="0"/>
                    <w:bidi w:val="0"/>
                    <w:jc w:val="center"/>
                    <w:rPr>
                      <w:rFonts w:hint="eastAsia"/>
                      <w:b/>
                      <w:bCs/>
                      <w:color w:val="auto"/>
                      <w:sz w:val="21"/>
                      <w:szCs w:val="21"/>
                      <w:lang w:val="en-US" w:eastAsia="zh-CN"/>
                    </w:rPr>
                  </w:pPr>
                  <w:r>
                    <w:rPr>
                      <w:rFonts w:hint="eastAsia"/>
                      <w:b/>
                      <w:bCs/>
                      <w:color w:val="auto"/>
                      <w:sz w:val="21"/>
                      <w:szCs w:val="21"/>
                      <w:lang w:val="en-US" w:eastAsia="zh-CN"/>
                    </w:rPr>
                    <w:t>非机动车道路面结构</w:t>
                  </w:r>
                </w:p>
              </w:tc>
              <w:tc>
                <w:tcPr>
                  <w:tcW w:w="1000" w:type="pct"/>
                  <w:tcBorders>
                    <w:tl2br w:val="nil"/>
                    <w:tr2bl w:val="nil"/>
                  </w:tcBorders>
                  <w:vAlign w:val="center"/>
                </w:tcPr>
                <w:p>
                  <w:pPr>
                    <w:autoSpaceDE w:val="0"/>
                    <w:autoSpaceDN w:val="0"/>
                    <w:bidi w:val="0"/>
                    <w:jc w:val="center"/>
                    <w:rPr>
                      <w:rFonts w:hint="eastAsia"/>
                      <w:b/>
                      <w:bCs/>
                      <w:color w:val="auto"/>
                      <w:sz w:val="21"/>
                      <w:szCs w:val="21"/>
                      <w:lang w:val="en-US" w:eastAsia="zh-CN"/>
                    </w:rPr>
                  </w:pPr>
                  <w:r>
                    <w:rPr>
                      <w:rFonts w:hint="eastAsia"/>
                      <w:b/>
                      <w:bCs/>
                      <w:color w:val="auto"/>
                      <w:sz w:val="21"/>
                      <w:szCs w:val="21"/>
                      <w:lang w:val="en-US" w:eastAsia="zh-CN"/>
                    </w:rPr>
                    <w:t>人行道路面结构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803"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总厚度</w:t>
                  </w:r>
                </w:p>
              </w:tc>
              <w:tc>
                <w:tcPr>
                  <w:tcW w:w="1304"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总厚度79cm</w:t>
                  </w:r>
                </w:p>
              </w:tc>
              <w:tc>
                <w:tcPr>
                  <w:tcW w:w="141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总厚度45cm</w:t>
                  </w:r>
                </w:p>
              </w:tc>
              <w:tc>
                <w:tcPr>
                  <w:tcW w:w="1000"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总厚度34cm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803"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上面层</w:t>
                  </w:r>
                </w:p>
              </w:tc>
              <w:tc>
                <w:tcPr>
                  <w:tcW w:w="1304"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5cm细粒式SBS改性沥青混凝土（AC-13C）</w:t>
                  </w:r>
                </w:p>
              </w:tc>
              <w:tc>
                <w:tcPr>
                  <w:tcW w:w="1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r>
                    <w:rPr>
                      <w:rFonts w:hint="eastAsia"/>
                      <w:color w:val="auto"/>
                      <w:sz w:val="21"/>
                      <w:szCs w:val="21"/>
                      <w:lang w:val="en-US" w:eastAsia="zh-CN"/>
                    </w:rPr>
                    <w:t>4cm细粒式SBS改性沥青混凝土（AC-13C）</w:t>
                  </w:r>
                </w:p>
              </w:tc>
              <w:tc>
                <w:tcPr>
                  <w:tcW w:w="1000"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3</w:t>
                  </w:r>
                </w:p>
              </w:tc>
              <w:tc>
                <w:tcPr>
                  <w:tcW w:w="80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面层</w:t>
                  </w:r>
                </w:p>
              </w:tc>
              <w:tc>
                <w:tcPr>
                  <w:tcW w:w="1304" w:type="pct"/>
                  <w:tcBorders>
                    <w:tl2br w:val="nil"/>
                    <w:tr2bl w:val="nil"/>
                  </w:tcBorders>
                  <w:vAlign w:val="center"/>
                </w:tcPr>
                <w:p>
                  <w:pPr>
                    <w:autoSpaceDE w:val="0"/>
                    <w:autoSpaceDN w:val="0"/>
                    <w:bidi w:val="0"/>
                    <w:jc w:val="center"/>
                    <w:rPr>
                      <w:rFonts w:hint="default"/>
                      <w:color w:val="auto"/>
                      <w:sz w:val="21"/>
                      <w:szCs w:val="21"/>
                      <w:lang w:val="en-US" w:eastAsia="zh-CN"/>
                    </w:rPr>
                  </w:pPr>
                  <w:r>
                    <w:rPr>
                      <w:rFonts w:hint="eastAsia"/>
                      <w:color w:val="auto"/>
                      <w:sz w:val="21"/>
                      <w:szCs w:val="21"/>
                      <w:lang w:val="en-US" w:eastAsia="zh-CN"/>
                    </w:rPr>
                    <w:t>/</w:t>
                  </w:r>
                </w:p>
              </w:tc>
              <w:tc>
                <w:tcPr>
                  <w:tcW w:w="1413"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1000"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4cm灰色系石材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80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罩面层</w:t>
                  </w:r>
                </w:p>
              </w:tc>
              <w:tc>
                <w:tcPr>
                  <w:tcW w:w="1304" w:type="pct"/>
                  <w:tcBorders>
                    <w:tl2br w:val="nil"/>
                    <w:tr2bl w:val="nil"/>
                  </w:tcBorders>
                  <w:vAlign w:val="center"/>
                </w:tcPr>
                <w:p>
                  <w:pPr>
                    <w:autoSpaceDE w:val="0"/>
                    <w:autoSpaceDN w:val="0"/>
                    <w:bidi w:val="0"/>
                    <w:jc w:val="center"/>
                    <w:rPr>
                      <w:rFonts w:hint="default"/>
                      <w:color w:val="auto"/>
                      <w:sz w:val="21"/>
                      <w:szCs w:val="21"/>
                      <w:lang w:val="en-US" w:eastAsia="zh-CN"/>
                    </w:rPr>
                  </w:pPr>
                  <w:r>
                    <w:rPr>
                      <w:rFonts w:hint="eastAsia"/>
                      <w:color w:val="auto"/>
                      <w:sz w:val="21"/>
                      <w:szCs w:val="21"/>
                      <w:lang w:val="en-US" w:eastAsia="zh-CN"/>
                    </w:rPr>
                    <w:t>/</w:t>
                  </w:r>
                </w:p>
              </w:tc>
              <w:tc>
                <w:tcPr>
                  <w:tcW w:w="1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1"/>
                      <w:szCs w:val="21"/>
                    </w:rPr>
                  </w:pPr>
                  <w:r>
                    <w:rPr>
                      <w:rFonts w:hint="eastAsia"/>
                      <w:color w:val="auto"/>
                      <w:sz w:val="21"/>
                      <w:szCs w:val="21"/>
                      <w:lang w:val="en-US" w:eastAsia="zh-CN"/>
                    </w:rPr>
                    <w:t>0.3cm水性聚合物彩色罩面（墨绿色）</w:t>
                  </w:r>
                </w:p>
              </w:tc>
              <w:tc>
                <w:tcPr>
                  <w:tcW w:w="1000"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5</w:t>
                  </w:r>
                </w:p>
              </w:tc>
              <w:tc>
                <w:tcPr>
                  <w:tcW w:w="803"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黏层油</w:t>
                  </w:r>
                </w:p>
              </w:tc>
              <w:tc>
                <w:tcPr>
                  <w:tcW w:w="1304" w:type="pct"/>
                  <w:tcBorders>
                    <w:tl2br w:val="nil"/>
                    <w:tr2bl w:val="nil"/>
                  </w:tcBorders>
                  <w:vAlign w:val="center"/>
                </w:tcPr>
                <w:p>
                  <w:pPr>
                    <w:autoSpaceDE w:val="0"/>
                    <w:autoSpaceDN w:val="0"/>
                    <w:bidi w:val="0"/>
                    <w:jc w:val="center"/>
                    <w:rPr>
                      <w:color w:val="auto"/>
                      <w:sz w:val="21"/>
                      <w:szCs w:val="21"/>
                    </w:rPr>
                  </w:pPr>
                  <w:r>
                    <w:rPr>
                      <w:rFonts w:hint="eastAsia"/>
                      <w:color w:val="auto"/>
                      <w:sz w:val="21"/>
                      <w:szCs w:val="21"/>
                      <w:lang w:val="en-US" w:eastAsia="zh-CN"/>
                    </w:rPr>
                    <w:t>PC-3型乳化沥青0.3L/m</w:t>
                  </w:r>
                  <w:r>
                    <w:rPr>
                      <w:rFonts w:hint="eastAsia"/>
                      <w:color w:val="auto"/>
                      <w:sz w:val="21"/>
                      <w:szCs w:val="21"/>
                      <w:vertAlign w:val="superscript"/>
                      <w:lang w:val="en-US" w:eastAsia="zh-CN"/>
                    </w:rPr>
                    <w:t>2</w:t>
                  </w:r>
                </w:p>
              </w:tc>
              <w:tc>
                <w:tcPr>
                  <w:tcW w:w="1413"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1000"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6</w:t>
                  </w:r>
                </w:p>
              </w:tc>
              <w:tc>
                <w:tcPr>
                  <w:tcW w:w="803"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下面层</w:t>
                  </w:r>
                </w:p>
              </w:tc>
              <w:tc>
                <w:tcPr>
                  <w:tcW w:w="1304" w:type="pct"/>
                  <w:tcBorders>
                    <w:tl2br w:val="nil"/>
                    <w:tr2bl w:val="nil"/>
                  </w:tcBorders>
                  <w:vAlign w:val="center"/>
                </w:tcPr>
                <w:p>
                  <w:pPr>
                    <w:autoSpaceDE w:val="0"/>
                    <w:autoSpaceDN w:val="0"/>
                    <w:bidi w:val="0"/>
                    <w:jc w:val="center"/>
                    <w:rPr>
                      <w:rFonts w:hint="eastAsia" w:ascii="Times New Roman" w:eastAsia="宋体"/>
                      <w:color w:val="auto"/>
                      <w:sz w:val="21"/>
                      <w:szCs w:val="21"/>
                      <w:lang w:val="en-US" w:eastAsia="zh-CN"/>
                    </w:rPr>
                  </w:pPr>
                  <w:r>
                    <w:rPr>
                      <w:rFonts w:hint="eastAsia"/>
                      <w:color w:val="auto"/>
                      <w:sz w:val="21"/>
                      <w:szCs w:val="21"/>
                      <w:lang w:val="en-US" w:eastAsia="zh-CN"/>
                    </w:rPr>
                    <w:t>7cm中粒式沥青混凝土（AC-13C）</w:t>
                  </w:r>
                </w:p>
              </w:tc>
              <w:tc>
                <w:tcPr>
                  <w:tcW w:w="1413" w:type="pct"/>
                  <w:tcBorders>
                    <w:tl2br w:val="nil"/>
                    <w:tr2bl w:val="nil"/>
                  </w:tcBorders>
                  <w:vAlign w:val="center"/>
                </w:tcPr>
                <w:p>
                  <w:pPr>
                    <w:autoSpaceDE w:val="0"/>
                    <w:autoSpaceDN w:val="0"/>
                    <w:bidi w:val="0"/>
                    <w:jc w:val="center"/>
                    <w:rPr>
                      <w:rFonts w:hint="default" w:ascii="Times New Roman" w:eastAsia="宋体"/>
                      <w:color w:val="auto"/>
                      <w:sz w:val="21"/>
                      <w:szCs w:val="21"/>
                      <w:lang w:val="en-US" w:eastAsia="zh-CN"/>
                    </w:rPr>
                  </w:pPr>
                  <w:r>
                    <w:rPr>
                      <w:rFonts w:hint="eastAsia"/>
                      <w:color w:val="auto"/>
                      <w:sz w:val="21"/>
                      <w:szCs w:val="21"/>
                      <w:lang w:val="en-US" w:eastAsia="zh-CN"/>
                    </w:rPr>
                    <w:t>/</w:t>
                  </w:r>
                </w:p>
              </w:tc>
              <w:tc>
                <w:tcPr>
                  <w:tcW w:w="1000" w:type="pct"/>
                  <w:tcBorders>
                    <w:tl2br w:val="nil"/>
                    <w:tr2bl w:val="nil"/>
                  </w:tcBorders>
                  <w:vAlign w:val="center"/>
                </w:tcPr>
                <w:p>
                  <w:pPr>
                    <w:autoSpaceDE w:val="0"/>
                    <w:autoSpaceDN w:val="0"/>
                    <w:bidi w:val="0"/>
                    <w:jc w:val="center"/>
                    <w:rPr>
                      <w:rFonts w:hint="default" w:ascii="Times New Roman"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7</w:t>
                  </w:r>
                </w:p>
              </w:tc>
              <w:tc>
                <w:tcPr>
                  <w:tcW w:w="80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封 层</w:t>
                  </w:r>
                </w:p>
              </w:tc>
              <w:tc>
                <w:tcPr>
                  <w:tcW w:w="1304" w:type="pct"/>
                  <w:tcBorders>
                    <w:tl2br w:val="nil"/>
                    <w:tr2bl w:val="nil"/>
                  </w:tcBorders>
                  <w:vAlign w:val="center"/>
                </w:tcPr>
                <w:p>
                  <w:pPr>
                    <w:autoSpaceDE w:val="0"/>
                    <w:autoSpaceDN w:val="0"/>
                    <w:bidi w:val="0"/>
                    <w:jc w:val="center"/>
                    <w:rPr>
                      <w:rFonts w:hint="eastAsia" w:ascii="Times New Roman" w:eastAsia="宋体"/>
                      <w:color w:val="auto"/>
                      <w:sz w:val="21"/>
                      <w:szCs w:val="21"/>
                      <w:lang w:val="en-US" w:eastAsia="zh-CN"/>
                    </w:rPr>
                  </w:pPr>
                  <w:r>
                    <w:rPr>
                      <w:rFonts w:hint="eastAsia"/>
                      <w:color w:val="auto"/>
                      <w:sz w:val="21"/>
                      <w:szCs w:val="21"/>
                      <w:lang w:val="en-US" w:eastAsia="zh-CN"/>
                    </w:rPr>
                    <w:t>1cm沥青单层表面处治（S12）</w:t>
                  </w:r>
                </w:p>
              </w:tc>
              <w:tc>
                <w:tcPr>
                  <w:tcW w:w="1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color w:val="auto"/>
                      <w:sz w:val="21"/>
                      <w:szCs w:val="21"/>
                      <w:lang w:val="en-US" w:eastAsia="zh-CN"/>
                    </w:rPr>
                  </w:pPr>
                  <w:r>
                    <w:rPr>
                      <w:rFonts w:hint="eastAsia"/>
                      <w:color w:val="auto"/>
                      <w:sz w:val="21"/>
                      <w:szCs w:val="21"/>
                      <w:lang w:val="en-US" w:eastAsia="zh-CN"/>
                    </w:rPr>
                    <w:t>1cm沥青单层表面处治（S12）</w:t>
                  </w:r>
                </w:p>
              </w:tc>
              <w:tc>
                <w:tcPr>
                  <w:tcW w:w="1000" w:type="pct"/>
                  <w:tcBorders>
                    <w:tl2br w:val="nil"/>
                    <w:tr2bl w:val="nil"/>
                  </w:tcBorders>
                  <w:vAlign w:val="center"/>
                </w:tcPr>
                <w:p>
                  <w:pPr>
                    <w:autoSpaceDE w:val="0"/>
                    <w:autoSpaceDN w:val="0"/>
                    <w:bidi w:val="0"/>
                    <w:jc w:val="center"/>
                    <w:rPr>
                      <w:rFonts w:hint="default" w:ascii="Times New Roman"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8</w:t>
                  </w:r>
                </w:p>
              </w:tc>
              <w:tc>
                <w:tcPr>
                  <w:tcW w:w="80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透层油</w:t>
                  </w:r>
                </w:p>
              </w:tc>
              <w:tc>
                <w:tcPr>
                  <w:tcW w:w="1304" w:type="pct"/>
                  <w:tcBorders>
                    <w:tl2br w:val="nil"/>
                    <w:tr2bl w:val="nil"/>
                  </w:tcBorders>
                  <w:vAlign w:val="center"/>
                </w:tcPr>
                <w:p>
                  <w:pPr>
                    <w:autoSpaceDE w:val="0"/>
                    <w:autoSpaceDN w:val="0"/>
                    <w:bidi w:val="0"/>
                    <w:jc w:val="center"/>
                    <w:rPr>
                      <w:rFonts w:hint="eastAsia" w:ascii="Times New Roman" w:eastAsia="宋体"/>
                      <w:color w:val="auto"/>
                      <w:sz w:val="21"/>
                      <w:szCs w:val="21"/>
                      <w:lang w:val="en-US" w:eastAsia="zh-CN"/>
                    </w:rPr>
                  </w:pPr>
                  <w:r>
                    <w:rPr>
                      <w:rFonts w:hint="eastAsia"/>
                      <w:color w:val="auto"/>
                      <w:sz w:val="21"/>
                      <w:szCs w:val="21"/>
                      <w:lang w:val="en-US" w:eastAsia="zh-CN"/>
                    </w:rPr>
                    <w:t>PC-2型乳化沥青1.0L/m</w:t>
                  </w:r>
                  <w:r>
                    <w:rPr>
                      <w:rFonts w:hint="eastAsia"/>
                      <w:color w:val="auto"/>
                      <w:sz w:val="21"/>
                      <w:szCs w:val="21"/>
                      <w:vertAlign w:val="superscript"/>
                      <w:lang w:val="en-US" w:eastAsia="zh-CN"/>
                    </w:rPr>
                    <w:t>2</w:t>
                  </w:r>
                </w:p>
              </w:tc>
              <w:tc>
                <w:tcPr>
                  <w:tcW w:w="1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color w:val="auto"/>
                      <w:sz w:val="21"/>
                      <w:szCs w:val="21"/>
                      <w:lang w:val="en-US" w:eastAsia="zh-CN"/>
                    </w:rPr>
                  </w:pPr>
                  <w:r>
                    <w:rPr>
                      <w:rFonts w:hint="eastAsia"/>
                      <w:color w:val="auto"/>
                      <w:sz w:val="21"/>
                      <w:szCs w:val="21"/>
                      <w:lang w:val="en-US" w:eastAsia="zh-CN"/>
                    </w:rPr>
                    <w:t>PC-2型乳化沥青1.0L/m</w:t>
                  </w:r>
                  <w:r>
                    <w:rPr>
                      <w:rFonts w:hint="eastAsia"/>
                      <w:color w:val="auto"/>
                      <w:sz w:val="21"/>
                      <w:szCs w:val="21"/>
                      <w:vertAlign w:val="superscript"/>
                      <w:lang w:val="en-US" w:eastAsia="zh-CN"/>
                    </w:rPr>
                    <w:t>2</w:t>
                  </w:r>
                </w:p>
              </w:tc>
              <w:tc>
                <w:tcPr>
                  <w:tcW w:w="1000" w:type="pct"/>
                  <w:tcBorders>
                    <w:tl2br w:val="nil"/>
                    <w:tr2bl w:val="nil"/>
                  </w:tcBorders>
                  <w:vAlign w:val="center"/>
                </w:tcPr>
                <w:p>
                  <w:pPr>
                    <w:autoSpaceDE w:val="0"/>
                    <w:autoSpaceDN w:val="0"/>
                    <w:bidi w:val="0"/>
                    <w:jc w:val="center"/>
                    <w:rPr>
                      <w:rFonts w:hint="default" w:ascii="Times New Roman" w:eastAsia="宋体"/>
                      <w:color w:val="auto"/>
                      <w:sz w:val="21"/>
                      <w:szCs w:val="21"/>
                      <w:lang w:val="en-US" w:eastAsia="zh-CN"/>
                    </w:rPr>
                  </w:pPr>
                  <w:r>
                    <w:rPr>
                      <w:rFonts w:hint="eastAsia"/>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eastAsia" w:eastAsia="宋体"/>
                      <w:color w:val="auto"/>
                      <w:sz w:val="21"/>
                      <w:szCs w:val="21"/>
                      <w:lang w:val="en-US" w:eastAsia="zh-CN"/>
                    </w:rPr>
                  </w:pPr>
                  <w:r>
                    <w:rPr>
                      <w:rFonts w:hint="eastAsia"/>
                      <w:color w:val="auto"/>
                      <w:sz w:val="21"/>
                      <w:szCs w:val="21"/>
                      <w:lang w:val="en-US" w:eastAsia="zh-CN"/>
                    </w:rPr>
                    <w:t>9</w:t>
                  </w:r>
                </w:p>
              </w:tc>
              <w:tc>
                <w:tcPr>
                  <w:tcW w:w="80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基层</w:t>
                  </w:r>
                </w:p>
              </w:tc>
              <w:tc>
                <w:tcPr>
                  <w:tcW w:w="1304" w:type="pct"/>
                  <w:tcBorders>
                    <w:tl2br w:val="nil"/>
                    <w:tr2bl w:val="nil"/>
                  </w:tcBorders>
                  <w:vAlign w:val="center"/>
                </w:tcPr>
                <w:p>
                  <w:pPr>
                    <w:autoSpaceDE w:val="0"/>
                    <w:autoSpaceDN w:val="0"/>
                    <w:bidi w:val="0"/>
                    <w:jc w:val="center"/>
                    <w:rPr>
                      <w:rFonts w:hint="eastAsia" w:ascii="Times New Roman" w:eastAsia="宋体"/>
                      <w:color w:val="auto"/>
                      <w:sz w:val="21"/>
                      <w:szCs w:val="21"/>
                      <w:lang w:val="en-US" w:eastAsia="zh-CN"/>
                    </w:rPr>
                  </w:pPr>
                  <w:r>
                    <w:rPr>
                      <w:rFonts w:hint="eastAsia"/>
                      <w:color w:val="auto"/>
                      <w:sz w:val="21"/>
                      <w:szCs w:val="21"/>
                      <w:lang w:val="en-US" w:eastAsia="zh-CN"/>
                    </w:rPr>
                    <w:t>36cm水泥稳定碎石（水泥含量5%）</w:t>
                  </w:r>
                </w:p>
              </w:tc>
              <w:tc>
                <w:tcPr>
                  <w:tcW w:w="1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color w:val="auto"/>
                      <w:sz w:val="21"/>
                      <w:szCs w:val="21"/>
                      <w:lang w:val="en-US" w:eastAsia="zh-CN"/>
                    </w:rPr>
                  </w:pPr>
                  <w:r>
                    <w:rPr>
                      <w:rFonts w:hint="eastAsia"/>
                      <w:color w:val="auto"/>
                      <w:sz w:val="21"/>
                      <w:szCs w:val="21"/>
                      <w:lang w:val="en-US" w:eastAsia="zh-CN"/>
                    </w:rPr>
                    <w:t>20cm水泥稳定碎石（水泥含量5%）</w:t>
                  </w:r>
                </w:p>
              </w:tc>
              <w:tc>
                <w:tcPr>
                  <w:tcW w:w="1000" w:type="pct"/>
                  <w:tcBorders>
                    <w:tl2br w:val="nil"/>
                    <w:tr2bl w:val="nil"/>
                  </w:tcBorders>
                  <w:vAlign w:val="center"/>
                </w:tcPr>
                <w:p>
                  <w:pPr>
                    <w:autoSpaceDE w:val="0"/>
                    <w:autoSpaceDN w:val="0"/>
                    <w:bidi w:val="0"/>
                    <w:jc w:val="center"/>
                    <w:rPr>
                      <w:rFonts w:hint="eastAsia" w:ascii="Times New Roman" w:eastAsia="宋体"/>
                      <w:color w:val="auto"/>
                      <w:sz w:val="21"/>
                      <w:szCs w:val="21"/>
                      <w:lang w:val="en-US" w:eastAsia="zh-CN"/>
                    </w:rPr>
                  </w:pPr>
                  <w:r>
                    <w:rPr>
                      <w:rFonts w:hint="eastAsia"/>
                      <w:color w:val="auto"/>
                      <w:sz w:val="21"/>
                      <w:szCs w:val="21"/>
                      <w:lang w:val="en-US" w:eastAsia="zh-CN"/>
                    </w:rPr>
                    <w:t>15cmC20混凝土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7" w:type="pct"/>
                  <w:tcBorders>
                    <w:tl2br w:val="nil"/>
                    <w:tr2bl w:val="nil"/>
                  </w:tcBorders>
                  <w:vAlign w:val="center"/>
                </w:tcPr>
                <w:p>
                  <w:pPr>
                    <w:autoSpaceDE w:val="0"/>
                    <w:autoSpaceDN w:val="0"/>
                    <w:bidi w:val="0"/>
                    <w:jc w:val="center"/>
                    <w:rPr>
                      <w:rFonts w:hint="default" w:eastAsia="宋体"/>
                      <w:color w:val="auto"/>
                      <w:sz w:val="21"/>
                      <w:szCs w:val="21"/>
                      <w:lang w:val="en-US" w:eastAsia="zh-CN"/>
                    </w:rPr>
                  </w:pPr>
                  <w:r>
                    <w:rPr>
                      <w:rFonts w:hint="eastAsia"/>
                      <w:color w:val="auto"/>
                      <w:sz w:val="21"/>
                      <w:szCs w:val="21"/>
                      <w:lang w:val="en-US" w:eastAsia="zh-CN"/>
                    </w:rPr>
                    <w:t>10</w:t>
                  </w:r>
                </w:p>
              </w:tc>
              <w:tc>
                <w:tcPr>
                  <w:tcW w:w="803" w:type="pct"/>
                  <w:tcBorders>
                    <w:tl2br w:val="nil"/>
                    <w:tr2bl w:val="nil"/>
                  </w:tcBorders>
                  <w:vAlign w:val="center"/>
                </w:tcPr>
                <w:p>
                  <w:pPr>
                    <w:autoSpaceDE w:val="0"/>
                    <w:autoSpaceDN w:val="0"/>
                    <w:bidi w:val="0"/>
                    <w:jc w:val="center"/>
                    <w:rPr>
                      <w:rFonts w:hint="eastAsia"/>
                      <w:color w:val="auto"/>
                      <w:sz w:val="21"/>
                      <w:szCs w:val="21"/>
                      <w:lang w:val="en-US" w:eastAsia="zh-CN"/>
                    </w:rPr>
                  </w:pPr>
                  <w:r>
                    <w:rPr>
                      <w:rFonts w:hint="eastAsia"/>
                      <w:color w:val="auto"/>
                      <w:sz w:val="21"/>
                      <w:szCs w:val="21"/>
                      <w:lang w:val="en-US" w:eastAsia="zh-CN"/>
                    </w:rPr>
                    <w:t>底基层</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color w:val="auto"/>
                      <w:sz w:val="21"/>
                      <w:szCs w:val="21"/>
                      <w:lang w:val="en-US" w:eastAsia="zh-CN"/>
                    </w:rPr>
                  </w:pPr>
                  <w:r>
                    <w:rPr>
                      <w:rFonts w:hint="eastAsia"/>
                      <w:color w:val="auto"/>
                      <w:sz w:val="21"/>
                      <w:szCs w:val="21"/>
                      <w:lang w:val="en-US" w:eastAsia="zh-CN"/>
                    </w:rPr>
                    <w:t>30cm石灰土（含灰量10%，重量比）</w:t>
                  </w:r>
                </w:p>
              </w:tc>
              <w:tc>
                <w:tcPr>
                  <w:tcW w:w="1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eastAsia="宋体"/>
                      <w:color w:val="auto"/>
                      <w:sz w:val="21"/>
                      <w:szCs w:val="21"/>
                      <w:lang w:val="en-US" w:eastAsia="zh-CN"/>
                    </w:rPr>
                  </w:pPr>
                  <w:r>
                    <w:rPr>
                      <w:rFonts w:hint="eastAsia"/>
                      <w:color w:val="auto"/>
                      <w:sz w:val="21"/>
                      <w:szCs w:val="21"/>
                      <w:lang w:val="en-US" w:eastAsia="zh-CN"/>
                    </w:rPr>
                    <w:t>20cm石灰土（含灰量10%，重量比）</w:t>
                  </w:r>
                </w:p>
              </w:tc>
              <w:tc>
                <w:tcPr>
                  <w:tcW w:w="1000" w:type="pct"/>
                  <w:tcBorders>
                    <w:tl2br w:val="nil"/>
                    <w:tr2bl w:val="nil"/>
                  </w:tcBorders>
                  <w:vAlign w:val="center"/>
                </w:tcPr>
                <w:p>
                  <w:pPr>
                    <w:autoSpaceDE w:val="0"/>
                    <w:autoSpaceDN w:val="0"/>
                    <w:bidi w:val="0"/>
                    <w:jc w:val="center"/>
                    <w:rPr>
                      <w:rFonts w:hint="eastAsia" w:ascii="Times New Roman" w:eastAsia="宋体"/>
                      <w:color w:val="auto"/>
                      <w:sz w:val="21"/>
                      <w:szCs w:val="21"/>
                      <w:lang w:val="en-US" w:eastAsia="zh-CN"/>
                    </w:rPr>
                  </w:pPr>
                  <w:r>
                    <w:rPr>
                      <w:rFonts w:hint="eastAsia"/>
                      <w:color w:val="auto"/>
                      <w:sz w:val="21"/>
                      <w:szCs w:val="21"/>
                      <w:lang w:val="en-US" w:eastAsia="zh-CN"/>
                    </w:rPr>
                    <w:t>15cm石灰土</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（9）新旧道路衔接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项目起点为下穿茶马大道桥，无现状道路，终点为泾河二街南段已经建成。其中现状泾河三街至泾河二街段红线宽20米，与本次道路规划不一致，且路基不满足本次设计要求，故将本段现状路包括泾惠渠桥梁段全部拆除重建，同时项目与已建成道路相交，为避免新旧路基搭接处产生不均匀沉降，将新建部分基层掺进旧路基层不小于50cm。开挖厚度保证新建部分基层与旧路结构层搭接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lang w:val="en-US" w:eastAsia="zh-CN"/>
              </w:rPr>
              <w:t>（10）</w:t>
            </w:r>
            <w:r>
              <w:rPr>
                <w:rFonts w:hint="default" w:ascii="Times New Roman" w:hAnsi="Times New Roman" w:cs="Times New Roman"/>
                <w:b w:val="0"/>
                <w:bCs w:val="0"/>
                <w:color w:val="auto"/>
                <w:sz w:val="24"/>
                <w:szCs w:val="24"/>
              </w:rPr>
              <w:t>路缘石设计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机动车道两侧设置乙式路缘石</w:t>
            </w:r>
            <w:r>
              <w:rPr>
                <w:rFonts w:hint="eastAsia" w:cs="Times New Roman"/>
                <w:color w:val="auto"/>
                <w:sz w:val="24"/>
                <w:szCs w:val="24"/>
                <w:lang w:eastAsia="zh-CN"/>
              </w:rPr>
              <w:t>（</w:t>
            </w:r>
            <w:r>
              <w:rPr>
                <w:rFonts w:hint="default" w:ascii="Times New Roman" w:hAnsi="Times New Roman" w:cs="Times New Roman"/>
                <w:color w:val="auto"/>
                <w:sz w:val="24"/>
                <w:szCs w:val="24"/>
              </w:rPr>
              <w:t>35×15×79cm</w:t>
            </w:r>
            <w:r>
              <w:rPr>
                <w:rFonts w:hint="eastAsia" w:cs="Times New Roman"/>
                <w:color w:val="auto"/>
                <w:sz w:val="24"/>
                <w:szCs w:val="24"/>
                <w:lang w:eastAsia="zh-CN"/>
              </w:rPr>
              <w:t>）</w:t>
            </w:r>
            <w:r>
              <w:rPr>
                <w:rFonts w:hint="default" w:ascii="Times New Roman" w:hAnsi="Times New Roman" w:cs="Times New Roman"/>
                <w:color w:val="auto"/>
                <w:sz w:val="24"/>
                <w:szCs w:val="24"/>
              </w:rPr>
              <w:t>；人行道外侧边缘及绿化带外侧边缘设置丙式路缘石</w:t>
            </w:r>
            <w:r>
              <w:rPr>
                <w:rFonts w:hint="eastAsia" w:cs="Times New Roman"/>
                <w:color w:val="auto"/>
                <w:sz w:val="24"/>
                <w:szCs w:val="24"/>
                <w:lang w:eastAsia="zh-CN"/>
              </w:rPr>
              <w:t>（</w:t>
            </w:r>
            <w:r>
              <w:rPr>
                <w:rFonts w:hint="default" w:ascii="Times New Roman" w:hAnsi="Times New Roman" w:cs="Times New Roman"/>
                <w:color w:val="auto"/>
                <w:sz w:val="24"/>
                <w:szCs w:val="24"/>
              </w:rPr>
              <w:t>25×10×64cm</w:t>
            </w:r>
            <w:r>
              <w:rPr>
                <w:rFonts w:hint="eastAsia" w:cs="Times New Roman"/>
                <w:color w:val="auto"/>
                <w:sz w:val="24"/>
                <w:szCs w:val="24"/>
                <w:lang w:eastAsia="zh-CN"/>
              </w:rPr>
              <w:t>）</w:t>
            </w:r>
            <w:r>
              <w:rPr>
                <w:rFonts w:hint="default" w:ascii="Times New Roman" w:hAnsi="Times New Roman" w:cs="Times New Roman"/>
                <w:color w:val="auto"/>
                <w:sz w:val="24"/>
                <w:szCs w:val="24"/>
              </w:rPr>
              <w:t>。乙式路缘石、丙式路缘石均采用芝麻灰花岗岩。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lang w:val="en-US" w:eastAsia="zh-CN"/>
              </w:rPr>
              <w:t>（11）</w:t>
            </w:r>
            <w:r>
              <w:rPr>
                <w:rFonts w:hint="default" w:ascii="Times New Roman" w:hAnsi="Times New Roman" w:cs="Times New Roman"/>
                <w:b w:val="0"/>
                <w:bCs w:val="0"/>
                <w:color w:val="auto"/>
                <w:sz w:val="24"/>
                <w:szCs w:val="24"/>
              </w:rPr>
              <w:t>无障碍设计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为方便残疾人出行，根据《无障碍设计规范》</w:t>
            </w:r>
            <w:r>
              <w:rPr>
                <w:rFonts w:hint="eastAsia" w:cs="Times New Roman"/>
                <w:color w:val="auto"/>
                <w:sz w:val="24"/>
                <w:szCs w:val="24"/>
                <w:lang w:eastAsia="zh-CN"/>
              </w:rPr>
              <w:t>（</w:t>
            </w:r>
            <w:r>
              <w:rPr>
                <w:rFonts w:hint="default" w:ascii="Times New Roman" w:hAnsi="Times New Roman" w:cs="Times New Roman"/>
                <w:color w:val="auto"/>
                <w:sz w:val="24"/>
                <w:szCs w:val="24"/>
              </w:rPr>
              <w:t>GB50763-2012</w:t>
            </w:r>
            <w:r>
              <w:rPr>
                <w:rFonts w:hint="eastAsia" w:cs="Times New Roman"/>
                <w:color w:val="auto"/>
                <w:sz w:val="24"/>
                <w:szCs w:val="24"/>
                <w:lang w:eastAsia="zh-CN"/>
              </w:rPr>
              <w:t>）</w:t>
            </w:r>
            <w:r>
              <w:rPr>
                <w:rFonts w:hint="default" w:ascii="Times New Roman" w:hAnsi="Times New Roman" w:cs="Times New Roman"/>
                <w:color w:val="auto"/>
                <w:sz w:val="24"/>
                <w:szCs w:val="24"/>
              </w:rPr>
              <w:t>进行无障碍设计。在道路范围内设置无障碍设施，具体范围包括人行道、人行横道、渠化岛。盲道的位置和走向，以方便视残者安全行走和顺利到达无障碍设施位置为目的。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盲道按作用分行进盲道、提示盲道，盲道的位置一般在人行道外边0.4m处，设置宽度为0.5m。提示盲道设在行进盲道的起、终点、人行横道入口和转弯处。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各种路口必须设置缘石坡道，根据路口形式正确选用各类全宽式缘石坡道，坡道下口宽度一般大于2m，坡度小于等于1:20，与车行道平齐。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pacing w:val="-29"/>
                <w:sz w:val="28"/>
                <w:szCs w:val="28"/>
              </w:rPr>
            </w:pPr>
            <w:r>
              <w:rPr>
                <w:rFonts w:hint="default" w:ascii="Times New Roman" w:hAnsi="Times New Roman" w:cs="Times New Roman"/>
                <w:color w:val="auto"/>
                <w:sz w:val="24"/>
                <w:szCs w:val="24"/>
              </w:rPr>
              <w:t>公交车站处在人行道对应的位置设置提示盲道与轮椅坡道，方便 残疾人士上下车。人行道上提示盲道与行进盲道连接提示盲道设置在行进盲道转折处，并在候车站牌一侧设提示盲道。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（12）公交车站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根据城市规划，结合道路两侧规划商业区、单位及居民分布情况，选择人流集中、方便换乘地段布设公共汽车停靠站。沿线设6对公交站，均为港湾式公交站，平均间距500m。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（13）人行天桥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szCs w:val="24"/>
                <w:lang w:val="en-US" w:eastAsia="zh-CN"/>
              </w:rPr>
            </w:pPr>
            <w:r>
              <w:rPr>
                <w:rFonts w:hint="eastAsia"/>
                <w:b w:val="0"/>
                <w:bCs w:val="0"/>
                <w:color w:val="auto"/>
                <w:sz w:val="24"/>
                <w:szCs w:val="24"/>
                <w:lang w:val="en-US" w:eastAsia="zh-CN"/>
              </w:rPr>
              <w:t>项目为区域主干路，为提高道路交通的流畅性，更大程度上实现人车分离，保障交通的通畅和行人的安全，在人群居住相对密集的路段设置一座人行天桥。根据道路两侧人群居住和人流量情况，在改建段（滨河三路-泾河二街）原泾惠渠（要废除）上方设置一座宽度4—5米的人行过街天桥，沟通南北两地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4</w:t>
            </w:r>
            <w:r>
              <w:rPr>
                <w:rFonts w:hint="eastAsia" w:ascii="Times New Roman" w:eastAsia="宋体"/>
                <w:b/>
                <w:bCs/>
                <w:color w:val="auto"/>
                <w:sz w:val="24"/>
                <w:szCs w:val="24"/>
                <w:lang w:val="en-US" w:eastAsia="zh-CN"/>
              </w:rPr>
              <w:t>、交叉工程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szCs w:val="24"/>
                <w:lang w:val="en-US" w:eastAsia="zh-CN"/>
              </w:rPr>
            </w:pPr>
            <w:r>
              <w:rPr>
                <w:rFonts w:hint="eastAsia"/>
                <w:b w:val="0"/>
                <w:bCs w:val="0"/>
                <w:color w:val="auto"/>
                <w:sz w:val="24"/>
                <w:szCs w:val="24"/>
                <w:lang w:val="en-US" w:eastAsia="zh-CN"/>
              </w:rPr>
              <w:t>道路全线共与10处道路交叉，其中5处灯控平交，4处右进右出，1处分离下穿；本次设计滨河北路与泾晨路交叉口对道路中分带进行压缩设置左转专用车道，对由东至西方向侧分带进行压缩设置右转专用车道，其他路口考虑被交路建设等级及景观绿化要求均不设展宽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5</w:t>
            </w:r>
            <w:r>
              <w:rPr>
                <w:rFonts w:hint="eastAsia" w:ascii="Times New Roman" w:eastAsia="宋体"/>
                <w:b/>
                <w:bCs/>
                <w:color w:val="auto"/>
                <w:sz w:val="24"/>
                <w:szCs w:val="24"/>
                <w:lang w:val="en-US" w:eastAsia="zh-CN"/>
              </w:rPr>
              <w:t>、管道工程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ascii="Times New Roman" w:eastAsia="宋体"/>
                <w:color w:val="auto"/>
                <w:sz w:val="24"/>
                <w:szCs w:val="24"/>
                <w:lang w:val="en-US" w:eastAsia="zh-CN"/>
              </w:rPr>
              <w:t>（1）给水管道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color w:val="auto"/>
                <w:sz w:val="24"/>
                <w:szCs w:val="24"/>
                <w:lang w:val="en-US" w:eastAsia="zh-CN"/>
              </w:rPr>
              <w:t>项目地</w:t>
            </w:r>
            <w:r>
              <w:rPr>
                <w:rFonts w:hint="eastAsia" w:ascii="Times New Roman" w:eastAsia="宋体"/>
                <w:color w:val="auto"/>
                <w:sz w:val="24"/>
                <w:szCs w:val="24"/>
                <w:lang w:val="en-US" w:eastAsia="zh-CN"/>
              </w:rPr>
              <w:t>内无现状给水管道。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相邻道路现状给水管</w:t>
            </w:r>
            <w:r>
              <w:rPr>
                <w:rFonts w:hint="eastAsia"/>
                <w:color w:val="auto"/>
                <w:sz w:val="24"/>
                <w:szCs w:val="24"/>
                <w:lang w:val="en-US" w:eastAsia="zh-CN"/>
              </w:rPr>
              <w:t>：</w:t>
            </w:r>
            <w:r>
              <w:rPr>
                <w:rFonts w:hint="eastAsia" w:ascii="Times New Roman" w:eastAsia="宋体"/>
                <w:color w:val="auto"/>
                <w:sz w:val="24"/>
                <w:szCs w:val="24"/>
                <w:lang w:val="en-US" w:eastAsia="zh-CN"/>
              </w:rPr>
              <w:t>茶马大道</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泾河大道</w:t>
            </w:r>
            <w:r>
              <w:rPr>
                <w:rFonts w:hint="eastAsia"/>
                <w:color w:val="auto"/>
                <w:sz w:val="24"/>
                <w:szCs w:val="24"/>
                <w:lang w:val="en-US" w:eastAsia="zh-CN"/>
              </w:rPr>
              <w:t>～</w:t>
            </w:r>
            <w:r>
              <w:rPr>
                <w:rFonts w:hint="eastAsia" w:ascii="Times New Roman" w:eastAsia="宋体"/>
                <w:color w:val="auto"/>
                <w:sz w:val="24"/>
                <w:szCs w:val="24"/>
                <w:lang w:val="en-US" w:eastAsia="zh-CN"/>
              </w:rPr>
              <w:t>滨河北路</w:t>
            </w:r>
            <w:r>
              <w:rPr>
                <w:rFonts w:hint="eastAsia" w:cs="Times New Roman"/>
                <w:color w:val="auto"/>
                <w:sz w:val="24"/>
                <w:szCs w:val="24"/>
                <w:lang w:eastAsia="zh-CN"/>
              </w:rPr>
              <w:t>）</w:t>
            </w:r>
            <w:r>
              <w:rPr>
                <w:rFonts w:hint="eastAsia" w:ascii="Times New Roman" w:eastAsia="宋体"/>
                <w:color w:val="auto"/>
                <w:sz w:val="24"/>
                <w:szCs w:val="24"/>
                <w:lang w:val="en-US" w:eastAsia="zh-CN"/>
              </w:rPr>
              <w:t>路东西</w:t>
            </w:r>
            <w:r>
              <w:rPr>
                <w:rFonts w:hint="eastAsia"/>
                <w:color w:val="auto"/>
                <w:sz w:val="24"/>
                <w:szCs w:val="24"/>
                <w:lang w:val="en-US" w:eastAsia="zh-CN"/>
              </w:rPr>
              <w:t>两侧</w:t>
            </w:r>
            <w:r>
              <w:rPr>
                <w:rFonts w:hint="eastAsia" w:ascii="Times New Roman" w:eastAsia="宋体"/>
                <w:color w:val="auto"/>
                <w:sz w:val="24"/>
                <w:szCs w:val="24"/>
                <w:lang w:val="en-US" w:eastAsia="zh-CN"/>
              </w:rPr>
              <w:t>各敷设1根DN300给水管，滨河三路</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泾河大道</w:t>
            </w:r>
            <w:r>
              <w:rPr>
                <w:rFonts w:hint="eastAsia"/>
                <w:color w:val="auto"/>
                <w:sz w:val="24"/>
                <w:szCs w:val="24"/>
                <w:lang w:val="en-US" w:eastAsia="zh-CN"/>
              </w:rPr>
              <w:t>～</w:t>
            </w:r>
            <w:r>
              <w:rPr>
                <w:rFonts w:hint="eastAsia" w:ascii="Times New Roman" w:eastAsia="宋体"/>
                <w:color w:val="auto"/>
                <w:sz w:val="24"/>
                <w:szCs w:val="24"/>
                <w:lang w:val="en-US" w:eastAsia="zh-CN"/>
              </w:rPr>
              <w:t>滨河北路</w:t>
            </w:r>
            <w:r>
              <w:rPr>
                <w:rFonts w:hint="eastAsia" w:cs="Times New Roman"/>
                <w:color w:val="auto"/>
                <w:sz w:val="24"/>
                <w:szCs w:val="24"/>
                <w:lang w:eastAsia="zh-CN"/>
              </w:rPr>
              <w:t>）</w:t>
            </w:r>
            <w:r>
              <w:rPr>
                <w:rFonts w:hint="eastAsia" w:ascii="Times New Roman" w:eastAsia="宋体"/>
                <w:color w:val="auto"/>
                <w:sz w:val="24"/>
                <w:szCs w:val="24"/>
                <w:lang w:val="en-US" w:eastAsia="zh-CN"/>
              </w:rPr>
              <w:t>敷设有DN300给水管1根。泾河大道</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茶马大道</w:t>
            </w:r>
            <w:r>
              <w:rPr>
                <w:rFonts w:hint="eastAsia"/>
                <w:color w:val="auto"/>
                <w:sz w:val="24"/>
                <w:szCs w:val="24"/>
                <w:lang w:val="en-US" w:eastAsia="zh-CN"/>
              </w:rPr>
              <w:t>～</w:t>
            </w:r>
            <w:r>
              <w:rPr>
                <w:rFonts w:hint="eastAsia" w:ascii="Times New Roman" w:eastAsia="宋体"/>
                <w:color w:val="auto"/>
                <w:sz w:val="24"/>
                <w:szCs w:val="24"/>
                <w:lang w:val="en-US" w:eastAsia="zh-CN"/>
              </w:rPr>
              <w:t>环湖东路东侧</w:t>
            </w:r>
            <w:r>
              <w:rPr>
                <w:rFonts w:hint="eastAsia" w:cs="Times New Roman"/>
                <w:color w:val="auto"/>
                <w:sz w:val="24"/>
                <w:szCs w:val="24"/>
                <w:lang w:eastAsia="zh-CN"/>
              </w:rPr>
              <w:t>）</w:t>
            </w:r>
            <w:r>
              <w:rPr>
                <w:rFonts w:hint="eastAsia" w:ascii="Times New Roman" w:eastAsia="宋体"/>
                <w:color w:val="auto"/>
                <w:sz w:val="24"/>
                <w:szCs w:val="24"/>
                <w:lang w:val="en-US" w:eastAsia="zh-CN"/>
              </w:rPr>
              <w:t>路南北侧各敷设1根DN600给水管，泾河大道</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环湖东路东侧</w:t>
            </w:r>
            <w:r>
              <w:rPr>
                <w:rFonts w:hint="eastAsia"/>
                <w:color w:val="auto"/>
                <w:sz w:val="24"/>
                <w:szCs w:val="24"/>
                <w:lang w:val="en-US" w:eastAsia="zh-CN"/>
              </w:rPr>
              <w:t>～</w:t>
            </w:r>
            <w:r>
              <w:rPr>
                <w:rFonts w:hint="eastAsia" w:ascii="Times New Roman" w:eastAsia="宋体"/>
                <w:color w:val="auto"/>
                <w:sz w:val="24"/>
                <w:szCs w:val="24"/>
                <w:lang w:val="en-US" w:eastAsia="zh-CN"/>
              </w:rPr>
              <w:t>崇文塔北路西侧</w:t>
            </w:r>
            <w:r>
              <w:rPr>
                <w:rFonts w:hint="eastAsia" w:cs="Times New Roman"/>
                <w:color w:val="auto"/>
                <w:sz w:val="24"/>
                <w:szCs w:val="24"/>
                <w:lang w:eastAsia="zh-CN"/>
              </w:rPr>
              <w:t>）</w:t>
            </w:r>
            <w:r>
              <w:rPr>
                <w:rFonts w:hint="eastAsia" w:ascii="Times New Roman" w:eastAsia="宋体"/>
                <w:color w:val="auto"/>
                <w:sz w:val="24"/>
                <w:szCs w:val="24"/>
                <w:lang w:val="en-US" w:eastAsia="zh-CN"/>
              </w:rPr>
              <w:t>敷设有1根DN800的给水管。茶马大道</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高泾大道</w:t>
            </w:r>
            <w:r>
              <w:rPr>
                <w:rFonts w:hint="eastAsia"/>
                <w:color w:val="auto"/>
                <w:sz w:val="24"/>
                <w:szCs w:val="24"/>
                <w:lang w:val="en-US" w:eastAsia="zh-CN"/>
              </w:rPr>
              <w:t>～</w:t>
            </w:r>
            <w:r>
              <w:rPr>
                <w:rFonts w:hint="eastAsia" w:ascii="Times New Roman" w:eastAsia="宋体"/>
                <w:color w:val="auto"/>
                <w:sz w:val="24"/>
                <w:szCs w:val="24"/>
                <w:lang w:val="en-US" w:eastAsia="zh-CN"/>
              </w:rPr>
              <w:t>泾河大桥北端</w:t>
            </w:r>
            <w:r>
              <w:rPr>
                <w:rFonts w:hint="eastAsia" w:cs="Times New Roman"/>
                <w:color w:val="auto"/>
                <w:sz w:val="24"/>
                <w:szCs w:val="24"/>
                <w:lang w:eastAsia="zh-CN"/>
              </w:rPr>
              <w:t>）</w:t>
            </w:r>
            <w:r>
              <w:rPr>
                <w:rFonts w:hint="eastAsia" w:ascii="Times New Roman" w:eastAsia="宋体"/>
                <w:color w:val="auto"/>
                <w:sz w:val="24"/>
                <w:szCs w:val="24"/>
                <w:lang w:val="en-US" w:eastAsia="zh-CN"/>
              </w:rPr>
              <w:t>已建DN600给水管2根，茶马大道</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泾河湾</w:t>
            </w:r>
            <w:r>
              <w:rPr>
                <w:rFonts w:hint="eastAsia"/>
                <w:color w:val="auto"/>
                <w:sz w:val="24"/>
                <w:szCs w:val="24"/>
                <w:lang w:val="en-US" w:eastAsia="zh-CN"/>
              </w:rPr>
              <w:t>～</w:t>
            </w:r>
            <w:r>
              <w:rPr>
                <w:rFonts w:hint="eastAsia" w:ascii="Times New Roman" w:eastAsia="宋体"/>
                <w:color w:val="auto"/>
                <w:sz w:val="24"/>
                <w:szCs w:val="24"/>
                <w:lang w:val="en-US" w:eastAsia="zh-CN"/>
              </w:rPr>
              <w:t>乐华路</w:t>
            </w:r>
            <w:r>
              <w:rPr>
                <w:rFonts w:hint="eastAsia" w:cs="Times New Roman"/>
                <w:color w:val="auto"/>
                <w:sz w:val="24"/>
                <w:szCs w:val="24"/>
                <w:lang w:eastAsia="zh-CN"/>
              </w:rPr>
              <w:t>）</w:t>
            </w:r>
            <w:r>
              <w:rPr>
                <w:rFonts w:hint="eastAsia" w:ascii="Times New Roman" w:eastAsia="宋体"/>
                <w:color w:val="auto"/>
                <w:sz w:val="24"/>
                <w:szCs w:val="24"/>
                <w:lang w:val="en-US" w:eastAsia="zh-CN"/>
              </w:rPr>
              <w:t>为双排DN300给水管，其中跨泾河大桥段明敷于大桥两侧检修道下。泾晨路</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泾河大道以北</w:t>
            </w:r>
            <w:r>
              <w:rPr>
                <w:rFonts w:hint="eastAsia" w:cs="Times New Roman"/>
                <w:color w:val="auto"/>
                <w:sz w:val="24"/>
                <w:szCs w:val="24"/>
                <w:lang w:eastAsia="zh-CN"/>
              </w:rPr>
              <w:t>）</w:t>
            </w:r>
            <w:r>
              <w:rPr>
                <w:rFonts w:hint="eastAsia" w:ascii="Times New Roman" w:eastAsia="宋体"/>
                <w:color w:val="auto"/>
                <w:sz w:val="24"/>
                <w:szCs w:val="24"/>
                <w:lang w:val="en-US" w:eastAsia="zh-CN"/>
              </w:rPr>
              <w:t>已建DN300给水管1根。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给水管道设计方案</w:t>
            </w:r>
            <w:r>
              <w:rPr>
                <w:rFonts w:hint="eastAsia"/>
                <w:color w:val="auto"/>
                <w:sz w:val="24"/>
                <w:szCs w:val="24"/>
                <w:lang w:val="en-US" w:eastAsia="zh-CN"/>
              </w:rPr>
              <w:t>：</w:t>
            </w:r>
            <w:r>
              <w:rPr>
                <w:rFonts w:hint="eastAsia" w:ascii="Times New Roman" w:eastAsia="宋体"/>
                <w:color w:val="auto"/>
                <w:sz w:val="24"/>
                <w:szCs w:val="24"/>
                <w:lang w:val="en-US" w:eastAsia="zh-CN"/>
              </w:rPr>
              <w:t>该片区西边引水自规划水厂，东边引水</w:t>
            </w:r>
            <w:r>
              <w:rPr>
                <w:rFonts w:hint="eastAsia" w:ascii="Times New Roman" w:eastAsia="宋体"/>
                <w:color w:val="auto"/>
                <w:sz w:val="24"/>
                <w:szCs w:val="24"/>
                <w:highlight w:val="none"/>
                <w:lang w:val="en-US" w:eastAsia="zh-CN"/>
              </w:rPr>
              <w:t>自西安市给水管</w:t>
            </w:r>
            <w:r>
              <w:rPr>
                <w:rFonts w:hint="eastAsia" w:ascii="Times New Roman" w:eastAsia="宋体"/>
                <w:color w:val="auto"/>
                <w:sz w:val="24"/>
                <w:szCs w:val="24"/>
                <w:lang w:val="en-US" w:eastAsia="zh-CN"/>
              </w:rPr>
              <w:t>网，四周由茶马大道、泾河大道给水干管连接成环，设计管径DN300。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现状滨河北路与泾河三街段给水管道，与新建规划的横截面不同，为保持一致，需将此段给水管道改迁，原给水管道废除。</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eastAsia="宋体"/>
                <w:color w:val="auto"/>
                <w:sz w:val="24"/>
                <w:szCs w:val="24"/>
                <w:lang w:val="en-US" w:eastAsia="zh-CN"/>
              </w:rPr>
            </w:pPr>
            <w:r>
              <w:rPr>
                <w:rFonts w:hint="eastAsia" w:ascii="Times New Roman" w:eastAsia="宋体"/>
                <w:color w:val="auto"/>
                <w:sz w:val="24"/>
                <w:szCs w:val="24"/>
                <w:lang w:val="en-US" w:eastAsia="zh-CN"/>
              </w:rPr>
              <w:t>（2）雨水管道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依据规范道路红线宽度超过40米的城市干道宜双侧布置排水管线，但考虑滨河北路的滨河特点，雨水管道采取单管布置。依据《陕西省西咸新区泾河新城雨水专项规划》</w:t>
            </w:r>
            <w:r>
              <w:rPr>
                <w:rFonts w:hint="eastAsia"/>
                <w:b w:val="0"/>
                <w:bCs w:val="0"/>
                <w:color w:val="auto"/>
                <w:sz w:val="24"/>
                <w:szCs w:val="24"/>
                <w:lang w:val="en-US" w:eastAsia="zh-CN"/>
              </w:rPr>
              <w:t>（</w:t>
            </w:r>
            <w:r>
              <w:rPr>
                <w:rFonts w:hint="eastAsia" w:ascii="Times New Roman" w:eastAsia="宋体"/>
                <w:color w:val="auto"/>
                <w:sz w:val="24"/>
                <w:szCs w:val="24"/>
                <w:lang w:val="en-US" w:eastAsia="zh-CN"/>
              </w:rPr>
              <w:t>2021.02</w:t>
            </w:r>
            <w:r>
              <w:rPr>
                <w:rFonts w:hint="eastAsia" w:cs="Times New Roman"/>
                <w:color w:val="auto"/>
                <w:sz w:val="24"/>
                <w:szCs w:val="24"/>
                <w:lang w:eastAsia="zh-CN"/>
              </w:rPr>
              <w:t>）</w:t>
            </w:r>
            <w:r>
              <w:rPr>
                <w:rFonts w:hint="eastAsia" w:ascii="Times New Roman" w:eastAsia="宋体"/>
                <w:color w:val="auto"/>
                <w:sz w:val="24"/>
                <w:szCs w:val="24"/>
                <w:lang w:val="en-US" w:eastAsia="zh-CN"/>
              </w:rPr>
              <w:t>，滨河北路雨水分段排入茶马大道、泾晨路南段、泾河二街雨水管道中，最终排至4、5、6#排出口，最终排入泾河。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茶马大道</w:t>
            </w:r>
            <w:r>
              <w:rPr>
                <w:rFonts w:hint="eastAsia"/>
                <w:color w:val="auto"/>
                <w:sz w:val="24"/>
                <w:szCs w:val="24"/>
                <w:lang w:val="en-US" w:eastAsia="zh-CN"/>
              </w:rPr>
              <w:t>～</w:t>
            </w:r>
            <w:r>
              <w:rPr>
                <w:rFonts w:hint="eastAsia" w:ascii="Times New Roman" w:eastAsia="宋体"/>
                <w:color w:val="auto"/>
                <w:sz w:val="24"/>
                <w:szCs w:val="24"/>
                <w:lang w:val="en-US" w:eastAsia="zh-CN"/>
              </w:rPr>
              <w:t>泾晨路南段，设计管径d600~d1500，沿途接纳环湖路西段、规划路、泾河七街泾河六街，自东向西排入茶马大道现状d2200雨水管；泾晨路南段</w:t>
            </w:r>
            <w:r>
              <w:rPr>
                <w:rFonts w:hint="eastAsia"/>
                <w:color w:val="auto"/>
                <w:sz w:val="24"/>
                <w:szCs w:val="24"/>
                <w:lang w:val="en-US" w:eastAsia="zh-CN"/>
              </w:rPr>
              <w:t>～</w:t>
            </w:r>
            <w:r>
              <w:rPr>
                <w:rFonts w:hint="eastAsia" w:ascii="Times New Roman" w:eastAsia="宋体"/>
                <w:color w:val="auto"/>
                <w:sz w:val="24"/>
                <w:szCs w:val="24"/>
                <w:lang w:val="en-US" w:eastAsia="zh-CN"/>
              </w:rPr>
              <w:t>泾河五街，设计管径d800，自东向西排入泾晨路南段同期设计雨水管d24000雨水管；泾河五街</w:t>
            </w:r>
            <w:r>
              <w:rPr>
                <w:rFonts w:hint="eastAsia"/>
                <w:color w:val="auto"/>
                <w:sz w:val="24"/>
                <w:szCs w:val="24"/>
                <w:lang w:val="en-US" w:eastAsia="zh-CN"/>
              </w:rPr>
              <w:t>～</w:t>
            </w:r>
            <w:r>
              <w:rPr>
                <w:rFonts w:hint="eastAsia" w:ascii="Times New Roman" w:eastAsia="宋体"/>
                <w:color w:val="auto"/>
                <w:sz w:val="24"/>
                <w:szCs w:val="24"/>
                <w:lang w:val="en-US" w:eastAsia="zh-CN"/>
              </w:rPr>
              <w:t>泾河二街，设计管径d1200，沿途接纳泾河三街，自西向东排入现状泾河二街d3000雨水管。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泾惠渠废除后东侧现状管已无下游，拟在道路南侧新建雨水管道转输北侧及上游雨水。综上，泾惠渠两侧雨水管道保留。</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eastAsia="宋体"/>
                <w:color w:val="auto"/>
                <w:sz w:val="24"/>
                <w:szCs w:val="24"/>
                <w:lang w:val="en-US" w:eastAsia="zh-CN"/>
              </w:rPr>
            </w:pPr>
            <w:r>
              <w:rPr>
                <w:rFonts w:hint="eastAsia"/>
                <w:b w:val="0"/>
                <w:bCs/>
                <w:color w:val="auto"/>
                <w:sz w:val="24"/>
                <w:szCs w:val="24"/>
                <w:lang w:val="en-US" w:eastAsia="zh-CN"/>
              </w:rPr>
              <w:t>污水</w:t>
            </w:r>
            <w:r>
              <w:rPr>
                <w:rFonts w:hint="eastAsia" w:ascii="Times New Roman" w:eastAsia="宋体"/>
                <w:color w:val="auto"/>
                <w:sz w:val="24"/>
                <w:szCs w:val="24"/>
                <w:lang w:val="en-US" w:eastAsia="zh-CN"/>
              </w:rPr>
              <w:t>管道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滨河北路污水通过泾河二街转输至正阳大道污水主干管；最终沿物流四路排至第二污水处理厂。同时改建段污水全部利用。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环湖路西段～泾河二街，设计管径DN600，通过泾河二街转输至正阳大道污水主干管；最终沿物流四路排至第二污水处理厂。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泾惠渠西侧污水管道流向与规划流向相反，考虑废除；泾惠渠东侧现状污水管道起点管内底标高为378.798，设计管内底为377.504，高于设计高程1.3m，无法顺接上游污水，该段管道考虑现状利用为收集本段道路北侧用户污水，不负责转输上游污水。本次方案拟在道路南侧新建污水主管道收集本段及上游转输污水，经计算需将上游污水坡度由0.001，调整为0.0008，可重力流接入泾河二街污水管道中。</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b w:val="0"/>
                <w:bCs/>
                <w:color w:val="auto"/>
                <w:sz w:val="24"/>
                <w:szCs w:val="24"/>
                <w:lang w:val="en-US" w:eastAsia="zh-CN"/>
              </w:rPr>
            </w:pPr>
            <w:r>
              <w:rPr>
                <w:rFonts w:hint="eastAsia"/>
                <w:b w:val="0"/>
                <w:bCs/>
                <w:color w:val="auto"/>
                <w:sz w:val="24"/>
                <w:szCs w:val="24"/>
                <w:lang w:val="en-US" w:eastAsia="zh-CN"/>
              </w:rPr>
              <w:t>（4）供配电设计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本项目设置2处箱式变电站用于道路照明，箱变中预留规划相交道路照明、景观照明、公共系统、交通监控及移动基站等容量，并且考虑后期信息发布屏等信息设施。箱变设计容量分别为250KVA。箱变10KV电源由当地供电局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路灯线缆采用YJHLV铝合金线缆，外穿4</w:t>
            </w:r>
            <w:r>
              <w:rPr>
                <w:rFonts w:hint="default" w:ascii="Arial" w:hAnsi="Arial" w:eastAsia="宋体" w:cs="Arial"/>
                <w:b w:val="0"/>
                <w:bCs/>
                <w:color w:val="auto"/>
                <w:sz w:val="24"/>
                <w:szCs w:val="24"/>
                <w:lang w:val="en-US" w:eastAsia="zh-CN"/>
              </w:rPr>
              <w:t>×</w:t>
            </w:r>
            <w:r>
              <w:rPr>
                <w:rFonts w:hint="eastAsia" w:ascii="Times New Roman" w:eastAsia="宋体"/>
                <w:b w:val="0"/>
                <w:bCs/>
                <w:color w:val="auto"/>
                <w:sz w:val="24"/>
                <w:szCs w:val="24"/>
                <w:lang w:val="en-US" w:eastAsia="zh-CN"/>
              </w:rPr>
              <w:t>PE90管埋地敷设，过道路横穿时采用100外径的纤维编绕拉挤管保护。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主电缆与路灯支线连接采用路灯专用电缆接线盒EKM2050，灯杆检修门内电缆接线盒上安装微型断路器带剩余电流</w:t>
            </w:r>
            <w:r>
              <w:rPr>
                <w:rFonts w:hint="eastAsia"/>
                <w:b w:val="0"/>
                <w:bCs/>
                <w:color w:val="auto"/>
                <w:sz w:val="24"/>
                <w:szCs w:val="24"/>
                <w:lang w:val="en-US" w:eastAsia="zh-CN"/>
              </w:rPr>
              <w:t>保护</w:t>
            </w:r>
            <w:r>
              <w:rPr>
                <w:rFonts w:hint="eastAsia" w:ascii="Times New Roman" w:eastAsia="宋体"/>
                <w:b w:val="0"/>
                <w:bCs/>
                <w:color w:val="auto"/>
                <w:sz w:val="24"/>
                <w:szCs w:val="24"/>
                <w:lang w:val="en-US" w:eastAsia="zh-CN"/>
              </w:rPr>
              <w:t>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由灯杆底部电缆接线盒引至双臂路灯的线路为</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2</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FVL-2×2.5+BV-2.5</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；引至中杆灯的线路为</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FVL-2×4+BV-4</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；路灯线路在人行道敷设时，线路位置结合路灯基础和接线方式综合考虑，并预留50m4×PE90保护管供后期移动基站等电缆敷设。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b w:val="0"/>
                <w:bCs/>
                <w:color w:val="auto"/>
                <w:sz w:val="24"/>
                <w:szCs w:val="24"/>
                <w:lang w:val="en-US" w:eastAsia="zh-CN"/>
              </w:rPr>
              <w:t>（5）</w:t>
            </w:r>
            <w:r>
              <w:rPr>
                <w:rFonts w:hint="eastAsia" w:ascii="Times New Roman" w:eastAsia="宋体"/>
                <w:b w:val="0"/>
                <w:bCs/>
                <w:color w:val="auto"/>
                <w:sz w:val="24"/>
                <w:szCs w:val="24"/>
                <w:lang w:val="en-US" w:eastAsia="zh-CN"/>
              </w:rPr>
              <w:t>路灯布置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本次路灯设计采用多杆合一</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与交通标志牌、信号灯系统合杆</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，在分隔带对称设置12米高景观型路灯，路灯设置间距36</w:t>
            </w:r>
            <w:r>
              <w:rPr>
                <w:rFonts w:hint="eastAsia"/>
                <w:b w:val="0"/>
                <w:bCs/>
                <w:color w:val="auto"/>
                <w:sz w:val="24"/>
                <w:szCs w:val="24"/>
                <w:lang w:val="en-US" w:eastAsia="zh-CN"/>
              </w:rPr>
              <w:t>～</w:t>
            </w:r>
            <w:r>
              <w:rPr>
                <w:rFonts w:hint="eastAsia" w:ascii="Times New Roman" w:eastAsia="宋体"/>
                <w:b w:val="0"/>
                <w:bCs/>
                <w:color w:val="auto"/>
                <w:sz w:val="24"/>
                <w:szCs w:val="24"/>
                <w:lang w:val="en-US" w:eastAsia="zh-CN"/>
              </w:rPr>
              <w:t>40米，车行道侧功率为200W，非机动车道侧功率为120W，灯杆中心距车行道路缘石1.0米；在人行道布置5米高步道灯，路灯间距约为20米，灯具功率为60W；道路平交口采用14米高景观型路灯，灯具功率为3×315W，路灯配光均采用截光型灯具，每座路灯设置接线井与电缆连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b w:val="0"/>
                <w:bCs/>
                <w:color w:val="auto"/>
                <w:sz w:val="24"/>
                <w:szCs w:val="24"/>
                <w:lang w:val="en-US" w:eastAsia="zh-CN"/>
              </w:rPr>
              <w:t>（6）电力工程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电力工程电缆过路采用6×φ200 BWFRP纤维编绕拉挤管，沿线路每隔40米设置一处电力检查井。电缆支架采用热镀锌角钢，电缆接地采用40×4的镀锌扁钢将沟内所有支架焊接联通，最后与接地干线接地网联。焊接时三面施焊，在焊口处刷防锈漆。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eastAsia="宋体"/>
                <w:b w:val="0"/>
                <w:bCs/>
                <w:color w:val="auto"/>
                <w:sz w:val="24"/>
                <w:szCs w:val="24"/>
                <w:lang w:val="en-US" w:eastAsia="zh-CN"/>
              </w:rPr>
            </w:pPr>
            <w:r>
              <w:rPr>
                <w:rFonts w:hint="eastAsia" w:ascii="Times New Roman" w:eastAsia="宋体"/>
                <w:b w:val="0"/>
                <w:bCs/>
                <w:color w:val="auto"/>
                <w:sz w:val="24"/>
                <w:szCs w:val="24"/>
                <w:lang w:val="en-US" w:eastAsia="zh-CN"/>
              </w:rPr>
              <w:t>本次设计电力管沟布置在道路北侧人行道下，管沟中心线距道路中心线29.5米，平行于道路中心线</w:t>
            </w:r>
            <w:r>
              <w:rPr>
                <w:rFonts w:hint="eastAsia" w:ascii="Times New Roman" w:eastAsia="宋体"/>
                <w:b w:val="0"/>
                <w:bCs/>
                <w:color w:val="auto"/>
                <w:sz w:val="24"/>
                <w:szCs w:val="24"/>
                <w:lang w:val="en-US" w:eastAsia="zh-CN"/>
              </w:rPr>
              <w:t>。本项目与区域路网、水系、管网的关系</w:t>
            </w:r>
            <w:r>
              <w:rPr>
                <w:rFonts w:hint="eastAsia"/>
                <w:b w:val="0"/>
                <w:bCs/>
                <w:color w:val="auto"/>
                <w:sz w:val="24"/>
                <w:szCs w:val="24"/>
                <w:lang w:val="en-US" w:eastAsia="zh-CN"/>
              </w:rPr>
              <w:t>见附图</w:t>
            </w:r>
            <w:r>
              <w:rPr>
                <w:rFonts w:hint="eastAsia" w:ascii="Times New Roman" w:eastAsia="宋体"/>
                <w:b w:val="0"/>
                <w:bCs/>
                <w:color w:val="auto"/>
                <w:sz w:val="24"/>
                <w:szCs w:val="24"/>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5</w:t>
            </w:r>
            <w:r>
              <w:rPr>
                <w:rFonts w:hint="eastAsia" w:ascii="Times New Roman" w:eastAsia="宋体"/>
                <w:b/>
                <w:bCs/>
                <w:color w:val="auto"/>
                <w:sz w:val="24"/>
                <w:szCs w:val="24"/>
                <w:lang w:val="en-US" w:eastAsia="zh-CN"/>
              </w:rPr>
              <w:t>、交通工程</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textAlignment w:val="auto"/>
              <w:rPr>
                <w:rFonts w:hint="eastAsia"/>
                <w:color w:val="auto"/>
                <w:sz w:val="24"/>
                <w:szCs w:val="24"/>
                <w:lang w:val="en-US" w:eastAsia="zh-CN"/>
              </w:rPr>
            </w:pPr>
            <w:r>
              <w:rPr>
                <w:rFonts w:hint="eastAsia" w:ascii="Times New Roman" w:eastAsia="宋体"/>
                <w:color w:val="auto"/>
                <w:sz w:val="24"/>
                <w:szCs w:val="24"/>
                <w:lang w:val="en-US" w:eastAsia="zh-CN"/>
              </w:rPr>
              <w:t>（1）标志</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textAlignment w:val="auto"/>
              <w:rPr>
                <w:rFonts w:hint="eastAsia"/>
                <w:color w:val="auto"/>
                <w:sz w:val="24"/>
                <w:szCs w:val="24"/>
                <w:lang w:val="en-US" w:eastAsia="zh-CN"/>
              </w:rPr>
            </w:pPr>
            <w:r>
              <w:rPr>
                <w:rFonts w:hint="eastAsia" w:ascii="Times New Roman" w:eastAsia="宋体"/>
                <w:color w:val="auto"/>
                <w:sz w:val="24"/>
                <w:szCs w:val="24"/>
                <w:lang w:val="en-US" w:eastAsia="zh-CN"/>
              </w:rPr>
              <w:t>沿线设置交叉口告知标志、人行横道标志、非机动车道及机动车道指示标志、限速标志、行人横道指示标志、注意行人标志、让行标志、禁停标志等。</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textAlignment w:val="auto"/>
              <w:rPr>
                <w:rFonts w:hint="eastAsia"/>
                <w:color w:val="auto"/>
                <w:sz w:val="24"/>
                <w:szCs w:val="24"/>
                <w:lang w:val="en-US" w:eastAsia="zh-CN"/>
              </w:rPr>
            </w:pPr>
            <w:r>
              <w:rPr>
                <w:rFonts w:hint="eastAsia" w:ascii="Times New Roman" w:eastAsia="宋体"/>
                <w:color w:val="auto"/>
                <w:sz w:val="24"/>
                <w:szCs w:val="24"/>
                <w:lang w:val="en-US" w:eastAsia="zh-CN"/>
              </w:rPr>
              <w:t>沿线交通标志建议可采用主动发光标志，标志结构杆件设计均采用“多杆合一”，与照明灯杆进行合设。同时设置公交专用道并采用彩色沥青罩面。</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textAlignment w:val="auto"/>
              <w:rPr>
                <w:rFonts w:hint="eastAsia"/>
                <w:color w:val="auto"/>
                <w:sz w:val="24"/>
                <w:szCs w:val="24"/>
                <w:lang w:val="en-US" w:eastAsia="zh-CN"/>
              </w:rPr>
            </w:pPr>
            <w:r>
              <w:rPr>
                <w:rFonts w:hint="eastAsia" w:ascii="Times New Roman" w:eastAsia="宋体"/>
                <w:color w:val="auto"/>
                <w:sz w:val="24"/>
                <w:szCs w:val="24"/>
                <w:lang w:val="en-US" w:eastAsia="zh-CN"/>
              </w:rPr>
              <w:t>（2）标线</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textAlignment w:val="auto"/>
              <w:rPr>
                <w:rFonts w:hint="default"/>
                <w:color w:val="auto"/>
                <w:sz w:val="24"/>
                <w:szCs w:val="24"/>
                <w:lang w:val="en-US" w:eastAsia="zh-CN"/>
              </w:rPr>
            </w:pPr>
            <w:r>
              <w:rPr>
                <w:rFonts w:hint="eastAsia" w:ascii="Times New Roman" w:eastAsia="宋体"/>
                <w:color w:val="auto"/>
                <w:sz w:val="24"/>
                <w:szCs w:val="24"/>
                <w:lang w:val="en-US" w:eastAsia="zh-CN"/>
              </w:rPr>
              <w:t>本项目沿线设置车行道边缘线、同向车行道</w:t>
            </w:r>
            <w:r>
              <w:rPr>
                <w:rFonts w:hint="eastAsia"/>
                <w:color w:val="auto"/>
                <w:sz w:val="24"/>
                <w:szCs w:val="24"/>
                <w:lang w:val="en-US" w:eastAsia="zh-CN"/>
              </w:rPr>
              <w:t>分界线</w:t>
            </w:r>
            <w:r>
              <w:rPr>
                <w:rFonts w:hint="eastAsia" w:ascii="Times New Roman" w:eastAsia="宋体"/>
                <w:color w:val="auto"/>
                <w:sz w:val="24"/>
                <w:szCs w:val="24"/>
                <w:lang w:val="en-US" w:eastAsia="zh-CN"/>
              </w:rPr>
              <w:t>（2-4线）、公交专用道标线及地面文字、导向车道线、人行横道线、导向箭头、让行标线、行人过街二次等待区、地面标识、彩色沥青罩面等。</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6</w:t>
            </w:r>
            <w:r>
              <w:rPr>
                <w:rFonts w:hint="eastAsia" w:ascii="Times New Roman" w:eastAsia="宋体"/>
                <w:b/>
                <w:bCs/>
                <w:color w:val="auto"/>
                <w:sz w:val="24"/>
                <w:szCs w:val="24"/>
                <w:lang w:val="en-US" w:eastAsia="zh-CN"/>
              </w:rPr>
              <w:t>、绿化工程</w:t>
            </w:r>
          </w:p>
          <w:p>
            <w:pPr>
              <w:keepNext w:val="0"/>
              <w:keepLines w:val="0"/>
              <w:pageBreakBefore w:val="0"/>
              <w:widowControl w:val="0"/>
              <w:kinsoku/>
              <w:wordWrap w:val="0"/>
              <w:overflowPunct/>
              <w:topLinePunct w:val="0"/>
              <w:autoSpaceDE/>
              <w:autoSpaceDN/>
              <w:bidi w:val="0"/>
              <w:adjustRightInd w:val="0"/>
              <w:snapToGrid w:val="0"/>
              <w:spacing w:before="0" w:beforeLines="0" w:line="360" w:lineRule="auto"/>
              <w:ind w:firstLine="480" w:firstLineChars="200"/>
              <w:textAlignment w:val="auto"/>
              <w:rPr>
                <w:rFonts w:hint="eastAsia"/>
                <w:b/>
                <w:bCs/>
                <w:color w:val="auto"/>
                <w:sz w:val="24"/>
                <w:szCs w:val="24"/>
                <w:lang w:val="en-US" w:eastAsia="zh-CN"/>
              </w:rPr>
            </w:pPr>
            <w:r>
              <w:rPr>
                <w:rFonts w:hint="eastAsia" w:ascii="Times New Roman" w:eastAsia="宋体"/>
                <w:color w:val="auto"/>
                <w:sz w:val="24"/>
                <w:szCs w:val="24"/>
                <w:lang w:val="en-US" w:eastAsia="zh-CN"/>
              </w:rPr>
              <w:t>本项目绿化设计因地制宜、经济实用。行道树采用乔木</w:t>
            </w:r>
            <w:r>
              <w:rPr>
                <w:rFonts w:hint="eastAsia"/>
                <w:color w:val="auto"/>
                <w:sz w:val="24"/>
                <w:szCs w:val="24"/>
                <w:lang w:val="en-US" w:eastAsia="zh-CN"/>
              </w:rPr>
              <w:t>、灌木</w:t>
            </w:r>
            <w:r>
              <w:rPr>
                <w:rFonts w:hint="eastAsia" w:ascii="Times New Roman" w:eastAsia="宋体"/>
                <w:color w:val="auto"/>
                <w:sz w:val="24"/>
                <w:szCs w:val="24"/>
                <w:lang w:val="en-US" w:eastAsia="zh-CN"/>
              </w:rPr>
              <w:t>，株距5m相间种植，胸径10</w:t>
            </w:r>
            <w:r>
              <w:rPr>
                <w:rFonts w:hint="eastAsia"/>
                <w:color w:val="auto"/>
                <w:sz w:val="24"/>
                <w:szCs w:val="24"/>
                <w:lang w:val="en-US" w:eastAsia="zh-CN"/>
              </w:rPr>
              <w:t>-</w:t>
            </w:r>
            <w:r>
              <w:rPr>
                <w:rFonts w:hint="eastAsia" w:ascii="Times New Roman" w:eastAsia="宋体"/>
                <w:color w:val="auto"/>
                <w:sz w:val="24"/>
                <w:szCs w:val="24"/>
                <w:lang w:val="en-US" w:eastAsia="zh-CN"/>
              </w:rPr>
              <w:t>12cm，高500cm。道路绿化设计为两侧4m人行道、人行道11m绿化带绿化。主要植物品种：乔木：国槐、紫荆；花灌木：红叶石楠球、大叶黄杨球；绿篱：金叶女贞、红叶石楠、大叶黄杨、麦冬。</w:t>
            </w:r>
          </w:p>
          <w:p>
            <w:pPr>
              <w:keepNext w:val="0"/>
              <w:keepLines w:val="0"/>
              <w:pageBreakBefore w:val="0"/>
              <w:widowControl w:val="0"/>
              <w:kinsoku/>
              <w:wordWrap w:val="0"/>
              <w:overflowPunct/>
              <w:topLinePunct w:val="0"/>
              <w:autoSpaceDE/>
              <w:autoSpaceDN/>
              <w:bidi w:val="0"/>
              <w:adjustRightInd w:val="0"/>
              <w:snapToGrid w:val="0"/>
              <w:spacing w:before="0" w:beforeLines="0"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7、</w:t>
            </w:r>
            <w:r>
              <w:rPr>
                <w:rFonts w:hint="eastAsia" w:ascii="Times New Roman" w:eastAsia="宋体"/>
                <w:b/>
                <w:bCs/>
                <w:color w:val="auto"/>
                <w:sz w:val="24"/>
                <w:szCs w:val="24"/>
                <w:lang w:val="en-US" w:eastAsia="zh-CN"/>
              </w:rPr>
              <w:t>筑路原辅材料</w:t>
            </w:r>
          </w:p>
          <w:p>
            <w:pPr>
              <w:keepNext w:val="0"/>
              <w:keepLines w:val="0"/>
              <w:pageBreakBefore w:val="0"/>
              <w:widowControl w:val="0"/>
              <w:kinsoku/>
              <w:wordWrap w:val="0"/>
              <w:overflowPunct/>
              <w:topLinePunct w:val="0"/>
              <w:autoSpaceDE/>
              <w:autoSpaceDN/>
              <w:bidi w:val="0"/>
              <w:adjustRightInd w:val="0"/>
              <w:snapToGrid w:val="0"/>
              <w:spacing w:beforeLines="0" w:line="360" w:lineRule="auto"/>
              <w:ind w:firstLine="480" w:firstLineChars="200"/>
              <w:textAlignment w:val="auto"/>
              <w:rPr>
                <w:rFonts w:hint="eastAsia" w:ascii="Times New Roman" w:eastAsia="宋体"/>
                <w:color w:val="auto"/>
                <w:sz w:val="24"/>
                <w:szCs w:val="24"/>
                <w:lang w:val="en-US" w:eastAsia="zh-CN"/>
              </w:rPr>
            </w:pPr>
            <w:r>
              <w:rPr>
                <w:rFonts w:hint="eastAsia" w:ascii="Times New Roman" w:eastAsia="宋体"/>
                <w:color w:val="auto"/>
                <w:sz w:val="24"/>
                <w:szCs w:val="24"/>
                <w:lang w:val="en-US" w:eastAsia="zh-CN"/>
              </w:rPr>
              <w:t>工程施工期供水由附近供水管网提供，可就近取用。沿线电力供应情况良好，工程用电从就近电网接入。筑路材料主要有砂石料、石灰、钢材、木材、水泥、沥青等，均为外购，根据需要就近购买。</w:t>
            </w:r>
          </w:p>
          <w:p>
            <w:pPr>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2" w:firstLineChars="200"/>
              <w:jc w:val="both"/>
              <w:textAlignment w:val="auto"/>
              <w:rPr>
                <w:rFonts w:ascii="Times New Roman" w:hAnsi="Times New Roman" w:eastAsia="宋体" w:cs="宋体"/>
                <w:b/>
                <w:bCs/>
                <w:color w:val="auto"/>
                <w:kern w:val="0"/>
                <w:sz w:val="24"/>
                <w:szCs w:val="21"/>
                <w:lang w:val="en-US" w:eastAsia="zh-CN" w:bidi="ar-SA"/>
              </w:rPr>
            </w:pPr>
            <w:r>
              <w:rPr>
                <w:rFonts w:hint="eastAsia" w:cs="宋体"/>
                <w:b/>
                <w:bCs/>
                <w:color w:val="auto"/>
                <w:kern w:val="0"/>
                <w:sz w:val="24"/>
                <w:szCs w:val="21"/>
                <w:lang w:val="en-US" w:eastAsia="zh-CN" w:bidi="ar-SA"/>
              </w:rPr>
              <w:t>8、</w:t>
            </w:r>
            <w:r>
              <w:rPr>
                <w:rFonts w:hint="eastAsia" w:ascii="Times New Roman" w:hAnsi="Times New Roman" w:eastAsia="宋体" w:cs="宋体"/>
                <w:b/>
                <w:bCs/>
                <w:color w:val="auto"/>
                <w:kern w:val="0"/>
                <w:sz w:val="24"/>
                <w:szCs w:val="21"/>
                <w:lang w:val="en-US" w:eastAsia="zh-CN" w:bidi="ar-SA"/>
              </w:rPr>
              <w:t>工程占地及拆迁情况</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ascii="Times New Roman" w:hAnsi="Times New Roman" w:eastAsia="宋体" w:cs="宋体"/>
                <w:b w:val="0"/>
                <w:bCs w:val="0"/>
                <w:color w:val="auto"/>
                <w:kern w:val="0"/>
                <w:sz w:val="24"/>
                <w:szCs w:val="21"/>
                <w:lang w:val="en-US" w:eastAsia="zh-CN" w:bidi="ar-SA"/>
              </w:rPr>
            </w:pPr>
            <w:r>
              <w:rPr>
                <w:rFonts w:hint="eastAsia" w:ascii="Times New Roman" w:hAnsi="Times New Roman" w:eastAsia="宋体" w:cs="宋体"/>
                <w:b w:val="0"/>
                <w:bCs w:val="0"/>
                <w:color w:val="auto"/>
                <w:kern w:val="0"/>
                <w:sz w:val="24"/>
                <w:szCs w:val="21"/>
                <w:lang w:val="en-US" w:eastAsia="zh-CN" w:bidi="ar-SA"/>
              </w:rPr>
              <w:t>（1）工程占地</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道路工程占地为永久占地，本项目总占地面积</w:t>
            </w:r>
            <w:r>
              <w:rPr>
                <w:rFonts w:hint="eastAsia" w:cs="宋体"/>
                <w:b w:val="0"/>
                <w:color w:val="auto"/>
                <w:kern w:val="0"/>
                <w:sz w:val="24"/>
                <w:szCs w:val="21"/>
                <w:lang w:val="en-US" w:eastAsia="zh-CN" w:bidi="ar-SA"/>
              </w:rPr>
              <w:t>188932m</w:t>
            </w:r>
            <w:r>
              <w:rPr>
                <w:rFonts w:hint="eastAsia" w:cs="宋体"/>
                <w:b w:val="0"/>
                <w:color w:val="auto"/>
                <w:kern w:val="0"/>
                <w:sz w:val="24"/>
                <w:szCs w:val="21"/>
                <w:vertAlign w:val="superscript"/>
                <w:lang w:val="en-US" w:eastAsia="zh-CN" w:bidi="ar-SA"/>
              </w:rPr>
              <w:t>2</w:t>
            </w:r>
            <w:r>
              <w:rPr>
                <w:rFonts w:hint="eastAsia" w:ascii="Times New Roman" w:hAnsi="Times New Roman" w:eastAsia="宋体" w:cs="宋体"/>
                <w:b w:val="0"/>
                <w:color w:val="auto"/>
                <w:kern w:val="0"/>
                <w:sz w:val="24"/>
                <w:szCs w:val="21"/>
                <w:lang w:val="en-US" w:eastAsia="zh-CN" w:bidi="ar-SA"/>
              </w:rPr>
              <w:t>，工程占地类型</w:t>
            </w:r>
            <w:r>
              <w:rPr>
                <w:rFonts w:hint="eastAsia" w:cs="宋体"/>
                <w:b w:val="0"/>
                <w:color w:val="auto"/>
                <w:kern w:val="0"/>
                <w:sz w:val="24"/>
                <w:szCs w:val="21"/>
                <w:lang w:val="en-US" w:eastAsia="zh-CN" w:bidi="ar-SA"/>
              </w:rPr>
              <w:t>规划用途</w:t>
            </w:r>
            <w:r>
              <w:rPr>
                <w:rFonts w:hint="eastAsia" w:ascii="Times New Roman" w:hAnsi="Times New Roman" w:eastAsia="宋体" w:cs="宋体"/>
                <w:b w:val="0"/>
                <w:color w:val="auto"/>
                <w:kern w:val="0"/>
                <w:sz w:val="24"/>
                <w:szCs w:val="21"/>
                <w:lang w:val="en-US" w:eastAsia="zh-CN" w:bidi="ar-SA"/>
              </w:rPr>
              <w:t>为</w:t>
            </w:r>
            <w:r>
              <w:rPr>
                <w:rFonts w:hint="eastAsia" w:cs="宋体"/>
                <w:b w:val="0"/>
                <w:color w:val="auto"/>
                <w:kern w:val="0"/>
                <w:sz w:val="24"/>
                <w:szCs w:val="21"/>
                <w:lang w:val="en-US" w:eastAsia="zh-CN" w:bidi="ar-SA"/>
              </w:rPr>
              <w:t>城市道路用地。</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ascii="Times New Roman" w:hAnsi="Times New Roman" w:eastAsia="宋体" w:cs="宋体"/>
                <w:b w:val="0"/>
                <w:bCs w:val="0"/>
                <w:color w:val="auto"/>
                <w:kern w:val="0"/>
                <w:sz w:val="24"/>
                <w:szCs w:val="21"/>
                <w:lang w:val="en-US" w:eastAsia="zh-CN" w:bidi="ar-SA"/>
              </w:rPr>
            </w:pPr>
            <w:r>
              <w:rPr>
                <w:rFonts w:hint="eastAsia" w:ascii="Times New Roman" w:hAnsi="Times New Roman" w:eastAsia="宋体" w:cs="宋体"/>
                <w:b w:val="0"/>
                <w:bCs w:val="0"/>
                <w:color w:val="auto"/>
                <w:kern w:val="0"/>
                <w:sz w:val="24"/>
                <w:szCs w:val="21"/>
                <w:lang w:val="en-US" w:eastAsia="zh-CN" w:bidi="ar-SA"/>
              </w:rPr>
              <w:t>（2）拆迁</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本项目道路红线内无需拆迁，没有重要建筑物、文物、名木、古迹等设施。</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default" w:ascii="Times New Roman" w:hAnsi="Times New Roman" w:eastAsia="宋体" w:cs="宋体"/>
                <w:b w:val="0"/>
                <w:bCs w:val="0"/>
                <w:color w:val="auto"/>
                <w:kern w:val="0"/>
                <w:sz w:val="24"/>
                <w:szCs w:val="21"/>
                <w:highlight w:val="none"/>
                <w:lang w:val="en-US" w:eastAsia="zh-CN" w:bidi="ar-SA"/>
              </w:rPr>
            </w:pPr>
            <w:r>
              <w:rPr>
                <w:rFonts w:hint="eastAsia" w:ascii="Times New Roman" w:hAnsi="Times New Roman" w:eastAsia="宋体" w:cs="宋体"/>
                <w:b w:val="0"/>
                <w:bCs w:val="0"/>
                <w:color w:val="auto"/>
                <w:kern w:val="0"/>
                <w:sz w:val="24"/>
                <w:szCs w:val="21"/>
                <w:highlight w:val="none"/>
                <w:lang w:val="en-US" w:eastAsia="zh-CN" w:bidi="ar-SA"/>
              </w:rPr>
              <w:t>（</w:t>
            </w:r>
            <w:r>
              <w:rPr>
                <w:rFonts w:hint="eastAsia" w:cs="宋体"/>
                <w:b w:val="0"/>
                <w:bCs w:val="0"/>
                <w:color w:val="auto"/>
                <w:kern w:val="0"/>
                <w:sz w:val="24"/>
                <w:szCs w:val="21"/>
                <w:highlight w:val="none"/>
                <w:lang w:val="en-US" w:eastAsia="zh-CN" w:bidi="ar-SA"/>
              </w:rPr>
              <w:t>3</w:t>
            </w:r>
            <w:r>
              <w:rPr>
                <w:rFonts w:hint="eastAsia" w:ascii="Times New Roman" w:hAnsi="Times New Roman" w:eastAsia="宋体" w:cs="宋体"/>
                <w:b w:val="0"/>
                <w:bCs w:val="0"/>
                <w:color w:val="auto"/>
                <w:kern w:val="0"/>
                <w:sz w:val="24"/>
                <w:szCs w:val="21"/>
                <w:highlight w:val="none"/>
                <w:lang w:val="en-US" w:eastAsia="zh-CN" w:bidi="ar-SA"/>
              </w:rPr>
              <w:t>）</w:t>
            </w:r>
            <w:r>
              <w:rPr>
                <w:rFonts w:hint="eastAsia" w:cs="宋体"/>
                <w:b w:val="0"/>
                <w:bCs w:val="0"/>
                <w:color w:val="auto"/>
                <w:kern w:val="0"/>
                <w:sz w:val="24"/>
                <w:szCs w:val="21"/>
                <w:highlight w:val="none"/>
                <w:lang w:val="en-US" w:eastAsia="zh-CN" w:bidi="ar-SA"/>
              </w:rPr>
              <w:t>土石方平衡</w:t>
            </w:r>
          </w:p>
          <w:p>
            <w:pPr>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both"/>
              <w:textAlignment w:val="auto"/>
              <w:rPr>
                <w:rFonts w:hint="eastAsia" w:cs="宋体"/>
                <w:b w:val="0"/>
                <w:color w:val="auto"/>
                <w:kern w:val="0"/>
                <w:sz w:val="24"/>
                <w:szCs w:val="21"/>
                <w:highlight w:val="none"/>
                <w:lang w:val="en-US" w:eastAsia="zh-CN" w:bidi="ar-SA"/>
              </w:rPr>
            </w:pPr>
            <w:r>
              <w:rPr>
                <w:rFonts w:hint="eastAsia" w:cs="宋体"/>
                <w:b w:val="0"/>
                <w:color w:val="auto"/>
                <w:kern w:val="0"/>
                <w:sz w:val="24"/>
                <w:szCs w:val="21"/>
                <w:highlight w:val="none"/>
                <w:lang w:val="en-US" w:eastAsia="zh-CN" w:bidi="ar-SA"/>
              </w:rPr>
              <w:t>根据本项目施工设计，</w:t>
            </w:r>
            <w:r>
              <w:rPr>
                <w:rFonts w:hint="eastAsia" w:cs="宋体"/>
                <w:b w:val="0"/>
                <w:color w:val="auto"/>
                <w:kern w:val="0"/>
                <w:sz w:val="24"/>
                <w:szCs w:val="21"/>
                <w:highlight w:val="none"/>
                <w:lang w:val="en-US" w:eastAsia="zh-CN" w:bidi="ar-SA"/>
              </w:rPr>
              <w:t>本项目挖方约12703m</w:t>
            </w:r>
            <w:r>
              <w:rPr>
                <w:rFonts w:hint="eastAsia" w:cs="宋体"/>
                <w:b w:val="0"/>
                <w:color w:val="auto"/>
                <w:kern w:val="0"/>
                <w:sz w:val="24"/>
                <w:szCs w:val="21"/>
                <w:highlight w:val="none"/>
                <w:vertAlign w:val="superscript"/>
                <w:lang w:val="en-US" w:eastAsia="zh-CN" w:bidi="ar-SA"/>
              </w:rPr>
              <w:t>3</w:t>
            </w:r>
            <w:r>
              <w:rPr>
                <w:rFonts w:hint="eastAsia" w:cs="宋体"/>
                <w:b w:val="0"/>
                <w:color w:val="auto"/>
                <w:kern w:val="0"/>
                <w:sz w:val="24"/>
                <w:szCs w:val="21"/>
                <w:highlight w:val="none"/>
                <w:vertAlign w:val="baseline"/>
                <w:lang w:val="en-US" w:eastAsia="zh-CN" w:bidi="ar-SA"/>
              </w:rPr>
              <w:t>（包括路基清表部分）</w:t>
            </w:r>
            <w:r>
              <w:rPr>
                <w:rFonts w:hint="eastAsia" w:cs="宋体"/>
                <w:b w:val="0"/>
                <w:color w:val="auto"/>
                <w:kern w:val="0"/>
                <w:sz w:val="24"/>
                <w:szCs w:val="21"/>
                <w:highlight w:val="none"/>
                <w:lang w:val="en-US" w:eastAsia="zh-CN" w:bidi="ar-SA"/>
              </w:rPr>
              <w:t>，填方约389203m</w:t>
            </w:r>
            <w:r>
              <w:rPr>
                <w:rFonts w:hint="eastAsia" w:cs="宋体"/>
                <w:b w:val="0"/>
                <w:color w:val="auto"/>
                <w:kern w:val="0"/>
                <w:sz w:val="24"/>
                <w:szCs w:val="21"/>
                <w:highlight w:val="none"/>
                <w:vertAlign w:val="superscript"/>
                <w:lang w:val="en-US" w:eastAsia="zh-CN" w:bidi="ar-SA"/>
              </w:rPr>
              <w:t>3</w:t>
            </w:r>
            <w:r>
              <w:rPr>
                <w:rFonts w:hint="eastAsia" w:cs="宋体"/>
                <w:b w:val="0"/>
                <w:color w:val="auto"/>
                <w:kern w:val="0"/>
                <w:sz w:val="24"/>
                <w:szCs w:val="21"/>
                <w:highlight w:val="none"/>
                <w:lang w:val="en-US" w:eastAsia="zh-CN" w:bidi="ar-SA"/>
              </w:rPr>
              <w:t>，项目挖方全部回用，无弃方。土石方量见表2-5。</w:t>
            </w:r>
          </w:p>
          <w:p>
            <w:pPr>
              <w:pStyle w:val="47"/>
              <w:rPr>
                <w:rFonts w:hint="default"/>
                <w:color w:val="auto"/>
                <w:sz w:val="21"/>
                <w:szCs w:val="21"/>
                <w:highlight w:val="none"/>
                <w:lang w:val="en-US"/>
              </w:rPr>
            </w:pPr>
            <w:r>
              <w:rPr>
                <w:rFonts w:hint="eastAsia"/>
                <w:color w:val="auto"/>
                <w:sz w:val="21"/>
                <w:szCs w:val="21"/>
                <w:highlight w:val="none"/>
              </w:rPr>
              <w:t>表</w:t>
            </w:r>
            <w:r>
              <w:rPr>
                <w:rFonts w:hint="eastAsia"/>
                <w:color w:val="auto"/>
                <w:sz w:val="21"/>
                <w:szCs w:val="21"/>
                <w:highlight w:val="none"/>
                <w:lang w:val="en-US" w:eastAsia="zh-CN"/>
              </w:rPr>
              <w:t>2-5</w:t>
            </w:r>
            <w:r>
              <w:rPr>
                <w:rFonts w:hint="eastAsia"/>
                <w:color w:val="auto"/>
                <w:sz w:val="21"/>
                <w:szCs w:val="21"/>
                <w:highlight w:val="none"/>
              </w:rPr>
              <w:t xml:space="preserve">  </w:t>
            </w:r>
            <w:r>
              <w:rPr>
                <w:rFonts w:hint="eastAsia"/>
                <w:color w:val="auto"/>
                <w:sz w:val="21"/>
                <w:szCs w:val="21"/>
                <w:highlight w:val="none"/>
                <w:lang w:val="en-US" w:eastAsia="zh-CN"/>
              </w:rPr>
              <w:t xml:space="preserve"> </w:t>
            </w:r>
            <w:r>
              <w:rPr>
                <w:rFonts w:hint="eastAsia"/>
                <w:color w:val="auto"/>
                <w:sz w:val="21"/>
                <w:szCs w:val="21"/>
                <w:highlight w:val="none"/>
              </w:rPr>
              <w:t xml:space="preserve"> </w:t>
            </w:r>
            <w:r>
              <w:rPr>
                <w:rFonts w:hint="eastAsia"/>
                <w:color w:val="auto"/>
                <w:sz w:val="21"/>
                <w:szCs w:val="21"/>
                <w:highlight w:val="none"/>
                <w:lang w:val="en-US" w:eastAsia="zh-CN"/>
              </w:rPr>
              <w:t>项目土石方一览表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Layout w:type="autofit"/>
              <w:tblCellMar>
                <w:top w:w="0" w:type="dxa"/>
                <w:left w:w="108" w:type="dxa"/>
                <w:bottom w:w="0" w:type="dxa"/>
                <w:right w:w="108" w:type="dxa"/>
              </w:tblCellMar>
            </w:tblPr>
            <w:tblGrid>
              <w:gridCol w:w="841"/>
              <w:gridCol w:w="2241"/>
              <w:gridCol w:w="1632"/>
              <w:gridCol w:w="1787"/>
              <w:gridCol w:w="1806"/>
            </w:tblGrid>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06" w:type="pct"/>
                  <w:tcBorders>
                    <w:tl2br w:val="nil"/>
                    <w:tr2bl w:val="nil"/>
                  </w:tcBorders>
                  <w:vAlign w:val="center"/>
                </w:tcPr>
                <w:p>
                  <w:pPr>
                    <w:pStyle w:val="62"/>
                    <w:rPr>
                      <w:b/>
                      <w:bCs/>
                      <w:color w:val="auto"/>
                      <w:sz w:val="21"/>
                      <w:szCs w:val="21"/>
                      <w:highlight w:val="none"/>
                    </w:rPr>
                  </w:pPr>
                  <w:r>
                    <w:rPr>
                      <w:rFonts w:hint="eastAsia"/>
                      <w:b/>
                      <w:bCs/>
                      <w:color w:val="auto"/>
                      <w:sz w:val="21"/>
                      <w:szCs w:val="21"/>
                      <w:highlight w:val="none"/>
                    </w:rPr>
                    <w:t>序号</w:t>
                  </w:r>
                </w:p>
              </w:tc>
              <w:tc>
                <w:tcPr>
                  <w:tcW w:w="1348" w:type="pct"/>
                  <w:tcBorders>
                    <w:tl2br w:val="nil"/>
                    <w:tr2bl w:val="nil"/>
                  </w:tcBorders>
                  <w:vAlign w:val="center"/>
                </w:tcPr>
                <w:p>
                  <w:pPr>
                    <w:pStyle w:val="62"/>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项目名称</w:t>
                  </w:r>
                </w:p>
              </w:tc>
              <w:tc>
                <w:tcPr>
                  <w:tcW w:w="982" w:type="pct"/>
                  <w:tcBorders>
                    <w:tl2br w:val="nil"/>
                    <w:tr2bl w:val="nil"/>
                  </w:tcBorders>
                  <w:vAlign w:val="center"/>
                </w:tcPr>
                <w:p>
                  <w:pPr>
                    <w:pStyle w:val="62"/>
                    <w:rPr>
                      <w:rFonts w:hint="eastAsia" w:eastAsia="宋体"/>
                      <w:b/>
                      <w:bCs/>
                      <w:color w:val="auto"/>
                      <w:sz w:val="21"/>
                      <w:szCs w:val="21"/>
                      <w:highlight w:val="none"/>
                      <w:lang w:eastAsia="zh-CN"/>
                    </w:rPr>
                  </w:pPr>
                  <w:r>
                    <w:rPr>
                      <w:rFonts w:hint="eastAsia"/>
                      <w:b/>
                      <w:bCs/>
                      <w:color w:val="auto"/>
                      <w:sz w:val="21"/>
                      <w:szCs w:val="21"/>
                      <w:highlight w:val="none"/>
                      <w:lang w:val="en-US" w:eastAsia="zh-CN"/>
                    </w:rPr>
                    <w:t>填方（m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w:t>
                  </w:r>
                </w:p>
              </w:tc>
              <w:tc>
                <w:tcPr>
                  <w:tcW w:w="1075" w:type="pct"/>
                  <w:tcBorders>
                    <w:tl2br w:val="nil"/>
                    <w:tr2bl w:val="nil"/>
                  </w:tcBorders>
                  <w:vAlign w:val="center"/>
                </w:tcPr>
                <w:p>
                  <w:pPr>
                    <w:pStyle w:val="62"/>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挖</w:t>
                  </w:r>
                  <w:r>
                    <w:rPr>
                      <w:rFonts w:hint="eastAsia" w:ascii="Times New Roman" w:eastAsia="宋体"/>
                      <w:b/>
                      <w:bCs/>
                      <w:color w:val="auto"/>
                      <w:sz w:val="21"/>
                      <w:szCs w:val="21"/>
                      <w:highlight w:val="none"/>
                      <w:lang w:val="en-US" w:eastAsia="zh-CN"/>
                    </w:rPr>
                    <w:t>方（m</w:t>
                  </w:r>
                  <w:r>
                    <w:rPr>
                      <w:rFonts w:hint="eastAsia" w:ascii="Times New Roman" w:eastAsia="宋体"/>
                      <w:b/>
                      <w:bCs/>
                      <w:color w:val="auto"/>
                      <w:sz w:val="21"/>
                      <w:szCs w:val="21"/>
                      <w:highlight w:val="none"/>
                      <w:vertAlign w:val="superscript"/>
                      <w:lang w:val="en-US" w:eastAsia="zh-CN"/>
                    </w:rPr>
                    <w:t>3</w:t>
                  </w:r>
                  <w:r>
                    <w:rPr>
                      <w:rFonts w:hint="eastAsia" w:ascii="Times New Roman" w:eastAsia="宋体"/>
                      <w:b/>
                      <w:bCs/>
                      <w:color w:val="auto"/>
                      <w:sz w:val="21"/>
                      <w:szCs w:val="21"/>
                      <w:highlight w:val="none"/>
                      <w:lang w:val="en-US" w:eastAsia="zh-CN"/>
                    </w:rPr>
                    <w:t>）</w:t>
                  </w:r>
                </w:p>
              </w:tc>
              <w:tc>
                <w:tcPr>
                  <w:tcW w:w="1086" w:type="pct"/>
                  <w:tcBorders>
                    <w:tl2br w:val="nil"/>
                    <w:tr2bl w:val="nil"/>
                  </w:tcBorders>
                  <w:vAlign w:val="center"/>
                </w:tcPr>
                <w:p>
                  <w:pPr>
                    <w:pStyle w:val="62"/>
                    <w:rPr>
                      <w:rFonts w:hint="eastAsia"/>
                      <w:b/>
                      <w:bCs/>
                      <w:color w:val="auto"/>
                      <w:sz w:val="21"/>
                      <w:szCs w:val="21"/>
                      <w:highlight w:val="none"/>
                      <w:lang w:val="en-US" w:eastAsia="zh-CN"/>
                    </w:rPr>
                  </w:pPr>
                  <w:r>
                    <w:rPr>
                      <w:rFonts w:hint="eastAsia"/>
                      <w:b/>
                      <w:bCs/>
                      <w:color w:val="auto"/>
                      <w:sz w:val="21"/>
                      <w:szCs w:val="21"/>
                      <w:highlight w:val="none"/>
                      <w:lang w:val="en-US" w:eastAsia="zh-CN"/>
                    </w:rPr>
                    <w:t>外购土方</w:t>
                  </w:r>
                  <w:r>
                    <w:rPr>
                      <w:rFonts w:hint="eastAsia" w:ascii="Times New Roman" w:eastAsia="宋体"/>
                      <w:b/>
                      <w:bCs/>
                      <w:color w:val="auto"/>
                      <w:sz w:val="21"/>
                      <w:szCs w:val="21"/>
                      <w:highlight w:val="none"/>
                      <w:lang w:val="en-US" w:eastAsia="zh-CN"/>
                    </w:rPr>
                    <w:t>（m</w:t>
                  </w:r>
                  <w:r>
                    <w:rPr>
                      <w:rFonts w:hint="eastAsia" w:ascii="Times New Roman" w:eastAsia="宋体"/>
                      <w:b/>
                      <w:bCs/>
                      <w:color w:val="auto"/>
                      <w:sz w:val="21"/>
                      <w:szCs w:val="21"/>
                      <w:highlight w:val="none"/>
                      <w:vertAlign w:val="superscript"/>
                      <w:lang w:val="en-US" w:eastAsia="zh-CN"/>
                    </w:rPr>
                    <w:t>3</w:t>
                  </w:r>
                  <w:r>
                    <w:rPr>
                      <w:rFonts w:hint="eastAsia" w:ascii="Times New Roman" w:eastAsia="宋体"/>
                      <w:b/>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506" w:type="pct"/>
                  <w:tcBorders>
                    <w:tl2br w:val="nil"/>
                    <w:tr2bl w:val="nil"/>
                  </w:tcBorders>
                  <w:vAlign w:val="center"/>
                </w:tcPr>
                <w:p>
                  <w:pPr>
                    <w:pStyle w:val="62"/>
                    <w:rPr>
                      <w:color w:val="auto"/>
                      <w:sz w:val="21"/>
                      <w:szCs w:val="21"/>
                      <w:highlight w:val="none"/>
                    </w:rPr>
                  </w:pPr>
                  <w:r>
                    <w:rPr>
                      <w:rFonts w:hint="eastAsia"/>
                      <w:color w:val="auto"/>
                      <w:sz w:val="21"/>
                      <w:szCs w:val="21"/>
                      <w:highlight w:val="none"/>
                    </w:rPr>
                    <w:t>1</w:t>
                  </w:r>
                </w:p>
              </w:tc>
              <w:tc>
                <w:tcPr>
                  <w:tcW w:w="1348" w:type="pct"/>
                  <w:tcBorders>
                    <w:tl2br w:val="nil"/>
                    <w:tr2bl w:val="nil"/>
                  </w:tcBorders>
                  <w:vAlign w:val="center"/>
                </w:tcPr>
                <w:p>
                  <w:pPr>
                    <w:pStyle w:val="62"/>
                    <w:keepNext w:val="0"/>
                    <w:keepLines w:val="0"/>
                    <w:pageBreakBefore w:val="0"/>
                    <w:widowControl w:val="0"/>
                    <w:kinsoku/>
                    <w:overflowPunct/>
                    <w:topLinePunct w:val="0"/>
                    <w:autoSpaceDE/>
                    <w:autoSpaceDN/>
                    <w:bidi w:val="0"/>
                    <w:spacing w:line="280" w:lineRule="atLeast"/>
                    <w:ind w:firstLine="0" w:firstLineChars="0"/>
                    <w:textAlignment w:val="auto"/>
                    <w:rPr>
                      <w:color w:val="auto"/>
                      <w:sz w:val="21"/>
                      <w:szCs w:val="21"/>
                      <w:highlight w:val="none"/>
                    </w:rPr>
                  </w:pPr>
                  <w:r>
                    <w:rPr>
                      <w:rFonts w:hint="eastAsia"/>
                      <w:color w:val="auto"/>
                      <w:sz w:val="21"/>
                      <w:szCs w:val="21"/>
                      <w:highlight w:val="none"/>
                      <w:lang w:eastAsia="zh-CN"/>
                    </w:rPr>
                    <w:t>泾河新城滨河北路</w:t>
                  </w:r>
                </w:p>
              </w:tc>
              <w:tc>
                <w:tcPr>
                  <w:tcW w:w="982" w:type="pct"/>
                  <w:tcBorders>
                    <w:tl2br w:val="nil"/>
                    <w:tr2bl w:val="nil"/>
                  </w:tcBorders>
                  <w:vAlign w:val="center"/>
                </w:tcPr>
                <w:p>
                  <w:pPr>
                    <w:pStyle w:val="62"/>
                    <w:rPr>
                      <w:rFonts w:hint="default" w:eastAsia="宋体"/>
                      <w:color w:val="auto"/>
                      <w:sz w:val="21"/>
                      <w:szCs w:val="21"/>
                      <w:highlight w:val="none"/>
                      <w:lang w:val="en-US" w:eastAsia="zh-CN"/>
                    </w:rPr>
                  </w:pPr>
                  <w:r>
                    <w:rPr>
                      <w:rFonts w:hint="eastAsia"/>
                      <w:color w:val="auto"/>
                      <w:sz w:val="21"/>
                      <w:szCs w:val="21"/>
                      <w:highlight w:val="none"/>
                      <w:lang w:val="en-US" w:eastAsia="zh-CN"/>
                    </w:rPr>
                    <w:t>389203</w:t>
                  </w:r>
                </w:p>
              </w:tc>
              <w:tc>
                <w:tcPr>
                  <w:tcW w:w="1075" w:type="pct"/>
                  <w:tcBorders>
                    <w:tl2br w:val="nil"/>
                    <w:tr2bl w:val="nil"/>
                  </w:tcBorders>
                  <w:vAlign w:val="center"/>
                </w:tcPr>
                <w:p>
                  <w:pPr>
                    <w:pStyle w:val="62"/>
                    <w:rPr>
                      <w:rFonts w:hint="default" w:eastAsia="宋体"/>
                      <w:color w:val="auto"/>
                      <w:sz w:val="21"/>
                      <w:szCs w:val="21"/>
                      <w:highlight w:val="none"/>
                      <w:lang w:val="en-US" w:eastAsia="zh-CN"/>
                    </w:rPr>
                  </w:pPr>
                  <w:r>
                    <w:rPr>
                      <w:rFonts w:hint="eastAsia"/>
                      <w:color w:val="auto"/>
                      <w:sz w:val="21"/>
                      <w:szCs w:val="21"/>
                      <w:highlight w:val="none"/>
                      <w:lang w:val="en-US" w:eastAsia="zh-CN"/>
                    </w:rPr>
                    <w:t>12703</w:t>
                  </w:r>
                </w:p>
              </w:tc>
              <w:tc>
                <w:tcPr>
                  <w:tcW w:w="1086" w:type="pct"/>
                  <w:tcBorders>
                    <w:tl2br w:val="nil"/>
                    <w:tr2bl w:val="nil"/>
                  </w:tcBorders>
                  <w:vAlign w:val="center"/>
                </w:tcPr>
                <w:p>
                  <w:pPr>
                    <w:pStyle w:val="62"/>
                    <w:rPr>
                      <w:rFonts w:hint="default"/>
                      <w:color w:val="auto"/>
                      <w:sz w:val="21"/>
                      <w:szCs w:val="21"/>
                      <w:highlight w:val="none"/>
                      <w:lang w:val="en-US" w:eastAsia="zh-CN"/>
                    </w:rPr>
                  </w:pPr>
                  <w:r>
                    <w:rPr>
                      <w:rFonts w:hint="eastAsia"/>
                      <w:color w:val="auto"/>
                      <w:sz w:val="21"/>
                      <w:szCs w:val="21"/>
                      <w:highlight w:val="none"/>
                      <w:lang w:val="en-US" w:eastAsia="zh-CN"/>
                    </w:rPr>
                    <w:t>376500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ascii="Times New Roman" w:hAnsi="Times New Roman" w:eastAsia="宋体" w:cs="宋体"/>
                <w:b w:val="0"/>
                <w:bCs w:val="0"/>
                <w:color w:val="auto"/>
                <w:kern w:val="0"/>
                <w:sz w:val="24"/>
                <w:szCs w:val="21"/>
                <w:lang w:val="en-US" w:eastAsia="zh-CN" w:bidi="ar-SA"/>
              </w:rPr>
            </w:pPr>
            <w:r>
              <w:rPr>
                <w:rFonts w:hint="eastAsia" w:cs="宋体"/>
                <w:b/>
                <w:bCs/>
                <w:color w:val="auto"/>
                <w:kern w:val="0"/>
                <w:sz w:val="24"/>
                <w:szCs w:val="21"/>
                <w:lang w:val="en-US" w:eastAsia="zh-CN" w:bidi="ar-SA"/>
              </w:rPr>
              <w:t>10、</w:t>
            </w:r>
            <w:r>
              <w:rPr>
                <w:rFonts w:hint="eastAsia" w:ascii="Times New Roman" w:hAnsi="Times New Roman" w:eastAsia="宋体" w:cs="宋体"/>
                <w:b/>
                <w:bCs/>
                <w:color w:val="auto"/>
                <w:kern w:val="0"/>
                <w:sz w:val="24"/>
                <w:szCs w:val="21"/>
                <w:lang w:val="en-US" w:eastAsia="zh-CN" w:bidi="ar-SA"/>
              </w:rPr>
              <w:t>交通量预测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宋体"/>
                <w:b w:val="0"/>
                <w:color w:val="auto"/>
                <w:kern w:val="0"/>
                <w:sz w:val="24"/>
                <w:szCs w:val="21"/>
                <w:lang w:val="en-US" w:eastAsia="zh-CN" w:bidi="ar-SA"/>
              </w:rPr>
            </w:pPr>
            <w:r>
              <w:rPr>
                <w:rFonts w:hint="eastAsia" w:ascii="Times New Roman" w:hAnsi="Times New Roman" w:eastAsia="宋体" w:cs="宋体"/>
                <w:b w:val="0"/>
                <w:color w:val="auto"/>
                <w:kern w:val="0"/>
                <w:sz w:val="24"/>
                <w:szCs w:val="21"/>
                <w:lang w:val="en-US" w:eastAsia="zh-CN" w:bidi="ar-SA"/>
              </w:rPr>
              <w:t>根据工可资料，本项目交通量预测特征年为202</w:t>
            </w:r>
            <w:r>
              <w:rPr>
                <w:rFonts w:hint="eastAsia" w:cs="宋体"/>
                <w:b w:val="0"/>
                <w:color w:val="auto"/>
                <w:kern w:val="0"/>
                <w:sz w:val="24"/>
                <w:szCs w:val="21"/>
                <w:lang w:val="en-US" w:eastAsia="zh-CN" w:bidi="ar-SA"/>
              </w:rPr>
              <w:t>6</w:t>
            </w:r>
            <w:r>
              <w:rPr>
                <w:rFonts w:hint="eastAsia" w:ascii="Times New Roman" w:hAnsi="Times New Roman" w:eastAsia="宋体" w:cs="宋体"/>
                <w:b w:val="0"/>
                <w:color w:val="auto"/>
                <w:kern w:val="0"/>
                <w:sz w:val="24"/>
                <w:szCs w:val="21"/>
                <w:lang w:val="en-US" w:eastAsia="zh-CN" w:bidi="ar-SA"/>
              </w:rPr>
              <w:t>年、203</w:t>
            </w:r>
            <w:r>
              <w:rPr>
                <w:rFonts w:hint="eastAsia" w:cs="宋体"/>
                <w:b w:val="0"/>
                <w:color w:val="auto"/>
                <w:kern w:val="0"/>
                <w:sz w:val="24"/>
                <w:szCs w:val="21"/>
                <w:lang w:val="en-US" w:eastAsia="zh-CN" w:bidi="ar-SA"/>
              </w:rPr>
              <w:t>2</w:t>
            </w:r>
            <w:r>
              <w:rPr>
                <w:rFonts w:hint="eastAsia" w:ascii="Times New Roman" w:hAnsi="Times New Roman" w:eastAsia="宋体" w:cs="宋体"/>
                <w:b w:val="0"/>
                <w:color w:val="auto"/>
                <w:kern w:val="0"/>
                <w:sz w:val="24"/>
                <w:szCs w:val="21"/>
                <w:lang w:val="en-US" w:eastAsia="zh-CN" w:bidi="ar-SA"/>
              </w:rPr>
              <w:t>年、20</w:t>
            </w:r>
            <w:r>
              <w:rPr>
                <w:rFonts w:hint="eastAsia" w:cs="宋体"/>
                <w:b w:val="0"/>
                <w:color w:val="auto"/>
                <w:kern w:val="0"/>
                <w:sz w:val="24"/>
                <w:szCs w:val="21"/>
                <w:lang w:val="en-US" w:eastAsia="zh-CN" w:bidi="ar-SA"/>
              </w:rPr>
              <w:t>40</w:t>
            </w:r>
            <w:r>
              <w:rPr>
                <w:rFonts w:hint="eastAsia" w:ascii="Times New Roman" w:hAnsi="Times New Roman" w:eastAsia="宋体" w:cs="宋体"/>
                <w:b w:val="0"/>
                <w:color w:val="auto"/>
                <w:kern w:val="0"/>
                <w:sz w:val="24"/>
                <w:szCs w:val="21"/>
                <w:lang w:val="en-US" w:eastAsia="zh-CN" w:bidi="ar-SA"/>
              </w:rPr>
              <w:t>年。对路段高峰小时交通量进行预测，本项目交通量预测见表2-6。</w:t>
            </w:r>
          </w:p>
          <w:p>
            <w:pPr>
              <w:widowControl w:val="0"/>
              <w:adjustRightInd w:val="0"/>
              <w:snapToGrid w:val="0"/>
              <w:spacing w:line="240" w:lineRule="auto"/>
              <w:ind w:firstLine="0" w:firstLineChars="0"/>
              <w:jc w:val="center"/>
              <w:rPr>
                <w:rFonts w:hint="default" w:ascii="Times New Roman" w:hAnsi="Times New Roman" w:eastAsia="宋体" w:cs="宋体"/>
                <w:b/>
                <w:color w:val="auto"/>
                <w:kern w:val="0"/>
                <w:sz w:val="21"/>
                <w:szCs w:val="21"/>
                <w:lang w:val="en-US" w:eastAsia="zh-CN" w:bidi="ar-SA"/>
              </w:rPr>
            </w:pPr>
            <w:r>
              <w:rPr>
                <w:rFonts w:hint="eastAsia" w:ascii="Times New Roman" w:hAnsi="Times New Roman" w:eastAsia="宋体" w:cs="宋体"/>
                <w:b/>
                <w:color w:val="auto"/>
                <w:kern w:val="0"/>
                <w:sz w:val="21"/>
                <w:szCs w:val="21"/>
                <w:lang w:val="en-US" w:eastAsia="zh-CN" w:bidi="ar-SA"/>
              </w:rPr>
              <w:t>表2-</w:t>
            </w:r>
            <w:r>
              <w:rPr>
                <w:rFonts w:hint="eastAsia" w:cs="宋体"/>
                <w:b/>
                <w:color w:val="auto"/>
                <w:kern w:val="0"/>
                <w:sz w:val="21"/>
                <w:szCs w:val="21"/>
                <w:lang w:val="en-US" w:eastAsia="zh-CN" w:bidi="ar-SA"/>
              </w:rPr>
              <w:t xml:space="preserve">6 </w:t>
            </w:r>
            <w:r>
              <w:rPr>
                <w:rFonts w:hint="eastAsia" w:ascii="Times New Roman" w:hAnsi="Times New Roman" w:eastAsia="宋体" w:cs="宋体"/>
                <w:b/>
                <w:color w:val="auto"/>
                <w:kern w:val="0"/>
                <w:sz w:val="21"/>
                <w:szCs w:val="21"/>
                <w:lang w:val="en-US" w:eastAsia="zh-CN" w:bidi="ar-SA"/>
              </w:rPr>
              <w:t xml:space="preserve">  </w:t>
            </w:r>
            <w:r>
              <w:rPr>
                <w:rFonts w:ascii="Times New Roman" w:hAnsi="Times New Roman" w:eastAsia="宋体" w:cs="宋体"/>
                <w:b/>
                <w:color w:val="auto"/>
                <w:kern w:val="0"/>
                <w:sz w:val="21"/>
                <w:szCs w:val="21"/>
                <w:lang w:val="en-US" w:eastAsia="zh-CN" w:bidi="ar-SA"/>
              </w:rPr>
              <w:t xml:space="preserve"> </w:t>
            </w:r>
            <w:r>
              <w:rPr>
                <w:rFonts w:hint="eastAsia" w:ascii="Times New Roman" w:hAnsi="Times New Roman" w:eastAsia="宋体" w:cs="宋体"/>
                <w:b/>
                <w:color w:val="auto"/>
                <w:kern w:val="0"/>
                <w:sz w:val="21"/>
                <w:szCs w:val="21"/>
                <w:lang w:val="en-US" w:eastAsia="zh-CN" w:bidi="ar-SA"/>
              </w:rPr>
              <w:t>项目道路交通流量预测表     单位：</w:t>
            </w:r>
            <w:r>
              <w:rPr>
                <w:rFonts w:hint="eastAsia" w:cs="宋体"/>
                <w:b/>
                <w:color w:val="auto"/>
                <w:kern w:val="0"/>
                <w:sz w:val="21"/>
                <w:szCs w:val="21"/>
                <w:lang w:val="en-US" w:eastAsia="zh-CN" w:bidi="ar-SA"/>
              </w:rPr>
              <w:t>pcu/h</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822"/>
              <w:gridCol w:w="1828"/>
              <w:gridCol w:w="1828"/>
              <w:gridCol w:w="1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8" w:type="pct"/>
                  <w:tcBorders>
                    <w:tl2br w:val="nil"/>
                    <w:tr2bl w:val="nil"/>
                  </w:tcBorders>
                  <w:noWrap w:val="0"/>
                  <w:vAlign w:val="center"/>
                </w:tcPr>
                <w:p>
                  <w:pPr>
                    <w:pStyle w:val="62"/>
                    <w:bidi w:val="0"/>
                    <w:rPr>
                      <w:rFonts w:hint="eastAsia"/>
                      <w:b/>
                      <w:bCs/>
                      <w:color w:val="auto"/>
                      <w:lang w:eastAsia="zh-CN"/>
                    </w:rPr>
                  </w:pPr>
                  <w:r>
                    <w:rPr>
                      <w:rFonts w:hint="eastAsia"/>
                      <w:b/>
                      <w:bCs/>
                      <w:color w:val="auto"/>
                      <w:lang w:val="en-US" w:eastAsia="zh-CN"/>
                    </w:rPr>
                    <w:t>路段</w:t>
                  </w:r>
                </w:p>
              </w:tc>
              <w:tc>
                <w:tcPr>
                  <w:tcW w:w="1100" w:type="pct"/>
                  <w:tcBorders>
                    <w:tl2br w:val="nil"/>
                    <w:tr2bl w:val="nil"/>
                  </w:tcBorders>
                  <w:noWrap w:val="0"/>
                  <w:vAlign w:val="center"/>
                </w:tcPr>
                <w:p>
                  <w:pPr>
                    <w:pStyle w:val="62"/>
                    <w:bidi w:val="0"/>
                    <w:rPr>
                      <w:rFonts w:hint="default"/>
                      <w:b/>
                      <w:bCs/>
                      <w:color w:val="auto"/>
                    </w:rPr>
                  </w:pPr>
                  <w:r>
                    <w:rPr>
                      <w:rFonts w:hint="eastAsia"/>
                      <w:b/>
                      <w:bCs/>
                      <w:color w:val="auto"/>
                      <w:lang w:val="en-US" w:eastAsia="zh-CN"/>
                    </w:rPr>
                    <w:t>2026</w:t>
                  </w:r>
                  <w:r>
                    <w:rPr>
                      <w:rFonts w:hint="default"/>
                      <w:b/>
                      <w:bCs/>
                      <w:color w:val="auto"/>
                    </w:rPr>
                    <w:t>年</w:t>
                  </w:r>
                </w:p>
              </w:tc>
              <w:tc>
                <w:tcPr>
                  <w:tcW w:w="1100" w:type="pct"/>
                  <w:tcBorders>
                    <w:tl2br w:val="nil"/>
                    <w:tr2bl w:val="nil"/>
                  </w:tcBorders>
                  <w:noWrap w:val="0"/>
                  <w:vAlign w:val="center"/>
                </w:tcPr>
                <w:p>
                  <w:pPr>
                    <w:pStyle w:val="62"/>
                    <w:bidi w:val="0"/>
                    <w:rPr>
                      <w:rFonts w:hint="default"/>
                      <w:b/>
                      <w:bCs/>
                      <w:color w:val="auto"/>
                    </w:rPr>
                  </w:pPr>
                  <w:r>
                    <w:rPr>
                      <w:rFonts w:hint="eastAsia"/>
                      <w:b/>
                      <w:bCs/>
                      <w:color w:val="auto"/>
                      <w:lang w:val="en-US" w:eastAsia="zh-CN"/>
                    </w:rPr>
                    <w:t>2032</w:t>
                  </w:r>
                  <w:r>
                    <w:rPr>
                      <w:rFonts w:hint="default"/>
                      <w:b/>
                      <w:bCs/>
                      <w:color w:val="auto"/>
                    </w:rPr>
                    <w:t>年</w:t>
                  </w:r>
                </w:p>
              </w:tc>
              <w:tc>
                <w:tcPr>
                  <w:tcW w:w="1100" w:type="pct"/>
                  <w:tcBorders>
                    <w:tl2br w:val="nil"/>
                    <w:tr2bl w:val="nil"/>
                  </w:tcBorders>
                  <w:noWrap w:val="0"/>
                  <w:vAlign w:val="center"/>
                </w:tcPr>
                <w:p>
                  <w:pPr>
                    <w:pStyle w:val="62"/>
                    <w:bidi w:val="0"/>
                    <w:rPr>
                      <w:rFonts w:hint="default"/>
                      <w:b/>
                      <w:bCs/>
                      <w:color w:val="auto"/>
                    </w:rPr>
                  </w:pPr>
                  <w:r>
                    <w:rPr>
                      <w:rFonts w:hint="default"/>
                      <w:b/>
                      <w:bCs/>
                      <w:color w:val="auto"/>
                    </w:rPr>
                    <w:t>20</w:t>
                  </w:r>
                  <w:r>
                    <w:rPr>
                      <w:rFonts w:hint="eastAsia"/>
                      <w:b/>
                      <w:bCs/>
                      <w:color w:val="auto"/>
                      <w:lang w:val="en-US" w:eastAsia="zh-CN"/>
                    </w:rPr>
                    <w:t>40</w:t>
                  </w:r>
                  <w:r>
                    <w:rPr>
                      <w:rFonts w:hint="default"/>
                      <w:b/>
                      <w:bCs/>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98" w:type="pct"/>
                  <w:tcBorders>
                    <w:tl2br w:val="nil"/>
                    <w:tr2bl w:val="nil"/>
                  </w:tcBorders>
                  <w:noWrap w:val="0"/>
                  <w:vAlign w:val="center"/>
                </w:tcPr>
                <w:p>
                  <w:pPr>
                    <w:pStyle w:val="62"/>
                    <w:bidi w:val="0"/>
                    <w:rPr>
                      <w:rFonts w:hint="default"/>
                      <w:color w:val="auto"/>
                      <w:lang w:val="en-US" w:eastAsia="zh-CN"/>
                    </w:rPr>
                  </w:pPr>
                  <w:r>
                    <w:rPr>
                      <w:rFonts w:hint="eastAsia"/>
                      <w:color w:val="auto"/>
                      <w:lang w:val="en-US" w:eastAsia="zh-CN"/>
                    </w:rPr>
                    <w:t>滨河北路</w:t>
                  </w:r>
                </w:p>
              </w:tc>
              <w:tc>
                <w:tcPr>
                  <w:tcW w:w="1100" w:type="pct"/>
                  <w:tcBorders>
                    <w:tl2br w:val="nil"/>
                    <w:tr2bl w:val="nil"/>
                  </w:tcBorders>
                  <w:noWrap w:val="0"/>
                  <w:vAlign w:val="center"/>
                </w:tcPr>
                <w:p>
                  <w:pPr>
                    <w:pStyle w:val="62"/>
                    <w:bidi w:val="0"/>
                    <w:ind w:firstLine="0" w:firstLineChars="0"/>
                    <w:rPr>
                      <w:rFonts w:hint="default" w:eastAsia="宋体"/>
                      <w:color w:val="auto"/>
                      <w:lang w:val="en-US" w:eastAsia="zh-CN"/>
                    </w:rPr>
                  </w:pPr>
                  <w:r>
                    <w:rPr>
                      <w:rFonts w:hint="eastAsia"/>
                      <w:color w:val="auto"/>
                      <w:lang w:val="en-US" w:eastAsia="zh-CN"/>
                    </w:rPr>
                    <w:t>1611</w:t>
                  </w:r>
                </w:p>
              </w:tc>
              <w:tc>
                <w:tcPr>
                  <w:tcW w:w="1100" w:type="pct"/>
                  <w:tcBorders>
                    <w:tl2br w:val="nil"/>
                    <w:tr2bl w:val="nil"/>
                  </w:tcBorders>
                  <w:noWrap w:val="0"/>
                  <w:vAlign w:val="center"/>
                </w:tcPr>
                <w:p>
                  <w:pPr>
                    <w:pStyle w:val="62"/>
                    <w:bidi w:val="0"/>
                    <w:ind w:firstLine="0" w:firstLineChars="0"/>
                    <w:rPr>
                      <w:rFonts w:hint="default" w:eastAsia="宋体"/>
                      <w:color w:val="auto"/>
                      <w:lang w:val="en-US" w:eastAsia="zh-CN"/>
                    </w:rPr>
                  </w:pPr>
                  <w:r>
                    <w:rPr>
                      <w:rFonts w:hint="eastAsia"/>
                      <w:color w:val="auto"/>
                      <w:lang w:val="en-US" w:eastAsia="zh-CN"/>
                    </w:rPr>
                    <w:t>2021</w:t>
                  </w:r>
                </w:p>
              </w:tc>
              <w:tc>
                <w:tcPr>
                  <w:tcW w:w="1100" w:type="pct"/>
                  <w:tcBorders>
                    <w:tl2br w:val="nil"/>
                    <w:tr2bl w:val="nil"/>
                  </w:tcBorders>
                  <w:noWrap w:val="0"/>
                  <w:vAlign w:val="center"/>
                </w:tcPr>
                <w:p>
                  <w:pPr>
                    <w:pStyle w:val="62"/>
                    <w:bidi w:val="0"/>
                    <w:rPr>
                      <w:rFonts w:hint="default" w:eastAsia="宋体"/>
                      <w:color w:val="auto"/>
                      <w:lang w:val="en-US" w:eastAsia="zh-CN"/>
                    </w:rPr>
                  </w:pPr>
                  <w:r>
                    <w:rPr>
                      <w:rFonts w:hint="eastAsia"/>
                      <w:color w:val="auto"/>
                      <w:lang w:val="en-US" w:eastAsia="zh-CN"/>
                    </w:rPr>
                    <w:t>2657</w:t>
                  </w:r>
                </w:p>
              </w:tc>
            </w:tr>
          </w:tbl>
          <w:p>
            <w:pPr>
              <w:pStyle w:val="59"/>
              <w:ind w:left="0" w:leftChars="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pStyle w:val="59"/>
              <w:ind w:firstLine="0" w:firstLineChars="0"/>
              <w:jc w:val="center"/>
              <w:rPr>
                <w:color w:val="auto"/>
              </w:rPr>
            </w:pPr>
            <w:r>
              <w:rPr>
                <w:rFonts w:hint="eastAsia"/>
                <w:color w:val="auto"/>
              </w:rPr>
              <w:t>总平面及现场布置</w:t>
            </w:r>
          </w:p>
        </w:tc>
        <w:tc>
          <w:tcPr>
            <w:tcW w:w="8380" w:type="dxa"/>
          </w:tcPr>
          <w:p>
            <w:pPr>
              <w:keepNext w:val="0"/>
              <w:keepLines w:val="0"/>
              <w:pageBreakBefore w:val="0"/>
              <w:widowControl w:val="0"/>
              <w:kinsoku/>
              <w:wordWrap w:val="0"/>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工程布置</w:t>
            </w:r>
          </w:p>
          <w:p>
            <w:pPr>
              <w:widowControl w:val="0"/>
              <w:numPr>
                <w:ilvl w:val="0"/>
                <w:numId w:val="0"/>
              </w:numPr>
              <w:adjustRightInd w:val="0"/>
              <w:snapToGrid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项目位于泾河新城院士科创区南部，泾河北岸</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西起茶马大道桥，东至泾河二街南段</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全长3029.7m，规划红线宽约60米，设有机动车道、非机动车道设人行道和绿化带，设计车速50km/h。</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施工布置</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（1）施工营地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本项目位于泾河新城院士科创区南部，泾河北岸，西起茶马大道桥，东至泾河二街南段，周边依托条件好，工程施工时不设施工营地。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（2）施工便道</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本项目新建道路在市区范围内，主要依靠</w:t>
            </w:r>
            <w:r>
              <w:rPr>
                <w:rFonts w:hint="eastAsia" w:cs="Times New Roman"/>
                <w:color w:val="auto"/>
                <w:sz w:val="24"/>
                <w:szCs w:val="24"/>
                <w:lang w:val="en-US" w:eastAsia="zh-CN"/>
              </w:rPr>
              <w:t>包茂高速公路、茶马大道、泾河大道等已建成的市政道路</w:t>
            </w:r>
            <w:r>
              <w:rPr>
                <w:rFonts w:hint="eastAsia" w:ascii="Times New Roman" w:hAnsi="Times New Roman" w:eastAsia="宋体" w:cs="Times New Roman"/>
                <w:color w:val="auto"/>
                <w:sz w:val="24"/>
                <w:szCs w:val="24"/>
                <w:lang w:val="en-US" w:eastAsia="zh-CN"/>
              </w:rPr>
              <w:t>进行施工原材料运输，</w:t>
            </w:r>
            <w:r>
              <w:rPr>
                <w:rFonts w:hint="eastAsia" w:cs="Times New Roman"/>
                <w:color w:val="auto"/>
                <w:sz w:val="24"/>
                <w:szCs w:val="24"/>
                <w:lang w:val="en-US" w:eastAsia="zh-CN"/>
              </w:rPr>
              <w:t>不新建施工便道。</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（3）临时堆土场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eastAsia="宋体"/>
                <w:color w:val="auto"/>
                <w:lang w:val="en-US" w:eastAsia="zh-CN"/>
              </w:rPr>
            </w:pPr>
            <w:r>
              <w:rPr>
                <w:rFonts w:hint="eastAsia" w:cs="Times New Roman"/>
                <w:color w:val="auto"/>
                <w:sz w:val="24"/>
                <w:szCs w:val="24"/>
                <w:lang w:val="en-US" w:eastAsia="zh-CN"/>
              </w:rPr>
              <w:t>本项目在前期施工过程中对沿线表层土进行清理，表层土临时堆存在项目施工红线范围内，不单独设置表土堆存场所，施工期间采用防尘网膜覆盖，道路主体完成后优先用于两侧绿化</w:t>
            </w: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pPr>
              <w:pStyle w:val="59"/>
              <w:ind w:firstLine="0" w:firstLineChars="0"/>
              <w:jc w:val="center"/>
              <w:rPr>
                <w:color w:val="auto"/>
              </w:rPr>
            </w:pPr>
            <w:r>
              <w:rPr>
                <w:rFonts w:hint="eastAsia"/>
                <w:color w:val="auto"/>
              </w:rPr>
              <w:t>施工方案</w:t>
            </w:r>
          </w:p>
        </w:tc>
        <w:tc>
          <w:tcPr>
            <w:tcW w:w="8380" w:type="dxa"/>
          </w:tcPr>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eastAsia="宋体"/>
                <w:b/>
                <w:bCs/>
                <w:color w:val="auto"/>
                <w:sz w:val="24"/>
                <w:szCs w:val="24"/>
                <w:lang w:val="en-US" w:eastAsia="zh-CN"/>
              </w:rPr>
            </w:pPr>
            <w:r>
              <w:rPr>
                <w:rFonts w:hint="eastAsia"/>
                <w:b/>
                <w:bCs/>
                <w:color w:val="auto"/>
                <w:sz w:val="24"/>
                <w:szCs w:val="24"/>
                <w:lang w:val="en-US" w:eastAsia="zh-CN"/>
              </w:rPr>
              <w:t>1、</w:t>
            </w:r>
            <w:r>
              <w:rPr>
                <w:rFonts w:hint="eastAsia"/>
                <w:b/>
                <w:bCs/>
                <w:color w:val="auto"/>
                <w:sz w:val="24"/>
                <w:szCs w:val="24"/>
              </w:rPr>
              <w:t>施工</w:t>
            </w:r>
            <w:r>
              <w:rPr>
                <w:rFonts w:hint="eastAsia"/>
                <w:b/>
                <w:bCs/>
                <w:color w:val="auto"/>
                <w:sz w:val="24"/>
                <w:szCs w:val="24"/>
                <w:lang w:val="en-US" w:eastAsia="zh-CN"/>
              </w:rPr>
              <w:t>工艺</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lang w:val="en-US" w:eastAsia="zh-CN"/>
              </w:rPr>
              <w:t>本项目施工工艺见图2-3。</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24"/>
              </w:rPr>
            </w:pPr>
            <w:r>
              <w:rPr>
                <w:rFonts w:hint="eastAsia"/>
                <w:color w:val="auto"/>
                <w:sz w:val="24"/>
                <w:szCs w:val="24"/>
              </w:rPr>
              <mc:AlternateContent>
                <mc:Choice Requires="wpc">
                  <w:drawing>
                    <wp:inline distT="0" distB="0" distL="114300" distR="114300">
                      <wp:extent cx="5056505" cy="1627505"/>
                      <wp:effectExtent l="0" t="0" r="10795" b="0"/>
                      <wp:docPr id="102" name="画布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 name="直接箭头连接符 79"/>
                              <wps:cNvCnPr/>
                              <wps:spPr>
                                <a:xfrm rot="-5400000" flipV="1">
                                  <a:off x="2416960" y="506245"/>
                                  <a:ext cx="266400" cy="0"/>
                                </a:xfrm>
                                <a:prstGeom prst="straightConnector1">
                                  <a:avLst/>
                                </a:prstGeom>
                                <a:ln w="9525" cap="flat" cmpd="sng">
                                  <a:solidFill>
                                    <a:srgbClr val="000000"/>
                                  </a:solidFill>
                                  <a:prstDash val="dash"/>
                                  <a:headEnd type="none" w="med" len="med"/>
                                  <a:tailEnd type="triangle" w="med" len="med"/>
                                </a:ln>
                              </wps:spPr>
                              <wps:bodyPr/>
                            </wps:wsp>
                            <wps:wsp>
                              <wps:cNvPr id="80" name="直接箭头连接符 80"/>
                              <wps:cNvCnPr/>
                              <wps:spPr>
                                <a:xfrm rot="-5400000" flipV="1">
                                  <a:off x="1412240" y="500380"/>
                                  <a:ext cx="254000" cy="0"/>
                                </a:xfrm>
                                <a:prstGeom prst="straightConnector1">
                                  <a:avLst/>
                                </a:prstGeom>
                                <a:ln w="9525" cap="flat" cmpd="sng">
                                  <a:solidFill>
                                    <a:srgbClr val="000000"/>
                                  </a:solidFill>
                                  <a:prstDash val="dash"/>
                                  <a:headEnd type="none" w="med" len="med"/>
                                  <a:tailEnd type="triangle" w="med" len="med"/>
                                </a:ln>
                              </wps:spPr>
                              <wps:bodyPr/>
                            </wps:wsp>
                            <wps:wsp>
                              <wps:cNvPr id="81" name="直接箭头连接符 81"/>
                              <wps:cNvCnPr/>
                              <wps:spPr>
                                <a:xfrm rot="-5400000" flipV="1">
                                  <a:off x="409575" y="501015"/>
                                  <a:ext cx="254000" cy="0"/>
                                </a:xfrm>
                                <a:prstGeom prst="straightConnector1">
                                  <a:avLst/>
                                </a:prstGeom>
                                <a:ln w="9525" cap="flat" cmpd="sng">
                                  <a:solidFill>
                                    <a:srgbClr val="000000"/>
                                  </a:solidFill>
                                  <a:prstDash val="dash"/>
                                  <a:headEnd type="none" w="med" len="med"/>
                                  <a:tailEnd type="triangle" w="med" len="med"/>
                                </a:ln>
                              </wps:spPr>
                              <wps:bodyPr/>
                            </wps:wsp>
                            <wps:wsp>
                              <wps:cNvPr id="82" name="直接箭头连接符 82"/>
                              <wps:cNvCnPr/>
                              <wps:spPr>
                                <a:xfrm rot="-5400000" flipV="1">
                                  <a:off x="3448686" y="500380"/>
                                  <a:ext cx="254000" cy="0"/>
                                </a:xfrm>
                                <a:prstGeom prst="straightConnector1">
                                  <a:avLst/>
                                </a:prstGeom>
                                <a:ln w="9525" cap="flat" cmpd="sng">
                                  <a:solidFill>
                                    <a:srgbClr val="000000"/>
                                  </a:solidFill>
                                  <a:prstDash val="dash"/>
                                  <a:headEnd type="none" w="med" len="med"/>
                                  <a:tailEnd type="triangle" w="med" len="med"/>
                                </a:ln>
                              </wps:spPr>
                              <wps:bodyPr/>
                            </wps:wsp>
                            <wps:wsp>
                              <wps:cNvPr id="83" name="直接箭头连接符 83"/>
                              <wps:cNvCnPr/>
                              <wps:spPr>
                                <a:xfrm rot="-5400000" flipH="1">
                                  <a:off x="2416810" y="1064261"/>
                                  <a:ext cx="254000" cy="0"/>
                                </a:xfrm>
                                <a:prstGeom prst="straightConnector1">
                                  <a:avLst/>
                                </a:prstGeom>
                                <a:ln w="9525" cap="flat" cmpd="sng">
                                  <a:solidFill>
                                    <a:srgbClr val="000000"/>
                                  </a:solidFill>
                                  <a:prstDash val="dash"/>
                                  <a:headEnd type="none" w="med" len="med"/>
                                  <a:tailEnd type="triangle" w="med" len="med"/>
                                </a:ln>
                              </wps:spPr>
                              <wps:bodyPr/>
                            </wps:wsp>
                            <wps:wsp>
                              <wps:cNvPr id="84" name="直接箭头连接符 84"/>
                              <wps:cNvCnPr/>
                              <wps:spPr>
                                <a:xfrm rot="-5400000" flipH="1">
                                  <a:off x="1414780" y="1064261"/>
                                  <a:ext cx="254000" cy="0"/>
                                </a:xfrm>
                                <a:prstGeom prst="straightConnector1">
                                  <a:avLst/>
                                </a:prstGeom>
                                <a:ln w="9525" cap="flat" cmpd="sng">
                                  <a:solidFill>
                                    <a:srgbClr val="000000"/>
                                  </a:solidFill>
                                  <a:prstDash val="dash"/>
                                  <a:headEnd type="none" w="med" len="med"/>
                                  <a:tailEnd type="triangle" w="med" len="med"/>
                                </a:ln>
                              </wps:spPr>
                              <wps:bodyPr/>
                            </wps:wsp>
                            <wps:wsp>
                              <wps:cNvPr id="85" name="直接箭头连接符 85"/>
                              <wps:cNvCnPr/>
                              <wps:spPr>
                                <a:xfrm rot="-5400000" flipH="1">
                                  <a:off x="410210" y="1064261"/>
                                  <a:ext cx="254000" cy="0"/>
                                </a:xfrm>
                                <a:prstGeom prst="straightConnector1">
                                  <a:avLst/>
                                </a:prstGeom>
                                <a:ln w="9525" cap="flat" cmpd="sng">
                                  <a:solidFill>
                                    <a:srgbClr val="000000"/>
                                  </a:solidFill>
                                  <a:prstDash val="dash"/>
                                  <a:headEnd type="none" w="med" len="med"/>
                                  <a:tailEnd type="triangle" w="med" len="med"/>
                                </a:ln>
                              </wps:spPr>
                              <wps:bodyPr/>
                            </wps:wsp>
                            <wps:wsp>
                              <wps:cNvPr id="86" name="直接箭头连接符 86"/>
                              <wps:cNvCnPr/>
                              <wps:spPr>
                                <a:xfrm rot="-5400000" flipH="1">
                                  <a:off x="3446781" y="1064261"/>
                                  <a:ext cx="254000" cy="0"/>
                                </a:xfrm>
                                <a:prstGeom prst="straightConnector1">
                                  <a:avLst/>
                                </a:prstGeom>
                                <a:ln w="9525" cap="flat" cmpd="sng">
                                  <a:solidFill>
                                    <a:srgbClr val="000000"/>
                                  </a:solidFill>
                                  <a:prstDash val="dash"/>
                                  <a:headEnd type="none" w="med" len="med"/>
                                  <a:tailEnd type="triangle" w="med" len="med"/>
                                </a:ln>
                              </wps:spPr>
                              <wps:bodyPr/>
                            </wps:wsp>
                            <wpg:wgp>
                              <wpg:cNvPr id="99" name="组合 99"/>
                              <wpg:cNvGrpSpPr/>
                              <wpg:grpSpPr>
                                <a:xfrm>
                                  <a:off x="111760" y="74295"/>
                                  <a:ext cx="4872990" cy="1417320"/>
                                  <a:chOff x="176" y="117"/>
                                  <a:chExt cx="7674" cy="2232"/>
                                </a:xfrm>
                              </wpg:grpSpPr>
                              <wps:wsp>
                                <wps:cNvPr id="87" name="矩形 87"/>
                                <wps:cNvSpPr/>
                                <wps:spPr>
                                  <a:xfrm>
                                    <a:off x="690" y="117"/>
                                    <a:ext cx="6633" cy="464"/>
                                  </a:xfrm>
                                  <a:prstGeom prst="rect">
                                    <a:avLst/>
                                  </a:prstGeom>
                                  <a:noFill/>
                                  <a:ln w="6350" cap="sq" cmpd="sng">
                                    <a:solidFill>
                                      <a:srgbClr val="000000"/>
                                    </a:solidFill>
                                    <a:prstDash val="sysDot"/>
                                    <a:miter/>
                                    <a:headEnd type="none" w="med" len="med"/>
                                    <a:tailEnd type="none" w="med" len="med"/>
                                  </a:ln>
                                </wps:spPr>
                                <wps:txbx>
                                  <w:txbxContent>
                                    <w:p>
                                      <w:pPr>
                                        <w:jc w:val="center"/>
                                        <w:rPr>
                                          <w:rFonts w:hint="default" w:eastAsia="宋体"/>
                                          <w:sz w:val="21"/>
                                          <w:szCs w:val="21"/>
                                          <w:lang w:val="en-US" w:eastAsia="zh-CN"/>
                                        </w:rPr>
                                      </w:pPr>
                                      <w:r>
                                        <w:rPr>
                                          <w:rFonts w:hint="eastAsia"/>
                                          <w:sz w:val="21"/>
                                          <w:szCs w:val="21"/>
                                          <w:lang w:val="en-US" w:eastAsia="zh-CN"/>
                                        </w:rPr>
                                        <w:t>施工扬尘、施工机械废气、车辆尾气、施工废水、施工噪声</w:t>
                                      </w:r>
                                    </w:p>
                                  </w:txbxContent>
                                </wps:txbx>
                                <wps:bodyPr upright="1"/>
                              </wps:wsp>
                              <wpg:grpSp>
                                <wpg:cNvPr id="97" name="组合 97"/>
                                <wpg:cNvGrpSpPr/>
                                <wpg:grpSpPr>
                                  <a:xfrm>
                                    <a:off x="176" y="1008"/>
                                    <a:ext cx="7674" cy="459"/>
                                    <a:chOff x="176" y="1008"/>
                                    <a:chExt cx="7675" cy="460"/>
                                  </a:xfrm>
                                </wpg:grpSpPr>
                                <wps:wsp>
                                  <wps:cNvPr id="88" name="矩形 88"/>
                                  <wps:cNvSpPr/>
                                  <wps:spPr>
                                    <a:xfrm>
                                      <a:off x="176" y="1008"/>
                                      <a:ext cx="1247"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施工准备</w:t>
                                        </w:r>
                                      </w:p>
                                    </w:txbxContent>
                                  </wps:txbx>
                                  <wps:bodyPr upright="1"/>
                                </wps:wsp>
                                <wps:wsp>
                                  <wps:cNvPr id="89" name="直接箭头连接符 89"/>
                                  <wps:cNvCnPr/>
                                  <wps:spPr>
                                    <a:xfrm flipV="1">
                                      <a:off x="4660" y="1253"/>
                                      <a:ext cx="357" cy="0"/>
                                    </a:xfrm>
                                    <a:prstGeom prst="straightConnector1">
                                      <a:avLst/>
                                    </a:prstGeom>
                                    <a:ln w="9525" cap="flat" cmpd="sng">
                                      <a:solidFill>
                                        <a:srgbClr val="000000"/>
                                      </a:solidFill>
                                      <a:prstDash val="solid"/>
                                      <a:headEnd type="none" w="med" len="med"/>
                                      <a:tailEnd type="triangle" w="med" len="med"/>
                                    </a:ln>
                                  </wps:spPr>
                                  <wps:bodyPr/>
                                </wps:wsp>
                                <wps:wsp>
                                  <wps:cNvPr id="90" name="矩形 90"/>
                                  <wps:cNvSpPr/>
                                  <wps:spPr>
                                    <a:xfrm>
                                      <a:off x="1789" y="1008"/>
                                      <a:ext cx="1247"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路基工程</w:t>
                                        </w:r>
                                      </w:p>
                                    </w:txbxContent>
                                  </wps:txbx>
                                  <wps:bodyPr upright="1"/>
                                </wps:wsp>
                                <wps:wsp>
                                  <wps:cNvPr id="91" name="矩形 91"/>
                                  <wps:cNvSpPr/>
                                  <wps:spPr>
                                    <a:xfrm>
                                      <a:off x="3401" y="1008"/>
                                      <a:ext cx="1247"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管道工程</w:t>
                                        </w:r>
                                      </w:p>
                                    </w:txbxContent>
                                  </wps:txbx>
                                  <wps:bodyPr upright="1"/>
                                </wps:wsp>
                                <wps:wsp>
                                  <wps:cNvPr id="92" name="矩形 92"/>
                                  <wps:cNvSpPr/>
                                  <wps:spPr>
                                    <a:xfrm>
                                      <a:off x="5013" y="1008"/>
                                      <a:ext cx="1247"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路面施工</w:t>
                                        </w:r>
                                      </w:p>
                                    </w:txbxContent>
                                  </wps:txbx>
                                  <wps:bodyPr upright="1"/>
                                </wps:wsp>
                                <wps:wsp>
                                  <wps:cNvPr id="93" name="矩形 93"/>
                                  <wps:cNvSpPr/>
                                  <wps:spPr>
                                    <a:xfrm>
                                      <a:off x="6605" y="1008"/>
                                      <a:ext cx="1247"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绿化工程</w:t>
                                        </w:r>
                                      </w:p>
                                    </w:txbxContent>
                                  </wps:txbx>
                                  <wps:bodyPr upright="1"/>
                                </wps:wsp>
                                <wps:wsp>
                                  <wps:cNvPr id="94" name="直接箭头连接符 94"/>
                                  <wps:cNvCnPr/>
                                  <wps:spPr>
                                    <a:xfrm flipV="1">
                                      <a:off x="6265" y="1253"/>
                                      <a:ext cx="340" cy="0"/>
                                    </a:xfrm>
                                    <a:prstGeom prst="straightConnector1">
                                      <a:avLst/>
                                    </a:prstGeom>
                                    <a:ln w="9525" cap="flat" cmpd="sng">
                                      <a:solidFill>
                                        <a:srgbClr val="000000"/>
                                      </a:solidFill>
                                      <a:prstDash val="solid"/>
                                      <a:headEnd type="none" w="med" len="med"/>
                                      <a:tailEnd type="triangle" w="med" len="med"/>
                                    </a:ln>
                                  </wps:spPr>
                                  <wps:bodyPr/>
                                </wps:wsp>
                                <wps:wsp>
                                  <wps:cNvPr id="95" name="直接箭头连接符 95"/>
                                  <wps:cNvCnPr/>
                                  <wps:spPr>
                                    <a:xfrm flipV="1">
                                      <a:off x="3057" y="1254"/>
                                      <a:ext cx="362" cy="0"/>
                                    </a:xfrm>
                                    <a:prstGeom prst="straightConnector1">
                                      <a:avLst/>
                                    </a:prstGeom>
                                    <a:ln w="9525" cap="flat" cmpd="sng">
                                      <a:solidFill>
                                        <a:srgbClr val="000000"/>
                                      </a:solidFill>
                                      <a:prstDash val="solid"/>
                                      <a:headEnd type="none" w="med" len="med"/>
                                      <a:tailEnd type="triangle" w="med" len="med"/>
                                    </a:ln>
                                  </wps:spPr>
                                  <wps:bodyPr/>
                                </wps:wsp>
                                <wps:wsp>
                                  <wps:cNvPr id="96" name="直接箭头连接符 96"/>
                                  <wps:cNvCnPr/>
                                  <wps:spPr>
                                    <a:xfrm flipV="1">
                                      <a:off x="1431" y="1254"/>
                                      <a:ext cx="362" cy="0"/>
                                    </a:xfrm>
                                    <a:prstGeom prst="straightConnector1">
                                      <a:avLst/>
                                    </a:prstGeom>
                                    <a:ln w="9525" cap="flat" cmpd="sng">
                                      <a:solidFill>
                                        <a:srgbClr val="000000"/>
                                      </a:solidFill>
                                      <a:prstDash val="solid"/>
                                      <a:headEnd type="none" w="med" len="med"/>
                                      <a:tailEnd type="triangle" w="med" len="med"/>
                                    </a:ln>
                                  </wps:spPr>
                                  <wps:bodyPr/>
                                </wps:wsp>
                              </wpg:grpSp>
                              <wps:wsp>
                                <wps:cNvPr id="98" name="矩形 98"/>
                                <wps:cNvSpPr/>
                                <wps:spPr>
                                  <a:xfrm>
                                    <a:off x="702" y="1885"/>
                                    <a:ext cx="6633" cy="465"/>
                                  </a:xfrm>
                                  <a:prstGeom prst="rect">
                                    <a:avLst/>
                                  </a:prstGeom>
                                  <a:noFill/>
                                  <a:ln w="6350" cap="sq" cmpd="sng">
                                    <a:solidFill>
                                      <a:srgbClr val="000000"/>
                                    </a:solidFill>
                                    <a:prstDash val="sysDot"/>
                                    <a:miter/>
                                    <a:headEnd type="none" w="med" len="med"/>
                                    <a:tailEnd type="none" w="med" len="med"/>
                                  </a:ln>
                                </wps:spPr>
                                <wps:txbx>
                                  <w:txbxContent>
                                    <w:p>
                                      <w:pPr>
                                        <w:jc w:val="center"/>
                                        <w:rPr>
                                          <w:rFonts w:hint="default" w:eastAsia="宋体"/>
                                          <w:sz w:val="21"/>
                                          <w:szCs w:val="21"/>
                                          <w:lang w:val="en-US" w:eastAsia="zh-CN"/>
                                        </w:rPr>
                                      </w:pPr>
                                      <w:r>
                                        <w:rPr>
                                          <w:rFonts w:hint="eastAsia" w:eastAsia="宋体"/>
                                          <w:sz w:val="21"/>
                                          <w:szCs w:val="21"/>
                                          <w:lang w:val="en-US" w:eastAsia="zh-CN"/>
                                        </w:rPr>
                                        <w:t>建筑垃圾、废弃土石方、生活垃圾、废包装材料</w:t>
                                      </w:r>
                                    </w:p>
                                  </w:txbxContent>
                                </wps:txbx>
                                <wps:bodyPr upright="1"/>
                              </wps:wsp>
                            </wpg:wgp>
                            <wps:wsp>
                              <wps:cNvPr id="100" name="直接箭头连接符 100"/>
                              <wps:cNvCnPr/>
                              <wps:spPr>
                                <a:xfrm rot="-5400000" flipV="1">
                                  <a:off x="4433570" y="501015"/>
                                  <a:ext cx="254000" cy="0"/>
                                </a:xfrm>
                                <a:prstGeom prst="straightConnector1">
                                  <a:avLst/>
                                </a:prstGeom>
                                <a:ln w="9525" cap="flat" cmpd="sng">
                                  <a:solidFill>
                                    <a:srgbClr val="000000"/>
                                  </a:solidFill>
                                  <a:prstDash val="dash"/>
                                  <a:headEnd type="none" w="med" len="med"/>
                                  <a:tailEnd type="triangle" w="med" len="med"/>
                                </a:ln>
                              </wps:spPr>
                              <wps:bodyPr/>
                            </wps:wsp>
                            <wps:wsp>
                              <wps:cNvPr id="101" name="直接箭头连接符 101"/>
                              <wps:cNvCnPr/>
                              <wps:spPr>
                                <a:xfrm rot="5400000">
                                  <a:off x="4432935" y="1062355"/>
                                  <a:ext cx="254000" cy="0"/>
                                </a:xfrm>
                                <a:prstGeom prst="straightConnector1">
                                  <a:avLst/>
                                </a:prstGeom>
                                <a:ln w="9525" cap="flat" cmpd="sng">
                                  <a:solidFill>
                                    <a:srgbClr val="000000"/>
                                  </a:solidFill>
                                  <a:prstDash val="dash"/>
                                  <a:headEnd type="none" w="med" len="med"/>
                                  <a:tailEnd type="triangle" w="med" len="med"/>
                                </a:ln>
                              </wps:spPr>
                              <wps:bodyPr/>
                            </wps:wsp>
                          </wpc:wpc>
                        </a:graphicData>
                      </a:graphic>
                    </wp:inline>
                  </w:drawing>
                </mc:Choice>
                <mc:Fallback>
                  <w:pict>
                    <v:group id="_x0000_s1026" o:spid="_x0000_s1026" o:spt="203" style="height:128.15pt;width:398.15pt;" coordsize="5056505,1627505" editas="canvas" o:gfxdata="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&#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DEP8si1gAAAAUBAAAPAAAAAAAAAAEAIAAAACIAAABk&#10;cnMvZG93bnJldi54bWxQSwECFAAUAAAACACHTuJALnuWCgoGAADfMwAADgAAAAAAAAABACAAAAAl&#10;AQAAZHJzL2Uyb0RvYy54bWxQSwUGAAAAAAYABgBZAQAAoQkAAAAA&#10;">
                      <o:lock v:ext="edit" aspectratio="f"/>
                      <v:shape id="_x0000_s1026" o:spid="_x0000_s1026" style="position:absolute;left:0;top:0;height:1627505;width:5056505;" filled="f" stroked="f" coordsize="21600,21600" o:gfxdata="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MQ/yyLWAAAABQEAAA8AAAAAAAAAAQAgAAAAIgAAAGRy&#10;cy9kb3ducmV2LnhtbFBLAQIUABQAAAAIAIdO4kAt099ZCQYAAFQzAAAOAAAAAAAAAAEAIAAAACUB&#10;AABkcnMvZTJvRG9jLnhtbFBLBQYAAAAABgAGAFkBAACgCQAAAAA=&#10;">
                        <v:fill on="f" focussize="0,0"/>
                        <v:stroke on="f"/>
                        <v:imagedata o:title=""/>
                        <o:lock v:ext="edit" aspectratio="t"/>
                      </v:shape>
                      <v:shape id="_x0000_s1026" o:spid="_x0000_s1026" o:spt="32" type="#_x0000_t32" style="position:absolute;left:2416960;top:506245;flip:y;height:0;width:2664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R/wXLW&#10;AAAABQEAAA8AAAAAAAAAAQAgAAAAIgAAAGRycy9kb3ducmV2LnhtbFBLAQIUABQAAAAIAIdO4kBu&#10;2OQVIgIAABQEAAAOAAAAAAAAAAEAIAAAACUBAABkcnMvZTJvRG9jLnhtbFBLBQYAAAAABgAGAFkB&#10;AAC5BQAAAAA=&#10;">
                        <v:fill on="f" focussize="0,0"/>
                        <v:stroke color="#000000" joinstyle="round" dashstyle="dash" endarrow="block"/>
                        <v:imagedata o:title=""/>
                        <o:lock v:ext="edit" aspectratio="f"/>
                      </v:shape>
                      <v:shape id="_x0000_s1026" o:spid="_x0000_s1026" o:spt="32" type="#_x0000_t32" style="position:absolute;left:1412240;top:500380;flip:y;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BctYAAAAF&#10;AQAADwAAAAAAAAABACAAAAAiAAAAZHJzL2Rvd25yZXYueG1sUEsBAhQAFAAAAAgAh07iQK68qNYe&#10;AgAAFAQAAA4AAAAAAAAAAQAgAAAAJQEAAGRycy9lMm9Eb2MueG1sUEsFBgAAAAAGAAYAWQEAALUF&#10;AAAAAA==&#10;">
                        <v:fill on="f" focussize="0,0"/>
                        <v:stroke color="#000000" joinstyle="round" dashstyle="dash" endarrow="block"/>
                        <v:imagedata o:title=""/>
                        <o:lock v:ext="edit" aspectratio="f"/>
                      </v:shape>
                      <v:shape id="_x0000_s1026" o:spid="_x0000_s1026" o:spt="32" type="#_x0000_t32" style="position:absolute;left:409575;top:501015;flip:y;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f8Fy1gAA&#10;AAUBAAAPAAAAAAAAAAEAIAAAACIAAABkcnMvZG93bnJldi54bWxQSwECFAAUAAAACACHTuJAqYaf&#10;VSACAAATBAAADgAAAAAAAAABACAAAAAlAQAAZHJzL2Uyb0RvYy54bWxQSwUGAAAAAAYABgBZAQAA&#10;twUAAAAA&#10;">
                        <v:fill on="f" focussize="0,0"/>
                        <v:stroke color="#000000" joinstyle="round" dashstyle="dash" endarrow="block"/>
                        <v:imagedata o:title=""/>
                        <o:lock v:ext="edit" aspectratio="f"/>
                      </v:shape>
                      <v:shape id="_x0000_s1026" o:spid="_x0000_s1026" o:spt="32" type="#_x0000_t32" style="position:absolute;left:3448686;top:500380;flip:y;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H/BctYA&#10;AAAFAQAADwAAAAAAAAABACAAAAAiAAAAZHJzL2Rvd25yZXYueG1sUEsBAhQAFAAAAAgAh07iQI9c&#10;DEEhAgAAFAQAAA4AAAAAAAAAAQAgAAAAJQEAAGRycy9lMm9Eb2MueG1sUEsFBgAAAAAGAAYAWQEA&#10;ALgFAAAAAA==&#10;">
                        <v:fill on="f" focussize="0,0"/>
                        <v:stroke color="#000000" joinstyle="round" dashstyle="dash" endarrow="block"/>
                        <v:imagedata o:title=""/>
                        <o:lock v:ext="edit" aspectratio="f"/>
                      </v:shape>
                      <v:shape id="_x0000_s1026" o:spid="_x0000_s1026" o:spt="32" type="#_x0000_t32" style="position:absolute;left:2416810;top:1064261;flip:x;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H/BctYA&#10;AAAFAQAADwAAAAAAAAABACAAAAAiAAAAZHJzL2Rvd25yZXYueG1sUEsBAhQAFAAAAAgAh07iQB+b&#10;7ashAgAAFQQAAA4AAAAAAAAAAQAgAAAAJQEAAGRycy9lMm9Eb2MueG1sUEsFBgAAAAAGAAYAWQEA&#10;ALgFAAAAAA==&#10;">
                        <v:fill on="f" focussize="0,0"/>
                        <v:stroke color="#000000" joinstyle="round" dashstyle="dash" endarrow="block"/>
                        <v:imagedata o:title=""/>
                        <o:lock v:ext="edit" aspectratio="f"/>
                      </v:shape>
                      <v:shape id="_x0000_s1026" o:spid="_x0000_s1026" o:spt="32" type="#_x0000_t32" style="position:absolute;left:1414780;top:1064261;flip:x;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H/BctYA&#10;AAAFAQAADwAAAAAAAAABACAAAAAiAAAAZHJzL2Rvd25yZXYueG1sUEsBAhQAFAAAAAgAh07iQMFy&#10;spUhAgAAFQQAAA4AAAAAAAAAAQAgAAAAJQEAAGRycy9lMm9Eb2MueG1sUEsFBgAAAAAGAAYAWQEA&#10;ALgFAAAAAA==&#10;">
                        <v:fill on="f" focussize="0,0"/>
                        <v:stroke color="#000000" joinstyle="round" dashstyle="dash" endarrow="block"/>
                        <v:imagedata o:title=""/>
                        <o:lock v:ext="edit" aspectratio="f"/>
                      </v:shape>
                      <v:shape id="_x0000_s1026" o:spid="_x0000_s1026" o:spt="32" type="#_x0000_t32" style="position:absolute;left:410210;top:1064261;flip:x;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f8Fy1gAA&#10;AAUBAAAPAAAAAAAAAAEAIAAAACIAAABkcnMvZG93bnJldi54bWxQSwECFAAUAAAACACHTuJAepgh&#10;YSACAAAUBAAADgAAAAAAAAABACAAAAAlAQAAZHJzL2Uyb0RvYy54bWxQSwUGAAAAAAYABgBZAQAA&#10;twUAAAAA&#10;">
                        <v:fill on="f" focussize="0,0"/>
                        <v:stroke color="#000000" joinstyle="round" dashstyle="dash" endarrow="block"/>
                        <v:imagedata o:title=""/>
                        <o:lock v:ext="edit" aspectratio="f"/>
                      </v:shape>
                      <v:shape id="_x0000_s1026" o:spid="_x0000_s1026" o:spt="32" type="#_x0000_t32" style="position:absolute;left:3446781;top:1064261;flip:x;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f8Fy&#10;1gAAAAUBAAAPAAAAAAAAAAEAIAAAACIAAABkcnMvZG93bnJldi54bWxQSwECFAAUAAAACACHTuJA&#10;muxjlSMCAAAVBAAADgAAAAAAAAABACAAAAAlAQAAZHJzL2Uyb0RvYy54bWxQSwUGAAAAAAYABgBZ&#10;AQAAugUAAAAA&#10;">
                        <v:fill on="f" focussize="0,0"/>
                        <v:stroke color="#000000" joinstyle="round" dashstyle="dash" endarrow="block"/>
                        <v:imagedata o:title=""/>
                        <o:lock v:ext="edit" aspectratio="f"/>
                      </v:shape>
                      <v:group id="_x0000_s1026" o:spid="_x0000_s1026" o:spt="203" style="position:absolute;left:111760;top:74295;height:1417320;width:4872990;" coordorigin="176,117" coordsize="7674,2232" o:gfxdata="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FMkilnWAAAABQEAAA8AAAAAAAAAAQAgAAAAIgAAAGRycy9kb3ducmV2LnhtbFBLAQIUABQA&#10;AAAIAIdO4kDuo7NMZQQAAI4cAAAOAAAAAAAAAAEAIAAAACUBAABkcnMvZTJvRG9jLnhtbFBLBQYA&#10;AAAABgAGAFkBAAD8BwAAAAA=&#10;">
                        <o:lock v:ext="edit" aspectratio="f"/>
                        <v:rect id="_x0000_s1026" o:spid="_x0000_s1026" o:spt="1" style="position:absolute;left:690;top:117;height:464;width:6633;" filled="f" stroked="t" coordsize="21600,21600" o:gfxdata="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n8L4A&#10;AADbAAAADwAAAAAAAAABACAAAAAiAAAAZHJzL2Rvd25yZXYueG1sUEsBAhQAFAAAAAgAh07iQDMv&#10;BZ47AAAAOQAAABAAAAAAAAAAAQAgAAAADQEAAGRycy9zaGFwZXhtbC54bWxQSwUGAAAAAAYABgBb&#10;AQAAtwMAAAAA&#10;">
                          <v:fill on="f" focussize="0,0"/>
                          <v:stroke weight="0.5pt" color="#000000" joinstyle="miter" dashstyle="1 1" endcap="square"/>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施工扬尘、施工机械废气、车辆尾气、施工废水、施工噪声</w:t>
                                </w:r>
                              </w:p>
                            </w:txbxContent>
                          </v:textbox>
                        </v:rect>
                        <v:group id="_x0000_s1026" o:spid="_x0000_s1026" o:spt="203" style="position:absolute;left:176;top:1008;height:459;width:7674;" coordorigin="176,1008" coordsize="7675,460"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76;top:1008;height:460;width:1247;" fillcolor="#FFFFFF" filled="t" stroked="t" coordsize="21600,21600" o:gfxdata="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HE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施工准备</w:t>
                                  </w:r>
                                </w:p>
                              </w:txbxContent>
                            </v:textbox>
                          </v:rect>
                          <v:shape id="_x0000_s1026" o:spid="_x0000_s1026" o:spt="32" type="#_x0000_t32" style="position:absolute;left:4660;top:1253;flip:y;height:0;width:357;" filled="f" stroked="t" coordsize="21600,21600" o:gfxdata="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Ng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1789;top:1008;height:460;width:1247;"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路基工程</w:t>
                                  </w:r>
                                </w:p>
                              </w:txbxContent>
                            </v:textbox>
                          </v:rect>
                          <v:rect id="_x0000_s1026" o:spid="_x0000_s1026" o:spt="1" style="position:absolute;left:3401;top:1008;height:460;width:1247;"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管道工程</w:t>
                                  </w:r>
                                </w:p>
                              </w:txbxContent>
                            </v:textbox>
                          </v:rect>
                          <v:rect id="_x0000_s1026" o:spid="_x0000_s1026" o:spt="1" style="position:absolute;left:5013;top:1008;height:460;width:1247;" fillcolor="#FFFFFF" filled="t" stroked="t" coordsize="21600,21600"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路面施工</w:t>
                                  </w:r>
                                </w:p>
                              </w:txbxContent>
                            </v:textbox>
                          </v:rect>
                          <v:rect id="_x0000_s1026" o:spid="_x0000_s1026" o:spt="1" style="position:absolute;left:6605;top:1008;height:460;width:1247;" fillcolor="#FFFFFF" filled="t" stroked="t" coordsize="21600,21600" o:gfxdata="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O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绿化工程</w:t>
                                  </w:r>
                                </w:p>
                              </w:txbxContent>
                            </v:textbox>
                          </v:rect>
                          <v:shape id="_x0000_s1026" o:spid="_x0000_s1026" o:spt="32" type="#_x0000_t32" style="position:absolute;left:6265;top:1253;flip:y;height:0;width:340;" filled="f" stroked="t" coordsize="21600,21600" o:gfxdata="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W5D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057;top:1254;flip:y;height:0;width:362;" filled="f" stroked="t" coordsize="21600,21600" o:gfxdata="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ZH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431;top:1254;flip:y;height:0;width:362;" filled="f" stroked="t" coordsize="21600,21600" o:gfxdata="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i4L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rect id="_x0000_s1026" o:spid="_x0000_s1026" o:spt="1" style="position:absolute;left:702;top:1885;height:465;width:6633;" filled="f" stroked="t" coordsize="21600,21600" o:gfxdata="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25V+5AAAA2wAA&#10;AA8AAAAAAAAAAQAgAAAAIgAAAGRycy9kb3ducmV2LnhtbFBLAQIUABQAAAAIAIdO4kAzLwWeOwAA&#10;ADkAAAAQAAAAAAAAAAEAIAAAAAgBAABkcnMvc2hhcGV4bWwueG1sUEsFBgAAAAAGAAYAWwEAALID&#10;AAAAAA==&#10;">
                          <v:fill on="f" focussize="0,0"/>
                          <v:stroke weight="0.5pt" color="#000000" joinstyle="miter" dashstyle="1 1" endcap="square"/>
                          <v:imagedata o:title=""/>
                          <o:lock v:ext="edit" aspectratio="f"/>
                          <v:textbox>
                            <w:txbxContent>
                              <w:p>
                                <w:pPr>
                                  <w:jc w:val="center"/>
                                  <w:rPr>
                                    <w:rFonts w:hint="default" w:eastAsia="宋体"/>
                                    <w:sz w:val="21"/>
                                    <w:szCs w:val="21"/>
                                    <w:lang w:val="en-US" w:eastAsia="zh-CN"/>
                                  </w:rPr>
                                </w:pPr>
                                <w:r>
                                  <w:rPr>
                                    <w:rFonts w:hint="eastAsia" w:eastAsia="宋体"/>
                                    <w:sz w:val="21"/>
                                    <w:szCs w:val="21"/>
                                    <w:lang w:val="en-US" w:eastAsia="zh-CN"/>
                                  </w:rPr>
                                  <w:t>建筑垃圾、废弃土石方、生活垃圾、废包装材料</w:t>
                                </w:r>
                              </w:p>
                            </w:txbxContent>
                          </v:textbox>
                        </v:rect>
                      </v:group>
                      <v:shape id="_x0000_s1026" o:spid="_x0000_s1026" o:spt="32" type="#_x0000_t32" style="position:absolute;left:4433570;top:501015;flip:y;height:0;width:254000;rotation:5898240f;" filled="f" stroked="t" coordsize="21600,21600" o:gfxdata="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f8Fy1gAA&#10;AAUBAAAPAAAAAAAAAAEAIAAAACIAAABkcnMvZG93bnJldi54bWxQSwECFAAUAAAACACHTuJAR89N&#10;3iACAAAWBAAADgAAAAAAAAABACAAAAAlAQAAZHJzL2Uyb0RvYy54bWxQSwUGAAAAAAYABgBZAQAA&#10;twUAAAAA&#10;">
                        <v:fill on="f" focussize="0,0"/>
                        <v:stroke color="#000000" joinstyle="round" dashstyle="dash" endarrow="block"/>
                        <v:imagedata o:title=""/>
                        <o:lock v:ext="edit" aspectratio="f"/>
                      </v:shape>
                      <v:shape id="_x0000_s1026" o:spid="_x0000_s1026" o:spt="32" type="#_x0000_t32" style="position:absolute;left:4432935;top:1062355;height:0;width:254000;rotation:5898240f;" filled="f" stroked="t" coordsize="21600,21600" o:gfxdata="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YTBRdQAAAAFAQAADwAA&#10;AAAAAAABACAAAAAiAAAAZHJzL2Rvd25yZXYueG1sUEsBAhQAFAAAAAgAh07iQHIwWVUaAgAADAQA&#10;AA4AAAAAAAAAAQAgAAAAIwEAAGRycy9lMm9Eb2MueG1sUEsFBgAAAAAGAAYAWQEAAK8FAAAAAA==&#10;">
                        <v:fill on="f" focussize="0,0"/>
                        <v:stroke color="#000000" joinstyle="round" dashstyle="dash" endarrow="block"/>
                        <v:imagedata o:title=""/>
                        <o:lock v:ext="edit" aspectratio="f"/>
                      </v:shape>
                      <w10:wrap type="none"/>
                      <w10:anchorlock/>
                    </v:group>
                  </w:pict>
                </mc:Fallback>
              </mc:AlternateContent>
            </w:r>
          </w:p>
          <w:p>
            <w:pPr>
              <w:pStyle w:val="8"/>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 xml:space="preserve"> 施工期流程图及产物环节图</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color w:val="auto"/>
                <w:sz w:val="24"/>
              </w:rPr>
            </w:pPr>
            <w:r>
              <w:rPr>
                <w:rFonts w:hint="eastAsia"/>
                <w:b/>
                <w:bCs/>
                <w:color w:val="auto"/>
                <w:sz w:val="24"/>
                <w:szCs w:val="24"/>
                <w:lang w:val="en-US" w:eastAsia="zh-CN"/>
              </w:rPr>
              <w:t>2、施工时序</w:t>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begin"/>
            </w:r>
            <w:r>
              <w:rPr>
                <w:color w:val="auto"/>
              </w:rPr>
              <w:instrText xml:space="preserve"> INCLUDEPICTURE  "C:\\Users\\win10\\AppData\\Local\\Temp\\ksohtml12316\\wps2.png" \* MERGEFORMATINET </w:instrText>
            </w:r>
            <w:r>
              <w:rPr>
                <w:color w:val="auto"/>
              </w:rPr>
              <w:fldChar w:fldCharType="separate"/>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r>
              <w:rPr>
                <w:color w:val="auto"/>
              </w:rPr>
              <w:fldChar w:fldCharType="end"/>
            </w:r>
          </w:p>
          <w:p>
            <w:pPr>
              <w:keepNext w:val="0"/>
              <w:keepLines w:val="0"/>
              <w:pageBreakBefore w:val="0"/>
              <w:widowControl w:val="0"/>
              <w:kinsoku/>
              <w:wordWrap w:val="0"/>
              <w:overflowPunct/>
              <w:topLinePunct w:val="0"/>
              <w:bidi w:val="0"/>
              <w:adjustRightInd/>
              <w:snapToGrid/>
              <w:spacing w:line="360" w:lineRule="auto"/>
              <w:ind w:left="0" w:leftChars="0" w:right="0" w:rightChars="0" w:firstLine="480" w:firstLineChars="200"/>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①施工准备：主要为平整场地。</w:t>
            </w:r>
          </w:p>
          <w:p>
            <w:pPr>
              <w:keepNext w:val="0"/>
              <w:keepLines w:val="0"/>
              <w:pageBreakBefore w:val="0"/>
              <w:widowControl w:val="0"/>
              <w:kinsoku/>
              <w:wordWrap w:val="0"/>
              <w:overflowPunct/>
              <w:topLinePunct w:val="0"/>
              <w:bidi w:val="0"/>
              <w:adjustRightInd/>
              <w:snapToGrid/>
              <w:spacing w:line="360" w:lineRule="auto"/>
              <w:ind w:left="0" w:leftChars="0" w:right="0" w:rightChars="0" w:firstLine="480" w:firstLineChars="200"/>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②路基施工：填方路基施工以机械施工为主，适当配合人工施工的施工方案，采用分层平铺填筑，分层压实的方法施工。</w:t>
            </w:r>
          </w:p>
          <w:p>
            <w:pPr>
              <w:keepNext w:val="0"/>
              <w:keepLines w:val="0"/>
              <w:pageBreakBefore w:val="0"/>
              <w:widowControl w:val="0"/>
              <w:kinsoku/>
              <w:wordWrap w:val="0"/>
              <w:overflowPunct/>
              <w:topLinePunct w:val="0"/>
              <w:bidi w:val="0"/>
              <w:adjustRightInd/>
              <w:snapToGrid/>
              <w:spacing w:line="360" w:lineRule="auto"/>
              <w:ind w:left="0" w:leftChars="0" w:right="0" w:rightChars="0" w:firstLine="480" w:firstLineChars="200"/>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③管道工程：主要包括给排水管道、电力管沟、通信管沟等，管道工程基本与路基土方工程施工一并进行。</w:t>
            </w:r>
          </w:p>
          <w:p>
            <w:pPr>
              <w:keepNext w:val="0"/>
              <w:keepLines w:val="0"/>
              <w:pageBreakBefore w:val="0"/>
              <w:widowControl w:val="0"/>
              <w:kinsoku/>
              <w:wordWrap w:val="0"/>
              <w:overflowPunct/>
              <w:topLinePunct w:val="0"/>
              <w:bidi w:val="0"/>
              <w:adjustRightInd/>
              <w:snapToGrid/>
              <w:spacing w:line="360" w:lineRule="auto"/>
              <w:ind w:left="0" w:leftChars="0" w:right="0" w:rightChars="0" w:firstLine="480" w:firstLineChars="200"/>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④路面施工：采用全机械摊铺施工工艺。</w:t>
            </w:r>
          </w:p>
          <w:p>
            <w:pPr>
              <w:keepNext w:val="0"/>
              <w:keepLines w:val="0"/>
              <w:pageBreakBefore w:val="0"/>
              <w:widowControl w:val="0"/>
              <w:kinsoku/>
              <w:wordWrap w:val="0"/>
              <w:overflowPunct/>
              <w:topLinePunct w:val="0"/>
              <w:bidi w:val="0"/>
              <w:adjustRightInd/>
              <w:snapToGrid/>
              <w:spacing w:line="360" w:lineRule="auto"/>
              <w:ind w:left="0" w:leftChars="0" w:right="0" w:rightChars="0" w:firstLine="480" w:firstLineChars="200"/>
              <w:textAlignment w:val="auto"/>
              <w:outlineLvl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⑤道路绿化：主要对道路中央分隔带、人行道边进行绿化种植。</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textAlignment w:val="auto"/>
              <w:rPr>
                <w:b/>
                <w:bCs/>
                <w:color w:val="auto"/>
                <w:highlight w:val="none"/>
              </w:rPr>
            </w:pPr>
            <w:r>
              <w:rPr>
                <w:rFonts w:hint="eastAsia"/>
                <w:b/>
                <w:bCs/>
                <w:color w:val="auto"/>
                <w:highlight w:val="none"/>
                <w:lang w:val="en-US" w:eastAsia="zh-CN"/>
              </w:rPr>
              <w:t>3、</w:t>
            </w:r>
            <w:r>
              <w:rPr>
                <w:rFonts w:hint="eastAsia"/>
                <w:b/>
                <w:bCs/>
                <w:color w:val="auto"/>
                <w:highlight w:val="none"/>
              </w:rPr>
              <w:t>建设周期及劳动定员</w:t>
            </w:r>
          </w:p>
          <w:p>
            <w:pPr>
              <w:pStyle w:val="59"/>
              <w:ind w:firstLine="480"/>
              <w:rPr>
                <w:color w:val="auto"/>
                <w:highlight w:val="none"/>
              </w:rPr>
            </w:pPr>
            <w:r>
              <w:rPr>
                <w:rFonts w:hint="eastAsia"/>
                <w:color w:val="auto"/>
                <w:highlight w:val="none"/>
              </w:rPr>
              <w:t>本项目工期</w:t>
            </w:r>
            <w:r>
              <w:rPr>
                <w:rFonts w:hint="eastAsia"/>
                <w:color w:val="auto"/>
                <w:highlight w:val="none"/>
                <w:lang w:val="en-US" w:eastAsia="zh-CN"/>
              </w:rPr>
              <w:t>24</w:t>
            </w:r>
            <w:r>
              <w:rPr>
                <w:rFonts w:hint="eastAsia"/>
                <w:color w:val="auto"/>
                <w:highlight w:val="none"/>
              </w:rPr>
              <w:t>个月，</w:t>
            </w:r>
            <w:r>
              <w:rPr>
                <w:color w:val="auto"/>
                <w:highlight w:val="none"/>
              </w:rPr>
              <w:t>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eastAsia="zh-CN"/>
              </w:rPr>
              <w:t>～</w:t>
            </w:r>
            <w:r>
              <w:rPr>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p>
          <w:p>
            <w:pPr>
              <w:pStyle w:val="59"/>
              <w:ind w:firstLine="480"/>
              <w:rPr>
                <w:rFonts w:hint="eastAsia"/>
                <w:color w:val="auto"/>
                <w:highlight w:val="none"/>
              </w:rPr>
            </w:pPr>
            <w:r>
              <w:rPr>
                <w:rFonts w:hint="eastAsia"/>
                <w:color w:val="auto"/>
                <w:highlight w:val="none"/>
              </w:rPr>
              <w:t>施工人员平均约</w:t>
            </w:r>
            <w:r>
              <w:rPr>
                <w:rFonts w:hint="eastAsia"/>
                <w:color w:val="auto"/>
                <w:highlight w:val="none"/>
                <w:lang w:val="en-US" w:eastAsia="zh-CN"/>
              </w:rPr>
              <w:t>36</w:t>
            </w:r>
            <w:r>
              <w:rPr>
                <w:rFonts w:hint="eastAsia"/>
                <w:color w:val="auto"/>
                <w:highlight w:val="none"/>
              </w:rPr>
              <w:t>人/天。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71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 w:val="24"/>
                <w:szCs w:val="24"/>
              </w:rPr>
              <w:t>其他</w:t>
            </w:r>
          </w:p>
        </w:tc>
        <w:tc>
          <w:tcPr>
            <w:tcW w:w="8380" w:type="dxa"/>
            <w:vAlign w:val="center"/>
          </w:tcPr>
          <w:p>
            <w:pPr>
              <w:pStyle w:val="59"/>
              <w:spacing w:line="240" w:lineRule="auto"/>
              <w:ind w:firstLine="480"/>
              <w:jc w:val="center"/>
              <w:rPr>
                <w:rFonts w:hint="eastAsia"/>
                <w:color w:val="auto"/>
              </w:rPr>
            </w:pPr>
            <w:r>
              <w:rPr>
                <w:rFonts w:hint="eastAsia"/>
                <w:color w:val="auto"/>
                <w:lang w:val="en-US" w:eastAsia="zh-CN"/>
              </w:rPr>
              <w:t>无</w:t>
            </w:r>
          </w:p>
        </w:tc>
      </w:tr>
    </w:tbl>
    <w:p>
      <w:pPr>
        <w:pStyle w:val="23"/>
        <w:jc w:val="center"/>
        <w:outlineLvl w:val="0"/>
        <w:rPr>
          <w:rFonts w:ascii="黑体" w:hAnsi="黑体" w:eastAsia="黑体"/>
          <w:snapToGrid w:val="0"/>
          <w:color w:val="auto"/>
          <w:sz w:val="30"/>
          <w:szCs w:val="30"/>
        </w:rPr>
      </w:pPr>
      <w:r>
        <w:rPr>
          <w:rFonts w:eastAsia="仿宋_GB2312"/>
          <w:b/>
          <w:bCs/>
          <w:color w:val="auto"/>
        </w:rPr>
        <w:br w:type="page"/>
      </w:r>
      <w:r>
        <w:rPr>
          <w:rFonts w:hint="eastAsia" w:ascii="黑体" w:hAnsi="黑体" w:eastAsia="黑体"/>
          <w:snapToGrid w:val="0"/>
          <w:color w:val="auto"/>
          <w:sz w:val="30"/>
          <w:szCs w:val="30"/>
        </w:rPr>
        <w:t>三、生态环境现状、保护目标及评价标准</w:t>
      </w:r>
    </w:p>
    <w:tbl>
      <w:tblPr>
        <w:tblStyle w:val="27"/>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0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生态环境现状</w:t>
            </w:r>
          </w:p>
        </w:tc>
        <w:tc>
          <w:tcPr>
            <w:tcW w:w="8253" w:type="dxa"/>
          </w:tcPr>
          <w:p>
            <w:pPr>
              <w:pStyle w:val="59"/>
              <w:keepNext w:val="0"/>
              <w:keepLines w:val="0"/>
              <w:pageBreakBefore w:val="0"/>
              <w:widowControl w:val="0"/>
              <w:kinsoku/>
              <w:wordWrap/>
              <w:overflowPunct/>
              <w:topLinePunct w:val="0"/>
              <w:autoSpaceDE/>
              <w:autoSpaceDN/>
              <w:bidi w:val="0"/>
              <w:adjustRightInd w:val="0"/>
              <w:snapToGrid w:val="0"/>
              <w:ind w:firstLine="482" w:firstLineChars="200"/>
              <w:textAlignment w:val="auto"/>
              <w:rPr>
                <w:b/>
                <w:bCs/>
                <w:color w:val="auto"/>
              </w:rPr>
            </w:pPr>
            <w:r>
              <w:rPr>
                <w:rFonts w:hint="eastAsia"/>
                <w:b/>
                <w:bCs/>
                <w:color w:val="auto"/>
                <w:lang w:val="en-US" w:eastAsia="zh-CN"/>
              </w:rPr>
              <w:t>1、</w:t>
            </w:r>
            <w:r>
              <w:rPr>
                <w:rFonts w:hint="eastAsia"/>
                <w:b/>
                <w:bCs/>
                <w:color w:val="auto"/>
              </w:rPr>
              <w:t>环境空气质量现状</w:t>
            </w:r>
          </w:p>
          <w:p>
            <w:pPr>
              <w:pStyle w:val="59"/>
              <w:ind w:firstLine="48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达标区判定</w:t>
            </w:r>
          </w:p>
          <w:p>
            <w:pPr>
              <w:pStyle w:val="59"/>
              <w:ind w:firstLine="480"/>
              <w:rPr>
                <w:color w:val="auto"/>
              </w:rPr>
            </w:pPr>
            <w:r>
              <w:rPr>
                <w:rFonts w:hint="eastAsia"/>
                <w:color w:val="auto"/>
              </w:rPr>
              <w:t>本项目常规污染物空气环境质量现状引用陕西省生态环境厅办公室2023年1月18日发布的《环保快报》附表5：2022年12月及1~12月全省环境空气质量状况中西咸新区空气常规六项污染物监测统计结果，对区域环境空气质量现状进行分析，详见表</w:t>
            </w:r>
            <w:r>
              <w:rPr>
                <w:rFonts w:hint="eastAsia"/>
                <w:color w:val="auto"/>
                <w:lang w:val="en-US" w:eastAsia="zh-CN"/>
              </w:rPr>
              <w:t>3-1</w:t>
            </w:r>
            <w:r>
              <w:rPr>
                <w:rFonts w:hint="eastAsia"/>
                <w:color w:val="auto"/>
              </w:rPr>
              <w:t>。</w:t>
            </w:r>
          </w:p>
          <w:p>
            <w:pPr>
              <w:pStyle w:val="47"/>
              <w:rPr>
                <w:color w:val="auto"/>
                <w:sz w:val="21"/>
                <w:szCs w:val="21"/>
              </w:rPr>
            </w:pPr>
            <w:r>
              <w:rPr>
                <w:color w:val="auto"/>
                <w:sz w:val="21"/>
                <w:szCs w:val="21"/>
              </w:rPr>
              <w:t>表</w:t>
            </w:r>
            <w:r>
              <w:rPr>
                <w:rFonts w:hint="eastAsia"/>
                <w:color w:val="auto"/>
                <w:sz w:val="21"/>
                <w:szCs w:val="21"/>
                <w:lang w:val="en-US" w:eastAsia="zh-CN"/>
              </w:rPr>
              <w:t>3-1</w:t>
            </w:r>
            <w:r>
              <w:rPr>
                <w:color w:val="auto"/>
                <w:sz w:val="21"/>
                <w:szCs w:val="21"/>
              </w:rPr>
              <w:t xml:space="preserve">   </w:t>
            </w:r>
            <w:r>
              <w:rPr>
                <w:rFonts w:hint="eastAsia"/>
                <w:color w:val="auto"/>
                <w:sz w:val="21"/>
                <w:szCs w:val="21"/>
              </w:rPr>
              <w:t>西咸新区</w:t>
            </w:r>
            <w:r>
              <w:rPr>
                <w:color w:val="auto"/>
                <w:sz w:val="21"/>
                <w:szCs w:val="21"/>
              </w:rPr>
              <w:t>202</w:t>
            </w:r>
            <w:r>
              <w:rPr>
                <w:rFonts w:hint="eastAsia"/>
                <w:color w:val="auto"/>
                <w:sz w:val="21"/>
                <w:szCs w:val="21"/>
                <w:lang w:val="en-US" w:eastAsia="zh-CN"/>
              </w:rPr>
              <w:t>2</w:t>
            </w:r>
            <w:r>
              <w:rPr>
                <w:color w:val="auto"/>
                <w:sz w:val="21"/>
                <w:szCs w:val="21"/>
              </w:rPr>
              <w:t>年1~12月环境空气质量情况统计结果</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863"/>
              <w:gridCol w:w="1312"/>
              <w:gridCol w:w="1312"/>
              <w:gridCol w:w="1116"/>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tcBorders>
                    <w:tl2br w:val="nil"/>
                    <w:tr2bl w:val="nil"/>
                  </w:tcBorders>
                  <w:vAlign w:val="center"/>
                </w:tcPr>
                <w:p>
                  <w:pPr>
                    <w:pStyle w:val="62"/>
                    <w:rPr>
                      <w:color w:val="auto"/>
                    </w:rPr>
                  </w:pPr>
                  <w:r>
                    <w:rPr>
                      <w:color w:val="auto"/>
                    </w:rPr>
                    <w:t>评价因子</w:t>
                  </w:r>
                </w:p>
              </w:tc>
              <w:tc>
                <w:tcPr>
                  <w:tcW w:w="1863" w:type="dxa"/>
                  <w:vMerge w:val="restart"/>
                  <w:tcBorders>
                    <w:tl2br w:val="nil"/>
                    <w:tr2bl w:val="nil"/>
                  </w:tcBorders>
                  <w:vAlign w:val="center"/>
                </w:tcPr>
                <w:p>
                  <w:pPr>
                    <w:pStyle w:val="62"/>
                    <w:rPr>
                      <w:color w:val="auto"/>
                    </w:rPr>
                  </w:pPr>
                  <w:r>
                    <w:rPr>
                      <w:color w:val="auto"/>
                    </w:rPr>
                    <w:t>评价时段</w:t>
                  </w:r>
                </w:p>
              </w:tc>
              <w:tc>
                <w:tcPr>
                  <w:tcW w:w="1312" w:type="dxa"/>
                  <w:tcBorders>
                    <w:tl2br w:val="nil"/>
                    <w:tr2bl w:val="nil"/>
                  </w:tcBorders>
                  <w:vAlign w:val="center"/>
                </w:tcPr>
                <w:p>
                  <w:pPr>
                    <w:pStyle w:val="62"/>
                    <w:rPr>
                      <w:color w:val="auto"/>
                    </w:rPr>
                  </w:pPr>
                  <w:r>
                    <w:rPr>
                      <w:color w:val="auto"/>
                    </w:rPr>
                    <w:t>现状浓度</w:t>
                  </w:r>
                </w:p>
              </w:tc>
              <w:tc>
                <w:tcPr>
                  <w:tcW w:w="1312" w:type="dxa"/>
                  <w:tcBorders>
                    <w:tl2br w:val="nil"/>
                    <w:tr2bl w:val="nil"/>
                  </w:tcBorders>
                  <w:vAlign w:val="center"/>
                </w:tcPr>
                <w:p>
                  <w:pPr>
                    <w:pStyle w:val="62"/>
                    <w:rPr>
                      <w:color w:val="auto"/>
                    </w:rPr>
                  </w:pPr>
                  <w:r>
                    <w:rPr>
                      <w:color w:val="auto"/>
                    </w:rPr>
                    <w:t>标准限值</w:t>
                  </w:r>
                </w:p>
              </w:tc>
              <w:tc>
                <w:tcPr>
                  <w:tcW w:w="1116" w:type="dxa"/>
                  <w:tcBorders>
                    <w:tl2br w:val="nil"/>
                    <w:tr2bl w:val="nil"/>
                  </w:tcBorders>
                  <w:vAlign w:val="center"/>
                </w:tcPr>
                <w:p>
                  <w:pPr>
                    <w:pStyle w:val="62"/>
                    <w:rPr>
                      <w:color w:val="auto"/>
                    </w:rPr>
                  </w:pPr>
                  <w:r>
                    <w:rPr>
                      <w:color w:val="auto"/>
                    </w:rPr>
                    <w:t>占标率</w:t>
                  </w:r>
                </w:p>
              </w:tc>
              <w:tc>
                <w:tcPr>
                  <w:tcW w:w="1250" w:type="dxa"/>
                  <w:vMerge w:val="restart"/>
                  <w:tcBorders>
                    <w:tl2br w:val="nil"/>
                    <w:tr2bl w:val="nil"/>
                  </w:tcBorders>
                  <w:vAlign w:val="center"/>
                </w:tcPr>
                <w:p>
                  <w:pPr>
                    <w:pStyle w:val="62"/>
                    <w:rPr>
                      <w:color w:val="auto"/>
                    </w:rPr>
                  </w:pPr>
                  <w:r>
                    <w:rPr>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tcBorders>
                    <w:tl2br w:val="nil"/>
                    <w:tr2bl w:val="nil"/>
                  </w:tcBorders>
                  <w:vAlign w:val="center"/>
                </w:tcPr>
                <w:p>
                  <w:pPr>
                    <w:pStyle w:val="62"/>
                    <w:rPr>
                      <w:color w:val="auto"/>
                      <w:kern w:val="2"/>
                    </w:rPr>
                  </w:pPr>
                </w:p>
              </w:tc>
              <w:tc>
                <w:tcPr>
                  <w:tcW w:w="1863" w:type="dxa"/>
                  <w:vMerge w:val="continue"/>
                  <w:tcBorders>
                    <w:tl2br w:val="nil"/>
                    <w:tr2bl w:val="nil"/>
                  </w:tcBorders>
                  <w:vAlign w:val="center"/>
                </w:tcPr>
                <w:p>
                  <w:pPr>
                    <w:pStyle w:val="62"/>
                    <w:rPr>
                      <w:color w:val="auto"/>
                      <w:kern w:val="2"/>
                    </w:rPr>
                  </w:pPr>
                </w:p>
              </w:tc>
              <w:tc>
                <w:tcPr>
                  <w:tcW w:w="1312" w:type="dxa"/>
                  <w:tcBorders>
                    <w:tl2br w:val="nil"/>
                    <w:tr2bl w:val="nil"/>
                  </w:tcBorders>
                  <w:vAlign w:val="center"/>
                </w:tcPr>
                <w:p>
                  <w:pPr>
                    <w:pStyle w:val="62"/>
                    <w:rPr>
                      <w:color w:val="auto"/>
                    </w:rPr>
                  </w:pPr>
                  <w:r>
                    <w:rPr>
                      <w:color w:val="auto"/>
                    </w:rPr>
                    <w:t>μg/m</w:t>
                  </w:r>
                  <w:r>
                    <w:rPr>
                      <w:color w:val="auto"/>
                      <w:vertAlign w:val="superscript"/>
                    </w:rPr>
                    <w:t>3</w:t>
                  </w:r>
                </w:p>
              </w:tc>
              <w:tc>
                <w:tcPr>
                  <w:tcW w:w="1312" w:type="dxa"/>
                  <w:tcBorders>
                    <w:tl2br w:val="nil"/>
                    <w:tr2bl w:val="nil"/>
                  </w:tcBorders>
                  <w:vAlign w:val="center"/>
                </w:tcPr>
                <w:p>
                  <w:pPr>
                    <w:pStyle w:val="62"/>
                    <w:rPr>
                      <w:color w:val="auto"/>
                    </w:rPr>
                  </w:pPr>
                  <w:r>
                    <w:rPr>
                      <w:color w:val="auto"/>
                    </w:rPr>
                    <w:t>μg/m</w:t>
                  </w:r>
                  <w:r>
                    <w:rPr>
                      <w:color w:val="auto"/>
                      <w:vertAlign w:val="superscript"/>
                    </w:rPr>
                    <w:t>3</w:t>
                  </w:r>
                </w:p>
              </w:tc>
              <w:tc>
                <w:tcPr>
                  <w:tcW w:w="1116" w:type="dxa"/>
                  <w:tcBorders>
                    <w:tl2br w:val="nil"/>
                    <w:tr2bl w:val="nil"/>
                  </w:tcBorders>
                  <w:vAlign w:val="center"/>
                </w:tcPr>
                <w:p>
                  <w:pPr>
                    <w:pStyle w:val="62"/>
                    <w:rPr>
                      <w:color w:val="auto"/>
                    </w:rPr>
                  </w:pPr>
                  <w:r>
                    <w:rPr>
                      <w:color w:val="auto"/>
                    </w:rPr>
                    <w:t>%</w:t>
                  </w:r>
                </w:p>
              </w:tc>
              <w:tc>
                <w:tcPr>
                  <w:tcW w:w="1250" w:type="dxa"/>
                  <w:vMerge w:val="continue"/>
                  <w:tcBorders>
                    <w:tl2br w:val="nil"/>
                    <w:tr2bl w:val="nil"/>
                  </w:tcBorders>
                  <w:vAlign w:val="center"/>
                </w:tcPr>
                <w:p>
                  <w:pPr>
                    <w:pStyle w:val="62"/>
                    <w:rPr>
                      <w:color w:val="auto"/>
                      <w:kern w:val="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SO</w:t>
                  </w:r>
                  <w:r>
                    <w:rPr>
                      <w:color w:val="auto"/>
                      <w:sz w:val="21"/>
                      <w:szCs w:val="21"/>
                      <w:vertAlign w:val="subscript"/>
                    </w:rPr>
                    <w:t>2</w:t>
                  </w:r>
                </w:p>
              </w:tc>
              <w:tc>
                <w:tcPr>
                  <w:tcW w:w="1863"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年平均质量浓度</w:t>
                  </w:r>
                </w:p>
              </w:tc>
              <w:tc>
                <w:tcPr>
                  <w:tcW w:w="1312"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7</w:t>
                  </w:r>
                </w:p>
              </w:tc>
              <w:tc>
                <w:tcPr>
                  <w:tcW w:w="1312"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60</w:t>
                  </w:r>
                </w:p>
              </w:tc>
              <w:tc>
                <w:tcPr>
                  <w:tcW w:w="1116"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11.67</w:t>
                  </w:r>
                </w:p>
              </w:tc>
              <w:tc>
                <w:tcPr>
                  <w:tcW w:w="1250" w:type="dxa"/>
                  <w:tcBorders>
                    <w:tl2br w:val="nil"/>
                    <w:tr2bl w:val="nil"/>
                  </w:tcBorders>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NO</w:t>
                  </w:r>
                  <w:r>
                    <w:rPr>
                      <w:color w:val="auto"/>
                      <w:sz w:val="21"/>
                      <w:szCs w:val="21"/>
                      <w:vertAlign w:val="subscript"/>
                    </w:rPr>
                    <w:t>2</w:t>
                  </w:r>
                </w:p>
              </w:tc>
              <w:tc>
                <w:tcPr>
                  <w:tcW w:w="1863"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年平均质量浓度</w:t>
                  </w:r>
                </w:p>
              </w:tc>
              <w:tc>
                <w:tcPr>
                  <w:tcW w:w="1312"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38</w:t>
                  </w:r>
                </w:p>
              </w:tc>
              <w:tc>
                <w:tcPr>
                  <w:tcW w:w="1312"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40</w:t>
                  </w:r>
                </w:p>
              </w:tc>
              <w:tc>
                <w:tcPr>
                  <w:tcW w:w="1116"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95</w:t>
                  </w:r>
                </w:p>
              </w:tc>
              <w:tc>
                <w:tcPr>
                  <w:tcW w:w="1250" w:type="dxa"/>
                  <w:tcBorders>
                    <w:tl2br w:val="nil"/>
                    <w:tr2bl w:val="nil"/>
                  </w:tcBorders>
                  <w:vAlign w:val="center"/>
                </w:tcPr>
                <w:p>
                  <w:pPr>
                    <w:jc w:val="center"/>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PM</w:t>
                  </w:r>
                  <w:r>
                    <w:rPr>
                      <w:color w:val="auto"/>
                      <w:sz w:val="21"/>
                      <w:szCs w:val="21"/>
                      <w:vertAlign w:val="subscript"/>
                    </w:rPr>
                    <w:t>10</w:t>
                  </w:r>
                </w:p>
              </w:tc>
              <w:tc>
                <w:tcPr>
                  <w:tcW w:w="1863"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年平均质量浓度</w:t>
                  </w:r>
                </w:p>
              </w:tc>
              <w:tc>
                <w:tcPr>
                  <w:tcW w:w="1312" w:type="dxa"/>
                  <w:tcBorders>
                    <w:tl2br w:val="nil"/>
                    <w:tr2bl w:val="nil"/>
                  </w:tcBorders>
                  <w:vAlign w:val="center"/>
                </w:tcPr>
                <w:p>
                  <w:pPr>
                    <w:widowControl/>
                    <w:adjustRightInd/>
                    <w:snapToGrid/>
                    <w:spacing w:line="240" w:lineRule="auto"/>
                    <w:ind w:firstLine="0" w:firstLineChars="0"/>
                    <w:jc w:val="center"/>
                    <w:rPr>
                      <w:rFonts w:hint="eastAsia" w:eastAsia="宋体"/>
                      <w:color w:val="auto"/>
                      <w:lang w:eastAsia="zh-CN"/>
                    </w:rPr>
                  </w:pPr>
                  <w:r>
                    <w:rPr>
                      <w:color w:val="auto"/>
                      <w:sz w:val="21"/>
                      <w:szCs w:val="21"/>
                    </w:rPr>
                    <w:t>83</w:t>
                  </w:r>
                </w:p>
              </w:tc>
              <w:tc>
                <w:tcPr>
                  <w:tcW w:w="1312"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70</w:t>
                  </w:r>
                </w:p>
              </w:tc>
              <w:tc>
                <w:tcPr>
                  <w:tcW w:w="1116"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118.57</w:t>
                  </w:r>
                </w:p>
              </w:tc>
              <w:tc>
                <w:tcPr>
                  <w:tcW w:w="1250" w:type="dxa"/>
                  <w:tcBorders>
                    <w:tl2br w:val="nil"/>
                    <w:tr2bl w:val="nil"/>
                  </w:tcBorders>
                  <w:vAlign w:val="center"/>
                </w:tcPr>
                <w:p>
                  <w:pPr>
                    <w:jc w:val="center"/>
                    <w:rPr>
                      <w:color w:val="auto"/>
                    </w:rPr>
                  </w:pPr>
                  <w:r>
                    <w:rPr>
                      <w:rFonts w:hint="eastAsia"/>
                      <w:color w:val="auto"/>
                      <w:lang w:val="en-US" w:eastAsia="zh-CN"/>
                    </w:rPr>
                    <w:t>超</w:t>
                  </w:r>
                  <w:r>
                    <w:rPr>
                      <w:rFonts w:hint="eastAsia"/>
                      <w:color w:va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PM</w:t>
                  </w:r>
                  <w:r>
                    <w:rPr>
                      <w:color w:val="auto"/>
                      <w:sz w:val="21"/>
                      <w:szCs w:val="21"/>
                      <w:vertAlign w:val="subscript"/>
                    </w:rPr>
                    <w:t>2.5</w:t>
                  </w:r>
                </w:p>
              </w:tc>
              <w:tc>
                <w:tcPr>
                  <w:tcW w:w="1863"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年平均质量浓度</w:t>
                  </w:r>
                </w:p>
              </w:tc>
              <w:tc>
                <w:tcPr>
                  <w:tcW w:w="1312"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48</w:t>
                  </w:r>
                </w:p>
              </w:tc>
              <w:tc>
                <w:tcPr>
                  <w:tcW w:w="1312"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35</w:t>
                  </w:r>
                </w:p>
              </w:tc>
              <w:tc>
                <w:tcPr>
                  <w:tcW w:w="1116"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137.14</w:t>
                  </w:r>
                </w:p>
              </w:tc>
              <w:tc>
                <w:tcPr>
                  <w:tcW w:w="1250" w:type="dxa"/>
                  <w:tcBorders>
                    <w:tl2br w:val="nil"/>
                    <w:tr2bl w:val="nil"/>
                  </w:tcBorders>
                  <w:vAlign w:val="center"/>
                </w:tcPr>
                <w:p>
                  <w:pPr>
                    <w:jc w:val="center"/>
                    <w:rPr>
                      <w:color w:val="auto"/>
                    </w:rPr>
                  </w:pPr>
                  <w:r>
                    <w:rPr>
                      <w:rFonts w:hint="eastAsia"/>
                      <w:color w:val="auto"/>
                      <w:lang w:val="en-US" w:eastAsia="zh-CN"/>
                    </w:rPr>
                    <w:t>超</w:t>
                  </w:r>
                  <w:r>
                    <w:rPr>
                      <w:rFonts w:hint="eastAsia"/>
                      <w:color w:va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CO（mg/m</w:t>
                  </w:r>
                  <w:r>
                    <w:rPr>
                      <w:color w:val="auto"/>
                      <w:sz w:val="21"/>
                      <w:szCs w:val="21"/>
                      <w:vertAlign w:val="superscript"/>
                    </w:rPr>
                    <w:t>3</w:t>
                  </w:r>
                  <w:r>
                    <w:rPr>
                      <w:color w:val="auto"/>
                      <w:sz w:val="21"/>
                      <w:szCs w:val="21"/>
                    </w:rPr>
                    <w:t>）</w:t>
                  </w:r>
                </w:p>
              </w:tc>
              <w:tc>
                <w:tcPr>
                  <w:tcW w:w="1863"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第95百分位数日平均浓度</w:t>
                  </w:r>
                </w:p>
              </w:tc>
              <w:tc>
                <w:tcPr>
                  <w:tcW w:w="1312"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1.4</w:t>
                  </w:r>
                </w:p>
              </w:tc>
              <w:tc>
                <w:tcPr>
                  <w:tcW w:w="1312"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4</w:t>
                  </w:r>
                </w:p>
              </w:tc>
              <w:tc>
                <w:tcPr>
                  <w:tcW w:w="1116"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35</w:t>
                  </w:r>
                </w:p>
              </w:tc>
              <w:tc>
                <w:tcPr>
                  <w:tcW w:w="1250" w:type="dxa"/>
                  <w:tcBorders>
                    <w:tl2br w:val="nil"/>
                    <w:tr2bl w:val="nil"/>
                  </w:tcBorders>
                  <w:vAlign w:val="center"/>
                </w:tcPr>
                <w:p>
                  <w:pPr>
                    <w:pStyle w:val="62"/>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O</w:t>
                  </w:r>
                  <w:r>
                    <w:rPr>
                      <w:color w:val="auto"/>
                      <w:sz w:val="21"/>
                      <w:szCs w:val="21"/>
                      <w:vertAlign w:val="subscript"/>
                    </w:rPr>
                    <w:t>3</w:t>
                  </w:r>
                  <w:r>
                    <w:rPr>
                      <w:color w:val="auto"/>
                      <w:sz w:val="21"/>
                      <w:szCs w:val="21"/>
                    </w:rPr>
                    <w:t>（8h平均）</w:t>
                  </w:r>
                </w:p>
              </w:tc>
              <w:tc>
                <w:tcPr>
                  <w:tcW w:w="1863"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第90百分位数8h平均浓度</w:t>
                  </w:r>
                </w:p>
              </w:tc>
              <w:tc>
                <w:tcPr>
                  <w:tcW w:w="1312"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162</w:t>
                  </w:r>
                </w:p>
              </w:tc>
              <w:tc>
                <w:tcPr>
                  <w:tcW w:w="1312" w:type="dxa"/>
                  <w:tcBorders>
                    <w:tl2br w:val="nil"/>
                    <w:tr2bl w:val="nil"/>
                  </w:tcBorders>
                  <w:vAlign w:val="center"/>
                </w:tcPr>
                <w:p>
                  <w:pPr>
                    <w:widowControl/>
                    <w:adjustRightInd/>
                    <w:snapToGrid/>
                    <w:spacing w:line="240" w:lineRule="auto"/>
                    <w:ind w:firstLine="0" w:firstLineChars="0"/>
                    <w:jc w:val="center"/>
                    <w:rPr>
                      <w:color w:val="auto"/>
                    </w:rPr>
                  </w:pPr>
                  <w:r>
                    <w:rPr>
                      <w:color w:val="auto"/>
                      <w:sz w:val="21"/>
                      <w:szCs w:val="21"/>
                    </w:rPr>
                    <w:t>160</w:t>
                  </w:r>
                </w:p>
              </w:tc>
              <w:tc>
                <w:tcPr>
                  <w:tcW w:w="1116" w:type="dxa"/>
                  <w:tcBorders>
                    <w:tl2br w:val="nil"/>
                    <w:tr2bl w:val="nil"/>
                  </w:tcBorders>
                  <w:vAlign w:val="center"/>
                </w:tcPr>
                <w:p>
                  <w:pPr>
                    <w:widowControl/>
                    <w:adjustRightInd/>
                    <w:snapToGrid/>
                    <w:spacing w:line="240" w:lineRule="auto"/>
                    <w:ind w:firstLine="0" w:firstLineChars="0"/>
                    <w:jc w:val="center"/>
                    <w:rPr>
                      <w:rFonts w:hint="default" w:eastAsia="宋体"/>
                      <w:color w:val="auto"/>
                      <w:lang w:val="en-US" w:eastAsia="zh-CN"/>
                    </w:rPr>
                  </w:pPr>
                  <w:r>
                    <w:rPr>
                      <w:color w:val="auto"/>
                      <w:sz w:val="21"/>
                      <w:szCs w:val="21"/>
                    </w:rPr>
                    <w:t>101.25</w:t>
                  </w:r>
                </w:p>
              </w:tc>
              <w:tc>
                <w:tcPr>
                  <w:tcW w:w="1250" w:type="dxa"/>
                  <w:tcBorders>
                    <w:tl2br w:val="nil"/>
                    <w:tr2bl w:val="nil"/>
                  </w:tcBorders>
                  <w:vAlign w:val="center"/>
                </w:tcPr>
                <w:p>
                  <w:pPr>
                    <w:pStyle w:val="62"/>
                    <w:rPr>
                      <w:color w:val="auto"/>
                    </w:rPr>
                  </w:pPr>
                  <w:r>
                    <w:rPr>
                      <w:rFonts w:hint="eastAsia"/>
                      <w:color w:val="auto"/>
                      <w:lang w:val="en-US" w:eastAsia="zh-CN"/>
                    </w:rPr>
                    <w:t>超</w:t>
                  </w:r>
                  <w:r>
                    <w:rPr>
                      <w:rFonts w:hint="eastAsia"/>
                      <w:color w:val="auto"/>
                    </w:rPr>
                    <w:t>标</w:t>
                  </w:r>
                </w:p>
              </w:tc>
            </w:tr>
          </w:tbl>
          <w:p>
            <w:pPr>
              <w:pStyle w:val="6"/>
              <w:adjustRightInd w:val="0"/>
              <w:snapToGrid w:val="0"/>
              <w:spacing w:before="156" w:beforeLines="50" w:line="360" w:lineRule="auto"/>
              <w:ind w:firstLine="482" w:firstLineChars="0"/>
              <w:rPr>
                <w:rFonts w:ascii="Times New Roman" w:hAnsi="Times New Roman" w:eastAsia="宋体" w:cs="Times New Roman"/>
                <w:color w:val="auto"/>
                <w:kern w:val="0"/>
                <w:sz w:val="24"/>
                <w:szCs w:val="24"/>
              </w:rPr>
            </w:pPr>
            <w:r>
              <w:rPr>
                <w:rFonts w:hint="eastAsia"/>
                <w:color w:val="auto"/>
              </w:rPr>
              <w:t>由表</w:t>
            </w:r>
            <w:r>
              <w:rPr>
                <w:rFonts w:hint="eastAsia"/>
                <w:color w:val="auto"/>
                <w:lang w:val="en-US" w:eastAsia="zh-CN"/>
              </w:rPr>
              <w:t>3-1</w:t>
            </w:r>
            <w:r>
              <w:rPr>
                <w:rFonts w:hint="eastAsia"/>
                <w:color w:val="auto"/>
              </w:rPr>
              <w:t>可知，</w:t>
            </w:r>
            <w:r>
              <w:rPr>
                <w:rFonts w:ascii="Times New Roman" w:hAnsi="Times New Roman" w:eastAsia="宋体" w:cs="Times New Roman"/>
                <w:color w:val="auto"/>
                <w:kern w:val="0"/>
                <w:sz w:val="24"/>
                <w:szCs w:val="20"/>
              </w:rPr>
              <w:t>由上表统计结果</w:t>
            </w:r>
            <w:r>
              <w:rPr>
                <w:rFonts w:ascii="Times New Roman" w:hAnsi="Times New Roman" w:eastAsia="宋体" w:cs="Times New Roman"/>
                <w:color w:val="auto"/>
                <w:kern w:val="0"/>
                <w:sz w:val="24"/>
                <w:szCs w:val="24"/>
              </w:rPr>
              <w:t>可以看出，项目所在区域NO</w:t>
            </w:r>
            <w:r>
              <w:rPr>
                <w:rFonts w:ascii="Times New Roman" w:hAnsi="Times New Roman" w:eastAsia="宋体" w:cs="Times New Roman"/>
                <w:color w:val="auto"/>
                <w:kern w:val="0"/>
                <w:sz w:val="24"/>
                <w:szCs w:val="24"/>
                <w:vertAlign w:val="subscript"/>
              </w:rPr>
              <w:t>2</w:t>
            </w:r>
            <w:r>
              <w:rPr>
                <w:rFonts w:ascii="Times New Roman" w:hAnsi="Times New Roman" w:eastAsia="宋体" w:cs="Times New Roman"/>
                <w:color w:val="auto"/>
                <w:kern w:val="0"/>
                <w:sz w:val="24"/>
                <w:szCs w:val="24"/>
              </w:rPr>
              <w:t>、SO</w:t>
            </w:r>
            <w:r>
              <w:rPr>
                <w:rFonts w:ascii="Times New Roman" w:hAnsi="Times New Roman" w:eastAsia="宋体" w:cs="Times New Roman"/>
                <w:color w:val="auto"/>
                <w:kern w:val="0"/>
                <w:sz w:val="24"/>
                <w:szCs w:val="24"/>
                <w:vertAlign w:val="subscript"/>
              </w:rPr>
              <w:t>2</w:t>
            </w:r>
            <w:r>
              <w:rPr>
                <w:rFonts w:ascii="Times New Roman" w:hAnsi="Times New Roman" w:eastAsia="宋体" w:cs="Times New Roman"/>
                <w:color w:val="auto"/>
                <w:kern w:val="0"/>
                <w:sz w:val="24"/>
                <w:szCs w:val="24"/>
              </w:rPr>
              <w:t>年平均质量浓度和CO第95百分位数日平均浓度满足《环境空气质量标准》（GB3095-2012）二级标准，PM</w:t>
            </w:r>
            <w:r>
              <w:rPr>
                <w:rFonts w:ascii="Times New Roman" w:hAnsi="Times New Roman" w:eastAsia="宋体" w:cs="Times New Roman"/>
                <w:color w:val="auto"/>
                <w:kern w:val="0"/>
                <w:sz w:val="24"/>
                <w:szCs w:val="24"/>
                <w:vertAlign w:val="subscript"/>
              </w:rPr>
              <w:t>10</w:t>
            </w:r>
            <w:r>
              <w:rPr>
                <w:rFonts w:ascii="Times New Roman" w:hAnsi="Times New Roman" w:eastAsia="宋体" w:cs="Times New Roman"/>
                <w:color w:val="auto"/>
                <w:kern w:val="0"/>
                <w:sz w:val="24"/>
                <w:szCs w:val="24"/>
              </w:rPr>
              <w:t>和PM</w:t>
            </w:r>
            <w:r>
              <w:rPr>
                <w:rFonts w:ascii="Times New Roman" w:hAnsi="Times New Roman" w:eastAsia="宋体" w:cs="Times New Roman"/>
                <w:color w:val="auto"/>
                <w:kern w:val="0"/>
                <w:sz w:val="24"/>
                <w:szCs w:val="24"/>
                <w:vertAlign w:val="subscript"/>
              </w:rPr>
              <w:t>2.5</w:t>
            </w:r>
            <w:r>
              <w:rPr>
                <w:rFonts w:ascii="Times New Roman" w:hAnsi="Times New Roman" w:eastAsia="宋体" w:cs="Times New Roman"/>
                <w:color w:val="auto"/>
                <w:kern w:val="0"/>
                <w:sz w:val="24"/>
                <w:szCs w:val="24"/>
              </w:rPr>
              <w:t>的年平均质量浓度值、O</w:t>
            </w:r>
            <w:r>
              <w:rPr>
                <w:rFonts w:ascii="Times New Roman" w:hAnsi="Times New Roman" w:eastAsia="宋体" w:cs="Times New Roman"/>
                <w:color w:val="auto"/>
                <w:kern w:val="0"/>
                <w:sz w:val="24"/>
                <w:szCs w:val="24"/>
                <w:vertAlign w:val="subscript"/>
              </w:rPr>
              <w:t>3</w:t>
            </w:r>
            <w:r>
              <w:rPr>
                <w:rFonts w:ascii="Times New Roman" w:hAnsi="Times New Roman" w:eastAsia="宋体" w:cs="Times New Roman"/>
                <w:color w:val="auto"/>
                <w:kern w:val="0"/>
                <w:sz w:val="24"/>
                <w:szCs w:val="24"/>
              </w:rPr>
              <w:t>日最大8小时平均值的第90百分位数均超过《环境空气质量标准》（GB3095-2012）中二级标准，说明本项目所在区域为不达标区域。</w:t>
            </w:r>
          </w:p>
          <w:p>
            <w:pPr>
              <w:pStyle w:val="59"/>
              <w:keepNext w:val="0"/>
              <w:keepLines w:val="0"/>
              <w:pageBreakBefore w:val="0"/>
              <w:widowControl w:val="0"/>
              <w:numPr>
                <w:ilvl w:val="0"/>
                <w:numId w:val="3"/>
              </w:numPr>
              <w:kinsoku/>
              <w:wordWrap/>
              <w:overflowPunct/>
              <w:topLinePunct w:val="0"/>
              <w:autoSpaceDE/>
              <w:autoSpaceDN/>
              <w:bidi w:val="0"/>
              <w:adjustRightInd w:val="0"/>
              <w:snapToGrid w:val="0"/>
              <w:ind w:firstLine="480"/>
              <w:textAlignment w:val="auto"/>
              <w:rPr>
                <w:rFonts w:hint="eastAsia"/>
                <w:color w:val="auto"/>
                <w:highlight w:val="none"/>
                <w:lang w:val="en-US" w:eastAsia="zh-CN"/>
              </w:rPr>
            </w:pPr>
            <w:r>
              <w:rPr>
                <w:rFonts w:hint="eastAsia"/>
                <w:color w:val="auto"/>
                <w:highlight w:val="none"/>
                <w:lang w:val="en-US" w:eastAsia="zh-CN"/>
              </w:rPr>
              <w:t>其他污染物环境质量现状</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default"/>
                <w:color w:val="auto"/>
                <w:highlight w:val="none"/>
                <w:lang w:val="en-US" w:eastAsia="zh-CN"/>
              </w:rPr>
              <w:t>为了解项目所在区域其他污染物环境质量现状，</w:t>
            </w:r>
            <w:r>
              <w:rPr>
                <w:rFonts w:hint="eastAsia"/>
                <w:color w:val="auto"/>
                <w:highlight w:val="none"/>
                <w:lang w:val="en-US" w:eastAsia="zh-CN"/>
              </w:rPr>
              <w:t>环评单位</w:t>
            </w:r>
            <w:r>
              <w:rPr>
                <w:rFonts w:hint="default"/>
                <w:color w:val="auto"/>
                <w:highlight w:val="none"/>
                <w:lang w:val="en-US" w:eastAsia="zh-CN"/>
              </w:rPr>
              <w:t>委托陕西</w:t>
            </w:r>
            <w:r>
              <w:rPr>
                <w:rFonts w:hint="eastAsia"/>
                <w:color w:val="auto"/>
                <w:highlight w:val="none"/>
                <w:lang w:val="en-US" w:eastAsia="zh-CN"/>
              </w:rPr>
              <w:t>秦研</w:t>
            </w:r>
            <w:r>
              <w:rPr>
                <w:rFonts w:hint="default"/>
                <w:color w:val="auto"/>
                <w:highlight w:val="none"/>
                <w:lang w:val="en-US" w:eastAsia="zh-CN"/>
              </w:rPr>
              <w:t>检测</w:t>
            </w:r>
            <w:r>
              <w:rPr>
                <w:rFonts w:hint="eastAsia"/>
                <w:color w:val="auto"/>
                <w:highlight w:val="none"/>
                <w:lang w:val="en-US" w:eastAsia="zh-CN"/>
              </w:rPr>
              <w:t>技术</w:t>
            </w:r>
            <w:r>
              <w:rPr>
                <w:rFonts w:hint="default"/>
                <w:color w:val="auto"/>
                <w:highlight w:val="none"/>
                <w:lang w:val="en-US" w:eastAsia="zh-CN"/>
              </w:rPr>
              <w:t>有限公司于202</w:t>
            </w:r>
            <w:r>
              <w:rPr>
                <w:rFonts w:hint="eastAsia"/>
                <w:color w:val="auto"/>
                <w:highlight w:val="none"/>
                <w:lang w:val="en-US" w:eastAsia="zh-CN"/>
              </w:rPr>
              <w:t>3</w:t>
            </w:r>
            <w:r>
              <w:rPr>
                <w:rFonts w:hint="default"/>
                <w:color w:val="auto"/>
                <w:highlight w:val="none"/>
                <w:lang w:val="en-US" w:eastAsia="zh-CN"/>
              </w:rPr>
              <w:t>年</w:t>
            </w:r>
            <w:r>
              <w:rPr>
                <w:rFonts w:hint="eastAsia"/>
                <w:color w:val="auto"/>
                <w:highlight w:val="none"/>
                <w:lang w:val="en-US" w:eastAsia="zh-CN"/>
              </w:rPr>
              <w:t>7</w:t>
            </w:r>
            <w:r>
              <w:rPr>
                <w:rFonts w:hint="default"/>
                <w:color w:val="auto"/>
                <w:highlight w:val="none"/>
                <w:lang w:val="en-US" w:eastAsia="zh-CN"/>
              </w:rPr>
              <w:t>月</w:t>
            </w:r>
            <w:r>
              <w:rPr>
                <w:rFonts w:hint="eastAsia"/>
                <w:color w:val="auto"/>
                <w:highlight w:val="none"/>
                <w:lang w:val="en-US" w:eastAsia="zh-CN"/>
              </w:rPr>
              <w:t>08</w:t>
            </w:r>
            <w:r>
              <w:rPr>
                <w:rFonts w:hint="default"/>
                <w:color w:val="auto"/>
                <w:highlight w:val="none"/>
                <w:lang w:val="en-US" w:eastAsia="zh-CN"/>
              </w:rPr>
              <w:t>日至202</w:t>
            </w:r>
            <w:r>
              <w:rPr>
                <w:rFonts w:hint="eastAsia"/>
                <w:color w:val="auto"/>
                <w:highlight w:val="none"/>
                <w:lang w:val="en-US" w:eastAsia="zh-CN"/>
              </w:rPr>
              <w:t>3</w:t>
            </w:r>
            <w:r>
              <w:rPr>
                <w:rFonts w:hint="default"/>
                <w:color w:val="auto"/>
                <w:highlight w:val="none"/>
                <w:lang w:val="en-US" w:eastAsia="zh-CN"/>
              </w:rPr>
              <w:t>年</w:t>
            </w:r>
            <w:r>
              <w:rPr>
                <w:rFonts w:hint="eastAsia"/>
                <w:color w:val="auto"/>
                <w:highlight w:val="none"/>
                <w:lang w:val="en-US" w:eastAsia="zh-CN"/>
              </w:rPr>
              <w:t>7</w:t>
            </w:r>
            <w:r>
              <w:rPr>
                <w:rFonts w:hint="default"/>
                <w:color w:val="auto"/>
                <w:highlight w:val="none"/>
                <w:lang w:val="en-US" w:eastAsia="zh-CN"/>
              </w:rPr>
              <w:t>月</w:t>
            </w:r>
            <w:r>
              <w:rPr>
                <w:rFonts w:hint="eastAsia"/>
                <w:color w:val="auto"/>
                <w:highlight w:val="none"/>
                <w:lang w:val="en-US" w:eastAsia="zh-CN"/>
              </w:rPr>
              <w:t>11</w:t>
            </w:r>
            <w:r>
              <w:rPr>
                <w:rFonts w:hint="default"/>
                <w:color w:val="auto"/>
                <w:highlight w:val="none"/>
                <w:lang w:val="en-US" w:eastAsia="zh-CN"/>
              </w:rPr>
              <w:t>日对建设项目周边进行其他污染物环境现状监测，</w:t>
            </w:r>
            <w:r>
              <w:rPr>
                <w:rFonts w:hint="eastAsia"/>
                <w:color w:val="auto"/>
                <w:highlight w:val="none"/>
                <w:lang w:val="en-US" w:eastAsia="zh-CN"/>
              </w:rPr>
              <w:t>具体监测布点见附图6，</w:t>
            </w:r>
            <w:r>
              <w:rPr>
                <w:rFonts w:hint="default"/>
                <w:color w:val="auto"/>
                <w:highlight w:val="none"/>
                <w:lang w:val="en-US" w:eastAsia="zh-CN"/>
              </w:rPr>
              <w:t>监测结果见表3-2。</w:t>
            </w:r>
          </w:p>
          <w:p>
            <w:pPr>
              <w:adjustRightInd w:val="0"/>
              <w:snapToGrid w:val="0"/>
              <w:jc w:val="center"/>
              <w:rPr>
                <w:rFonts w:hint="default"/>
                <w:color w:val="auto"/>
                <w:sz w:val="21"/>
                <w:szCs w:val="21"/>
                <w:highlight w:val="none"/>
                <w:lang w:val="en-US" w:eastAsia="zh-CN"/>
              </w:rPr>
            </w:pPr>
            <w:r>
              <w:rPr>
                <w:rFonts w:hint="default" w:ascii="Times New Roman" w:hAnsi="Times New Roman" w:cs="Times New Roman"/>
                <w:b/>
                <w:bCs/>
                <w:color w:val="auto"/>
                <w:sz w:val="21"/>
                <w:szCs w:val="21"/>
                <w:highlight w:val="none"/>
              </w:rPr>
              <w:t xml:space="preserve">表3-2  </w:t>
            </w:r>
            <w:r>
              <w:rPr>
                <w:rFonts w:hint="eastAsia"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环境空气质量现状监测结果统计表（特征因子）</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 xml:space="preserve">  单位：</w:t>
            </w:r>
            <w:r>
              <w:rPr>
                <w:rFonts w:hint="eastAsia" w:cs="Times New Roman"/>
                <w:b/>
                <w:bCs/>
                <w:color w:val="auto"/>
                <w:kern w:val="0"/>
                <w:sz w:val="21"/>
                <w:szCs w:val="21"/>
                <w:highlight w:val="none"/>
                <w:lang w:val="en-US" w:eastAsia="zh-CN"/>
              </w:rPr>
              <w:t>m</w:t>
            </w:r>
            <w:r>
              <w:rPr>
                <w:rFonts w:hint="default" w:ascii="Times New Roman" w:hAnsi="Times New Roman" w:cs="Times New Roman"/>
                <w:b/>
                <w:bCs/>
                <w:color w:val="auto"/>
                <w:kern w:val="0"/>
                <w:sz w:val="21"/>
                <w:szCs w:val="21"/>
                <w:highlight w:val="none"/>
              </w:rPr>
              <w:t>g/m</w:t>
            </w:r>
            <w:r>
              <w:rPr>
                <w:rFonts w:hint="default" w:ascii="Times New Roman" w:hAnsi="Times New Roman" w:cs="Times New Roman"/>
                <w:b/>
                <w:bCs/>
                <w:color w:val="auto"/>
                <w:kern w:val="0"/>
                <w:sz w:val="21"/>
                <w:szCs w:val="21"/>
                <w:highlight w:val="none"/>
                <w:vertAlign w:val="superscript"/>
              </w:rPr>
              <w:t>3</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338"/>
              <w:gridCol w:w="1894"/>
              <w:gridCol w:w="1091"/>
              <w:gridCol w:w="1032"/>
              <w:gridCol w:w="1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tcBorders>
                    <w:tl2br w:val="nil"/>
                    <w:tr2bl w:val="nil"/>
                  </w:tcBorders>
                  <w:noWrap w:val="0"/>
                  <w:vAlign w:val="center"/>
                </w:tcPr>
                <w:p>
                  <w:pPr>
                    <w:pStyle w:val="62"/>
                    <w:bidi w:val="0"/>
                    <w:rPr>
                      <w:rFonts w:hint="eastAsia"/>
                      <w:color w:val="auto"/>
                      <w:highlight w:val="none"/>
                      <w:lang w:val="en-US" w:eastAsia="zh-CN"/>
                    </w:rPr>
                  </w:pPr>
                  <w:r>
                    <w:rPr>
                      <w:rFonts w:hint="default"/>
                      <w:color w:val="auto"/>
                      <w:highlight w:val="none"/>
                    </w:rPr>
                    <w:t>监测</w:t>
                  </w:r>
                  <w:r>
                    <w:rPr>
                      <w:rFonts w:hint="eastAsia"/>
                      <w:color w:val="auto"/>
                      <w:highlight w:val="none"/>
                      <w:lang w:val="en-US" w:eastAsia="zh-CN"/>
                    </w:rPr>
                    <w:t>点位</w:t>
                  </w:r>
                </w:p>
              </w:tc>
              <w:tc>
                <w:tcPr>
                  <w:tcW w:w="1338" w:type="dxa"/>
                  <w:tcBorders>
                    <w:tl2br w:val="nil"/>
                    <w:tr2bl w:val="nil"/>
                  </w:tcBorders>
                  <w:noWrap w:val="0"/>
                  <w:vAlign w:val="center"/>
                </w:tcPr>
                <w:p>
                  <w:pPr>
                    <w:pStyle w:val="62"/>
                    <w:bidi w:val="0"/>
                    <w:rPr>
                      <w:rFonts w:hint="default"/>
                      <w:color w:val="auto"/>
                      <w:highlight w:val="none"/>
                    </w:rPr>
                  </w:pPr>
                  <w:r>
                    <w:rPr>
                      <w:rFonts w:hint="default"/>
                      <w:color w:val="auto"/>
                      <w:highlight w:val="none"/>
                    </w:rPr>
                    <w:t>监测因子</w:t>
                  </w:r>
                </w:p>
              </w:tc>
              <w:tc>
                <w:tcPr>
                  <w:tcW w:w="1894" w:type="dxa"/>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监测时间</w:t>
                  </w:r>
                </w:p>
              </w:tc>
              <w:tc>
                <w:tcPr>
                  <w:tcW w:w="1091" w:type="dxa"/>
                  <w:tcBorders>
                    <w:tl2br w:val="nil"/>
                    <w:tr2bl w:val="nil"/>
                  </w:tcBorders>
                  <w:noWrap w:val="0"/>
                  <w:vAlign w:val="center"/>
                </w:tcPr>
                <w:p>
                  <w:pPr>
                    <w:pStyle w:val="62"/>
                    <w:bidi w:val="0"/>
                    <w:rPr>
                      <w:rFonts w:hint="default"/>
                      <w:color w:val="auto"/>
                      <w:highlight w:val="none"/>
                      <w:lang w:val="en-US" w:eastAsia="zh-CN"/>
                    </w:rPr>
                  </w:pPr>
                  <w:r>
                    <w:rPr>
                      <w:rFonts w:hint="eastAsia"/>
                      <w:color w:val="auto"/>
                      <w:highlight w:val="none"/>
                      <w:lang w:val="en-US" w:eastAsia="zh-CN"/>
                    </w:rPr>
                    <w:t>监测结果</w:t>
                  </w:r>
                </w:p>
              </w:tc>
              <w:tc>
                <w:tcPr>
                  <w:tcW w:w="1032" w:type="dxa"/>
                  <w:tcBorders>
                    <w:tl2br w:val="nil"/>
                    <w:tr2bl w:val="nil"/>
                  </w:tcBorders>
                  <w:noWrap w:val="0"/>
                  <w:vAlign w:val="center"/>
                </w:tcPr>
                <w:p>
                  <w:pPr>
                    <w:pStyle w:val="62"/>
                    <w:bidi w:val="0"/>
                    <w:rPr>
                      <w:rFonts w:hint="default"/>
                      <w:color w:val="auto"/>
                      <w:highlight w:val="none"/>
                    </w:rPr>
                  </w:pPr>
                  <w:r>
                    <w:rPr>
                      <w:rFonts w:hint="default"/>
                      <w:color w:val="auto"/>
                      <w:highlight w:val="none"/>
                    </w:rPr>
                    <w:t>标准值</w:t>
                  </w:r>
                </w:p>
              </w:tc>
              <w:tc>
                <w:tcPr>
                  <w:tcW w:w="1339" w:type="dxa"/>
                  <w:tcBorders>
                    <w:tl2br w:val="nil"/>
                    <w:tr2bl w:val="nil"/>
                  </w:tcBorders>
                  <w:noWrap w:val="0"/>
                  <w:vAlign w:val="center"/>
                </w:tcPr>
                <w:p>
                  <w:pPr>
                    <w:pStyle w:val="62"/>
                    <w:bidi w:val="0"/>
                    <w:rPr>
                      <w:rFonts w:hint="default"/>
                      <w:color w:val="auto"/>
                      <w:highlight w:val="none"/>
                    </w:rPr>
                  </w:pPr>
                  <w:r>
                    <w:rPr>
                      <w:rFonts w:hint="default"/>
                      <w:color w:val="auto"/>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restart"/>
                  <w:tcBorders>
                    <w:tl2br w:val="nil"/>
                    <w:tr2bl w:val="nil"/>
                  </w:tcBorders>
                  <w:noWrap w:val="0"/>
                  <w:vAlign w:val="center"/>
                </w:tcPr>
                <w:p>
                  <w:pPr>
                    <w:pStyle w:val="62"/>
                    <w:bidi w:val="0"/>
                    <w:rPr>
                      <w:rFonts w:hint="default"/>
                      <w:color w:val="auto"/>
                      <w:highlight w:val="none"/>
                      <w:lang w:val="en-US" w:eastAsia="zh-CN"/>
                    </w:rPr>
                  </w:pPr>
                  <w:r>
                    <w:rPr>
                      <w:rFonts w:hint="default"/>
                      <w:color w:val="auto"/>
                      <w:highlight w:val="none"/>
                      <w:lang w:val="en-US" w:eastAsia="zh-CN"/>
                    </w:rPr>
                    <w:t>1#项目地下风向100米</w:t>
                  </w:r>
                </w:p>
              </w:tc>
              <w:tc>
                <w:tcPr>
                  <w:tcW w:w="1338" w:type="dxa"/>
                  <w:vMerge w:val="restart"/>
                  <w:tcBorders>
                    <w:tl2br w:val="nil"/>
                    <w:tr2bl w:val="nil"/>
                  </w:tcBorders>
                  <w:noWrap w:val="0"/>
                  <w:vAlign w:val="center"/>
                </w:tcPr>
                <w:p>
                  <w:pPr>
                    <w:pStyle w:val="62"/>
                    <w:bidi w:val="0"/>
                    <w:rPr>
                      <w:rFonts w:hint="default"/>
                      <w:color w:val="auto"/>
                      <w:highlight w:val="none"/>
                    </w:rPr>
                  </w:pPr>
                  <w:r>
                    <w:rPr>
                      <w:rFonts w:hint="default"/>
                      <w:color w:val="auto"/>
                      <w:highlight w:val="none"/>
                    </w:rPr>
                    <w:t>TSP</w:t>
                  </w:r>
                </w:p>
              </w:tc>
              <w:tc>
                <w:tcPr>
                  <w:tcW w:w="1894" w:type="dxa"/>
                  <w:tcBorders>
                    <w:tl2br w:val="nil"/>
                    <w:tr2bl w:val="nil"/>
                  </w:tcBorders>
                  <w:noWrap w:val="0"/>
                  <w:vAlign w:val="center"/>
                </w:tcPr>
                <w:p>
                  <w:pPr>
                    <w:bidi w:val="0"/>
                    <w:jc w:val="center"/>
                    <w:rPr>
                      <w:rFonts w:hint="default"/>
                      <w:color w:val="auto"/>
                    </w:rPr>
                  </w:pPr>
                  <w:r>
                    <w:rPr>
                      <w:rFonts w:hint="eastAsia"/>
                      <w:color w:val="auto"/>
                      <w:lang w:val="en-US" w:eastAsia="zh-CN"/>
                    </w:rPr>
                    <w:t>7月8日～9日</w:t>
                  </w:r>
                </w:p>
              </w:tc>
              <w:tc>
                <w:tcPr>
                  <w:tcW w:w="1091" w:type="dxa"/>
                  <w:tcBorders>
                    <w:tl2br w:val="nil"/>
                    <w:tr2bl w:val="nil"/>
                  </w:tcBorders>
                  <w:noWrap w:val="0"/>
                  <w:vAlign w:val="center"/>
                </w:tcPr>
                <w:p>
                  <w:pPr>
                    <w:pStyle w:val="62"/>
                    <w:bidi w:val="0"/>
                    <w:rPr>
                      <w:rFonts w:hint="default"/>
                      <w:color w:val="auto"/>
                      <w:highlight w:val="none"/>
                      <w:lang w:val="en-US"/>
                    </w:rPr>
                  </w:pPr>
                  <w:r>
                    <w:rPr>
                      <w:rFonts w:hint="eastAsia" w:ascii="Times New Roman"/>
                      <w:color w:val="auto"/>
                      <w:sz w:val="21"/>
                      <w:szCs w:val="21"/>
                      <w:highlight w:val="none"/>
                      <w:lang w:val="en-US" w:eastAsia="zh-CN"/>
                    </w:rPr>
                    <w:t>0.102</w:t>
                  </w:r>
                </w:p>
              </w:tc>
              <w:tc>
                <w:tcPr>
                  <w:tcW w:w="1032" w:type="dxa"/>
                  <w:tcBorders>
                    <w:tl2br w:val="nil"/>
                    <w:tr2bl w:val="nil"/>
                  </w:tcBorders>
                  <w:noWrap w:val="0"/>
                  <w:vAlign w:val="center"/>
                </w:tcPr>
                <w:p>
                  <w:pPr>
                    <w:pStyle w:val="62"/>
                    <w:bidi w:val="0"/>
                    <w:rPr>
                      <w:rFonts w:hint="default" w:eastAsia="宋体"/>
                      <w:color w:val="auto"/>
                      <w:highlight w:val="none"/>
                      <w:lang w:val="en-US" w:eastAsia="zh-CN"/>
                    </w:rPr>
                  </w:pPr>
                  <w:r>
                    <w:rPr>
                      <w:rFonts w:hint="eastAsia"/>
                      <w:color w:val="auto"/>
                      <w:highlight w:val="none"/>
                      <w:lang w:val="en-US" w:eastAsia="zh-CN"/>
                    </w:rPr>
                    <w:t>0.3</w:t>
                  </w:r>
                </w:p>
              </w:tc>
              <w:tc>
                <w:tcPr>
                  <w:tcW w:w="1339" w:type="dxa"/>
                  <w:tcBorders>
                    <w:tl2br w:val="nil"/>
                    <w:tr2bl w:val="nil"/>
                  </w:tcBorders>
                  <w:noWrap w:val="0"/>
                  <w:vAlign w:val="center"/>
                </w:tcPr>
                <w:p>
                  <w:pPr>
                    <w:pStyle w:val="62"/>
                    <w:bidi w:val="0"/>
                    <w:rPr>
                      <w:rFonts w:hint="default"/>
                      <w:color w:val="auto"/>
                      <w:highlight w:val="none"/>
                    </w:rPr>
                  </w:pPr>
                  <w:r>
                    <w:rPr>
                      <w:rFonts w:hint="default"/>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noWrap w:val="0"/>
                  <w:vAlign w:val="center"/>
                </w:tcPr>
                <w:p>
                  <w:pPr>
                    <w:pStyle w:val="62"/>
                    <w:bidi w:val="0"/>
                    <w:rPr>
                      <w:rFonts w:hint="eastAsia"/>
                      <w:color w:val="auto"/>
                      <w:highlight w:val="none"/>
                      <w:lang w:val="en-US" w:eastAsia="zh-CN"/>
                    </w:rPr>
                  </w:pPr>
                </w:p>
              </w:tc>
              <w:tc>
                <w:tcPr>
                  <w:tcW w:w="1338" w:type="dxa"/>
                  <w:vMerge w:val="continue"/>
                  <w:tcBorders>
                    <w:tl2br w:val="nil"/>
                    <w:tr2bl w:val="nil"/>
                  </w:tcBorders>
                  <w:noWrap w:val="0"/>
                  <w:vAlign w:val="center"/>
                </w:tcPr>
                <w:p>
                  <w:pPr>
                    <w:pStyle w:val="62"/>
                    <w:bidi w:val="0"/>
                    <w:rPr>
                      <w:rFonts w:hint="default"/>
                      <w:color w:val="auto"/>
                      <w:highlight w:val="none"/>
                    </w:rPr>
                  </w:pPr>
                </w:p>
              </w:tc>
              <w:tc>
                <w:tcPr>
                  <w:tcW w:w="1894" w:type="dxa"/>
                  <w:tcBorders>
                    <w:tl2br w:val="nil"/>
                    <w:tr2bl w:val="nil"/>
                  </w:tcBorders>
                  <w:noWrap w:val="0"/>
                  <w:vAlign w:val="center"/>
                </w:tcPr>
                <w:p>
                  <w:pPr>
                    <w:bidi w:val="0"/>
                    <w:jc w:val="center"/>
                    <w:rPr>
                      <w:rFonts w:hint="default"/>
                      <w:color w:val="auto"/>
                    </w:rPr>
                  </w:pPr>
                  <w:r>
                    <w:rPr>
                      <w:rFonts w:hint="eastAsia"/>
                      <w:color w:val="auto"/>
                      <w:lang w:val="en-US" w:eastAsia="zh-CN"/>
                    </w:rPr>
                    <w:t>7月9日～10日</w:t>
                  </w:r>
                </w:p>
              </w:tc>
              <w:tc>
                <w:tcPr>
                  <w:tcW w:w="1091" w:type="dxa"/>
                  <w:tcBorders>
                    <w:tl2br w:val="nil"/>
                    <w:tr2bl w:val="nil"/>
                  </w:tcBorders>
                  <w:noWrap w:val="0"/>
                  <w:vAlign w:val="center"/>
                </w:tcPr>
                <w:p>
                  <w:pPr>
                    <w:pStyle w:val="62"/>
                    <w:bidi w:val="0"/>
                    <w:rPr>
                      <w:rFonts w:hint="default"/>
                      <w:color w:val="auto"/>
                      <w:highlight w:val="none"/>
                      <w:lang w:val="en-US"/>
                    </w:rPr>
                  </w:pPr>
                  <w:r>
                    <w:rPr>
                      <w:rFonts w:hint="eastAsia" w:ascii="Times New Roman"/>
                      <w:color w:val="auto"/>
                      <w:sz w:val="21"/>
                      <w:szCs w:val="21"/>
                      <w:highlight w:val="none"/>
                      <w:lang w:val="en-US" w:eastAsia="zh-CN"/>
                    </w:rPr>
                    <w:t>0.117</w:t>
                  </w:r>
                </w:p>
              </w:tc>
              <w:tc>
                <w:tcPr>
                  <w:tcW w:w="1032" w:type="dxa"/>
                  <w:tcBorders>
                    <w:tl2br w:val="nil"/>
                    <w:tr2bl w:val="nil"/>
                  </w:tcBorders>
                  <w:noWrap w:val="0"/>
                  <w:vAlign w:val="center"/>
                </w:tcPr>
                <w:p>
                  <w:pPr>
                    <w:pStyle w:val="62"/>
                    <w:bidi w:val="0"/>
                    <w:rPr>
                      <w:rFonts w:hint="default"/>
                      <w:color w:val="auto"/>
                      <w:highlight w:val="none"/>
                    </w:rPr>
                  </w:pPr>
                  <w:r>
                    <w:rPr>
                      <w:rFonts w:hint="default"/>
                      <w:color w:val="auto"/>
                      <w:highlight w:val="none"/>
                      <w:lang w:val="en-US" w:eastAsia="zh-CN"/>
                    </w:rPr>
                    <w:t>0.3</w:t>
                  </w:r>
                </w:p>
              </w:tc>
              <w:tc>
                <w:tcPr>
                  <w:tcW w:w="1339" w:type="dxa"/>
                  <w:tcBorders>
                    <w:tl2br w:val="nil"/>
                    <w:tr2bl w:val="nil"/>
                  </w:tcBorders>
                  <w:noWrap w:val="0"/>
                  <w:vAlign w:val="center"/>
                </w:tcPr>
                <w:p>
                  <w:pPr>
                    <w:pStyle w:val="62"/>
                    <w:bidi w:val="0"/>
                    <w:rPr>
                      <w:rFonts w:hint="default"/>
                      <w:color w:val="auto"/>
                      <w:highlight w:val="none"/>
                    </w:rPr>
                  </w:pPr>
                  <w:r>
                    <w:rPr>
                      <w:rFonts w:hint="default"/>
                      <w:color w:val="auto"/>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5" w:type="dxa"/>
                  <w:vMerge w:val="continue"/>
                  <w:tcBorders>
                    <w:tl2br w:val="nil"/>
                    <w:tr2bl w:val="nil"/>
                  </w:tcBorders>
                  <w:noWrap w:val="0"/>
                  <w:vAlign w:val="center"/>
                </w:tcPr>
                <w:p>
                  <w:pPr>
                    <w:pStyle w:val="62"/>
                    <w:bidi w:val="0"/>
                    <w:rPr>
                      <w:rFonts w:hint="eastAsia"/>
                      <w:color w:val="auto"/>
                      <w:highlight w:val="none"/>
                      <w:lang w:val="en-US" w:eastAsia="zh-CN"/>
                    </w:rPr>
                  </w:pPr>
                </w:p>
              </w:tc>
              <w:tc>
                <w:tcPr>
                  <w:tcW w:w="1338" w:type="dxa"/>
                  <w:vMerge w:val="continue"/>
                  <w:tcBorders>
                    <w:tl2br w:val="nil"/>
                    <w:tr2bl w:val="nil"/>
                  </w:tcBorders>
                  <w:noWrap w:val="0"/>
                  <w:vAlign w:val="center"/>
                </w:tcPr>
                <w:p>
                  <w:pPr>
                    <w:pStyle w:val="62"/>
                    <w:bidi w:val="0"/>
                    <w:rPr>
                      <w:rFonts w:hint="default"/>
                      <w:color w:val="auto"/>
                      <w:highlight w:val="none"/>
                    </w:rPr>
                  </w:pPr>
                </w:p>
              </w:tc>
              <w:tc>
                <w:tcPr>
                  <w:tcW w:w="1894" w:type="dxa"/>
                  <w:tcBorders>
                    <w:tl2br w:val="nil"/>
                    <w:tr2bl w:val="nil"/>
                  </w:tcBorders>
                  <w:noWrap w:val="0"/>
                  <w:vAlign w:val="center"/>
                </w:tcPr>
                <w:p>
                  <w:pPr>
                    <w:bidi w:val="0"/>
                    <w:jc w:val="center"/>
                    <w:rPr>
                      <w:rFonts w:hint="default"/>
                      <w:color w:val="auto"/>
                    </w:rPr>
                  </w:pPr>
                  <w:r>
                    <w:rPr>
                      <w:rFonts w:hint="eastAsia"/>
                      <w:color w:val="auto"/>
                      <w:lang w:val="en-US" w:eastAsia="zh-CN"/>
                    </w:rPr>
                    <w:t>7月10日～11日</w:t>
                  </w:r>
                </w:p>
              </w:tc>
              <w:tc>
                <w:tcPr>
                  <w:tcW w:w="1091" w:type="dxa"/>
                  <w:tcBorders>
                    <w:tl2br w:val="nil"/>
                    <w:tr2bl w:val="nil"/>
                  </w:tcBorders>
                  <w:noWrap w:val="0"/>
                  <w:vAlign w:val="center"/>
                </w:tcPr>
                <w:p>
                  <w:pPr>
                    <w:pStyle w:val="62"/>
                    <w:bidi w:val="0"/>
                    <w:rPr>
                      <w:rFonts w:hint="default"/>
                      <w:color w:val="auto"/>
                      <w:highlight w:val="none"/>
                      <w:lang w:val="en-US"/>
                    </w:rPr>
                  </w:pPr>
                  <w:r>
                    <w:rPr>
                      <w:rFonts w:hint="eastAsia" w:ascii="Times New Roman"/>
                      <w:color w:val="auto"/>
                      <w:sz w:val="21"/>
                      <w:szCs w:val="21"/>
                      <w:highlight w:val="none"/>
                      <w:lang w:val="en-US" w:eastAsia="zh-CN"/>
                    </w:rPr>
                    <w:t>0.098</w:t>
                  </w:r>
                </w:p>
              </w:tc>
              <w:tc>
                <w:tcPr>
                  <w:tcW w:w="1032" w:type="dxa"/>
                  <w:tcBorders>
                    <w:tl2br w:val="nil"/>
                    <w:tr2bl w:val="nil"/>
                  </w:tcBorders>
                  <w:noWrap w:val="0"/>
                  <w:vAlign w:val="center"/>
                </w:tcPr>
                <w:p>
                  <w:pPr>
                    <w:pStyle w:val="62"/>
                    <w:bidi w:val="0"/>
                    <w:rPr>
                      <w:rFonts w:hint="default"/>
                      <w:color w:val="auto"/>
                      <w:highlight w:val="none"/>
                    </w:rPr>
                  </w:pPr>
                  <w:r>
                    <w:rPr>
                      <w:rFonts w:hint="default"/>
                      <w:color w:val="auto"/>
                      <w:highlight w:val="none"/>
                      <w:lang w:val="en-US" w:eastAsia="zh-CN"/>
                    </w:rPr>
                    <w:t>0.3</w:t>
                  </w:r>
                </w:p>
              </w:tc>
              <w:tc>
                <w:tcPr>
                  <w:tcW w:w="1339" w:type="dxa"/>
                  <w:tcBorders>
                    <w:tl2br w:val="nil"/>
                    <w:tr2bl w:val="nil"/>
                  </w:tcBorders>
                  <w:noWrap w:val="0"/>
                  <w:vAlign w:val="center"/>
                </w:tcPr>
                <w:p>
                  <w:pPr>
                    <w:pStyle w:val="62"/>
                    <w:bidi w:val="0"/>
                    <w:rPr>
                      <w:rFonts w:hint="default"/>
                      <w:color w:val="auto"/>
                      <w:highlight w:val="none"/>
                    </w:rPr>
                  </w:pPr>
                  <w:r>
                    <w:rPr>
                      <w:rFonts w:hint="default"/>
                      <w:color w:val="auto"/>
                      <w:highlight w:val="none"/>
                    </w:rPr>
                    <w:t>达标</w:t>
                  </w:r>
                </w:p>
              </w:tc>
            </w:tr>
          </w:tbl>
          <w:p>
            <w:pPr>
              <w:pStyle w:val="59"/>
              <w:keepNext w:val="0"/>
              <w:keepLines w:val="0"/>
              <w:pageBreakBefore w:val="0"/>
              <w:widowControl w:val="0"/>
              <w:kinsoku/>
              <w:wordWrap w:val="0"/>
              <w:overflowPunct/>
              <w:topLinePunct w:val="0"/>
              <w:autoSpaceDE/>
              <w:autoSpaceDN/>
              <w:bidi w:val="0"/>
              <w:adjustRightInd w:val="0"/>
              <w:snapToGrid w:val="0"/>
              <w:spacing w:before="157" w:beforeLines="50"/>
              <w:ind w:firstLine="480" w:firstLineChars="200"/>
              <w:jc w:val="left"/>
              <w:textAlignment w:val="auto"/>
              <w:rPr>
                <w:rFonts w:hint="eastAsia"/>
                <w:b/>
                <w:bCs/>
                <w:color w:val="auto"/>
                <w:highlight w:val="none"/>
                <w:lang w:val="en-US" w:eastAsia="zh-CN"/>
              </w:rPr>
            </w:pPr>
            <w:r>
              <w:rPr>
                <w:rFonts w:hint="eastAsia" w:ascii="Times New Roman" w:hAnsi="Times New Roman" w:cs="Times New Roman"/>
                <w:color w:val="auto"/>
                <w:sz w:val="24"/>
                <w:highlight w:val="none"/>
                <w:lang w:val="en-US" w:eastAsia="zh-CN"/>
              </w:rPr>
              <w:t>由上表可以看出，</w:t>
            </w:r>
            <w:r>
              <w:rPr>
                <w:rFonts w:hint="default" w:ascii="Times New Roman" w:hAnsi="Times New Roman" w:cs="Times New Roman"/>
                <w:color w:val="auto"/>
                <w:sz w:val="24"/>
                <w:highlight w:val="none"/>
              </w:rPr>
              <w:t>监测点位TSP日均值满足《环境空气质量标准》（GB3095-2012）</w:t>
            </w:r>
            <w:r>
              <w:rPr>
                <w:rFonts w:hint="default" w:ascii="Times New Roman" w:hAnsi="Times New Roman" w:cs="Times New Roman"/>
                <w:color w:val="auto"/>
                <w:kern w:val="0"/>
                <w:sz w:val="24"/>
                <w:highlight w:val="none"/>
              </w:rPr>
              <w:t>及其修改单</w:t>
            </w:r>
            <w:r>
              <w:rPr>
                <w:rFonts w:hint="default" w:ascii="Times New Roman" w:hAnsi="Times New Roman" w:cs="Times New Roman"/>
                <w:color w:val="auto"/>
                <w:sz w:val="24"/>
                <w:highlight w:val="none"/>
              </w:rPr>
              <w:t>中相应标准限值。</w:t>
            </w:r>
          </w:p>
          <w:p>
            <w:pPr>
              <w:pStyle w:val="59"/>
              <w:keepNext w:val="0"/>
              <w:keepLines w:val="0"/>
              <w:pageBreakBefore w:val="0"/>
              <w:widowControl w:val="0"/>
              <w:kinsoku/>
              <w:wordWrap/>
              <w:overflowPunct/>
              <w:topLinePunct w:val="0"/>
              <w:autoSpaceDE/>
              <w:autoSpaceDN/>
              <w:bidi w:val="0"/>
              <w:adjustRightInd w:val="0"/>
              <w:snapToGrid w:val="0"/>
              <w:ind w:firstLine="482" w:firstLineChars="200"/>
              <w:jc w:val="left"/>
              <w:textAlignment w:val="auto"/>
              <w:rPr>
                <w:b/>
                <w:bCs/>
                <w:color w:val="auto"/>
              </w:rPr>
            </w:pPr>
            <w:r>
              <w:rPr>
                <w:rFonts w:hint="eastAsia"/>
                <w:b/>
                <w:bCs/>
                <w:color w:val="auto"/>
                <w:lang w:val="en-US" w:eastAsia="zh-CN"/>
              </w:rPr>
              <w:t>2、</w:t>
            </w:r>
            <w:r>
              <w:rPr>
                <w:rFonts w:hint="eastAsia"/>
                <w:b/>
                <w:bCs/>
                <w:color w:val="auto"/>
              </w:rPr>
              <w:t>声环境质量现状</w:t>
            </w:r>
          </w:p>
          <w:p>
            <w:pPr>
              <w:pStyle w:val="59"/>
              <w:keepNext w:val="0"/>
              <w:keepLines w:val="0"/>
              <w:pageBreakBefore w:val="0"/>
              <w:widowControl w:val="0"/>
              <w:kinsoku/>
              <w:overflowPunct/>
              <w:topLinePunct w:val="0"/>
              <w:autoSpaceDE/>
              <w:autoSpaceDN/>
              <w:bidi w:val="0"/>
              <w:adjustRightInd w:val="0"/>
              <w:snapToGrid w:val="0"/>
              <w:ind w:firstLine="480"/>
              <w:jc w:val="both"/>
              <w:textAlignment w:val="auto"/>
              <w:rPr>
                <w:rFonts w:hint="eastAsia"/>
                <w:color w:val="auto"/>
                <w:highlight w:val="none"/>
                <w:lang w:val="en-US" w:eastAsia="zh-CN"/>
              </w:rPr>
            </w:pPr>
            <w:r>
              <w:rPr>
                <w:color w:val="auto"/>
              </w:rPr>
              <w:t>本次监测根据“以点代线”的原则，尽量均匀布点、兼顾各类不同声功能区，</w:t>
            </w:r>
            <w:r>
              <w:rPr>
                <w:rFonts w:hint="eastAsia"/>
                <w:color w:val="auto"/>
                <w:lang w:val="en-US" w:eastAsia="zh-CN"/>
              </w:rPr>
              <w:t>项目涉及4处声敏感点，包括2处小区和2所学校</w:t>
            </w:r>
            <w:r>
              <w:rPr>
                <w:rFonts w:hint="eastAsia"/>
                <w:color w:val="auto"/>
                <w:highlight w:val="none"/>
              </w:rPr>
              <w:t>，</w:t>
            </w:r>
            <w:r>
              <w:rPr>
                <w:rFonts w:hint="eastAsia"/>
                <w:color w:val="auto"/>
                <w:highlight w:val="none"/>
                <w:lang w:val="en-US" w:eastAsia="zh-CN"/>
              </w:rPr>
              <w:t>本次对项目涉及的敏感点全部进行监测，并对高层代表性楼层进行监测。</w:t>
            </w:r>
            <w:r>
              <w:rPr>
                <w:rFonts w:hint="eastAsia"/>
                <w:color w:val="auto"/>
                <w:highlight w:val="none"/>
              </w:rPr>
              <w:t>环评单位委托陕西秦研检测技术有限公司</w:t>
            </w:r>
            <w:r>
              <w:rPr>
                <w:rFonts w:hint="eastAsia"/>
                <w:color w:val="auto"/>
                <w:highlight w:val="none"/>
                <w:lang w:val="en-US" w:eastAsia="zh-CN"/>
              </w:rPr>
              <w:t>于2023年7月08日～09日、2023年11月09日~2023年11月10日，</w:t>
            </w:r>
            <w:r>
              <w:rPr>
                <w:rFonts w:hint="eastAsia"/>
                <w:color w:val="auto"/>
                <w:highlight w:val="none"/>
                <w:lang w:val="en-US" w:eastAsia="zh-CN"/>
              </w:rPr>
              <w:t>对道路两侧敏感点进行了声环境质量现状</w:t>
            </w:r>
            <w:r>
              <w:rPr>
                <w:rFonts w:hint="eastAsia"/>
                <w:color w:val="auto"/>
                <w:highlight w:val="none"/>
              </w:rPr>
              <w:t>监测，</w:t>
            </w:r>
            <w:r>
              <w:rPr>
                <w:rFonts w:hint="eastAsia"/>
                <w:color w:val="auto"/>
                <w:highlight w:val="none"/>
                <w:lang w:val="en-US" w:eastAsia="zh-CN"/>
              </w:rPr>
              <w:t>根据监测结果可知，湖城印象·熙岸小区（在建）南侧临首排、湖城印象·熙岸小区（在建）北侧临后排、隆基泰和·澜庭溪谷（在建）南侧临首排、隆基泰和·澜庭溪谷（在建）北侧临后排、西咸新区泾河新城第四小学、西咸新区泾河新城第一中学昼夜监测值达标。详见声环境专项评价。</w:t>
            </w:r>
          </w:p>
          <w:p>
            <w:pPr>
              <w:keepNext w:val="0"/>
              <w:keepLines w:val="0"/>
              <w:pageBreakBefore w:val="0"/>
              <w:widowControl w:val="0"/>
              <w:kinsoku/>
              <w:wordWrap/>
              <w:overflowPunct/>
              <w:topLinePunct w:val="0"/>
              <w:autoSpaceDE/>
              <w:autoSpaceDN/>
              <w:bidi w:val="0"/>
              <w:adjustRightInd w:val="0"/>
              <w:snapToGrid w:val="0"/>
              <w:spacing w:before="0" w:beforeLines="0" w:line="360" w:lineRule="auto"/>
              <w:ind w:left="0" w:leftChars="0" w:firstLine="482" w:firstLineChars="200"/>
              <w:jc w:val="both"/>
              <w:textAlignment w:val="auto"/>
              <w:rPr>
                <w:rFonts w:ascii="Times New Roman" w:hAnsi="Times New Roman" w:eastAsia="宋体" w:cs="宋体"/>
                <w:b w:val="0"/>
                <w:color w:val="auto"/>
                <w:kern w:val="0"/>
                <w:sz w:val="24"/>
                <w:szCs w:val="21"/>
                <w:lang w:val="en-US" w:eastAsia="zh-CN" w:bidi="ar-SA"/>
              </w:rPr>
            </w:pPr>
            <w:r>
              <w:rPr>
                <w:rFonts w:hint="eastAsia" w:cs="宋体"/>
                <w:b/>
                <w:bCs/>
                <w:color w:val="auto"/>
                <w:kern w:val="0"/>
                <w:sz w:val="24"/>
                <w:szCs w:val="21"/>
                <w:lang w:val="en-US" w:eastAsia="zh-CN" w:bidi="ar-SA"/>
              </w:rPr>
              <w:t>3、</w:t>
            </w:r>
            <w:r>
              <w:rPr>
                <w:rFonts w:hint="eastAsia" w:ascii="Times New Roman" w:hAnsi="Times New Roman" w:eastAsia="宋体" w:cs="宋体"/>
                <w:b/>
                <w:bCs/>
                <w:color w:val="auto"/>
                <w:kern w:val="0"/>
                <w:sz w:val="24"/>
                <w:szCs w:val="21"/>
                <w:lang w:val="en-US" w:eastAsia="zh-CN" w:bidi="ar-SA"/>
              </w:rPr>
              <w:t>生态环境现状</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kern w:val="2"/>
                <w:sz w:val="24"/>
                <w:szCs w:val="21"/>
                <w:lang w:val="en-US" w:eastAsia="zh-CN" w:bidi="ar-SA"/>
              </w:rPr>
            </w:pPr>
            <w:r>
              <w:rPr>
                <w:rFonts w:hint="eastAsia" w:hAnsi="Times New Roman" w:cs="Times New Roman"/>
                <w:color w:val="auto"/>
                <w:kern w:val="2"/>
                <w:sz w:val="24"/>
                <w:szCs w:val="21"/>
                <w:lang w:val="en-US" w:eastAsia="zh-CN" w:bidi="ar-SA"/>
              </w:rPr>
              <w:t>（1）主体功能区划</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kern w:val="2"/>
                <w:sz w:val="24"/>
                <w:szCs w:val="21"/>
                <w:lang w:val="en-US" w:eastAsia="zh-CN" w:bidi="ar-SA"/>
              </w:rPr>
            </w:pPr>
            <w:r>
              <w:rPr>
                <w:rFonts w:hint="eastAsia" w:hAnsi="Times New Roman" w:cs="Times New Roman"/>
                <w:color w:val="auto"/>
                <w:kern w:val="2"/>
                <w:sz w:val="24"/>
                <w:szCs w:val="21"/>
                <w:lang w:val="en-US" w:eastAsia="zh-CN" w:bidi="ar-SA"/>
              </w:rPr>
              <w:t>根据《陕西省主体功能区规划》，按开发方式分为重点开发区域、限制开发区域和禁止开发区域三类，按开发内容分为城市化地区、农产品主产区和重点生态功能区三类，按层级分为国家级和省级。本项目位于陕西省西咸新区泾河新城，属于《陕西省主体功能区规划》中的国家层面重点开发区域，不属于农产品主产区和重点生态功能区，为城市化地区。</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kern w:val="2"/>
                <w:sz w:val="24"/>
                <w:szCs w:val="21"/>
                <w:lang w:val="en-US" w:eastAsia="zh-CN" w:bidi="ar-SA"/>
              </w:rPr>
            </w:pPr>
            <w:r>
              <w:rPr>
                <w:rFonts w:hint="eastAsia" w:hAnsi="Times New Roman" w:cs="Times New Roman"/>
                <w:color w:val="auto"/>
                <w:kern w:val="2"/>
                <w:sz w:val="24"/>
                <w:szCs w:val="21"/>
                <w:lang w:val="en-US" w:eastAsia="zh-CN" w:bidi="ar-SA"/>
              </w:rPr>
              <w:t>（2）生态功能区划</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kern w:val="2"/>
                <w:sz w:val="24"/>
                <w:szCs w:val="21"/>
                <w:highlight w:val="none"/>
                <w:lang w:val="en-US" w:eastAsia="zh-CN" w:bidi="ar-SA"/>
              </w:rPr>
            </w:pPr>
            <w:r>
              <w:rPr>
                <w:rFonts w:hint="eastAsia" w:hAnsi="Times New Roman" w:cs="Times New Roman"/>
                <w:color w:val="auto"/>
                <w:kern w:val="2"/>
                <w:sz w:val="24"/>
                <w:szCs w:val="21"/>
                <w:highlight w:val="none"/>
                <w:lang w:val="en-US" w:eastAsia="zh-CN" w:bidi="ar-SA"/>
              </w:rPr>
              <w:t>本项目位于陕西省西咸新区泾河新城，项目所在地位于陕西省生态功能一级区划中的渭河谷地农业生态区，二级区划为关中平原城乡一体化生态功能区，三级区划属于关中平原城镇及农业区。</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kern w:val="2"/>
                <w:sz w:val="24"/>
                <w:szCs w:val="21"/>
                <w:lang w:val="en-US" w:eastAsia="zh-CN" w:bidi="ar-SA"/>
              </w:rPr>
            </w:pPr>
            <w:r>
              <w:rPr>
                <w:rFonts w:hint="eastAsia" w:hAnsi="Times New Roman" w:cs="Times New Roman"/>
                <w:color w:val="auto"/>
                <w:kern w:val="2"/>
                <w:sz w:val="24"/>
                <w:szCs w:val="21"/>
                <w:lang w:val="en-US" w:eastAsia="zh-CN" w:bidi="ar-SA"/>
              </w:rPr>
              <w:t>（3）生态环境现状</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hAnsi="Times New Roman" w:cs="Times New Roman"/>
                <w:color w:val="auto"/>
                <w:kern w:val="2"/>
                <w:sz w:val="24"/>
                <w:szCs w:val="21"/>
                <w:lang w:val="en-US" w:eastAsia="zh-CN" w:bidi="ar-SA"/>
              </w:rPr>
            </w:pPr>
            <w:r>
              <w:rPr>
                <w:color w:val="auto"/>
              </w:rPr>
              <w:t>泾河新城区域内的土壤类型主要是在灰性新积土和河流砂土</w:t>
            </w:r>
            <w:r>
              <w:rPr>
                <w:rFonts w:hint="eastAsia"/>
                <w:color w:val="auto"/>
                <w:lang w:eastAsia="zh-CN"/>
              </w:rPr>
              <w:t>，</w:t>
            </w:r>
            <w:r>
              <w:rPr>
                <w:rFonts w:hint="eastAsia" w:hAnsi="Times New Roman" w:cs="Times New Roman"/>
                <w:color w:val="auto"/>
                <w:kern w:val="2"/>
                <w:sz w:val="24"/>
                <w:szCs w:val="21"/>
                <w:lang w:val="en-US" w:eastAsia="zh-CN" w:bidi="ar-SA"/>
              </w:rPr>
              <w:t>土壤划分为黄土、红土、沼泽土、褐土、岩石、砾石、垆土、潮土、淤土9个土类、17个亚类、37个土属、81个土种。</w:t>
            </w:r>
          </w:p>
          <w:p>
            <w:pPr>
              <w:pStyle w:val="7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color w:val="auto"/>
                <w:lang w:val="en-US" w:eastAsia="zh-CN"/>
              </w:rPr>
            </w:pPr>
            <w:r>
              <w:rPr>
                <w:rFonts w:hint="eastAsia" w:hAnsi="Times New Roman" w:cs="Times New Roman"/>
                <w:color w:val="auto"/>
                <w:kern w:val="2"/>
                <w:sz w:val="24"/>
                <w:szCs w:val="21"/>
                <w:lang w:val="en-US" w:eastAsia="zh-CN" w:bidi="ar-SA"/>
              </w:rPr>
              <w:t>根据现场调查，本项目周边无列入《国家重点保护野生植物名录》和《国家重点保护野生动物名录》的野生动植物。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pPr>
              <w:adjustRightInd w:val="0"/>
              <w:snapToGrid w:val="0"/>
              <w:jc w:val="center"/>
              <w:rPr>
                <w:rFonts w:ascii="宋体" w:hAnsi="宋体" w:cs="宋体"/>
                <w:color w:val="auto"/>
                <w:kern w:val="0"/>
                <w:szCs w:val="21"/>
              </w:rPr>
            </w:pPr>
            <w:r>
              <w:rPr>
                <w:rFonts w:hint="eastAsia" w:ascii="宋体" w:hAnsi="宋体"/>
                <w:bCs/>
                <w:color w:val="auto"/>
                <w:sz w:val="21"/>
                <w:szCs w:val="21"/>
              </w:rPr>
              <w:t>与项目有关的原有环境污染和生态破坏问题</w:t>
            </w:r>
          </w:p>
        </w:tc>
        <w:tc>
          <w:tcPr>
            <w:tcW w:w="8253" w:type="dxa"/>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center"/>
              <w:textAlignment w:val="auto"/>
              <w:rPr>
                <w:color w:val="auto"/>
              </w:rPr>
            </w:pPr>
            <w:r>
              <w:rPr>
                <w:rFonts w:hint="default" w:cs="宋体"/>
                <w:color w:val="auto"/>
                <w:kern w:val="0"/>
                <w:sz w:val="24"/>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生态环境保护目标</w:t>
            </w:r>
          </w:p>
        </w:tc>
        <w:tc>
          <w:tcPr>
            <w:tcW w:w="8253" w:type="dxa"/>
          </w:tcPr>
          <w:p>
            <w:pPr>
              <w:pStyle w:val="59"/>
              <w:ind w:firstLine="480"/>
              <w:rPr>
                <w:color w:val="auto"/>
              </w:rPr>
            </w:pPr>
            <w:r>
              <w:rPr>
                <w:color w:val="auto"/>
              </w:rPr>
              <w:t>1、生态环境保护目标</w:t>
            </w:r>
          </w:p>
          <w:p>
            <w:pPr>
              <w:pStyle w:val="59"/>
              <w:ind w:firstLine="480"/>
              <w:rPr>
                <w:rFonts w:hint="eastAsia" w:eastAsia="宋体"/>
                <w:color w:val="auto"/>
                <w:lang w:eastAsia="zh-CN"/>
              </w:rPr>
            </w:pPr>
            <w:r>
              <w:rPr>
                <w:color w:val="auto"/>
              </w:rPr>
              <w:t>根据工程设计资料及现场</w:t>
            </w:r>
            <w:r>
              <w:rPr>
                <w:rFonts w:hint="eastAsia"/>
                <w:color w:val="auto"/>
                <w:lang w:eastAsia="zh-CN"/>
              </w:rPr>
              <w:t>勘察</w:t>
            </w:r>
            <w:r>
              <w:rPr>
                <w:color w:val="auto"/>
              </w:rPr>
              <w:t>，拟建工程评价范围内不涉及自然保护区、饮用水水源保护区、文物保护单位等环境敏感区；项目评价范围内无国家和陕西省重点保护野生动植物和古树名木分布。项目沿线主要的生态保护目标见表3</w:t>
            </w:r>
            <w:r>
              <w:rPr>
                <w:rFonts w:hint="eastAsia"/>
                <w:color w:val="auto"/>
                <w:lang w:val="en-US" w:eastAsia="zh-CN"/>
              </w:rPr>
              <w:t>-3</w:t>
            </w:r>
          </w:p>
          <w:p>
            <w:pPr>
              <w:pStyle w:val="46"/>
              <w:tabs>
                <w:tab w:val="center" w:pos="4060"/>
                <w:tab w:val="right" w:pos="8261"/>
              </w:tabs>
              <w:spacing w:before="0" w:beforeLines="0" w:after="0" w:afterLines="0" w:line="240" w:lineRule="auto"/>
              <w:ind w:leftChars="0" w:firstLine="0" w:firstLineChars="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w:t>
            </w:r>
            <w:r>
              <w:rPr>
                <w:rFonts w:hint="eastAsia" w:ascii="Times New Roman" w:hAnsi="Times New Roman" w:eastAsia="宋体"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kern w:val="2"/>
                <w:sz w:val="21"/>
                <w:szCs w:val="21"/>
                <w:highlight w:val="none"/>
                <w:lang w:val="en-US" w:eastAsia="zh-CN" w:bidi="ar-SA"/>
              </w:rPr>
              <w:t>生态</w:t>
            </w:r>
            <w:r>
              <w:rPr>
                <w:rFonts w:hint="default" w:ascii="Times New Roman" w:hAnsi="Times New Roman" w:eastAsia="宋体" w:cs="Times New Roman"/>
                <w:b/>
                <w:bCs/>
                <w:color w:val="auto"/>
                <w:kern w:val="2"/>
                <w:sz w:val="21"/>
                <w:szCs w:val="21"/>
                <w:highlight w:val="none"/>
                <w:lang w:val="en-US" w:eastAsia="zh-CN" w:bidi="ar-SA"/>
              </w:rPr>
              <w:t>环境保护目标</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87"/>
              <w:gridCol w:w="2299"/>
              <w:gridCol w:w="1642"/>
              <w:gridCol w:w="26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6" w:hRule="atLeast"/>
                <w:jc w:val="center"/>
              </w:trPr>
              <w:tc>
                <w:tcPr>
                  <w:tcW w:w="925" w:type="pct"/>
                  <w:tcBorders>
                    <w:tl2br w:val="nil"/>
                    <w:tr2bl w:val="nil"/>
                  </w:tcBorders>
                  <w:vAlign w:val="center"/>
                </w:tcPr>
                <w:p>
                  <w:pPr>
                    <w:pStyle w:val="78"/>
                    <w:rPr>
                      <w:color w:val="auto"/>
                      <w:szCs w:val="21"/>
                    </w:rPr>
                  </w:pPr>
                  <w:r>
                    <w:rPr>
                      <w:color w:val="auto"/>
                      <w:szCs w:val="21"/>
                    </w:rPr>
                    <w:t>保护目标</w:t>
                  </w:r>
                </w:p>
              </w:tc>
              <w:tc>
                <w:tcPr>
                  <w:tcW w:w="1430" w:type="pct"/>
                  <w:tcBorders>
                    <w:tl2br w:val="nil"/>
                    <w:tr2bl w:val="nil"/>
                  </w:tcBorders>
                  <w:vAlign w:val="center"/>
                </w:tcPr>
                <w:p>
                  <w:pPr>
                    <w:pStyle w:val="78"/>
                    <w:rPr>
                      <w:color w:val="auto"/>
                      <w:szCs w:val="21"/>
                    </w:rPr>
                  </w:pPr>
                  <w:r>
                    <w:rPr>
                      <w:color w:val="auto"/>
                      <w:szCs w:val="21"/>
                    </w:rPr>
                    <w:t>保护内容</w:t>
                  </w:r>
                </w:p>
              </w:tc>
              <w:tc>
                <w:tcPr>
                  <w:tcW w:w="1021" w:type="pct"/>
                  <w:tcBorders>
                    <w:tl2br w:val="nil"/>
                    <w:tr2bl w:val="nil"/>
                  </w:tcBorders>
                  <w:vAlign w:val="center"/>
                </w:tcPr>
                <w:p>
                  <w:pPr>
                    <w:pStyle w:val="78"/>
                    <w:rPr>
                      <w:color w:val="auto"/>
                      <w:szCs w:val="21"/>
                    </w:rPr>
                  </w:pPr>
                  <w:r>
                    <w:rPr>
                      <w:color w:val="auto"/>
                      <w:szCs w:val="21"/>
                    </w:rPr>
                    <w:t>位置及相关关系</w:t>
                  </w:r>
                </w:p>
              </w:tc>
              <w:tc>
                <w:tcPr>
                  <w:tcW w:w="1623" w:type="pct"/>
                  <w:tcBorders>
                    <w:tl2br w:val="nil"/>
                    <w:tr2bl w:val="nil"/>
                  </w:tcBorders>
                  <w:vAlign w:val="center"/>
                </w:tcPr>
                <w:p>
                  <w:pPr>
                    <w:pStyle w:val="78"/>
                    <w:rPr>
                      <w:color w:val="auto"/>
                      <w:szCs w:val="21"/>
                    </w:rPr>
                  </w:pPr>
                  <w:r>
                    <w:rPr>
                      <w:color w:val="auto"/>
                      <w:szCs w:val="21"/>
                    </w:rPr>
                    <w:t>主要影响及时段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6" w:hRule="atLeast"/>
                <w:jc w:val="center"/>
              </w:trPr>
              <w:tc>
                <w:tcPr>
                  <w:tcW w:w="925" w:type="pct"/>
                  <w:tcBorders>
                    <w:tl2br w:val="nil"/>
                    <w:tr2bl w:val="nil"/>
                  </w:tcBorders>
                  <w:vAlign w:val="center"/>
                </w:tcPr>
                <w:p>
                  <w:pPr>
                    <w:pStyle w:val="78"/>
                    <w:rPr>
                      <w:color w:val="auto"/>
                      <w:szCs w:val="21"/>
                    </w:rPr>
                  </w:pPr>
                  <w:r>
                    <w:rPr>
                      <w:color w:val="auto"/>
                      <w:szCs w:val="21"/>
                    </w:rPr>
                    <w:t>陕西</w:t>
                  </w:r>
                  <w:r>
                    <w:rPr>
                      <w:rFonts w:hint="eastAsia"/>
                      <w:color w:val="auto"/>
                      <w:szCs w:val="21"/>
                      <w:lang w:val="en-US" w:eastAsia="zh-CN"/>
                    </w:rPr>
                    <w:t>泾河</w:t>
                  </w:r>
                  <w:r>
                    <w:rPr>
                      <w:color w:val="auto"/>
                      <w:szCs w:val="21"/>
                    </w:rPr>
                    <w:t>湿地</w:t>
                  </w:r>
                </w:p>
              </w:tc>
              <w:tc>
                <w:tcPr>
                  <w:tcW w:w="1430" w:type="pct"/>
                  <w:tcBorders>
                    <w:tl2br w:val="nil"/>
                    <w:tr2bl w:val="nil"/>
                  </w:tcBorders>
                  <w:vAlign w:val="center"/>
                </w:tcPr>
                <w:p>
                  <w:pPr>
                    <w:pStyle w:val="78"/>
                    <w:rPr>
                      <w:color w:val="auto"/>
                      <w:szCs w:val="21"/>
                    </w:rPr>
                  </w:pPr>
                  <w:r>
                    <w:rPr>
                      <w:color w:val="auto"/>
                      <w:szCs w:val="21"/>
                    </w:rPr>
                    <w:t>保护湿地内的野生动、植物及其生境</w:t>
                  </w:r>
                </w:p>
              </w:tc>
              <w:tc>
                <w:tcPr>
                  <w:tcW w:w="1021" w:type="pct"/>
                  <w:tcBorders>
                    <w:tl2br w:val="nil"/>
                    <w:tr2bl w:val="nil"/>
                  </w:tcBorders>
                  <w:vAlign w:val="center"/>
                </w:tcPr>
                <w:p>
                  <w:pPr>
                    <w:pStyle w:val="78"/>
                    <w:rPr>
                      <w:color w:val="auto"/>
                      <w:szCs w:val="21"/>
                    </w:rPr>
                  </w:pPr>
                  <w:r>
                    <w:rPr>
                      <w:color w:val="auto"/>
                      <w:szCs w:val="21"/>
                    </w:rPr>
                    <w:t>路线在K</w:t>
                  </w:r>
                  <w:r>
                    <w:rPr>
                      <w:rFonts w:hint="eastAsia"/>
                      <w:color w:val="auto"/>
                      <w:szCs w:val="21"/>
                      <w:lang w:val="en-US" w:eastAsia="zh-CN"/>
                    </w:rPr>
                    <w:t>0</w:t>
                  </w:r>
                  <w:r>
                    <w:rPr>
                      <w:color w:val="auto"/>
                      <w:szCs w:val="21"/>
                    </w:rPr>
                    <w:t>+</w:t>
                  </w:r>
                  <w:r>
                    <w:rPr>
                      <w:rFonts w:hint="eastAsia"/>
                      <w:color w:val="auto"/>
                      <w:szCs w:val="21"/>
                      <w:lang w:val="en-US" w:eastAsia="zh-CN"/>
                    </w:rPr>
                    <w:t>92</w:t>
                  </w:r>
                  <w:r>
                    <w:rPr>
                      <w:color w:val="auto"/>
                      <w:szCs w:val="21"/>
                    </w:rPr>
                    <w:t>0~K</w:t>
                  </w:r>
                  <w:r>
                    <w:rPr>
                      <w:rFonts w:hint="eastAsia"/>
                      <w:color w:val="auto"/>
                      <w:szCs w:val="21"/>
                      <w:lang w:val="en-US" w:eastAsia="zh-CN"/>
                    </w:rPr>
                    <w:t>1</w:t>
                  </w:r>
                  <w:r>
                    <w:rPr>
                      <w:color w:val="auto"/>
                      <w:szCs w:val="21"/>
                    </w:rPr>
                    <w:t>+</w:t>
                  </w:r>
                  <w:r>
                    <w:rPr>
                      <w:rFonts w:hint="eastAsia"/>
                      <w:color w:val="auto"/>
                      <w:szCs w:val="21"/>
                      <w:lang w:val="en-US" w:eastAsia="zh-CN"/>
                    </w:rPr>
                    <w:t>56</w:t>
                  </w:r>
                  <w:r>
                    <w:rPr>
                      <w:color w:val="auto"/>
                      <w:szCs w:val="21"/>
                    </w:rPr>
                    <w:t>0在</w:t>
                  </w:r>
                  <w:r>
                    <w:rPr>
                      <w:rFonts w:hint="eastAsia"/>
                      <w:color w:val="auto"/>
                      <w:szCs w:val="21"/>
                      <w:lang w:val="en-US" w:eastAsia="zh-CN"/>
                    </w:rPr>
                    <w:t>陕西泾河湿地</w:t>
                  </w:r>
                  <w:r>
                    <w:rPr>
                      <w:color w:val="auto"/>
                      <w:szCs w:val="21"/>
                    </w:rPr>
                    <w:t>外经过，最近距离</w:t>
                  </w:r>
                  <w:r>
                    <w:rPr>
                      <w:rFonts w:hint="eastAsia"/>
                      <w:color w:val="auto"/>
                      <w:szCs w:val="21"/>
                      <w:lang w:val="en-US" w:eastAsia="zh-CN"/>
                    </w:rPr>
                    <w:t>约90</w:t>
                  </w:r>
                  <w:r>
                    <w:rPr>
                      <w:color w:val="auto"/>
                      <w:szCs w:val="21"/>
                    </w:rPr>
                    <w:t>m，未进入湿地范围内</w:t>
                  </w:r>
                </w:p>
              </w:tc>
              <w:tc>
                <w:tcPr>
                  <w:tcW w:w="1623" w:type="pct"/>
                  <w:tcBorders>
                    <w:tl2br w:val="nil"/>
                    <w:tr2bl w:val="nil"/>
                  </w:tcBorders>
                  <w:vAlign w:val="center"/>
                </w:tcPr>
                <w:p>
                  <w:pPr>
                    <w:pStyle w:val="78"/>
                    <w:rPr>
                      <w:color w:val="auto"/>
                      <w:szCs w:val="21"/>
                    </w:rPr>
                  </w:pPr>
                  <w:r>
                    <w:rPr>
                      <w:color w:val="auto"/>
                      <w:szCs w:val="21"/>
                    </w:rPr>
                    <w:t>项目未进入湿地范围内，且不在湿地范围内设置施工场地、取土场等大临工程，对湿地影响较小</w:t>
                  </w:r>
                </w:p>
              </w:tc>
            </w:tr>
          </w:tbl>
          <w:p>
            <w:pPr>
              <w:rPr>
                <w:color w:val="auto"/>
              </w:rPr>
            </w:pPr>
          </w:p>
          <w:p>
            <w:pPr>
              <w:pStyle w:val="59"/>
              <w:ind w:firstLine="480"/>
              <w:rPr>
                <w:color w:val="auto"/>
              </w:rPr>
            </w:pPr>
            <w:r>
              <w:rPr>
                <w:rFonts w:hint="eastAsia"/>
                <w:color w:val="auto"/>
                <w:lang w:val="en-US" w:eastAsia="zh-CN"/>
              </w:rPr>
              <w:t>2</w:t>
            </w:r>
            <w:r>
              <w:rPr>
                <w:color w:val="auto"/>
              </w:rPr>
              <w:t>、声环境、环境空气保护目标</w:t>
            </w:r>
          </w:p>
          <w:p>
            <w:pPr>
              <w:pStyle w:val="59"/>
              <w:ind w:firstLine="480"/>
              <w:rPr>
                <w:color w:val="auto"/>
              </w:rPr>
            </w:pPr>
            <w:bookmarkStart w:id="3" w:name="_Toc483322872"/>
            <w:r>
              <w:rPr>
                <w:color w:val="auto"/>
              </w:rPr>
              <w:t>本项目评价范围内声环境保护目标共</w:t>
            </w:r>
            <w:r>
              <w:rPr>
                <w:rFonts w:hint="eastAsia"/>
                <w:color w:val="auto"/>
                <w:lang w:val="en-US" w:eastAsia="zh-CN"/>
              </w:rPr>
              <w:t>4</w:t>
            </w:r>
            <w:r>
              <w:rPr>
                <w:color w:val="auto"/>
              </w:rPr>
              <w:t>处。其中居民区敏感点</w:t>
            </w:r>
            <w:r>
              <w:rPr>
                <w:rFonts w:hint="eastAsia"/>
                <w:color w:val="auto"/>
                <w:lang w:val="en-US" w:eastAsia="zh-CN"/>
              </w:rPr>
              <w:t>2</w:t>
            </w:r>
            <w:r>
              <w:rPr>
                <w:color w:val="auto"/>
              </w:rPr>
              <w:t>处，学校</w:t>
            </w:r>
            <w:r>
              <w:rPr>
                <w:rFonts w:hint="eastAsia"/>
                <w:color w:val="auto"/>
                <w:lang w:val="en-US" w:eastAsia="zh-CN"/>
              </w:rPr>
              <w:t>2</w:t>
            </w:r>
            <w:r>
              <w:rPr>
                <w:color w:val="auto"/>
              </w:rPr>
              <w:t>处。具体情况见噪声专题</w:t>
            </w:r>
            <w:bookmarkEnd w:id="3"/>
            <w:r>
              <w:rPr>
                <w:color w:val="auto"/>
              </w:rPr>
              <w:t>表1-</w:t>
            </w:r>
            <w:r>
              <w:rPr>
                <w:rFonts w:hint="eastAsia"/>
                <w:color w:val="auto"/>
                <w:lang w:val="en-US" w:eastAsia="zh-CN"/>
              </w:rPr>
              <w:t>3</w:t>
            </w:r>
            <w:r>
              <w:rPr>
                <w:color w:val="auto"/>
              </w:rPr>
              <w:t>～1-4。</w:t>
            </w:r>
          </w:p>
          <w:p>
            <w:pPr>
              <w:pStyle w:val="59"/>
              <w:ind w:firstLine="480"/>
              <w:rPr>
                <w:color w:val="auto"/>
              </w:rPr>
            </w:pPr>
            <w:r>
              <w:rPr>
                <w:color w:val="auto"/>
              </w:rPr>
              <w:t>本项目大气环境保护目标为评价范围内的空气质量及</w:t>
            </w:r>
            <w:r>
              <w:rPr>
                <w:rFonts w:hint="eastAsia"/>
                <w:color w:val="auto"/>
                <w:lang w:val="en-US" w:eastAsia="zh-CN"/>
              </w:rPr>
              <w:t>4</w:t>
            </w:r>
            <w:r>
              <w:rPr>
                <w:color w:val="auto"/>
              </w:rPr>
              <w:t>处环境敏感点</w:t>
            </w: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评价</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标准</w:t>
            </w:r>
          </w:p>
        </w:tc>
        <w:tc>
          <w:tcPr>
            <w:tcW w:w="8253" w:type="dxa"/>
            <w:vAlign w:val="center"/>
          </w:tcPr>
          <w:p>
            <w:pPr>
              <w:pStyle w:val="59"/>
              <w:keepNext w:val="0"/>
              <w:keepLines w:val="0"/>
              <w:pageBreakBefore w:val="0"/>
              <w:widowControl w:val="0"/>
              <w:kinsoku/>
              <w:wordWrap/>
              <w:overflowPunct/>
              <w:topLinePunct w:val="0"/>
              <w:autoSpaceDE/>
              <w:autoSpaceDN/>
              <w:bidi w:val="0"/>
              <w:adjustRightInd w:val="0"/>
              <w:snapToGrid w:val="0"/>
              <w:ind w:firstLine="482" w:firstLineChars="200"/>
              <w:textAlignment w:val="auto"/>
              <w:rPr>
                <w:b/>
                <w:bCs/>
                <w:color w:val="auto"/>
              </w:rPr>
            </w:pPr>
            <w:r>
              <w:rPr>
                <w:rFonts w:hint="eastAsia"/>
                <w:b/>
                <w:bCs/>
                <w:color w:val="auto"/>
                <w:lang w:val="en-US" w:eastAsia="zh-CN"/>
              </w:rPr>
              <w:t>1、</w:t>
            </w:r>
            <w:r>
              <w:rPr>
                <w:rFonts w:hint="eastAsia"/>
                <w:b/>
                <w:bCs/>
                <w:color w:val="auto"/>
              </w:rPr>
              <w:t>环境质量标准</w:t>
            </w:r>
          </w:p>
          <w:p>
            <w:pPr>
              <w:pStyle w:val="59"/>
              <w:ind w:firstLine="482"/>
              <w:rPr>
                <w:b w:val="0"/>
                <w:bCs w:val="0"/>
                <w:color w:val="auto"/>
              </w:rPr>
            </w:pPr>
            <w:r>
              <w:rPr>
                <w:rFonts w:hint="eastAsia"/>
                <w:b w:val="0"/>
                <w:bCs w:val="0"/>
                <w:color w:val="auto"/>
              </w:rPr>
              <w:t>（1）环境空气</w:t>
            </w:r>
          </w:p>
          <w:p>
            <w:pPr>
              <w:pStyle w:val="59"/>
              <w:ind w:firstLine="480"/>
              <w:rPr>
                <w:color w:val="auto"/>
                <w:kern w:val="2"/>
              </w:rPr>
            </w:pPr>
            <w:r>
              <w:rPr>
                <w:rFonts w:hint="eastAsia"/>
                <w:color w:val="auto"/>
              </w:rPr>
              <w:t>项目建设区环境空气质量属于二类区，执行《环境空气质量标准》（GB3095-2012）二级标准，详见表</w:t>
            </w:r>
            <w:r>
              <w:rPr>
                <w:rFonts w:hint="eastAsia"/>
                <w:color w:val="auto"/>
                <w:lang w:val="en-US" w:eastAsia="zh-CN"/>
              </w:rPr>
              <w:t>3-4</w:t>
            </w:r>
            <w:r>
              <w:rPr>
                <w:rFonts w:hint="eastAsia"/>
                <w:color w:val="auto"/>
              </w:rPr>
              <w:t>。</w:t>
            </w:r>
          </w:p>
          <w:p>
            <w:pPr>
              <w:pStyle w:val="47"/>
              <w:jc w:val="center"/>
              <w:rPr>
                <w:color w:val="auto"/>
                <w:sz w:val="21"/>
                <w:szCs w:val="21"/>
              </w:rPr>
            </w:pPr>
            <w:r>
              <w:rPr>
                <w:color w:val="auto"/>
                <w:sz w:val="21"/>
                <w:szCs w:val="21"/>
              </w:rPr>
              <w:t>表</w:t>
            </w:r>
            <w:r>
              <w:rPr>
                <w:rFonts w:hint="eastAsia"/>
                <w:color w:val="auto"/>
                <w:sz w:val="21"/>
                <w:szCs w:val="21"/>
                <w:lang w:val="en-US" w:eastAsia="zh-CN"/>
              </w:rPr>
              <w:t>3-4</w:t>
            </w:r>
            <w:r>
              <w:rPr>
                <w:color w:val="auto"/>
                <w:sz w:val="21"/>
                <w:szCs w:val="21"/>
              </w:rPr>
              <w:t xml:space="preserve">  </w:t>
            </w:r>
            <w:r>
              <w:rPr>
                <w:rFonts w:hint="eastAsia"/>
                <w:color w:val="auto"/>
                <w:sz w:val="21"/>
                <w:szCs w:val="21"/>
                <w:lang w:val="en-US" w:eastAsia="zh-CN"/>
              </w:rPr>
              <w:t xml:space="preserve"> </w:t>
            </w:r>
            <w:r>
              <w:rPr>
                <w:color w:val="auto"/>
                <w:sz w:val="21"/>
                <w:szCs w:val="21"/>
              </w:rPr>
              <w:t xml:space="preserve"> 环境空气质量标准表</w:t>
            </w:r>
            <w:r>
              <w:rPr>
                <w:rFonts w:hint="eastAsia"/>
                <w:color w:val="auto"/>
                <w:sz w:val="21"/>
                <w:szCs w:val="21"/>
                <w:lang w:val="en-US" w:eastAsia="zh-CN"/>
              </w:rPr>
              <w:t xml:space="preserve">  </w:t>
            </w:r>
            <w:r>
              <w:rPr>
                <w:color w:val="auto"/>
                <w:sz w:val="21"/>
                <w:szCs w:val="21"/>
              </w:rPr>
              <w:t>（μg/m</w:t>
            </w:r>
            <w:r>
              <w:rPr>
                <w:color w:val="auto"/>
                <w:sz w:val="21"/>
                <w:szCs w:val="21"/>
                <w:vertAlign w:val="superscript"/>
              </w:rPr>
              <w:t>3</w:t>
            </w:r>
            <w:r>
              <w:rPr>
                <w:color w:val="auto"/>
                <w:sz w:val="21"/>
                <w:szCs w:val="21"/>
              </w:rPr>
              <w:t>）</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125"/>
              <w:gridCol w:w="1114"/>
              <w:gridCol w:w="1443"/>
              <w:gridCol w:w="1861"/>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tcBorders>
                    <w:tl2br w:val="nil"/>
                    <w:tr2bl w:val="nil"/>
                  </w:tcBorders>
                  <w:vAlign w:val="center"/>
                </w:tcPr>
                <w:p>
                  <w:pPr>
                    <w:pStyle w:val="62"/>
                    <w:rPr>
                      <w:b/>
                      <w:color w:val="auto"/>
                    </w:rPr>
                  </w:pPr>
                  <w:r>
                    <w:rPr>
                      <w:b/>
                      <w:color w:val="auto"/>
                    </w:rPr>
                    <w:t>执行标准</w:t>
                  </w:r>
                </w:p>
              </w:tc>
              <w:tc>
                <w:tcPr>
                  <w:tcW w:w="700" w:type="pct"/>
                  <w:tcBorders>
                    <w:tl2br w:val="nil"/>
                    <w:tr2bl w:val="nil"/>
                  </w:tcBorders>
                  <w:vAlign w:val="center"/>
                </w:tcPr>
                <w:p>
                  <w:pPr>
                    <w:pStyle w:val="62"/>
                    <w:rPr>
                      <w:b/>
                      <w:color w:val="auto"/>
                    </w:rPr>
                  </w:pPr>
                  <w:r>
                    <w:rPr>
                      <w:b/>
                      <w:color w:val="auto"/>
                    </w:rPr>
                    <w:t>污染物</w:t>
                  </w:r>
                </w:p>
              </w:tc>
              <w:tc>
                <w:tcPr>
                  <w:tcW w:w="693" w:type="pct"/>
                  <w:tcBorders>
                    <w:tl2br w:val="nil"/>
                    <w:tr2bl w:val="nil"/>
                  </w:tcBorders>
                  <w:vAlign w:val="center"/>
                </w:tcPr>
                <w:p>
                  <w:pPr>
                    <w:pStyle w:val="62"/>
                    <w:rPr>
                      <w:b/>
                      <w:color w:val="auto"/>
                    </w:rPr>
                  </w:pPr>
                  <w:r>
                    <w:rPr>
                      <w:b/>
                      <w:color w:val="auto"/>
                    </w:rPr>
                    <w:t>年平均</w:t>
                  </w:r>
                </w:p>
              </w:tc>
              <w:tc>
                <w:tcPr>
                  <w:tcW w:w="898" w:type="pct"/>
                  <w:tcBorders>
                    <w:tl2br w:val="nil"/>
                    <w:tr2bl w:val="nil"/>
                  </w:tcBorders>
                  <w:vAlign w:val="center"/>
                </w:tcPr>
                <w:p>
                  <w:pPr>
                    <w:pStyle w:val="62"/>
                    <w:rPr>
                      <w:b/>
                      <w:color w:val="auto"/>
                    </w:rPr>
                  </w:pPr>
                  <w:r>
                    <w:rPr>
                      <w:b/>
                      <w:color w:val="auto"/>
                    </w:rPr>
                    <w:t>24</w:t>
                  </w:r>
                  <w:r>
                    <w:rPr>
                      <w:rFonts w:ascii="宋体" w:hAnsi="宋体"/>
                      <w:b/>
                      <w:color w:val="auto"/>
                    </w:rPr>
                    <w:t>小时平均</w:t>
                  </w:r>
                </w:p>
              </w:tc>
              <w:tc>
                <w:tcPr>
                  <w:tcW w:w="1158" w:type="pct"/>
                  <w:tcBorders>
                    <w:tl2br w:val="nil"/>
                    <w:tr2bl w:val="nil"/>
                  </w:tcBorders>
                  <w:vAlign w:val="center"/>
                </w:tcPr>
                <w:p>
                  <w:pPr>
                    <w:pStyle w:val="62"/>
                    <w:rPr>
                      <w:b/>
                      <w:color w:val="auto"/>
                    </w:rPr>
                  </w:pPr>
                  <w:r>
                    <w:rPr>
                      <w:b/>
                      <w:color w:val="auto"/>
                    </w:rPr>
                    <w:t>日最大8</w:t>
                  </w:r>
                  <w:r>
                    <w:rPr>
                      <w:rFonts w:ascii="宋体" w:hAnsi="宋体"/>
                      <w:b/>
                      <w:color w:val="auto"/>
                    </w:rPr>
                    <w:t>小时平均</w:t>
                  </w:r>
                </w:p>
              </w:tc>
              <w:tc>
                <w:tcPr>
                  <w:tcW w:w="813" w:type="pct"/>
                  <w:tcBorders>
                    <w:tl2br w:val="nil"/>
                    <w:tr2bl w:val="nil"/>
                  </w:tcBorders>
                  <w:vAlign w:val="center"/>
                </w:tcPr>
                <w:p>
                  <w:pPr>
                    <w:pStyle w:val="62"/>
                    <w:rPr>
                      <w:b/>
                      <w:color w:val="auto"/>
                    </w:rPr>
                  </w:pPr>
                  <w:r>
                    <w:rPr>
                      <w:b/>
                      <w:color w:val="auto"/>
                    </w:rPr>
                    <w:t>1</w:t>
                  </w:r>
                  <w:r>
                    <w:rPr>
                      <w:rFonts w:ascii="宋体" w:hAnsi="宋体"/>
                      <w:b/>
                      <w:color w:val="auto"/>
                    </w:rPr>
                    <w:t>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vMerge w:val="restart"/>
                  <w:tcBorders>
                    <w:tl2br w:val="nil"/>
                    <w:tr2bl w:val="nil"/>
                  </w:tcBorders>
                  <w:vAlign w:val="center"/>
                </w:tcPr>
                <w:p>
                  <w:pPr>
                    <w:pStyle w:val="62"/>
                    <w:rPr>
                      <w:color w:val="auto"/>
                    </w:rPr>
                  </w:pPr>
                  <w:r>
                    <w:rPr>
                      <w:rFonts w:hint="eastAsia"/>
                      <w:color w:val="auto"/>
                    </w:rPr>
                    <w:t>《环境空气质量标准》（GB3095-2012）二级标准</w:t>
                  </w:r>
                </w:p>
              </w:tc>
              <w:tc>
                <w:tcPr>
                  <w:tcW w:w="700" w:type="pct"/>
                  <w:tcBorders>
                    <w:tl2br w:val="nil"/>
                    <w:tr2bl w:val="nil"/>
                  </w:tcBorders>
                  <w:vAlign w:val="center"/>
                </w:tcPr>
                <w:p>
                  <w:pPr>
                    <w:pStyle w:val="62"/>
                    <w:rPr>
                      <w:color w:val="auto"/>
                    </w:rPr>
                  </w:pPr>
                  <w:r>
                    <w:rPr>
                      <w:color w:val="auto"/>
                    </w:rPr>
                    <w:t>PM</w:t>
                  </w:r>
                  <w:r>
                    <w:rPr>
                      <w:color w:val="auto"/>
                      <w:vertAlign w:val="subscript"/>
                    </w:rPr>
                    <w:t>10</w:t>
                  </w:r>
                </w:p>
              </w:tc>
              <w:tc>
                <w:tcPr>
                  <w:tcW w:w="693" w:type="pct"/>
                  <w:tcBorders>
                    <w:tl2br w:val="nil"/>
                    <w:tr2bl w:val="nil"/>
                  </w:tcBorders>
                  <w:vAlign w:val="center"/>
                </w:tcPr>
                <w:p>
                  <w:pPr>
                    <w:pStyle w:val="62"/>
                    <w:rPr>
                      <w:color w:val="auto"/>
                    </w:rPr>
                  </w:pPr>
                  <w:r>
                    <w:rPr>
                      <w:color w:val="auto"/>
                    </w:rPr>
                    <w:t>70</w:t>
                  </w:r>
                </w:p>
              </w:tc>
              <w:tc>
                <w:tcPr>
                  <w:tcW w:w="898" w:type="pct"/>
                  <w:tcBorders>
                    <w:tl2br w:val="nil"/>
                    <w:tr2bl w:val="nil"/>
                  </w:tcBorders>
                  <w:vAlign w:val="center"/>
                </w:tcPr>
                <w:p>
                  <w:pPr>
                    <w:pStyle w:val="62"/>
                    <w:rPr>
                      <w:color w:val="auto"/>
                    </w:rPr>
                  </w:pPr>
                  <w:r>
                    <w:rPr>
                      <w:color w:val="auto"/>
                    </w:rPr>
                    <w:t>150</w:t>
                  </w:r>
                </w:p>
              </w:tc>
              <w:tc>
                <w:tcPr>
                  <w:tcW w:w="1158" w:type="pct"/>
                  <w:tcBorders>
                    <w:tl2br w:val="nil"/>
                    <w:tr2bl w:val="nil"/>
                  </w:tcBorders>
                  <w:vAlign w:val="center"/>
                </w:tcPr>
                <w:p>
                  <w:pPr>
                    <w:pStyle w:val="62"/>
                    <w:rPr>
                      <w:color w:val="auto"/>
                    </w:rPr>
                  </w:pPr>
                  <w:r>
                    <w:rPr>
                      <w:color w:val="auto"/>
                    </w:rPr>
                    <w:t>/</w:t>
                  </w:r>
                </w:p>
              </w:tc>
              <w:tc>
                <w:tcPr>
                  <w:tcW w:w="813" w:type="pct"/>
                  <w:tcBorders>
                    <w:tl2br w:val="nil"/>
                    <w:tr2bl w:val="nil"/>
                  </w:tcBorders>
                  <w:vAlign w:val="center"/>
                </w:tcPr>
                <w:p>
                  <w:pPr>
                    <w:pStyle w:val="62"/>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vMerge w:val="continue"/>
                  <w:tcBorders>
                    <w:tl2br w:val="nil"/>
                    <w:tr2bl w:val="nil"/>
                  </w:tcBorders>
                  <w:vAlign w:val="center"/>
                </w:tcPr>
                <w:p>
                  <w:pPr>
                    <w:pStyle w:val="62"/>
                    <w:rPr>
                      <w:color w:val="auto"/>
                      <w:kern w:val="2"/>
                    </w:rPr>
                  </w:pPr>
                </w:p>
              </w:tc>
              <w:tc>
                <w:tcPr>
                  <w:tcW w:w="700" w:type="pct"/>
                  <w:tcBorders>
                    <w:tl2br w:val="nil"/>
                    <w:tr2bl w:val="nil"/>
                  </w:tcBorders>
                  <w:vAlign w:val="center"/>
                </w:tcPr>
                <w:p>
                  <w:pPr>
                    <w:pStyle w:val="62"/>
                    <w:rPr>
                      <w:color w:val="auto"/>
                    </w:rPr>
                  </w:pPr>
                  <w:r>
                    <w:rPr>
                      <w:color w:val="auto"/>
                    </w:rPr>
                    <w:t>PM</w:t>
                  </w:r>
                  <w:r>
                    <w:rPr>
                      <w:color w:val="auto"/>
                      <w:vertAlign w:val="subscript"/>
                    </w:rPr>
                    <w:t>2.5</w:t>
                  </w:r>
                </w:p>
              </w:tc>
              <w:tc>
                <w:tcPr>
                  <w:tcW w:w="693" w:type="pct"/>
                  <w:tcBorders>
                    <w:tl2br w:val="nil"/>
                    <w:tr2bl w:val="nil"/>
                  </w:tcBorders>
                  <w:vAlign w:val="center"/>
                </w:tcPr>
                <w:p>
                  <w:pPr>
                    <w:pStyle w:val="62"/>
                    <w:rPr>
                      <w:color w:val="auto"/>
                    </w:rPr>
                  </w:pPr>
                  <w:r>
                    <w:rPr>
                      <w:color w:val="auto"/>
                    </w:rPr>
                    <w:t>35</w:t>
                  </w:r>
                </w:p>
              </w:tc>
              <w:tc>
                <w:tcPr>
                  <w:tcW w:w="898" w:type="pct"/>
                  <w:tcBorders>
                    <w:tl2br w:val="nil"/>
                    <w:tr2bl w:val="nil"/>
                  </w:tcBorders>
                  <w:vAlign w:val="center"/>
                </w:tcPr>
                <w:p>
                  <w:pPr>
                    <w:pStyle w:val="62"/>
                    <w:rPr>
                      <w:color w:val="auto"/>
                    </w:rPr>
                  </w:pPr>
                  <w:r>
                    <w:rPr>
                      <w:color w:val="auto"/>
                    </w:rPr>
                    <w:t>75</w:t>
                  </w:r>
                </w:p>
              </w:tc>
              <w:tc>
                <w:tcPr>
                  <w:tcW w:w="1158" w:type="pct"/>
                  <w:tcBorders>
                    <w:tl2br w:val="nil"/>
                    <w:tr2bl w:val="nil"/>
                  </w:tcBorders>
                  <w:vAlign w:val="center"/>
                </w:tcPr>
                <w:p>
                  <w:pPr>
                    <w:pStyle w:val="62"/>
                    <w:rPr>
                      <w:color w:val="auto"/>
                    </w:rPr>
                  </w:pPr>
                  <w:r>
                    <w:rPr>
                      <w:color w:val="auto"/>
                    </w:rPr>
                    <w:t>/</w:t>
                  </w:r>
                </w:p>
              </w:tc>
              <w:tc>
                <w:tcPr>
                  <w:tcW w:w="813" w:type="pct"/>
                  <w:tcBorders>
                    <w:tl2br w:val="nil"/>
                    <w:tr2bl w:val="nil"/>
                  </w:tcBorders>
                  <w:vAlign w:val="center"/>
                </w:tcPr>
                <w:p>
                  <w:pPr>
                    <w:pStyle w:val="62"/>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vMerge w:val="continue"/>
                  <w:tcBorders>
                    <w:tl2br w:val="nil"/>
                    <w:tr2bl w:val="nil"/>
                  </w:tcBorders>
                  <w:vAlign w:val="center"/>
                </w:tcPr>
                <w:p>
                  <w:pPr>
                    <w:pStyle w:val="62"/>
                    <w:rPr>
                      <w:color w:val="auto"/>
                      <w:kern w:val="2"/>
                    </w:rPr>
                  </w:pPr>
                </w:p>
              </w:tc>
              <w:tc>
                <w:tcPr>
                  <w:tcW w:w="700" w:type="pct"/>
                  <w:tcBorders>
                    <w:tl2br w:val="nil"/>
                    <w:tr2bl w:val="nil"/>
                  </w:tcBorders>
                  <w:vAlign w:val="center"/>
                </w:tcPr>
                <w:p>
                  <w:pPr>
                    <w:pStyle w:val="62"/>
                    <w:rPr>
                      <w:color w:val="auto"/>
                    </w:rPr>
                  </w:pPr>
                  <w:r>
                    <w:rPr>
                      <w:color w:val="auto"/>
                    </w:rPr>
                    <w:t>SO</w:t>
                  </w:r>
                  <w:r>
                    <w:rPr>
                      <w:color w:val="auto"/>
                      <w:vertAlign w:val="subscript"/>
                    </w:rPr>
                    <w:t>2</w:t>
                  </w:r>
                </w:p>
              </w:tc>
              <w:tc>
                <w:tcPr>
                  <w:tcW w:w="693" w:type="pct"/>
                  <w:tcBorders>
                    <w:tl2br w:val="nil"/>
                    <w:tr2bl w:val="nil"/>
                  </w:tcBorders>
                  <w:vAlign w:val="center"/>
                </w:tcPr>
                <w:p>
                  <w:pPr>
                    <w:pStyle w:val="62"/>
                    <w:rPr>
                      <w:color w:val="auto"/>
                    </w:rPr>
                  </w:pPr>
                  <w:r>
                    <w:rPr>
                      <w:color w:val="auto"/>
                    </w:rPr>
                    <w:t>60</w:t>
                  </w:r>
                </w:p>
              </w:tc>
              <w:tc>
                <w:tcPr>
                  <w:tcW w:w="898" w:type="pct"/>
                  <w:tcBorders>
                    <w:tl2br w:val="nil"/>
                    <w:tr2bl w:val="nil"/>
                  </w:tcBorders>
                  <w:vAlign w:val="center"/>
                </w:tcPr>
                <w:p>
                  <w:pPr>
                    <w:pStyle w:val="62"/>
                    <w:rPr>
                      <w:color w:val="auto"/>
                    </w:rPr>
                  </w:pPr>
                  <w:r>
                    <w:rPr>
                      <w:color w:val="auto"/>
                    </w:rPr>
                    <w:t>150</w:t>
                  </w:r>
                </w:p>
              </w:tc>
              <w:tc>
                <w:tcPr>
                  <w:tcW w:w="1158" w:type="pct"/>
                  <w:tcBorders>
                    <w:tl2br w:val="nil"/>
                    <w:tr2bl w:val="nil"/>
                  </w:tcBorders>
                  <w:vAlign w:val="center"/>
                </w:tcPr>
                <w:p>
                  <w:pPr>
                    <w:pStyle w:val="62"/>
                    <w:rPr>
                      <w:color w:val="auto"/>
                    </w:rPr>
                  </w:pPr>
                  <w:r>
                    <w:rPr>
                      <w:color w:val="auto"/>
                    </w:rPr>
                    <w:t>/</w:t>
                  </w:r>
                </w:p>
              </w:tc>
              <w:tc>
                <w:tcPr>
                  <w:tcW w:w="813" w:type="pct"/>
                  <w:tcBorders>
                    <w:tl2br w:val="nil"/>
                    <w:tr2bl w:val="nil"/>
                  </w:tcBorders>
                  <w:vAlign w:val="center"/>
                </w:tcPr>
                <w:p>
                  <w:pPr>
                    <w:pStyle w:val="62"/>
                    <w:rPr>
                      <w:color w:val="auto"/>
                    </w:rPr>
                  </w:pPr>
                  <w:r>
                    <w:rPr>
                      <w:color w:val="auto"/>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vMerge w:val="continue"/>
                  <w:tcBorders>
                    <w:tl2br w:val="nil"/>
                    <w:tr2bl w:val="nil"/>
                  </w:tcBorders>
                  <w:vAlign w:val="center"/>
                </w:tcPr>
                <w:p>
                  <w:pPr>
                    <w:pStyle w:val="62"/>
                    <w:rPr>
                      <w:color w:val="auto"/>
                      <w:kern w:val="2"/>
                    </w:rPr>
                  </w:pPr>
                </w:p>
              </w:tc>
              <w:tc>
                <w:tcPr>
                  <w:tcW w:w="700" w:type="pct"/>
                  <w:tcBorders>
                    <w:tl2br w:val="nil"/>
                    <w:tr2bl w:val="nil"/>
                  </w:tcBorders>
                  <w:vAlign w:val="center"/>
                </w:tcPr>
                <w:p>
                  <w:pPr>
                    <w:pStyle w:val="62"/>
                    <w:rPr>
                      <w:color w:val="auto"/>
                    </w:rPr>
                  </w:pPr>
                  <w:r>
                    <w:rPr>
                      <w:color w:val="auto"/>
                    </w:rPr>
                    <w:t>NO</w:t>
                  </w:r>
                  <w:r>
                    <w:rPr>
                      <w:color w:val="auto"/>
                      <w:vertAlign w:val="subscript"/>
                    </w:rPr>
                    <w:t>2</w:t>
                  </w:r>
                </w:p>
              </w:tc>
              <w:tc>
                <w:tcPr>
                  <w:tcW w:w="693" w:type="pct"/>
                  <w:tcBorders>
                    <w:tl2br w:val="nil"/>
                    <w:tr2bl w:val="nil"/>
                  </w:tcBorders>
                  <w:vAlign w:val="center"/>
                </w:tcPr>
                <w:p>
                  <w:pPr>
                    <w:pStyle w:val="62"/>
                    <w:rPr>
                      <w:color w:val="auto"/>
                    </w:rPr>
                  </w:pPr>
                  <w:r>
                    <w:rPr>
                      <w:color w:val="auto"/>
                    </w:rPr>
                    <w:t>40</w:t>
                  </w:r>
                </w:p>
              </w:tc>
              <w:tc>
                <w:tcPr>
                  <w:tcW w:w="898" w:type="pct"/>
                  <w:tcBorders>
                    <w:tl2br w:val="nil"/>
                    <w:tr2bl w:val="nil"/>
                  </w:tcBorders>
                  <w:vAlign w:val="center"/>
                </w:tcPr>
                <w:p>
                  <w:pPr>
                    <w:pStyle w:val="62"/>
                    <w:rPr>
                      <w:color w:val="auto"/>
                    </w:rPr>
                  </w:pPr>
                  <w:r>
                    <w:rPr>
                      <w:color w:val="auto"/>
                    </w:rPr>
                    <w:t>80</w:t>
                  </w:r>
                </w:p>
              </w:tc>
              <w:tc>
                <w:tcPr>
                  <w:tcW w:w="1158" w:type="pct"/>
                  <w:tcBorders>
                    <w:tl2br w:val="nil"/>
                    <w:tr2bl w:val="nil"/>
                  </w:tcBorders>
                  <w:vAlign w:val="center"/>
                </w:tcPr>
                <w:p>
                  <w:pPr>
                    <w:pStyle w:val="62"/>
                    <w:rPr>
                      <w:color w:val="auto"/>
                    </w:rPr>
                  </w:pPr>
                  <w:r>
                    <w:rPr>
                      <w:color w:val="auto"/>
                    </w:rPr>
                    <w:t>/</w:t>
                  </w:r>
                </w:p>
              </w:tc>
              <w:tc>
                <w:tcPr>
                  <w:tcW w:w="813" w:type="pct"/>
                  <w:tcBorders>
                    <w:tl2br w:val="nil"/>
                    <w:tr2bl w:val="nil"/>
                  </w:tcBorders>
                  <w:vAlign w:val="center"/>
                </w:tcPr>
                <w:p>
                  <w:pPr>
                    <w:pStyle w:val="62"/>
                    <w:rPr>
                      <w:color w:val="auto"/>
                    </w:rPr>
                  </w:pPr>
                  <w:r>
                    <w:rPr>
                      <w:color w:val="auto"/>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vMerge w:val="continue"/>
                  <w:tcBorders>
                    <w:tl2br w:val="nil"/>
                    <w:tr2bl w:val="nil"/>
                  </w:tcBorders>
                  <w:vAlign w:val="center"/>
                </w:tcPr>
                <w:p>
                  <w:pPr>
                    <w:pStyle w:val="62"/>
                    <w:rPr>
                      <w:color w:val="auto"/>
                      <w:kern w:val="2"/>
                    </w:rPr>
                  </w:pPr>
                </w:p>
              </w:tc>
              <w:tc>
                <w:tcPr>
                  <w:tcW w:w="700" w:type="pct"/>
                  <w:tcBorders>
                    <w:tl2br w:val="nil"/>
                    <w:tr2bl w:val="nil"/>
                  </w:tcBorders>
                  <w:vAlign w:val="center"/>
                </w:tcPr>
                <w:p>
                  <w:pPr>
                    <w:pStyle w:val="62"/>
                    <w:rPr>
                      <w:color w:val="auto"/>
                    </w:rPr>
                  </w:pPr>
                  <w:r>
                    <w:rPr>
                      <w:color w:val="auto"/>
                    </w:rPr>
                    <w:t>CO</w:t>
                  </w:r>
                </w:p>
              </w:tc>
              <w:tc>
                <w:tcPr>
                  <w:tcW w:w="693" w:type="pct"/>
                  <w:tcBorders>
                    <w:tl2br w:val="nil"/>
                    <w:tr2bl w:val="nil"/>
                  </w:tcBorders>
                  <w:vAlign w:val="center"/>
                </w:tcPr>
                <w:p>
                  <w:pPr>
                    <w:pStyle w:val="62"/>
                    <w:rPr>
                      <w:color w:val="auto"/>
                    </w:rPr>
                  </w:pPr>
                  <w:r>
                    <w:rPr>
                      <w:color w:val="auto"/>
                    </w:rPr>
                    <w:t>/</w:t>
                  </w:r>
                </w:p>
              </w:tc>
              <w:tc>
                <w:tcPr>
                  <w:tcW w:w="898" w:type="pct"/>
                  <w:tcBorders>
                    <w:tl2br w:val="nil"/>
                    <w:tr2bl w:val="nil"/>
                  </w:tcBorders>
                  <w:vAlign w:val="center"/>
                </w:tcPr>
                <w:p>
                  <w:pPr>
                    <w:pStyle w:val="62"/>
                    <w:rPr>
                      <w:color w:val="auto"/>
                    </w:rPr>
                  </w:pPr>
                  <w:r>
                    <w:rPr>
                      <w:color w:val="auto"/>
                    </w:rPr>
                    <w:t>4000</w:t>
                  </w:r>
                </w:p>
              </w:tc>
              <w:tc>
                <w:tcPr>
                  <w:tcW w:w="1158" w:type="pct"/>
                  <w:tcBorders>
                    <w:tl2br w:val="nil"/>
                    <w:tr2bl w:val="nil"/>
                  </w:tcBorders>
                  <w:vAlign w:val="center"/>
                </w:tcPr>
                <w:p>
                  <w:pPr>
                    <w:pStyle w:val="62"/>
                    <w:rPr>
                      <w:color w:val="auto"/>
                    </w:rPr>
                  </w:pPr>
                  <w:r>
                    <w:rPr>
                      <w:color w:val="auto"/>
                    </w:rPr>
                    <w:t>/</w:t>
                  </w:r>
                </w:p>
              </w:tc>
              <w:tc>
                <w:tcPr>
                  <w:tcW w:w="813" w:type="pct"/>
                  <w:tcBorders>
                    <w:tl2br w:val="nil"/>
                    <w:tr2bl w:val="nil"/>
                  </w:tcBorders>
                  <w:vAlign w:val="center"/>
                </w:tcPr>
                <w:p>
                  <w:pPr>
                    <w:pStyle w:val="62"/>
                    <w:rPr>
                      <w:color w:val="auto"/>
                    </w:rPr>
                  </w:pPr>
                  <w:r>
                    <w:rPr>
                      <w:color w:val="auto"/>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vMerge w:val="continue"/>
                  <w:tcBorders>
                    <w:tl2br w:val="nil"/>
                    <w:tr2bl w:val="nil"/>
                  </w:tcBorders>
                  <w:vAlign w:val="center"/>
                </w:tcPr>
                <w:p>
                  <w:pPr>
                    <w:pStyle w:val="62"/>
                    <w:rPr>
                      <w:color w:val="auto"/>
                      <w:kern w:val="2"/>
                    </w:rPr>
                  </w:pPr>
                </w:p>
              </w:tc>
              <w:tc>
                <w:tcPr>
                  <w:tcW w:w="700" w:type="pct"/>
                  <w:tcBorders>
                    <w:tl2br w:val="nil"/>
                    <w:tr2bl w:val="nil"/>
                  </w:tcBorders>
                  <w:vAlign w:val="center"/>
                </w:tcPr>
                <w:p>
                  <w:pPr>
                    <w:pStyle w:val="62"/>
                    <w:rPr>
                      <w:color w:val="auto"/>
                    </w:rPr>
                  </w:pPr>
                  <w:r>
                    <w:rPr>
                      <w:color w:val="auto"/>
                    </w:rPr>
                    <w:t>O</w:t>
                  </w:r>
                  <w:r>
                    <w:rPr>
                      <w:color w:val="auto"/>
                      <w:vertAlign w:val="subscript"/>
                    </w:rPr>
                    <w:t>3</w:t>
                  </w:r>
                </w:p>
              </w:tc>
              <w:tc>
                <w:tcPr>
                  <w:tcW w:w="693" w:type="pct"/>
                  <w:tcBorders>
                    <w:tl2br w:val="nil"/>
                    <w:tr2bl w:val="nil"/>
                  </w:tcBorders>
                  <w:vAlign w:val="center"/>
                </w:tcPr>
                <w:p>
                  <w:pPr>
                    <w:pStyle w:val="62"/>
                    <w:rPr>
                      <w:color w:val="auto"/>
                    </w:rPr>
                  </w:pPr>
                  <w:r>
                    <w:rPr>
                      <w:color w:val="auto"/>
                    </w:rPr>
                    <w:t>/</w:t>
                  </w:r>
                </w:p>
              </w:tc>
              <w:tc>
                <w:tcPr>
                  <w:tcW w:w="898" w:type="pct"/>
                  <w:tcBorders>
                    <w:tl2br w:val="nil"/>
                    <w:tr2bl w:val="nil"/>
                  </w:tcBorders>
                  <w:vAlign w:val="center"/>
                </w:tcPr>
                <w:p>
                  <w:pPr>
                    <w:pStyle w:val="62"/>
                    <w:rPr>
                      <w:color w:val="auto"/>
                    </w:rPr>
                  </w:pPr>
                  <w:r>
                    <w:rPr>
                      <w:color w:val="auto"/>
                    </w:rPr>
                    <w:t>/</w:t>
                  </w:r>
                </w:p>
              </w:tc>
              <w:tc>
                <w:tcPr>
                  <w:tcW w:w="1158" w:type="pct"/>
                  <w:tcBorders>
                    <w:tl2br w:val="nil"/>
                    <w:tr2bl w:val="nil"/>
                  </w:tcBorders>
                  <w:vAlign w:val="center"/>
                </w:tcPr>
                <w:p>
                  <w:pPr>
                    <w:pStyle w:val="62"/>
                    <w:rPr>
                      <w:color w:val="auto"/>
                    </w:rPr>
                  </w:pPr>
                  <w:r>
                    <w:rPr>
                      <w:color w:val="auto"/>
                    </w:rPr>
                    <w:t>160</w:t>
                  </w:r>
                </w:p>
              </w:tc>
              <w:tc>
                <w:tcPr>
                  <w:tcW w:w="813" w:type="pct"/>
                  <w:tcBorders>
                    <w:tl2br w:val="nil"/>
                    <w:tr2bl w:val="nil"/>
                  </w:tcBorders>
                  <w:vAlign w:val="center"/>
                </w:tcPr>
                <w:p>
                  <w:pPr>
                    <w:pStyle w:val="62"/>
                    <w:rPr>
                      <w:color w:val="auto"/>
                    </w:rPr>
                  </w:pPr>
                  <w:r>
                    <w:rPr>
                      <w:color w:val="auto"/>
                    </w:rPr>
                    <w:t>200</w:t>
                  </w:r>
                </w:p>
              </w:tc>
            </w:tr>
          </w:tbl>
          <w:p>
            <w:pPr>
              <w:pStyle w:val="59"/>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rFonts w:cs="Times New Roman"/>
                <w:b w:val="0"/>
                <w:bCs w:val="0"/>
                <w:color w:val="auto"/>
                <w:szCs w:val="24"/>
              </w:rPr>
            </w:pPr>
            <w:r>
              <w:rPr>
                <w:rFonts w:hint="eastAsia"/>
                <w:b w:val="0"/>
                <w:bCs w:val="0"/>
                <w:color w:val="auto"/>
              </w:rPr>
              <w:t>（2）</w:t>
            </w:r>
            <w:r>
              <w:rPr>
                <w:b w:val="0"/>
                <w:bCs w:val="0"/>
                <w:color w:val="auto"/>
              </w:rPr>
              <w:t>声环境</w:t>
            </w:r>
          </w:p>
          <w:p>
            <w:pPr>
              <w:pStyle w:val="59"/>
              <w:keepNext w:val="0"/>
              <w:keepLines w:val="0"/>
              <w:pageBreakBefore w:val="0"/>
              <w:widowControl w:val="0"/>
              <w:kinsoku/>
              <w:wordWrap w:val="0"/>
              <w:overflowPunct/>
              <w:topLinePunct w:val="0"/>
              <w:autoSpaceDE/>
              <w:autoSpaceDN/>
              <w:bidi w:val="0"/>
              <w:adjustRightInd w:val="0"/>
              <w:snapToGrid w:val="0"/>
              <w:ind w:firstLine="480"/>
              <w:textAlignment w:val="auto"/>
              <w:rPr>
                <w:color w:val="auto"/>
                <w:kern w:val="2"/>
              </w:rPr>
            </w:pPr>
            <w:r>
              <w:rPr>
                <w:color w:val="auto"/>
                <w:kern w:val="2"/>
              </w:rPr>
              <w:t>根据《西咸新区声环境功能区划方案》（陕西咸党政办字〔2022〕12号）</w:t>
            </w:r>
            <w:r>
              <w:rPr>
                <w:rFonts w:hint="eastAsia"/>
                <w:color w:val="auto"/>
                <w:kern w:val="2"/>
              </w:rPr>
              <w:t>，本项目所在区域属</w:t>
            </w:r>
            <w:r>
              <w:rPr>
                <w:rFonts w:hint="eastAsia"/>
                <w:color w:val="auto"/>
                <w:kern w:val="2"/>
                <w:lang w:val="en-US" w:eastAsia="zh-CN"/>
              </w:rPr>
              <w:t>2</w:t>
            </w:r>
            <w:r>
              <w:rPr>
                <w:rFonts w:hint="eastAsia"/>
                <w:color w:val="auto"/>
                <w:kern w:val="2"/>
              </w:rPr>
              <w:t>类声环境功能区，</w:t>
            </w:r>
            <w:r>
              <w:rPr>
                <w:color w:val="auto"/>
                <w:kern w:val="2"/>
                <w:lang w:val="zh-CN"/>
              </w:rPr>
              <w:t>其余</w:t>
            </w:r>
            <w:r>
              <w:rPr>
                <w:rFonts w:hint="eastAsia"/>
                <w:color w:val="auto"/>
                <w:kern w:val="2"/>
                <w:lang w:val="en-US" w:eastAsia="zh-CN"/>
              </w:rPr>
              <w:t>区域</w:t>
            </w:r>
            <w:r>
              <w:rPr>
                <w:color w:val="auto"/>
                <w:kern w:val="2"/>
                <w:lang w:val="zh-CN"/>
              </w:rPr>
              <w:t>声环境质量标准参照《声环境功能区划分技术规范》（GB/T 15190-2014）中相关要求执行，即公路两侧区域，距公路红线</w:t>
            </w:r>
            <w:r>
              <w:rPr>
                <w:rFonts w:hint="eastAsia"/>
                <w:color w:val="auto"/>
                <w:kern w:val="2"/>
                <w:lang w:val="en-US" w:eastAsia="zh-CN"/>
              </w:rPr>
              <w:t>35</w:t>
            </w:r>
            <w:r>
              <w:rPr>
                <w:color w:val="auto"/>
                <w:kern w:val="2"/>
                <w:lang w:val="zh-CN"/>
              </w:rPr>
              <w:t>m以内区域执行《声环境质量标准》（GB3096-2008）4a类标准，其它区域执行2类标准；评价范围内的学校、卫生院等特殊敏感建筑执行昼间60dB（A）、夜间50dB（A）。</w:t>
            </w:r>
            <w:r>
              <w:rPr>
                <w:rFonts w:hint="eastAsia"/>
                <w:color w:val="auto"/>
                <w:kern w:val="2"/>
              </w:rPr>
              <w:t>其标准值</w:t>
            </w:r>
            <w:r>
              <w:rPr>
                <w:color w:val="auto"/>
                <w:kern w:val="2"/>
              </w:rPr>
              <w:t>详见表</w:t>
            </w:r>
            <w:r>
              <w:rPr>
                <w:rFonts w:hint="eastAsia"/>
                <w:color w:val="auto"/>
                <w:kern w:val="2"/>
                <w:lang w:val="en-US" w:eastAsia="zh-CN"/>
              </w:rPr>
              <w:t>3-5</w:t>
            </w:r>
            <w:r>
              <w:rPr>
                <w:color w:val="auto"/>
                <w:kern w:val="2"/>
              </w:rPr>
              <w:t>。</w:t>
            </w:r>
          </w:p>
          <w:p>
            <w:pPr>
              <w:pStyle w:val="47"/>
              <w:rPr>
                <w:color w:val="auto"/>
                <w:sz w:val="21"/>
                <w:szCs w:val="21"/>
              </w:rPr>
            </w:pPr>
            <w:r>
              <w:rPr>
                <w:rFonts w:ascii="宋体" w:hAnsi="宋体"/>
                <w:color w:val="auto"/>
                <w:sz w:val="21"/>
                <w:szCs w:val="21"/>
              </w:rPr>
              <w:t>表</w:t>
            </w:r>
            <w:r>
              <w:rPr>
                <w:rFonts w:hint="eastAsia"/>
                <w:color w:val="auto"/>
                <w:sz w:val="21"/>
                <w:szCs w:val="21"/>
                <w:lang w:val="en-US" w:eastAsia="zh-CN"/>
              </w:rPr>
              <w:t>3-5</w:t>
            </w:r>
            <w:r>
              <w:rPr>
                <w:color w:val="auto"/>
                <w:sz w:val="21"/>
                <w:szCs w:val="21"/>
              </w:rPr>
              <w:t xml:space="preserve">   </w:t>
            </w:r>
            <w:r>
              <w:rPr>
                <w:rFonts w:hint="eastAsia"/>
                <w:color w:val="auto"/>
                <w:sz w:val="21"/>
                <w:szCs w:val="21"/>
                <w:lang w:val="en-US" w:eastAsia="zh-CN"/>
              </w:rPr>
              <w:t xml:space="preserve"> </w:t>
            </w:r>
            <w:r>
              <w:rPr>
                <w:rFonts w:ascii="宋体" w:hAnsi="宋体"/>
                <w:color w:val="auto"/>
                <w:sz w:val="21"/>
                <w:szCs w:val="21"/>
              </w:rPr>
              <w:t>声环境质量标准表</w:t>
            </w:r>
            <w:r>
              <w:rPr>
                <w:color w:val="auto"/>
                <w:sz w:val="21"/>
                <w:szCs w:val="21"/>
              </w:rPr>
              <w:t xml:space="preserve">   dB(A)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2679"/>
              <w:gridCol w:w="2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pPr>
                    <w:pStyle w:val="62"/>
                    <w:rPr>
                      <w:rFonts w:hint="default" w:ascii="Times New Roman" w:hAnsi="Times New Roman" w:cs="Times New Roman"/>
                      <w:b/>
                      <w:bCs/>
                      <w:color w:val="auto"/>
                      <w:kern w:val="2"/>
                    </w:rPr>
                  </w:pPr>
                  <w:r>
                    <w:rPr>
                      <w:rFonts w:hint="default" w:ascii="Times New Roman" w:hAnsi="Times New Roman" w:cs="Times New Roman"/>
                      <w:b/>
                      <w:bCs/>
                      <w:color w:val="auto"/>
                    </w:rPr>
                    <w:t>执行标准</w:t>
                  </w:r>
                </w:p>
              </w:tc>
              <w:tc>
                <w:tcPr>
                  <w:tcW w:w="2679" w:type="dxa"/>
                  <w:tcBorders>
                    <w:tl2br w:val="nil"/>
                    <w:tr2bl w:val="nil"/>
                  </w:tcBorders>
                  <w:vAlign w:val="center"/>
                </w:tcPr>
                <w:p>
                  <w:pPr>
                    <w:pStyle w:val="62"/>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2679" w:type="dxa"/>
                  <w:tcBorders>
                    <w:tl2br w:val="nil"/>
                    <w:tr2bl w:val="nil"/>
                  </w:tcBorders>
                  <w:vAlign w:val="center"/>
                </w:tcPr>
                <w:p>
                  <w:pPr>
                    <w:pStyle w:val="62"/>
                    <w:rPr>
                      <w:rFonts w:hint="default" w:ascii="Times New Roman" w:hAnsi="Times New Roman" w:cs="Times New Roman"/>
                      <w:b/>
                      <w:bCs/>
                      <w:color w:val="auto"/>
                    </w:rPr>
                  </w:pPr>
                  <w:r>
                    <w:rPr>
                      <w:rFonts w:hint="default" w:ascii="Times New Roman" w:hAnsi="Times New Roman" w:cs="Times New Roman"/>
                      <w:b/>
                      <w:bCs/>
                      <w:color w:va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类</w:t>
                  </w:r>
                </w:p>
              </w:tc>
              <w:tc>
                <w:tcPr>
                  <w:tcW w:w="2679" w:type="dxa"/>
                  <w:tcBorders>
                    <w:tl2br w:val="nil"/>
                    <w:tr2bl w:val="nil"/>
                  </w:tcBorders>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w:t>
                  </w:r>
                </w:p>
              </w:tc>
              <w:tc>
                <w:tcPr>
                  <w:tcW w:w="2679" w:type="dxa"/>
                  <w:tcBorders>
                    <w:tl2br w:val="nil"/>
                    <w:tr2bl w:val="nil"/>
                  </w:tcBorders>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pPr>
                    <w:pStyle w:val="6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4a类</w:t>
                  </w:r>
                </w:p>
              </w:tc>
              <w:tc>
                <w:tcPr>
                  <w:tcW w:w="2679" w:type="dxa"/>
                  <w:tcBorders>
                    <w:tl2br w:val="nil"/>
                    <w:tr2bl w:val="nil"/>
                  </w:tcBorders>
                  <w:vAlign w:val="center"/>
                </w:tcPr>
                <w:p>
                  <w:pPr>
                    <w:pStyle w:val="6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w:t>
                  </w:r>
                </w:p>
              </w:tc>
              <w:tc>
                <w:tcPr>
                  <w:tcW w:w="2679" w:type="dxa"/>
                  <w:tcBorders>
                    <w:tl2br w:val="nil"/>
                    <w:tr2bl w:val="nil"/>
                  </w:tcBorders>
                  <w:vAlign w:val="center"/>
                </w:tcPr>
                <w:p>
                  <w:pPr>
                    <w:pStyle w:val="6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55</w:t>
                  </w:r>
                </w:p>
              </w:tc>
            </w:tr>
          </w:tbl>
          <w:p>
            <w:pPr>
              <w:pStyle w:val="59"/>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textAlignment w:val="auto"/>
              <w:rPr>
                <w:b/>
                <w:bCs/>
                <w:color w:val="auto"/>
              </w:rPr>
            </w:pPr>
            <w:r>
              <w:rPr>
                <w:rFonts w:hint="eastAsia"/>
                <w:b/>
                <w:bCs/>
                <w:color w:val="auto"/>
                <w:lang w:val="en-US" w:eastAsia="zh-CN"/>
              </w:rPr>
              <w:t>2、</w:t>
            </w:r>
            <w:r>
              <w:rPr>
                <w:rFonts w:hint="eastAsia"/>
                <w:b/>
                <w:bCs/>
                <w:color w:val="auto"/>
              </w:rPr>
              <w:t>污染物排放标准</w:t>
            </w:r>
          </w:p>
          <w:p>
            <w:pPr>
              <w:pStyle w:val="59"/>
              <w:ind w:firstLine="482"/>
              <w:jc w:val="left"/>
              <w:rPr>
                <w:b w:val="0"/>
                <w:bCs w:val="0"/>
                <w:color w:val="auto"/>
              </w:rPr>
            </w:pPr>
            <w:r>
              <w:rPr>
                <w:rFonts w:hint="eastAsia"/>
                <w:b w:val="0"/>
                <w:bCs w:val="0"/>
                <w:color w:val="auto"/>
              </w:rPr>
              <w:t>（1）废气</w:t>
            </w:r>
          </w:p>
          <w:p>
            <w:pPr>
              <w:pStyle w:val="59"/>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szCs w:val="24"/>
              </w:rPr>
              <w:t>施工机械废气排放执行《非道路移动机械用柴油机排气污染物排放限制及测量方法（中国第三、四阶段）》（GB20891-2014）中相关标准</w:t>
            </w:r>
            <w:r>
              <w:rPr>
                <w:rFonts w:hint="eastAsia" w:cs="Times New Roman"/>
                <w:color w:val="auto"/>
                <w:sz w:val="24"/>
                <w:szCs w:val="24"/>
                <w:lang w:eastAsia="zh-CN"/>
              </w:rPr>
              <w:t>；</w:t>
            </w:r>
            <w:r>
              <w:rPr>
                <w:rFonts w:hint="default" w:ascii="Times New Roman" w:hAnsi="Times New Roman" w:cs="Times New Roman"/>
                <w:color w:val="auto"/>
              </w:rPr>
              <w:t>施工期扬尘排放执行《施工</w:t>
            </w:r>
            <w:r>
              <w:rPr>
                <w:rFonts w:hint="default" w:ascii="Times New Roman" w:hAnsi="Times New Roman" w:cs="Times New Roman"/>
                <w:color w:val="auto"/>
                <w:lang w:val="en-US" w:eastAsia="zh-CN"/>
              </w:rPr>
              <w:t>场</w:t>
            </w:r>
            <w:r>
              <w:rPr>
                <w:rFonts w:hint="default" w:ascii="Times New Roman" w:hAnsi="Times New Roman" w:cs="Times New Roman"/>
                <w:color w:val="auto"/>
              </w:rPr>
              <w:t>界扬尘排放限值》（DB61/1078-2017）中相关要求</w:t>
            </w:r>
            <w:r>
              <w:rPr>
                <w:rFonts w:hint="default" w:ascii="Times New Roman" w:hAnsi="Times New Roman" w:cs="Times New Roman"/>
                <w:color w:val="auto"/>
                <w:lang w:eastAsia="zh-CN"/>
              </w:rPr>
              <w:t>，详见下表3-</w:t>
            </w:r>
            <w:r>
              <w:rPr>
                <w:rFonts w:hint="eastAsia" w:cs="Times New Roman"/>
                <w:color w:val="auto"/>
                <w:lang w:val="en-US" w:eastAsia="zh-CN"/>
              </w:rPr>
              <w:t>6</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6</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 xml:space="preserve"> </w:t>
            </w: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施工场界扬尘排放限值</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816"/>
              <w:gridCol w:w="1130"/>
              <w:gridCol w:w="2799"/>
              <w:gridCol w:w="1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94" w:type="dxa"/>
                  <w:tcBorders>
                    <w:tl2br w:val="nil"/>
                    <w:tr2bl w:val="nil"/>
                  </w:tcBorders>
                  <w:noWrap w:val="0"/>
                  <w:vAlign w:val="center"/>
                </w:tcPr>
                <w:p>
                  <w:pPr>
                    <w:pStyle w:val="62"/>
                    <w:bidi w:val="0"/>
                    <w:rPr>
                      <w:rFonts w:hint="default"/>
                      <w:b/>
                      <w:bCs/>
                      <w:color w:val="auto"/>
                    </w:rPr>
                  </w:pPr>
                  <w:r>
                    <w:rPr>
                      <w:rFonts w:hint="default"/>
                      <w:b/>
                      <w:bCs/>
                      <w:color w:val="auto"/>
                    </w:rPr>
                    <w:t>序号</w:t>
                  </w:r>
                </w:p>
              </w:tc>
              <w:tc>
                <w:tcPr>
                  <w:tcW w:w="1819" w:type="dxa"/>
                  <w:tcBorders>
                    <w:tl2br w:val="nil"/>
                    <w:tr2bl w:val="nil"/>
                  </w:tcBorders>
                  <w:noWrap w:val="0"/>
                  <w:vAlign w:val="center"/>
                </w:tcPr>
                <w:p>
                  <w:pPr>
                    <w:pStyle w:val="62"/>
                    <w:bidi w:val="0"/>
                    <w:rPr>
                      <w:rFonts w:hint="default"/>
                      <w:b/>
                      <w:bCs/>
                      <w:color w:val="auto"/>
                    </w:rPr>
                  </w:pPr>
                  <w:r>
                    <w:rPr>
                      <w:rFonts w:hint="default"/>
                      <w:b/>
                      <w:bCs/>
                      <w:color w:val="auto"/>
                    </w:rPr>
                    <w:t>污染物</w:t>
                  </w:r>
                </w:p>
              </w:tc>
              <w:tc>
                <w:tcPr>
                  <w:tcW w:w="1132" w:type="dxa"/>
                  <w:tcBorders>
                    <w:tl2br w:val="nil"/>
                    <w:tr2bl w:val="nil"/>
                  </w:tcBorders>
                  <w:noWrap w:val="0"/>
                  <w:vAlign w:val="center"/>
                </w:tcPr>
                <w:p>
                  <w:pPr>
                    <w:pStyle w:val="62"/>
                    <w:bidi w:val="0"/>
                    <w:rPr>
                      <w:rFonts w:hint="default"/>
                      <w:b/>
                      <w:bCs/>
                      <w:color w:val="auto"/>
                    </w:rPr>
                  </w:pPr>
                  <w:r>
                    <w:rPr>
                      <w:rFonts w:hint="default"/>
                      <w:b/>
                      <w:bCs/>
                      <w:color w:val="auto"/>
                    </w:rPr>
                    <w:t>监控点</w:t>
                  </w:r>
                </w:p>
              </w:tc>
              <w:tc>
                <w:tcPr>
                  <w:tcW w:w="2804" w:type="dxa"/>
                  <w:tcBorders>
                    <w:tl2br w:val="nil"/>
                    <w:tr2bl w:val="nil"/>
                  </w:tcBorders>
                  <w:noWrap w:val="0"/>
                  <w:vAlign w:val="center"/>
                </w:tcPr>
                <w:p>
                  <w:pPr>
                    <w:pStyle w:val="62"/>
                    <w:bidi w:val="0"/>
                    <w:rPr>
                      <w:rFonts w:hint="default"/>
                      <w:b/>
                      <w:bCs/>
                      <w:color w:val="auto"/>
                    </w:rPr>
                  </w:pPr>
                  <w:r>
                    <w:rPr>
                      <w:rFonts w:hint="default"/>
                      <w:b/>
                      <w:bCs/>
                      <w:color w:val="auto"/>
                    </w:rPr>
                    <w:t>施工阶段</w:t>
                  </w:r>
                </w:p>
              </w:tc>
              <w:tc>
                <w:tcPr>
                  <w:tcW w:w="1691" w:type="dxa"/>
                  <w:tcBorders>
                    <w:tl2br w:val="nil"/>
                    <w:tr2bl w:val="nil"/>
                  </w:tcBorders>
                  <w:noWrap w:val="0"/>
                  <w:vAlign w:val="center"/>
                </w:tcPr>
                <w:p>
                  <w:pPr>
                    <w:pStyle w:val="62"/>
                    <w:bidi w:val="0"/>
                    <w:rPr>
                      <w:rFonts w:hint="default"/>
                      <w:b/>
                      <w:bCs/>
                      <w:color w:val="auto"/>
                    </w:rPr>
                  </w:pPr>
                  <w:r>
                    <w:rPr>
                      <w:rFonts w:hint="default"/>
                      <w:b/>
                      <w:bCs/>
                      <w:color w:val="auto"/>
                    </w:rPr>
                    <w:t>小时平均浓度限值（mg/m</w:t>
                  </w:r>
                  <w:r>
                    <w:rPr>
                      <w:rFonts w:hint="default"/>
                      <w:b/>
                      <w:bCs/>
                      <w:color w:val="auto"/>
                      <w:vertAlign w:val="superscript"/>
                    </w:rPr>
                    <w:t>3</w:t>
                  </w:r>
                  <w:r>
                    <w:rPr>
                      <w:rFonts w:hint="default"/>
                      <w:b/>
                      <w:bCs/>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tcBorders>
                    <w:tl2br w:val="nil"/>
                    <w:tr2bl w:val="nil"/>
                  </w:tcBorders>
                  <w:noWrap w:val="0"/>
                  <w:vAlign w:val="center"/>
                </w:tcPr>
                <w:p>
                  <w:pPr>
                    <w:pStyle w:val="62"/>
                    <w:bidi w:val="0"/>
                    <w:rPr>
                      <w:rFonts w:hint="default"/>
                      <w:color w:val="auto"/>
                    </w:rPr>
                  </w:pPr>
                  <w:r>
                    <w:rPr>
                      <w:rFonts w:hint="default"/>
                      <w:color w:val="auto"/>
                    </w:rPr>
                    <w:t>1</w:t>
                  </w:r>
                </w:p>
              </w:tc>
              <w:tc>
                <w:tcPr>
                  <w:tcW w:w="1819" w:type="dxa"/>
                  <w:vMerge w:val="restart"/>
                  <w:tcBorders>
                    <w:tl2br w:val="nil"/>
                    <w:tr2bl w:val="nil"/>
                  </w:tcBorders>
                  <w:noWrap w:val="0"/>
                  <w:vAlign w:val="center"/>
                </w:tcPr>
                <w:p>
                  <w:pPr>
                    <w:pStyle w:val="62"/>
                    <w:bidi w:val="0"/>
                    <w:rPr>
                      <w:rFonts w:hint="default"/>
                      <w:color w:val="auto"/>
                    </w:rPr>
                  </w:pPr>
                  <w:r>
                    <w:rPr>
                      <w:rFonts w:hint="default"/>
                      <w:color w:val="auto"/>
                    </w:rPr>
                    <w:t>施工扬尘（即总悬浮颗粒物TSP）</w:t>
                  </w:r>
                </w:p>
              </w:tc>
              <w:tc>
                <w:tcPr>
                  <w:tcW w:w="1132" w:type="dxa"/>
                  <w:vMerge w:val="restart"/>
                  <w:tcBorders>
                    <w:tl2br w:val="nil"/>
                    <w:tr2bl w:val="nil"/>
                  </w:tcBorders>
                  <w:noWrap w:val="0"/>
                  <w:vAlign w:val="center"/>
                </w:tcPr>
                <w:p>
                  <w:pPr>
                    <w:pStyle w:val="62"/>
                    <w:bidi w:val="0"/>
                    <w:rPr>
                      <w:rFonts w:hint="default"/>
                      <w:color w:val="auto"/>
                    </w:rPr>
                  </w:pPr>
                  <w:r>
                    <w:rPr>
                      <w:rFonts w:hint="default"/>
                      <w:color w:val="auto"/>
                    </w:rPr>
                    <w:t>周界外浓度最高点</w:t>
                  </w:r>
                </w:p>
              </w:tc>
              <w:tc>
                <w:tcPr>
                  <w:tcW w:w="2804" w:type="dxa"/>
                  <w:tcBorders>
                    <w:tl2br w:val="nil"/>
                    <w:tr2bl w:val="nil"/>
                  </w:tcBorders>
                  <w:noWrap w:val="0"/>
                  <w:vAlign w:val="center"/>
                </w:tcPr>
                <w:p>
                  <w:pPr>
                    <w:pStyle w:val="62"/>
                    <w:bidi w:val="0"/>
                    <w:rPr>
                      <w:rFonts w:hint="default"/>
                      <w:color w:val="auto"/>
                    </w:rPr>
                  </w:pPr>
                  <w:r>
                    <w:rPr>
                      <w:rFonts w:hint="default"/>
                      <w:color w:val="auto"/>
                    </w:rPr>
                    <w:t>拆除、土方及地基处理工程</w:t>
                  </w:r>
                </w:p>
              </w:tc>
              <w:tc>
                <w:tcPr>
                  <w:tcW w:w="1691" w:type="dxa"/>
                  <w:tcBorders>
                    <w:tl2br w:val="nil"/>
                    <w:tr2bl w:val="nil"/>
                  </w:tcBorders>
                  <w:noWrap w:val="0"/>
                  <w:vAlign w:val="center"/>
                </w:tcPr>
                <w:p>
                  <w:pPr>
                    <w:pStyle w:val="62"/>
                    <w:bidi w:val="0"/>
                    <w:rPr>
                      <w:rFonts w:hint="default"/>
                      <w:color w:val="auto"/>
                    </w:rPr>
                  </w:pPr>
                  <w:r>
                    <w:rPr>
                      <w:rFonts w:hint="default"/>
                      <w:color w:val="auto"/>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dxa"/>
                  <w:tcBorders>
                    <w:tl2br w:val="nil"/>
                    <w:tr2bl w:val="nil"/>
                  </w:tcBorders>
                  <w:noWrap w:val="0"/>
                  <w:vAlign w:val="center"/>
                </w:tcPr>
                <w:p>
                  <w:pPr>
                    <w:pStyle w:val="62"/>
                    <w:bidi w:val="0"/>
                    <w:rPr>
                      <w:rFonts w:hint="default"/>
                      <w:color w:val="auto"/>
                    </w:rPr>
                  </w:pPr>
                  <w:r>
                    <w:rPr>
                      <w:rFonts w:hint="default"/>
                      <w:color w:val="auto"/>
                    </w:rPr>
                    <w:t>2</w:t>
                  </w:r>
                </w:p>
              </w:tc>
              <w:tc>
                <w:tcPr>
                  <w:tcW w:w="1819" w:type="dxa"/>
                  <w:vMerge w:val="continue"/>
                  <w:tcBorders>
                    <w:tl2br w:val="nil"/>
                    <w:tr2bl w:val="nil"/>
                  </w:tcBorders>
                  <w:noWrap w:val="0"/>
                  <w:vAlign w:val="center"/>
                </w:tcPr>
                <w:p>
                  <w:pPr>
                    <w:pStyle w:val="62"/>
                    <w:bidi w:val="0"/>
                    <w:rPr>
                      <w:rFonts w:hint="default"/>
                      <w:color w:val="auto"/>
                    </w:rPr>
                  </w:pPr>
                </w:p>
              </w:tc>
              <w:tc>
                <w:tcPr>
                  <w:tcW w:w="1132" w:type="dxa"/>
                  <w:vMerge w:val="continue"/>
                  <w:tcBorders>
                    <w:tl2br w:val="nil"/>
                    <w:tr2bl w:val="nil"/>
                  </w:tcBorders>
                  <w:noWrap w:val="0"/>
                  <w:vAlign w:val="center"/>
                </w:tcPr>
                <w:p>
                  <w:pPr>
                    <w:pStyle w:val="62"/>
                    <w:bidi w:val="0"/>
                    <w:rPr>
                      <w:rFonts w:hint="default"/>
                      <w:color w:val="auto"/>
                    </w:rPr>
                  </w:pPr>
                </w:p>
              </w:tc>
              <w:tc>
                <w:tcPr>
                  <w:tcW w:w="2804" w:type="dxa"/>
                  <w:tcBorders>
                    <w:tl2br w:val="nil"/>
                    <w:tr2bl w:val="nil"/>
                  </w:tcBorders>
                  <w:noWrap w:val="0"/>
                  <w:vAlign w:val="center"/>
                </w:tcPr>
                <w:p>
                  <w:pPr>
                    <w:pStyle w:val="62"/>
                    <w:bidi w:val="0"/>
                    <w:rPr>
                      <w:rFonts w:hint="default"/>
                      <w:color w:val="auto"/>
                    </w:rPr>
                  </w:pPr>
                  <w:r>
                    <w:rPr>
                      <w:rFonts w:hint="default"/>
                      <w:color w:val="auto"/>
                    </w:rPr>
                    <w:t>基础、主体结构及装饰工程</w:t>
                  </w:r>
                </w:p>
              </w:tc>
              <w:tc>
                <w:tcPr>
                  <w:tcW w:w="1691" w:type="dxa"/>
                  <w:tcBorders>
                    <w:tl2br w:val="nil"/>
                    <w:tr2bl w:val="nil"/>
                  </w:tcBorders>
                  <w:noWrap w:val="0"/>
                  <w:vAlign w:val="center"/>
                </w:tcPr>
                <w:p>
                  <w:pPr>
                    <w:pStyle w:val="62"/>
                    <w:bidi w:val="0"/>
                    <w:rPr>
                      <w:rFonts w:hint="default"/>
                      <w:color w:val="auto"/>
                    </w:rPr>
                  </w:pPr>
                  <w:r>
                    <w:rPr>
                      <w:rFonts w:hint="default"/>
                      <w:color w:val="auto"/>
                    </w:rPr>
                    <w:t>0.7</w:t>
                  </w:r>
                </w:p>
              </w:tc>
            </w:tr>
          </w:tbl>
          <w:p>
            <w:pPr>
              <w:pStyle w:val="59"/>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b w:val="0"/>
                <w:bCs w:val="0"/>
                <w:color w:val="auto"/>
              </w:rPr>
            </w:pPr>
            <w:r>
              <w:rPr>
                <w:rFonts w:hint="eastAsia"/>
                <w:b w:val="0"/>
                <w:bCs w:val="0"/>
                <w:color w:val="auto"/>
              </w:rPr>
              <w:t>（2）噪声</w:t>
            </w:r>
          </w:p>
          <w:p>
            <w:pPr>
              <w:pStyle w:val="59"/>
              <w:ind w:firstLine="480"/>
              <w:rPr>
                <w:rFonts w:hint="eastAsia"/>
                <w:color w:val="auto"/>
                <w:lang w:eastAsia="zh-CN"/>
              </w:rPr>
            </w:pPr>
            <w:r>
              <w:rPr>
                <w:rFonts w:hint="eastAsia"/>
                <w:color w:val="auto"/>
              </w:rPr>
              <w:t>施工期噪声执行《建筑施工场界环境噪声排放标准》（GB12523-2011）</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7</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 xml:space="preserve"> </w:t>
            </w:r>
            <w:r>
              <w:rPr>
                <w:rFonts w:hint="eastAsia"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施工场界</w:t>
            </w:r>
            <w:r>
              <w:rPr>
                <w:rFonts w:hint="eastAsia" w:cs="Times New Roman"/>
                <w:b/>
                <w:color w:val="auto"/>
                <w:sz w:val="21"/>
                <w:szCs w:val="21"/>
                <w:lang w:val="en-US" w:eastAsia="zh-CN"/>
              </w:rPr>
              <w:t>噪声</w:t>
            </w:r>
            <w:r>
              <w:rPr>
                <w:rFonts w:hint="default" w:ascii="Times New Roman" w:hAnsi="Times New Roman" w:eastAsia="宋体" w:cs="Times New Roman"/>
                <w:b/>
                <w:color w:val="auto"/>
                <w:sz w:val="21"/>
                <w:szCs w:val="21"/>
              </w:rPr>
              <w:t>排放限值</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2679"/>
              <w:gridCol w:w="2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vMerge w:val="restart"/>
                  <w:tcBorders>
                    <w:tl2br w:val="nil"/>
                    <w:tr2bl w:val="nil"/>
                  </w:tcBorders>
                  <w:vAlign w:val="center"/>
                </w:tcPr>
                <w:p>
                  <w:pPr>
                    <w:pStyle w:val="62"/>
                    <w:rPr>
                      <w:b/>
                      <w:bCs/>
                      <w:color w:val="auto"/>
                      <w:kern w:val="2"/>
                    </w:rPr>
                  </w:pPr>
                  <w:r>
                    <w:rPr>
                      <w:b/>
                      <w:bCs/>
                      <w:color w:val="auto"/>
                    </w:rPr>
                    <w:t>执行标准</w:t>
                  </w:r>
                </w:p>
              </w:tc>
              <w:tc>
                <w:tcPr>
                  <w:tcW w:w="5358" w:type="dxa"/>
                  <w:gridSpan w:val="2"/>
                  <w:tcBorders>
                    <w:tl2br w:val="nil"/>
                    <w:tr2bl w:val="nil"/>
                  </w:tcBorders>
                  <w:vAlign w:val="center"/>
                </w:tcPr>
                <w:p>
                  <w:pPr>
                    <w:pStyle w:val="62"/>
                    <w:rPr>
                      <w:rFonts w:hint="default" w:eastAsia="宋体"/>
                      <w:b/>
                      <w:bCs/>
                      <w:color w:val="auto"/>
                      <w:lang w:val="en-US" w:eastAsia="zh-CN"/>
                    </w:rPr>
                  </w:pPr>
                  <w:r>
                    <w:rPr>
                      <w:rFonts w:hint="eastAsia"/>
                      <w:b/>
                      <w:bCs/>
                      <w:color w:val="auto"/>
                      <w:lang w:val="en-US" w:eastAsia="zh-CN"/>
                    </w:rPr>
                    <w:t>标准值dB（A）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vMerge w:val="continue"/>
                  <w:tcBorders>
                    <w:tl2br w:val="nil"/>
                    <w:tr2bl w:val="nil"/>
                  </w:tcBorders>
                  <w:vAlign w:val="center"/>
                </w:tcPr>
                <w:p>
                  <w:pPr>
                    <w:pStyle w:val="62"/>
                    <w:rPr>
                      <w:b/>
                      <w:bCs/>
                      <w:color w:val="auto"/>
                    </w:rPr>
                  </w:pPr>
                </w:p>
              </w:tc>
              <w:tc>
                <w:tcPr>
                  <w:tcW w:w="2679" w:type="dxa"/>
                  <w:tcBorders>
                    <w:tl2br w:val="nil"/>
                    <w:tr2bl w:val="nil"/>
                  </w:tcBorders>
                  <w:vAlign w:val="center"/>
                </w:tcPr>
                <w:p>
                  <w:pPr>
                    <w:pStyle w:val="62"/>
                    <w:ind w:firstLine="0" w:firstLineChars="0"/>
                    <w:rPr>
                      <w:b/>
                      <w:bCs/>
                      <w:color w:val="auto"/>
                    </w:rPr>
                  </w:pPr>
                  <w:r>
                    <w:rPr>
                      <w:b/>
                      <w:bCs/>
                      <w:color w:val="auto"/>
                    </w:rPr>
                    <w:t>昼间</w:t>
                  </w:r>
                </w:p>
              </w:tc>
              <w:tc>
                <w:tcPr>
                  <w:tcW w:w="2679" w:type="dxa"/>
                  <w:tcBorders>
                    <w:tl2br w:val="nil"/>
                    <w:tr2bl w:val="nil"/>
                  </w:tcBorders>
                  <w:vAlign w:val="center"/>
                </w:tcPr>
                <w:p>
                  <w:pPr>
                    <w:pStyle w:val="62"/>
                    <w:ind w:firstLine="0" w:firstLineChars="0"/>
                    <w:rPr>
                      <w:b/>
                      <w:bCs/>
                      <w:color w:val="auto"/>
                    </w:rPr>
                  </w:pPr>
                  <w:r>
                    <w:rPr>
                      <w:b/>
                      <w:bCs/>
                      <w:color w:va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tcBorders>
                    <w:tl2br w:val="nil"/>
                    <w:tr2bl w:val="nil"/>
                  </w:tcBorders>
                  <w:vAlign w:val="center"/>
                </w:tcPr>
                <w:p>
                  <w:pPr>
                    <w:pStyle w:val="62"/>
                    <w:rPr>
                      <w:color w:val="auto"/>
                    </w:rPr>
                  </w:pPr>
                  <w:r>
                    <w:rPr>
                      <w:rFonts w:hint="eastAsia"/>
                      <w:color w:val="auto"/>
                    </w:rPr>
                    <w:t>《建筑施工场界环境噪声排放标准》（GB12523-2011）</w:t>
                  </w:r>
                </w:p>
              </w:tc>
              <w:tc>
                <w:tcPr>
                  <w:tcW w:w="2679" w:type="dxa"/>
                  <w:tcBorders>
                    <w:tl2br w:val="nil"/>
                    <w:tr2bl w:val="nil"/>
                  </w:tcBorders>
                  <w:vAlign w:val="center"/>
                </w:tcPr>
                <w:p>
                  <w:pPr>
                    <w:pStyle w:val="62"/>
                    <w:rPr>
                      <w:rFonts w:hint="default" w:eastAsia="宋体"/>
                      <w:color w:val="auto"/>
                      <w:lang w:val="en-US" w:eastAsia="zh-CN"/>
                    </w:rPr>
                  </w:pPr>
                  <w:r>
                    <w:rPr>
                      <w:rFonts w:hint="eastAsia"/>
                      <w:color w:val="auto"/>
                      <w:lang w:val="en-US" w:eastAsia="zh-CN"/>
                    </w:rPr>
                    <w:t>70</w:t>
                  </w:r>
                </w:p>
              </w:tc>
              <w:tc>
                <w:tcPr>
                  <w:tcW w:w="2679" w:type="dxa"/>
                  <w:tcBorders>
                    <w:tl2br w:val="nil"/>
                    <w:tr2bl w:val="nil"/>
                  </w:tcBorders>
                  <w:vAlign w:val="center"/>
                </w:tcPr>
                <w:p>
                  <w:pPr>
                    <w:pStyle w:val="62"/>
                    <w:rPr>
                      <w:rFonts w:hint="default" w:eastAsia="宋体"/>
                      <w:color w:val="auto"/>
                      <w:lang w:val="en-US" w:eastAsia="zh-CN"/>
                    </w:rPr>
                  </w:pPr>
                  <w:r>
                    <w:rPr>
                      <w:rFonts w:hint="eastAsia"/>
                      <w:color w:val="auto"/>
                      <w:lang w:val="en-US" w:eastAsia="zh-CN"/>
                    </w:rPr>
                    <w:t>55</w:t>
                  </w:r>
                </w:p>
              </w:tc>
            </w:tr>
          </w:tbl>
          <w:p>
            <w:pPr>
              <w:pStyle w:val="59"/>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b w:val="0"/>
                <w:bCs w:val="0"/>
                <w:color w:val="auto"/>
              </w:rPr>
            </w:pPr>
            <w:r>
              <w:rPr>
                <w:rFonts w:hint="eastAsia"/>
                <w:b w:val="0"/>
                <w:bCs w:val="0"/>
                <w:color w:val="auto"/>
              </w:rPr>
              <w:t>（3）废水</w:t>
            </w:r>
          </w:p>
          <w:p>
            <w:pPr>
              <w:pStyle w:val="59"/>
              <w:ind w:firstLine="480"/>
              <w:rPr>
                <w:color w:val="auto"/>
              </w:rPr>
            </w:pPr>
            <w:r>
              <w:rPr>
                <w:rFonts w:hint="eastAsia"/>
                <w:color w:val="auto"/>
              </w:rPr>
              <w:t>施工期产生废水经沉淀处理后用于场地内道路洒水降尘，不外排。</w:t>
            </w:r>
          </w:p>
          <w:p>
            <w:pPr>
              <w:pStyle w:val="59"/>
              <w:ind w:firstLine="482"/>
              <w:rPr>
                <w:b w:val="0"/>
                <w:bCs w:val="0"/>
                <w:color w:val="auto"/>
              </w:rPr>
            </w:pPr>
            <w:r>
              <w:rPr>
                <w:rFonts w:hint="eastAsia"/>
                <w:b w:val="0"/>
                <w:bCs w:val="0"/>
                <w:color w:val="auto"/>
              </w:rPr>
              <w:t>（4）固体废物</w:t>
            </w:r>
          </w:p>
          <w:p>
            <w:pPr>
              <w:pStyle w:val="59"/>
              <w:keepNext w:val="0"/>
              <w:keepLines w:val="0"/>
              <w:pageBreakBefore w:val="0"/>
              <w:widowControl w:val="0"/>
              <w:kinsoku/>
              <w:wordWrap w:val="0"/>
              <w:overflowPunct/>
              <w:topLinePunct w:val="0"/>
              <w:autoSpaceDE/>
              <w:autoSpaceDN/>
              <w:bidi w:val="0"/>
              <w:adjustRightInd w:val="0"/>
              <w:snapToGrid w:val="0"/>
              <w:ind w:firstLine="480"/>
              <w:textAlignment w:val="auto"/>
              <w:rPr>
                <w:rFonts w:hint="eastAsia"/>
                <w:color w:val="auto"/>
              </w:rPr>
            </w:pPr>
            <w:r>
              <w:rPr>
                <w:rFonts w:hint="eastAsia"/>
                <w:color w:val="auto"/>
              </w:rPr>
              <w:t>一般工业固体废弃物执行《一般工业固体废物贮存和填埋污染控制标准》（GB18599-2020）相关规定</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其他</w:t>
            </w:r>
          </w:p>
        </w:tc>
        <w:tc>
          <w:tcPr>
            <w:tcW w:w="8253" w:type="dxa"/>
            <w:vAlign w:val="center"/>
          </w:tcPr>
          <w:p>
            <w:pPr>
              <w:pStyle w:val="59"/>
              <w:ind w:firstLine="48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p>
          <w:p>
            <w:pPr>
              <w:pStyle w:val="59"/>
              <w:ind w:firstLine="48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本项目不涉及总量控制指标。</w:t>
            </w: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p>
            <w:pPr>
              <w:pStyle w:val="59"/>
              <w:ind w:left="0" w:leftChars="0" w:firstLine="0" w:firstLineChars="0"/>
              <w:rPr>
                <w:rFonts w:hint="eastAsia" w:ascii="Times New Roman" w:hAnsi="Times New Roman" w:cs="Times New Roman"/>
                <w:color w:val="auto"/>
                <w:sz w:val="24"/>
                <w:szCs w:val="24"/>
                <w:lang w:val="en-US" w:eastAsia="zh-CN"/>
              </w:rPr>
            </w:pPr>
          </w:p>
        </w:tc>
      </w:tr>
    </w:tbl>
    <w:p>
      <w:pPr>
        <w:pStyle w:val="23"/>
        <w:jc w:val="center"/>
        <w:outlineLvl w:val="0"/>
        <w:rPr>
          <w:rStyle w:val="61"/>
          <w:color w:val="auto"/>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四、生态环境影响分析</w:t>
      </w:r>
    </w:p>
    <w:tbl>
      <w:tblPr>
        <w:tblStyle w:val="2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4" w:hRule="atLeast"/>
          <w:jc w:val="center"/>
        </w:trPr>
        <w:tc>
          <w:tcPr>
            <w:tcW w:w="879" w:type="dxa"/>
            <w:tcMar>
              <w:left w:w="28" w:type="dxa"/>
              <w:right w:w="28" w:type="dxa"/>
            </w:tcMar>
            <w:vAlign w:val="center"/>
          </w:tcPr>
          <w:p>
            <w:pPr>
              <w:pStyle w:val="23"/>
              <w:adjustRightInd w:val="0"/>
              <w:snapToGrid w:val="0"/>
              <w:spacing w:before="0" w:beforeAutospacing="0" w:after="0" w:afterAutospacing="0"/>
              <w:jc w:val="center"/>
              <w:rPr>
                <w:rFonts w:cs="宋体"/>
                <w:bCs/>
                <w:color w:val="auto"/>
                <w:kern w:val="2"/>
                <w:sz w:val="21"/>
                <w:szCs w:val="21"/>
              </w:rPr>
            </w:pPr>
            <w:bookmarkStart w:id="4" w:name="_Hlk49796138"/>
            <w:r>
              <w:rPr>
                <w:rFonts w:hint="eastAsia" w:cs="宋体"/>
                <w:bCs/>
                <w:color w:val="auto"/>
                <w:spacing w:val="10"/>
                <w:kern w:val="2"/>
                <w:sz w:val="21"/>
                <w:szCs w:val="21"/>
              </w:rPr>
              <w:t>施工期生态环境影响分析</w:t>
            </w:r>
            <w:bookmarkEnd w:id="4"/>
          </w:p>
        </w:tc>
        <w:tc>
          <w:tcPr>
            <w:tcW w:w="8363" w:type="dxa"/>
          </w:tcPr>
          <w:p>
            <w:pPr>
              <w:pStyle w:val="59"/>
              <w:ind w:firstLine="480"/>
              <w:rPr>
                <w:rFonts w:hint="eastAsia"/>
                <w:b/>
                <w:bCs/>
                <w:color w:val="auto"/>
                <w:lang w:val="en-US" w:eastAsia="zh-CN"/>
              </w:rPr>
            </w:pPr>
            <w:r>
              <w:rPr>
                <w:rFonts w:hint="eastAsia"/>
                <w:b/>
                <w:bCs/>
                <w:color w:val="auto"/>
                <w:lang w:val="en-US" w:eastAsia="zh-CN"/>
              </w:rPr>
              <w:t>1、施工期大气环境影响分析</w:t>
            </w:r>
          </w:p>
          <w:p>
            <w:pPr>
              <w:pStyle w:val="59"/>
              <w:spacing w:line="360" w:lineRule="auto"/>
              <w:ind w:firstLine="480"/>
              <w:rPr>
                <w:rFonts w:hint="eastAsia"/>
                <w:color w:val="auto"/>
                <w:lang w:val="en-US" w:eastAsia="zh-CN"/>
              </w:rPr>
            </w:pPr>
            <w:r>
              <w:rPr>
                <w:rFonts w:hint="eastAsia"/>
                <w:color w:val="auto"/>
                <w:lang w:val="en-US" w:eastAsia="zh-CN"/>
              </w:rPr>
              <w:t>施工期的废气主要来自交通运输扬尘、工程施工扬尘、沥青铺设过程中产生的沥青烟以及管道焊接烟尘等。</w:t>
            </w:r>
          </w:p>
          <w:p>
            <w:pPr>
              <w:pStyle w:val="59"/>
              <w:spacing w:line="360" w:lineRule="auto"/>
              <w:ind w:firstLine="482"/>
              <w:jc w:val="left"/>
              <w:rPr>
                <w:b w:val="0"/>
                <w:bCs w:val="0"/>
                <w:color w:val="auto"/>
              </w:rPr>
            </w:pPr>
            <w:r>
              <w:rPr>
                <w:rFonts w:hint="eastAsia"/>
                <w:b w:val="0"/>
                <w:bCs w:val="0"/>
                <w:color w:val="auto"/>
              </w:rPr>
              <w:t>①</w:t>
            </w:r>
            <w:r>
              <w:rPr>
                <w:rFonts w:hint="default" w:ascii="Times New Roman" w:hAnsi="Times New Roman" w:cs="Times New Roman"/>
                <w:b w:val="0"/>
                <w:bCs w:val="0"/>
                <w:color w:val="auto"/>
                <w:sz w:val="24"/>
                <w:szCs w:val="24"/>
              </w:rPr>
              <w:t>施工机械、运输车辆废气</w:t>
            </w:r>
          </w:p>
          <w:p>
            <w:pPr>
              <w:pageBreakBefore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施工机械燃油排放的污染物主要为CO、NO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、THC。施工期各种机械尾气属于无组织污染源，扩散浓度受其他影响因素较多，时间和空间部分较为零散。汽车尾气所含的污染物主要有SO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等。污染源多为无组织排放，点源分散，流动性较大，排放特征与面源相似，但总体的排量不大。工程施工中加强施工车辆运行管理及维护保养的情况下，</w:t>
            </w:r>
            <w:r>
              <w:rPr>
                <w:rFonts w:hint="default" w:ascii="Times New Roman" w:hAnsi="Times New Roman" w:eastAsia="宋体" w:cs="Times New Roman"/>
                <w:color w:val="auto"/>
                <w:sz w:val="24"/>
                <w:szCs w:val="24"/>
              </w:rPr>
              <w:t>可减少尾气排放对环境的影响。</w:t>
            </w:r>
          </w:p>
          <w:p>
            <w:pPr>
              <w:pageBreakBefore w:val="0"/>
              <w:kinsoku/>
              <w:wordWrap/>
              <w:overflowPunct/>
              <w:topLinePunct w:val="0"/>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本项目中车辆以及施工机械设备分布较散，多数为流动性作业，污染物产生情况表现为局部和间歇性，其排放量也较小，加之项目建址地空气流动性好，故经自然扩散后，其对区域环境空气质量影响不大</w:t>
            </w:r>
            <w:r>
              <w:rPr>
                <w:rFonts w:hint="eastAsia" w:ascii="Times New Roman" w:hAnsi="Times New Roman" w:eastAsia="宋体" w:cs="Times New Roman"/>
                <w:color w:val="auto"/>
                <w:sz w:val="24"/>
                <w:szCs w:val="24"/>
                <w:lang w:eastAsia="zh-CN"/>
              </w:rPr>
              <w:t>。</w:t>
            </w:r>
          </w:p>
          <w:p>
            <w:pPr>
              <w:pStyle w:val="59"/>
              <w:ind w:firstLine="480"/>
              <w:jc w:val="left"/>
              <w:rPr>
                <w:b w:val="0"/>
                <w:bCs w:val="0"/>
                <w:color w:val="auto"/>
              </w:rPr>
            </w:pPr>
            <w:r>
              <w:rPr>
                <w:rFonts w:hint="eastAsia"/>
                <w:b w:val="0"/>
                <w:bCs w:val="0"/>
                <w:color w:val="auto"/>
              </w:rPr>
              <w:fldChar w:fldCharType="begin"/>
            </w:r>
            <w:r>
              <w:rPr>
                <w:rFonts w:hint="eastAsia"/>
                <w:b w:val="0"/>
                <w:bCs w:val="0"/>
                <w:color w:val="auto"/>
              </w:rPr>
              <w:instrText xml:space="preserve"> = 2 \* GB3 \* MERGEFORMAT </w:instrText>
            </w:r>
            <w:r>
              <w:rPr>
                <w:rFonts w:hint="eastAsia"/>
                <w:b w:val="0"/>
                <w:bCs w:val="0"/>
                <w:color w:val="auto"/>
              </w:rPr>
              <w:fldChar w:fldCharType="separate"/>
            </w:r>
            <w:r>
              <w:rPr>
                <w:rFonts w:hint="eastAsia"/>
                <w:b w:val="0"/>
                <w:bCs w:val="0"/>
                <w:color w:val="auto"/>
              </w:rPr>
              <w:t>②</w:t>
            </w:r>
            <w:r>
              <w:rPr>
                <w:rFonts w:hint="eastAsia"/>
                <w:b w:val="0"/>
                <w:bCs w:val="0"/>
                <w:color w:val="auto"/>
              </w:rPr>
              <w:fldChar w:fldCharType="end"/>
            </w:r>
            <w:r>
              <w:rPr>
                <w:rFonts w:hint="eastAsia"/>
                <w:b w:val="0"/>
                <w:bCs w:val="0"/>
                <w:color w:val="auto"/>
              </w:rPr>
              <w:t>交通运输扬尘</w:t>
            </w:r>
          </w:p>
          <w:p>
            <w:pPr>
              <w:pStyle w:val="59"/>
              <w:ind w:firstLine="480"/>
              <w:rPr>
                <w:color w:val="auto"/>
              </w:rPr>
            </w:pPr>
            <w:r>
              <w:rPr>
                <w:rFonts w:hint="eastAsia"/>
                <w:color w:val="auto"/>
              </w:rPr>
              <w:t>交通运输扬尘指施工期运输施工材料及土石方调配的车辆行驶而引起的扬尘。引起道路扬尘的因素较多，一般扬尘量与汽车速度、风速、汽车重量、道路表面积尘量成比例关系。根据调查，一辆20t卡车通过一段长度为1km的路面时，不同的路面清洁程度，不同的行驶速度情况下的扬尘量见表</w:t>
            </w:r>
            <w:r>
              <w:rPr>
                <w:rFonts w:hint="eastAsia"/>
                <w:color w:val="auto"/>
                <w:lang w:val="en-US" w:eastAsia="zh-CN"/>
              </w:rPr>
              <w:t>4-1</w:t>
            </w:r>
            <w:r>
              <w:rPr>
                <w:rFonts w:hint="eastAsia"/>
                <w:color w:val="auto"/>
              </w:rPr>
              <w:t>。</w:t>
            </w:r>
          </w:p>
          <w:p>
            <w:pPr>
              <w:pStyle w:val="47"/>
              <w:rPr>
                <w:color w:val="auto"/>
                <w:sz w:val="24"/>
                <w:szCs w:val="24"/>
              </w:rPr>
            </w:pPr>
            <w:r>
              <w:rPr>
                <w:color w:val="auto"/>
                <w:sz w:val="24"/>
                <w:szCs w:val="24"/>
              </w:rPr>
              <w:t>表</w:t>
            </w:r>
            <w:r>
              <w:rPr>
                <w:rFonts w:hint="eastAsia"/>
                <w:color w:val="auto"/>
                <w:sz w:val="24"/>
                <w:szCs w:val="24"/>
                <w:lang w:val="en-US" w:eastAsia="zh-CN"/>
              </w:rPr>
              <w:t>4-1</w:t>
            </w:r>
            <w:r>
              <w:rPr>
                <w:color w:val="auto"/>
                <w:sz w:val="24"/>
                <w:szCs w:val="24"/>
              </w:rPr>
              <w:t xml:space="preserve"> </w:t>
            </w:r>
            <w:r>
              <w:rPr>
                <w:rFonts w:hint="eastAsia"/>
                <w:color w:val="auto"/>
                <w:sz w:val="24"/>
                <w:szCs w:val="24"/>
                <w:lang w:val="en-US" w:eastAsia="zh-CN"/>
              </w:rPr>
              <w:t xml:space="preserve"> </w:t>
            </w:r>
            <w:r>
              <w:rPr>
                <w:color w:val="auto"/>
                <w:sz w:val="24"/>
                <w:szCs w:val="24"/>
              </w:rPr>
              <w:t xml:space="preserve">  不同车速和地面清洁程度下汽车扬尘</w:t>
            </w:r>
            <w:r>
              <w:rPr>
                <w:rFonts w:hint="eastAsia"/>
                <w:color w:val="auto"/>
                <w:sz w:val="24"/>
                <w:szCs w:val="24"/>
                <w:lang w:val="en-US" w:eastAsia="zh-CN"/>
              </w:rPr>
              <w:t xml:space="preserve">  </w:t>
            </w:r>
            <w:r>
              <w:rPr>
                <w:color w:val="auto"/>
                <w:sz w:val="24"/>
                <w:szCs w:val="24"/>
              </w:rPr>
              <w:t>（kg/辆·km）</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041"/>
              <w:gridCol w:w="983"/>
              <w:gridCol w:w="1018"/>
              <w:gridCol w:w="1018"/>
              <w:gridCol w:w="1018"/>
              <w:gridCol w:w="1019"/>
              <w:gridCol w:w="1019"/>
              <w:gridCol w:w="10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327" w:type="dxa"/>
                  <w:gridSpan w:val="2"/>
                  <w:tcBorders>
                    <w:tl2br w:val="nil"/>
                    <w:tr2bl w:val="nil"/>
                  </w:tcBorders>
                  <w:vAlign w:val="center"/>
                </w:tcPr>
                <w:p>
                  <w:pPr>
                    <w:pStyle w:val="62"/>
                    <w:rPr>
                      <w:b/>
                      <w:bCs/>
                      <w:color w:val="auto"/>
                    </w:rPr>
                  </w:pPr>
                  <w:r>
                    <w:rPr>
                      <w:b/>
                      <w:bCs/>
                      <w:color w:val="auto"/>
                    </w:rPr>
                    <w:t>地面清洁程度（kg/m</w:t>
                  </w:r>
                  <w:r>
                    <w:rPr>
                      <w:b/>
                      <w:bCs/>
                      <w:color w:val="auto"/>
                      <w:vertAlign w:val="superscript"/>
                    </w:rPr>
                    <w:t>2</w:t>
                  </w:r>
                  <w:r>
                    <w:rPr>
                      <w:b/>
                      <w:bCs/>
                      <w:color w:val="auto"/>
                    </w:rPr>
                    <w:t>）</w:t>
                  </w:r>
                </w:p>
              </w:tc>
              <w:tc>
                <w:tcPr>
                  <w:tcW w:w="1170" w:type="dxa"/>
                  <w:tcBorders>
                    <w:tl2br w:val="nil"/>
                    <w:tr2bl w:val="nil"/>
                  </w:tcBorders>
                  <w:vAlign w:val="center"/>
                </w:tcPr>
                <w:p>
                  <w:pPr>
                    <w:pStyle w:val="62"/>
                    <w:rPr>
                      <w:b/>
                      <w:bCs/>
                      <w:color w:val="auto"/>
                    </w:rPr>
                  </w:pPr>
                  <w:r>
                    <w:rPr>
                      <w:b/>
                      <w:bCs/>
                      <w:color w:val="auto"/>
                    </w:rPr>
                    <w:t>0.1</w:t>
                  </w:r>
                </w:p>
              </w:tc>
              <w:tc>
                <w:tcPr>
                  <w:tcW w:w="1170" w:type="dxa"/>
                  <w:tcBorders>
                    <w:tl2br w:val="nil"/>
                    <w:tr2bl w:val="nil"/>
                  </w:tcBorders>
                  <w:vAlign w:val="center"/>
                </w:tcPr>
                <w:p>
                  <w:pPr>
                    <w:pStyle w:val="62"/>
                    <w:rPr>
                      <w:b/>
                      <w:bCs/>
                      <w:color w:val="auto"/>
                    </w:rPr>
                  </w:pPr>
                  <w:r>
                    <w:rPr>
                      <w:b/>
                      <w:bCs/>
                      <w:color w:val="auto"/>
                    </w:rPr>
                    <w:t>0.2</w:t>
                  </w:r>
                </w:p>
              </w:tc>
              <w:tc>
                <w:tcPr>
                  <w:tcW w:w="1170" w:type="dxa"/>
                  <w:tcBorders>
                    <w:tl2br w:val="nil"/>
                    <w:tr2bl w:val="nil"/>
                  </w:tcBorders>
                  <w:vAlign w:val="center"/>
                </w:tcPr>
                <w:p>
                  <w:pPr>
                    <w:pStyle w:val="62"/>
                    <w:rPr>
                      <w:b/>
                      <w:bCs/>
                      <w:color w:val="auto"/>
                    </w:rPr>
                  </w:pPr>
                  <w:r>
                    <w:rPr>
                      <w:b/>
                      <w:bCs/>
                      <w:color w:val="auto"/>
                    </w:rPr>
                    <w:t>0.3</w:t>
                  </w:r>
                </w:p>
              </w:tc>
              <w:tc>
                <w:tcPr>
                  <w:tcW w:w="1171" w:type="dxa"/>
                  <w:tcBorders>
                    <w:tl2br w:val="nil"/>
                    <w:tr2bl w:val="nil"/>
                  </w:tcBorders>
                  <w:vAlign w:val="center"/>
                </w:tcPr>
                <w:p>
                  <w:pPr>
                    <w:pStyle w:val="62"/>
                    <w:rPr>
                      <w:b/>
                      <w:bCs/>
                      <w:color w:val="auto"/>
                    </w:rPr>
                  </w:pPr>
                  <w:r>
                    <w:rPr>
                      <w:b/>
                      <w:bCs/>
                      <w:color w:val="auto"/>
                    </w:rPr>
                    <w:t>0.4</w:t>
                  </w:r>
                </w:p>
              </w:tc>
              <w:tc>
                <w:tcPr>
                  <w:tcW w:w="1171" w:type="dxa"/>
                  <w:tcBorders>
                    <w:tl2br w:val="nil"/>
                    <w:tr2bl w:val="nil"/>
                  </w:tcBorders>
                  <w:vAlign w:val="center"/>
                </w:tcPr>
                <w:p>
                  <w:pPr>
                    <w:pStyle w:val="62"/>
                    <w:rPr>
                      <w:b/>
                      <w:bCs/>
                      <w:color w:val="auto"/>
                    </w:rPr>
                  </w:pPr>
                  <w:r>
                    <w:rPr>
                      <w:b/>
                      <w:bCs/>
                      <w:color w:val="auto"/>
                    </w:rPr>
                    <w:t>0.5</w:t>
                  </w:r>
                </w:p>
              </w:tc>
              <w:tc>
                <w:tcPr>
                  <w:tcW w:w="1176" w:type="dxa"/>
                  <w:tcBorders>
                    <w:tl2br w:val="nil"/>
                    <w:tr2bl w:val="nil"/>
                  </w:tcBorders>
                  <w:vAlign w:val="center"/>
                </w:tcPr>
                <w:p>
                  <w:pPr>
                    <w:pStyle w:val="62"/>
                    <w:rPr>
                      <w:b/>
                      <w:bCs/>
                      <w:color w:val="auto"/>
                    </w:rPr>
                  </w:pPr>
                  <w:r>
                    <w:rPr>
                      <w:b/>
                      <w:bCs/>
                      <w:color w:val="auto"/>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9" w:type="dxa"/>
                  <w:vMerge w:val="restart"/>
                  <w:tcBorders>
                    <w:tl2br w:val="nil"/>
                    <w:tr2bl w:val="nil"/>
                  </w:tcBorders>
                  <w:vAlign w:val="center"/>
                </w:tcPr>
                <w:p>
                  <w:pPr>
                    <w:pStyle w:val="62"/>
                    <w:rPr>
                      <w:color w:val="auto"/>
                    </w:rPr>
                  </w:pPr>
                  <w:r>
                    <w:rPr>
                      <w:color w:val="auto"/>
                    </w:rPr>
                    <w:t>车辆（km/h</w:t>
                  </w:r>
                  <w:r>
                    <w:rPr>
                      <w:rFonts w:ascii="宋体" w:hAnsi="宋体"/>
                      <w:color w:val="auto"/>
                    </w:rPr>
                    <w:t>）</w:t>
                  </w:r>
                </w:p>
              </w:tc>
              <w:tc>
                <w:tcPr>
                  <w:tcW w:w="1128" w:type="dxa"/>
                  <w:tcBorders>
                    <w:tl2br w:val="nil"/>
                    <w:tr2bl w:val="nil"/>
                  </w:tcBorders>
                  <w:vAlign w:val="center"/>
                </w:tcPr>
                <w:p>
                  <w:pPr>
                    <w:pStyle w:val="62"/>
                    <w:rPr>
                      <w:color w:val="auto"/>
                    </w:rPr>
                  </w:pPr>
                  <w:r>
                    <w:rPr>
                      <w:color w:val="auto"/>
                    </w:rPr>
                    <w:t>5</w:t>
                  </w:r>
                </w:p>
              </w:tc>
              <w:tc>
                <w:tcPr>
                  <w:tcW w:w="1170" w:type="dxa"/>
                  <w:tcBorders>
                    <w:tl2br w:val="nil"/>
                    <w:tr2bl w:val="nil"/>
                  </w:tcBorders>
                  <w:vAlign w:val="center"/>
                </w:tcPr>
                <w:p>
                  <w:pPr>
                    <w:pStyle w:val="62"/>
                    <w:rPr>
                      <w:color w:val="auto"/>
                    </w:rPr>
                  </w:pPr>
                  <w:r>
                    <w:rPr>
                      <w:color w:val="auto"/>
                    </w:rPr>
                    <w:t>0.0869</w:t>
                  </w:r>
                </w:p>
              </w:tc>
              <w:tc>
                <w:tcPr>
                  <w:tcW w:w="1170" w:type="dxa"/>
                  <w:tcBorders>
                    <w:tl2br w:val="nil"/>
                    <w:tr2bl w:val="nil"/>
                  </w:tcBorders>
                  <w:vAlign w:val="center"/>
                </w:tcPr>
                <w:p>
                  <w:pPr>
                    <w:pStyle w:val="62"/>
                    <w:rPr>
                      <w:color w:val="auto"/>
                    </w:rPr>
                  </w:pPr>
                  <w:r>
                    <w:rPr>
                      <w:color w:val="auto"/>
                    </w:rPr>
                    <w:t>0.1460</w:t>
                  </w:r>
                </w:p>
              </w:tc>
              <w:tc>
                <w:tcPr>
                  <w:tcW w:w="1170" w:type="dxa"/>
                  <w:tcBorders>
                    <w:tl2br w:val="nil"/>
                    <w:tr2bl w:val="nil"/>
                  </w:tcBorders>
                  <w:vAlign w:val="center"/>
                </w:tcPr>
                <w:p>
                  <w:pPr>
                    <w:pStyle w:val="62"/>
                    <w:rPr>
                      <w:color w:val="auto"/>
                    </w:rPr>
                  </w:pPr>
                  <w:r>
                    <w:rPr>
                      <w:color w:val="auto"/>
                    </w:rPr>
                    <w:t>0.1979</w:t>
                  </w:r>
                </w:p>
              </w:tc>
              <w:tc>
                <w:tcPr>
                  <w:tcW w:w="1171" w:type="dxa"/>
                  <w:tcBorders>
                    <w:tl2br w:val="nil"/>
                    <w:tr2bl w:val="nil"/>
                  </w:tcBorders>
                  <w:vAlign w:val="center"/>
                </w:tcPr>
                <w:p>
                  <w:pPr>
                    <w:pStyle w:val="62"/>
                    <w:rPr>
                      <w:color w:val="auto"/>
                    </w:rPr>
                  </w:pPr>
                  <w:r>
                    <w:rPr>
                      <w:color w:val="auto"/>
                    </w:rPr>
                    <w:t>0.2455</w:t>
                  </w:r>
                </w:p>
              </w:tc>
              <w:tc>
                <w:tcPr>
                  <w:tcW w:w="1171" w:type="dxa"/>
                  <w:tcBorders>
                    <w:tl2br w:val="nil"/>
                    <w:tr2bl w:val="nil"/>
                  </w:tcBorders>
                  <w:vAlign w:val="center"/>
                </w:tcPr>
                <w:p>
                  <w:pPr>
                    <w:pStyle w:val="62"/>
                    <w:rPr>
                      <w:color w:val="auto"/>
                    </w:rPr>
                  </w:pPr>
                  <w:r>
                    <w:rPr>
                      <w:color w:val="auto"/>
                    </w:rPr>
                    <w:t>0.2902</w:t>
                  </w:r>
                </w:p>
              </w:tc>
              <w:tc>
                <w:tcPr>
                  <w:tcW w:w="1176" w:type="dxa"/>
                  <w:tcBorders>
                    <w:tl2br w:val="nil"/>
                    <w:tr2bl w:val="nil"/>
                  </w:tcBorders>
                  <w:vAlign w:val="center"/>
                </w:tcPr>
                <w:p>
                  <w:pPr>
                    <w:pStyle w:val="62"/>
                    <w:rPr>
                      <w:color w:val="auto"/>
                    </w:rPr>
                  </w:pPr>
                  <w:r>
                    <w:rPr>
                      <w:color w:val="auto"/>
                    </w:rPr>
                    <w:t>0.4881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5" w:type="dxa"/>
                  <w:vMerge w:val="continue"/>
                  <w:tcBorders>
                    <w:tl2br w:val="nil"/>
                    <w:tr2bl w:val="nil"/>
                  </w:tcBorders>
                  <w:vAlign w:val="center"/>
                </w:tcPr>
                <w:p>
                  <w:pPr>
                    <w:pStyle w:val="62"/>
                    <w:rPr>
                      <w:color w:val="auto"/>
                    </w:rPr>
                  </w:pPr>
                </w:p>
              </w:tc>
              <w:tc>
                <w:tcPr>
                  <w:tcW w:w="1128" w:type="dxa"/>
                  <w:tcBorders>
                    <w:tl2br w:val="nil"/>
                    <w:tr2bl w:val="nil"/>
                  </w:tcBorders>
                  <w:vAlign w:val="center"/>
                </w:tcPr>
                <w:p>
                  <w:pPr>
                    <w:pStyle w:val="62"/>
                    <w:rPr>
                      <w:color w:val="auto"/>
                    </w:rPr>
                  </w:pPr>
                  <w:r>
                    <w:rPr>
                      <w:color w:val="auto"/>
                    </w:rPr>
                    <w:t>10</w:t>
                  </w:r>
                </w:p>
              </w:tc>
              <w:tc>
                <w:tcPr>
                  <w:tcW w:w="1170" w:type="dxa"/>
                  <w:tcBorders>
                    <w:tl2br w:val="nil"/>
                    <w:tr2bl w:val="nil"/>
                  </w:tcBorders>
                  <w:vAlign w:val="center"/>
                </w:tcPr>
                <w:p>
                  <w:pPr>
                    <w:pStyle w:val="62"/>
                    <w:rPr>
                      <w:color w:val="auto"/>
                    </w:rPr>
                  </w:pPr>
                  <w:r>
                    <w:rPr>
                      <w:color w:val="auto"/>
                    </w:rPr>
                    <w:t>0.1736</w:t>
                  </w:r>
                </w:p>
              </w:tc>
              <w:tc>
                <w:tcPr>
                  <w:tcW w:w="1170" w:type="dxa"/>
                  <w:tcBorders>
                    <w:tl2br w:val="nil"/>
                    <w:tr2bl w:val="nil"/>
                  </w:tcBorders>
                  <w:vAlign w:val="center"/>
                </w:tcPr>
                <w:p>
                  <w:pPr>
                    <w:pStyle w:val="62"/>
                    <w:rPr>
                      <w:color w:val="auto"/>
                    </w:rPr>
                  </w:pPr>
                  <w:r>
                    <w:rPr>
                      <w:color w:val="auto"/>
                    </w:rPr>
                    <w:t>0.2919</w:t>
                  </w:r>
                </w:p>
              </w:tc>
              <w:tc>
                <w:tcPr>
                  <w:tcW w:w="1170" w:type="dxa"/>
                  <w:tcBorders>
                    <w:tl2br w:val="nil"/>
                    <w:tr2bl w:val="nil"/>
                  </w:tcBorders>
                  <w:vAlign w:val="center"/>
                </w:tcPr>
                <w:p>
                  <w:pPr>
                    <w:pStyle w:val="62"/>
                    <w:rPr>
                      <w:color w:val="auto"/>
                    </w:rPr>
                  </w:pPr>
                  <w:r>
                    <w:rPr>
                      <w:color w:val="auto"/>
                    </w:rPr>
                    <w:t>0.3958</w:t>
                  </w:r>
                </w:p>
              </w:tc>
              <w:tc>
                <w:tcPr>
                  <w:tcW w:w="1171" w:type="dxa"/>
                  <w:tcBorders>
                    <w:tl2br w:val="nil"/>
                    <w:tr2bl w:val="nil"/>
                  </w:tcBorders>
                  <w:vAlign w:val="center"/>
                </w:tcPr>
                <w:p>
                  <w:pPr>
                    <w:pStyle w:val="62"/>
                    <w:rPr>
                      <w:color w:val="auto"/>
                    </w:rPr>
                  </w:pPr>
                  <w:r>
                    <w:rPr>
                      <w:color w:val="auto"/>
                    </w:rPr>
                    <w:t>0.4910</w:t>
                  </w:r>
                </w:p>
              </w:tc>
              <w:tc>
                <w:tcPr>
                  <w:tcW w:w="1171" w:type="dxa"/>
                  <w:tcBorders>
                    <w:tl2br w:val="nil"/>
                    <w:tr2bl w:val="nil"/>
                  </w:tcBorders>
                  <w:vAlign w:val="center"/>
                </w:tcPr>
                <w:p>
                  <w:pPr>
                    <w:pStyle w:val="62"/>
                    <w:rPr>
                      <w:color w:val="auto"/>
                    </w:rPr>
                  </w:pPr>
                  <w:r>
                    <w:rPr>
                      <w:color w:val="auto"/>
                    </w:rPr>
                    <w:t>0.5804</w:t>
                  </w:r>
                </w:p>
              </w:tc>
              <w:tc>
                <w:tcPr>
                  <w:tcW w:w="1176" w:type="dxa"/>
                  <w:tcBorders>
                    <w:tl2br w:val="nil"/>
                    <w:tr2bl w:val="nil"/>
                  </w:tcBorders>
                  <w:vAlign w:val="center"/>
                </w:tcPr>
                <w:p>
                  <w:pPr>
                    <w:pStyle w:val="62"/>
                    <w:rPr>
                      <w:color w:val="auto"/>
                    </w:rPr>
                  </w:pPr>
                  <w:r>
                    <w:rPr>
                      <w:color w:val="auto"/>
                    </w:rPr>
                    <w:t>0.9761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5" w:type="dxa"/>
                  <w:vMerge w:val="continue"/>
                  <w:tcBorders>
                    <w:tl2br w:val="nil"/>
                    <w:tr2bl w:val="nil"/>
                  </w:tcBorders>
                  <w:vAlign w:val="center"/>
                </w:tcPr>
                <w:p>
                  <w:pPr>
                    <w:pStyle w:val="62"/>
                    <w:rPr>
                      <w:color w:val="auto"/>
                    </w:rPr>
                  </w:pPr>
                </w:p>
              </w:tc>
              <w:tc>
                <w:tcPr>
                  <w:tcW w:w="1128" w:type="dxa"/>
                  <w:tcBorders>
                    <w:tl2br w:val="nil"/>
                    <w:tr2bl w:val="nil"/>
                  </w:tcBorders>
                  <w:vAlign w:val="center"/>
                </w:tcPr>
                <w:p>
                  <w:pPr>
                    <w:pStyle w:val="62"/>
                    <w:rPr>
                      <w:color w:val="auto"/>
                    </w:rPr>
                  </w:pPr>
                  <w:r>
                    <w:rPr>
                      <w:color w:val="auto"/>
                    </w:rPr>
                    <w:t>15</w:t>
                  </w:r>
                </w:p>
              </w:tc>
              <w:tc>
                <w:tcPr>
                  <w:tcW w:w="1170" w:type="dxa"/>
                  <w:tcBorders>
                    <w:tl2br w:val="nil"/>
                    <w:tr2bl w:val="nil"/>
                  </w:tcBorders>
                  <w:vAlign w:val="center"/>
                </w:tcPr>
                <w:p>
                  <w:pPr>
                    <w:pStyle w:val="62"/>
                    <w:rPr>
                      <w:color w:val="auto"/>
                    </w:rPr>
                  </w:pPr>
                  <w:r>
                    <w:rPr>
                      <w:color w:val="auto"/>
                    </w:rPr>
                    <w:t>0.2604</w:t>
                  </w:r>
                </w:p>
              </w:tc>
              <w:tc>
                <w:tcPr>
                  <w:tcW w:w="1170" w:type="dxa"/>
                  <w:tcBorders>
                    <w:tl2br w:val="nil"/>
                    <w:tr2bl w:val="nil"/>
                  </w:tcBorders>
                  <w:vAlign w:val="center"/>
                </w:tcPr>
                <w:p>
                  <w:pPr>
                    <w:pStyle w:val="62"/>
                    <w:rPr>
                      <w:color w:val="auto"/>
                    </w:rPr>
                  </w:pPr>
                  <w:r>
                    <w:rPr>
                      <w:color w:val="auto"/>
                    </w:rPr>
                    <w:t>0.4379</w:t>
                  </w:r>
                </w:p>
              </w:tc>
              <w:tc>
                <w:tcPr>
                  <w:tcW w:w="1170" w:type="dxa"/>
                  <w:tcBorders>
                    <w:tl2br w:val="nil"/>
                    <w:tr2bl w:val="nil"/>
                  </w:tcBorders>
                  <w:vAlign w:val="center"/>
                </w:tcPr>
                <w:p>
                  <w:pPr>
                    <w:pStyle w:val="62"/>
                    <w:rPr>
                      <w:color w:val="auto"/>
                    </w:rPr>
                  </w:pPr>
                  <w:r>
                    <w:rPr>
                      <w:color w:val="auto"/>
                    </w:rPr>
                    <w:t>0.5935</w:t>
                  </w:r>
                </w:p>
              </w:tc>
              <w:tc>
                <w:tcPr>
                  <w:tcW w:w="1171" w:type="dxa"/>
                  <w:tcBorders>
                    <w:tl2br w:val="nil"/>
                    <w:tr2bl w:val="nil"/>
                  </w:tcBorders>
                  <w:vAlign w:val="center"/>
                </w:tcPr>
                <w:p>
                  <w:pPr>
                    <w:pStyle w:val="62"/>
                    <w:rPr>
                      <w:color w:val="auto"/>
                    </w:rPr>
                  </w:pPr>
                  <w:r>
                    <w:rPr>
                      <w:color w:val="auto"/>
                    </w:rPr>
                    <w:t>0.7364</w:t>
                  </w:r>
                </w:p>
              </w:tc>
              <w:tc>
                <w:tcPr>
                  <w:tcW w:w="1171" w:type="dxa"/>
                  <w:tcBorders>
                    <w:tl2br w:val="nil"/>
                    <w:tr2bl w:val="nil"/>
                  </w:tcBorders>
                  <w:vAlign w:val="center"/>
                </w:tcPr>
                <w:p>
                  <w:pPr>
                    <w:pStyle w:val="62"/>
                    <w:rPr>
                      <w:color w:val="auto"/>
                    </w:rPr>
                  </w:pPr>
                  <w:r>
                    <w:rPr>
                      <w:color w:val="auto"/>
                    </w:rPr>
                    <w:t>0.8706</w:t>
                  </w:r>
                </w:p>
              </w:tc>
              <w:tc>
                <w:tcPr>
                  <w:tcW w:w="1176" w:type="dxa"/>
                  <w:tcBorders>
                    <w:tl2br w:val="nil"/>
                    <w:tr2bl w:val="nil"/>
                  </w:tcBorders>
                  <w:vAlign w:val="center"/>
                </w:tcPr>
                <w:p>
                  <w:pPr>
                    <w:pStyle w:val="62"/>
                    <w:rPr>
                      <w:color w:val="auto"/>
                    </w:rPr>
                  </w:pPr>
                  <w:r>
                    <w:rPr>
                      <w:color w:val="auto"/>
                    </w:rPr>
                    <w:t>1.4642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65" w:type="dxa"/>
                  <w:vMerge w:val="continue"/>
                  <w:tcBorders>
                    <w:tl2br w:val="nil"/>
                    <w:tr2bl w:val="nil"/>
                  </w:tcBorders>
                  <w:vAlign w:val="center"/>
                </w:tcPr>
                <w:p>
                  <w:pPr>
                    <w:pStyle w:val="62"/>
                    <w:rPr>
                      <w:color w:val="auto"/>
                    </w:rPr>
                  </w:pPr>
                </w:p>
              </w:tc>
              <w:tc>
                <w:tcPr>
                  <w:tcW w:w="1128" w:type="dxa"/>
                  <w:tcBorders>
                    <w:tl2br w:val="nil"/>
                    <w:tr2bl w:val="nil"/>
                  </w:tcBorders>
                  <w:vAlign w:val="center"/>
                </w:tcPr>
                <w:p>
                  <w:pPr>
                    <w:pStyle w:val="62"/>
                    <w:rPr>
                      <w:color w:val="auto"/>
                    </w:rPr>
                  </w:pPr>
                  <w:r>
                    <w:rPr>
                      <w:color w:val="auto"/>
                    </w:rPr>
                    <w:t>25</w:t>
                  </w:r>
                </w:p>
              </w:tc>
              <w:tc>
                <w:tcPr>
                  <w:tcW w:w="1170" w:type="dxa"/>
                  <w:tcBorders>
                    <w:tl2br w:val="nil"/>
                    <w:tr2bl w:val="nil"/>
                  </w:tcBorders>
                  <w:vAlign w:val="center"/>
                </w:tcPr>
                <w:p>
                  <w:pPr>
                    <w:pStyle w:val="62"/>
                    <w:rPr>
                      <w:color w:val="auto"/>
                    </w:rPr>
                  </w:pPr>
                  <w:r>
                    <w:rPr>
                      <w:color w:val="auto"/>
                    </w:rPr>
                    <w:t>0.4340</w:t>
                  </w:r>
                </w:p>
              </w:tc>
              <w:tc>
                <w:tcPr>
                  <w:tcW w:w="1170" w:type="dxa"/>
                  <w:tcBorders>
                    <w:tl2br w:val="nil"/>
                    <w:tr2bl w:val="nil"/>
                  </w:tcBorders>
                  <w:vAlign w:val="center"/>
                </w:tcPr>
                <w:p>
                  <w:pPr>
                    <w:pStyle w:val="62"/>
                    <w:rPr>
                      <w:color w:val="auto"/>
                    </w:rPr>
                  </w:pPr>
                  <w:r>
                    <w:rPr>
                      <w:color w:val="auto"/>
                    </w:rPr>
                    <w:t>0.7298</w:t>
                  </w:r>
                </w:p>
              </w:tc>
              <w:tc>
                <w:tcPr>
                  <w:tcW w:w="1170" w:type="dxa"/>
                  <w:tcBorders>
                    <w:tl2br w:val="nil"/>
                    <w:tr2bl w:val="nil"/>
                  </w:tcBorders>
                  <w:vAlign w:val="center"/>
                </w:tcPr>
                <w:p>
                  <w:pPr>
                    <w:pStyle w:val="62"/>
                    <w:rPr>
                      <w:color w:val="auto"/>
                    </w:rPr>
                  </w:pPr>
                  <w:r>
                    <w:rPr>
                      <w:color w:val="auto"/>
                    </w:rPr>
                    <w:t>0.9897</w:t>
                  </w:r>
                </w:p>
              </w:tc>
              <w:tc>
                <w:tcPr>
                  <w:tcW w:w="1171" w:type="dxa"/>
                  <w:tcBorders>
                    <w:tl2br w:val="nil"/>
                    <w:tr2bl w:val="nil"/>
                  </w:tcBorders>
                  <w:vAlign w:val="center"/>
                </w:tcPr>
                <w:p>
                  <w:pPr>
                    <w:pStyle w:val="62"/>
                    <w:rPr>
                      <w:color w:val="auto"/>
                    </w:rPr>
                  </w:pPr>
                  <w:r>
                    <w:rPr>
                      <w:color w:val="auto"/>
                    </w:rPr>
                    <w:t>1.2274</w:t>
                  </w:r>
                </w:p>
              </w:tc>
              <w:tc>
                <w:tcPr>
                  <w:tcW w:w="1171" w:type="dxa"/>
                  <w:tcBorders>
                    <w:tl2br w:val="nil"/>
                    <w:tr2bl w:val="nil"/>
                  </w:tcBorders>
                  <w:vAlign w:val="center"/>
                </w:tcPr>
                <w:p>
                  <w:pPr>
                    <w:pStyle w:val="62"/>
                    <w:rPr>
                      <w:color w:val="auto"/>
                    </w:rPr>
                  </w:pPr>
                  <w:r>
                    <w:rPr>
                      <w:color w:val="auto"/>
                    </w:rPr>
                    <w:t>1.4511</w:t>
                  </w:r>
                </w:p>
              </w:tc>
              <w:tc>
                <w:tcPr>
                  <w:tcW w:w="1176" w:type="dxa"/>
                  <w:tcBorders>
                    <w:tl2br w:val="nil"/>
                    <w:tr2bl w:val="nil"/>
                  </w:tcBorders>
                  <w:vAlign w:val="center"/>
                </w:tcPr>
                <w:p>
                  <w:pPr>
                    <w:pStyle w:val="62"/>
                    <w:rPr>
                      <w:color w:val="auto"/>
                    </w:rPr>
                  </w:pPr>
                  <w:r>
                    <w:rPr>
                      <w:color w:val="auto"/>
                    </w:rPr>
                    <w:t>204710</w:t>
                  </w:r>
                </w:p>
              </w:tc>
            </w:tr>
          </w:tbl>
          <w:p>
            <w:pPr>
              <w:pStyle w:val="59"/>
              <w:keepNext w:val="0"/>
              <w:keepLines w:val="0"/>
              <w:pageBreakBefore w:val="0"/>
              <w:widowControl w:val="0"/>
              <w:kinsoku/>
              <w:wordWrap/>
              <w:overflowPunct/>
              <w:topLinePunct w:val="0"/>
              <w:autoSpaceDE/>
              <w:autoSpaceDN/>
              <w:bidi w:val="0"/>
              <w:adjustRightInd w:val="0"/>
              <w:snapToGrid w:val="0"/>
              <w:spacing w:before="157" w:beforeLines="50"/>
              <w:ind w:firstLine="480"/>
              <w:jc w:val="left"/>
              <w:textAlignment w:val="auto"/>
              <w:rPr>
                <w:color w:val="auto"/>
              </w:rPr>
            </w:pPr>
            <w:r>
              <w:rPr>
                <w:rFonts w:hint="eastAsia"/>
                <w:color w:val="auto"/>
              </w:rPr>
              <w:t>由此表可见，在同样路面清洁程度下，车速越快，扬尘量越大；而在同样车速情况下，路面粉状物料越多，则扬尘量越大。</w:t>
            </w:r>
          </w:p>
          <w:p>
            <w:pPr>
              <w:pStyle w:val="59"/>
              <w:ind w:firstLine="480"/>
              <w:jc w:val="left"/>
              <w:rPr>
                <w:color w:val="auto"/>
              </w:rPr>
            </w:pPr>
            <w:r>
              <w:rPr>
                <w:rFonts w:hint="eastAsia"/>
                <w:color w:val="auto"/>
              </w:rPr>
              <w:t>本项目200m范围内存在居民点</w:t>
            </w:r>
            <w:r>
              <w:rPr>
                <w:rFonts w:hint="eastAsia"/>
                <w:color w:val="auto"/>
                <w:lang w:val="en-US" w:eastAsia="zh-CN"/>
              </w:rPr>
              <w:t>和学校</w:t>
            </w:r>
            <w:r>
              <w:rPr>
                <w:rFonts w:hint="eastAsia"/>
                <w:color w:val="auto"/>
              </w:rPr>
              <w:t>，</w:t>
            </w:r>
            <w:r>
              <w:rPr>
                <w:rFonts w:hint="eastAsia"/>
                <w:color w:val="auto"/>
                <w:lang w:val="en-US" w:eastAsia="zh-CN"/>
              </w:rPr>
              <w:t>施工期增加运输道路的清洁次数并</w:t>
            </w:r>
            <w:r>
              <w:rPr>
                <w:rFonts w:hint="eastAsia"/>
                <w:color w:val="auto"/>
              </w:rPr>
              <w:t>采取洒水降尘，增加道路的湿润度，可有效减缓施工道路对环境的影响。根据相关工程经验，在采取路面洒水降尘、道路清扫干净的情况下，运输扬尘的去除率可达90%。环评要求运输物料的车辆对物料进行加篷布遮盖，在工程建设路段内进行洒水降尘，及时对路面进行清洁，距离居民点较近的道路路段设置围挡，车辆限速行驶。在采取以上有效粉尘防治措施的前提下，道路扬尘对环境的影响不大。</w:t>
            </w:r>
          </w:p>
          <w:p>
            <w:pPr>
              <w:pStyle w:val="59"/>
              <w:ind w:firstLine="482"/>
              <w:jc w:val="left"/>
              <w:rPr>
                <w:b w:val="0"/>
                <w:bCs w:val="0"/>
                <w:color w:val="auto"/>
              </w:rPr>
            </w:pPr>
            <w:r>
              <w:rPr>
                <w:rFonts w:hint="eastAsia"/>
                <w:b w:val="0"/>
                <w:bCs w:val="0"/>
                <w:color w:val="auto"/>
                <w:highlight w:val="none"/>
              </w:rPr>
              <w:t>③</w:t>
            </w:r>
            <w:r>
              <w:rPr>
                <w:rFonts w:hint="eastAsia"/>
                <w:b w:val="0"/>
                <w:bCs w:val="0"/>
                <w:color w:val="auto"/>
              </w:rPr>
              <w:t>工程施工扬尘</w:t>
            </w:r>
          </w:p>
          <w:p>
            <w:pPr>
              <w:pStyle w:val="59"/>
              <w:ind w:firstLine="480"/>
              <w:jc w:val="left"/>
              <w:rPr>
                <w:color w:val="auto"/>
              </w:rPr>
            </w:pPr>
            <w:r>
              <w:rPr>
                <w:rFonts w:hint="eastAsia"/>
                <w:color w:val="auto"/>
              </w:rPr>
              <w:t>工程施工扬尘主要来自以下几个方面：土方开挖、物料装卸和现场堆放扬尘。</w:t>
            </w:r>
          </w:p>
          <w:p>
            <w:pPr>
              <w:pStyle w:val="59"/>
              <w:ind w:firstLine="480"/>
              <w:jc w:val="left"/>
              <w:rPr>
                <w:color w:val="auto"/>
              </w:rPr>
            </w:pPr>
            <w:r>
              <w:rPr>
                <w:rFonts w:hint="eastAsia"/>
                <w:color w:val="auto"/>
              </w:rPr>
              <w:t>A.土方开挖</w:t>
            </w:r>
          </w:p>
          <w:p>
            <w:pPr>
              <w:pStyle w:val="59"/>
              <w:ind w:firstLine="480"/>
              <w:jc w:val="left"/>
              <w:rPr>
                <w:color w:val="auto"/>
              </w:rPr>
            </w:pPr>
            <w:r>
              <w:rPr>
                <w:rFonts w:hint="eastAsia"/>
                <w:color w:val="auto"/>
              </w:rPr>
              <w:t>土方开挖和填筑会产生一定量的扬尘。在这一阶段，道路占地范围的地表破坏，土壤裸露，若不加有效防治，在风力的作用下，缺少植被覆盖的细小尘土随风而起形成扬尘，漂浮在空气中，使局部空气环境中粉尘浓度增加，极易引起粉尘污染。</w:t>
            </w:r>
          </w:p>
          <w:p>
            <w:pPr>
              <w:pStyle w:val="59"/>
              <w:ind w:firstLine="480"/>
              <w:rPr>
                <w:color w:val="auto"/>
              </w:rPr>
            </w:pPr>
            <w:r>
              <w:rPr>
                <w:rFonts w:hint="eastAsia"/>
                <w:color w:val="auto"/>
              </w:rPr>
              <w:t>根据国内施工经验，洒水可有效地抑制扬尘量。类比西安至临潼高速公路施工期间洒水降尘的试验结果，详见表</w:t>
            </w:r>
            <w:r>
              <w:rPr>
                <w:rFonts w:hint="eastAsia"/>
                <w:color w:val="auto"/>
                <w:lang w:val="en-US" w:eastAsia="zh-CN"/>
              </w:rPr>
              <w:t>4-2</w:t>
            </w:r>
            <w:r>
              <w:rPr>
                <w:rFonts w:hint="eastAsia"/>
                <w:color w:val="auto"/>
              </w:rPr>
              <w:t>，洒水可以有效的减轻扬尘污染，可使扬尘量减少70%。</w:t>
            </w:r>
          </w:p>
          <w:p>
            <w:pPr>
              <w:pStyle w:val="47"/>
              <w:rPr>
                <w:color w:val="auto"/>
                <w:sz w:val="21"/>
                <w:szCs w:val="21"/>
              </w:rPr>
            </w:pPr>
            <w:r>
              <w:rPr>
                <w:color w:val="auto"/>
                <w:sz w:val="21"/>
                <w:szCs w:val="21"/>
              </w:rPr>
              <w:t>表</w:t>
            </w:r>
            <w:r>
              <w:rPr>
                <w:rFonts w:hint="eastAsia"/>
                <w:color w:val="auto"/>
                <w:sz w:val="21"/>
                <w:szCs w:val="21"/>
                <w:lang w:val="en-US" w:eastAsia="zh-CN"/>
              </w:rPr>
              <w:t>4-2</w:t>
            </w:r>
            <w:r>
              <w:rPr>
                <w:color w:val="auto"/>
                <w:sz w:val="21"/>
                <w:szCs w:val="21"/>
              </w:rPr>
              <w:t xml:space="preserve">  </w:t>
            </w:r>
            <w:r>
              <w:rPr>
                <w:rFonts w:hint="eastAsia"/>
                <w:color w:val="auto"/>
                <w:sz w:val="21"/>
                <w:szCs w:val="21"/>
                <w:lang w:val="en-US" w:eastAsia="zh-CN"/>
              </w:rPr>
              <w:t xml:space="preserve"> </w:t>
            </w:r>
            <w:r>
              <w:rPr>
                <w:color w:val="auto"/>
                <w:sz w:val="21"/>
                <w:szCs w:val="21"/>
              </w:rPr>
              <w:t xml:space="preserve"> 施工洒水降尘试验结果</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98"/>
              <w:gridCol w:w="1055"/>
              <w:gridCol w:w="1162"/>
              <w:gridCol w:w="1156"/>
              <w:gridCol w:w="1156"/>
              <w:gridCol w:w="1156"/>
              <w:gridCol w:w="115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353" w:type="dxa"/>
                  <w:gridSpan w:val="2"/>
                  <w:tcBorders>
                    <w:top w:val="single" w:color="000000" w:sz="12" w:space="0"/>
                    <w:left w:val="nil"/>
                    <w:bottom w:val="single" w:color="000000" w:sz="6" w:space="0"/>
                    <w:right w:val="single" w:color="000000" w:sz="6" w:space="0"/>
                  </w:tcBorders>
                  <w:vAlign w:val="center"/>
                </w:tcPr>
                <w:p>
                  <w:pPr>
                    <w:pStyle w:val="62"/>
                    <w:rPr>
                      <w:b/>
                      <w:bCs/>
                      <w:color w:val="auto"/>
                    </w:rPr>
                  </w:pPr>
                  <w:r>
                    <w:rPr>
                      <w:b/>
                      <w:bCs/>
                      <w:color w:val="auto"/>
                    </w:rPr>
                    <w:t>距路边距离（m</w:t>
                  </w:r>
                  <w:r>
                    <w:rPr>
                      <w:rFonts w:ascii="宋体" w:hAnsi="宋体"/>
                      <w:b/>
                      <w:bCs/>
                      <w:color w:val="auto"/>
                    </w:rPr>
                    <w:t>）</w:t>
                  </w:r>
                </w:p>
              </w:tc>
              <w:tc>
                <w:tcPr>
                  <w:tcW w:w="1162" w:type="dxa"/>
                  <w:tcBorders>
                    <w:top w:val="single" w:color="000000" w:sz="12" w:space="0"/>
                    <w:left w:val="single" w:color="000000" w:sz="6" w:space="0"/>
                    <w:bottom w:val="single" w:color="000000" w:sz="6" w:space="0"/>
                    <w:right w:val="single" w:color="000000" w:sz="6" w:space="0"/>
                  </w:tcBorders>
                  <w:vAlign w:val="center"/>
                </w:tcPr>
                <w:p>
                  <w:pPr>
                    <w:pStyle w:val="62"/>
                    <w:rPr>
                      <w:b/>
                      <w:bCs/>
                      <w:color w:val="auto"/>
                    </w:rPr>
                  </w:pPr>
                  <w:r>
                    <w:rPr>
                      <w:b/>
                      <w:bCs/>
                      <w:color w:val="auto"/>
                    </w:rPr>
                    <w:t>0</w:t>
                  </w:r>
                </w:p>
              </w:tc>
              <w:tc>
                <w:tcPr>
                  <w:tcW w:w="1156" w:type="dxa"/>
                  <w:tcBorders>
                    <w:top w:val="single" w:color="000000" w:sz="12" w:space="0"/>
                    <w:left w:val="single" w:color="000000" w:sz="6" w:space="0"/>
                    <w:bottom w:val="single" w:color="000000" w:sz="6" w:space="0"/>
                    <w:right w:val="single" w:color="000000" w:sz="6" w:space="0"/>
                  </w:tcBorders>
                  <w:vAlign w:val="center"/>
                </w:tcPr>
                <w:p>
                  <w:pPr>
                    <w:pStyle w:val="62"/>
                    <w:rPr>
                      <w:b/>
                      <w:bCs/>
                      <w:color w:val="auto"/>
                    </w:rPr>
                  </w:pPr>
                  <w:r>
                    <w:rPr>
                      <w:b/>
                      <w:bCs/>
                      <w:color w:val="auto"/>
                    </w:rPr>
                    <w:t>20</w:t>
                  </w:r>
                </w:p>
              </w:tc>
              <w:tc>
                <w:tcPr>
                  <w:tcW w:w="1156" w:type="dxa"/>
                  <w:tcBorders>
                    <w:top w:val="single" w:color="000000" w:sz="12" w:space="0"/>
                    <w:left w:val="single" w:color="000000" w:sz="6" w:space="0"/>
                    <w:bottom w:val="single" w:color="000000" w:sz="6" w:space="0"/>
                    <w:right w:val="single" w:color="000000" w:sz="6" w:space="0"/>
                  </w:tcBorders>
                  <w:vAlign w:val="center"/>
                </w:tcPr>
                <w:p>
                  <w:pPr>
                    <w:pStyle w:val="62"/>
                    <w:rPr>
                      <w:b/>
                      <w:bCs/>
                      <w:color w:val="auto"/>
                    </w:rPr>
                  </w:pPr>
                  <w:r>
                    <w:rPr>
                      <w:b/>
                      <w:bCs/>
                      <w:color w:val="auto"/>
                    </w:rPr>
                    <w:t>50</w:t>
                  </w:r>
                </w:p>
              </w:tc>
              <w:tc>
                <w:tcPr>
                  <w:tcW w:w="1156" w:type="dxa"/>
                  <w:tcBorders>
                    <w:top w:val="single" w:color="000000" w:sz="12" w:space="0"/>
                    <w:left w:val="single" w:color="000000" w:sz="6" w:space="0"/>
                    <w:bottom w:val="single" w:color="000000" w:sz="6" w:space="0"/>
                    <w:right w:val="single" w:color="000000" w:sz="6" w:space="0"/>
                  </w:tcBorders>
                  <w:vAlign w:val="center"/>
                </w:tcPr>
                <w:p>
                  <w:pPr>
                    <w:pStyle w:val="62"/>
                    <w:rPr>
                      <w:b/>
                      <w:bCs/>
                      <w:color w:val="auto"/>
                    </w:rPr>
                  </w:pPr>
                  <w:r>
                    <w:rPr>
                      <w:b/>
                      <w:bCs/>
                      <w:color w:val="auto"/>
                    </w:rPr>
                    <w:t>100</w:t>
                  </w:r>
                </w:p>
              </w:tc>
              <w:tc>
                <w:tcPr>
                  <w:tcW w:w="1156" w:type="dxa"/>
                  <w:tcBorders>
                    <w:top w:val="single" w:color="000000" w:sz="12" w:space="0"/>
                    <w:left w:val="single" w:color="000000" w:sz="6" w:space="0"/>
                    <w:bottom w:val="single" w:color="000000" w:sz="6" w:space="0"/>
                    <w:right w:val="nil"/>
                  </w:tcBorders>
                  <w:vAlign w:val="center"/>
                </w:tcPr>
                <w:p>
                  <w:pPr>
                    <w:pStyle w:val="62"/>
                    <w:rPr>
                      <w:b/>
                      <w:bCs/>
                      <w:color w:val="auto"/>
                    </w:rPr>
                  </w:pPr>
                  <w:r>
                    <w:rPr>
                      <w:b/>
                      <w:bCs/>
                      <w:color w:val="auto"/>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98" w:type="dxa"/>
                  <w:vMerge w:val="restart"/>
                  <w:tcBorders>
                    <w:top w:val="single" w:color="000000" w:sz="6" w:space="0"/>
                    <w:left w:val="nil"/>
                    <w:bottom w:val="single" w:color="000000" w:sz="6" w:space="0"/>
                    <w:right w:val="single" w:color="000000" w:sz="6" w:space="0"/>
                  </w:tcBorders>
                  <w:vAlign w:val="center"/>
                </w:tcPr>
                <w:p>
                  <w:pPr>
                    <w:pStyle w:val="62"/>
                    <w:rPr>
                      <w:color w:val="auto"/>
                    </w:rPr>
                  </w:pPr>
                  <w:r>
                    <w:rPr>
                      <w:color w:val="auto"/>
                    </w:rPr>
                    <w:t>TSP</w:t>
                  </w:r>
                  <w:r>
                    <w:rPr>
                      <w:rFonts w:ascii="宋体" w:hAnsi="宋体"/>
                      <w:color w:val="auto"/>
                    </w:rPr>
                    <w:t>（</w:t>
                  </w:r>
                  <w:r>
                    <w:rPr>
                      <w:color w:val="auto"/>
                    </w:rPr>
                    <w:t>mg/Nm</w:t>
                  </w:r>
                  <w:r>
                    <w:rPr>
                      <w:color w:val="auto"/>
                      <w:vertAlign w:val="superscript"/>
                    </w:rPr>
                    <w:t>3</w:t>
                  </w:r>
                  <w:r>
                    <w:rPr>
                      <w:color w:val="auto"/>
                    </w:rPr>
                    <w:t>）</w:t>
                  </w:r>
                </w:p>
              </w:tc>
              <w:tc>
                <w:tcPr>
                  <w:tcW w:w="1055"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不洒水</w:t>
                  </w:r>
                </w:p>
              </w:tc>
              <w:tc>
                <w:tcPr>
                  <w:tcW w:w="1162"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11.03</w:t>
                  </w:r>
                </w:p>
              </w:tc>
              <w:tc>
                <w:tcPr>
                  <w:tcW w:w="1156"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2.89</w:t>
                  </w:r>
                </w:p>
              </w:tc>
              <w:tc>
                <w:tcPr>
                  <w:tcW w:w="1156"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1.15</w:t>
                  </w:r>
                </w:p>
              </w:tc>
              <w:tc>
                <w:tcPr>
                  <w:tcW w:w="1156"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0.86</w:t>
                  </w:r>
                </w:p>
              </w:tc>
              <w:tc>
                <w:tcPr>
                  <w:tcW w:w="1156" w:type="dxa"/>
                  <w:tcBorders>
                    <w:top w:val="single" w:color="000000" w:sz="6" w:space="0"/>
                    <w:left w:val="single" w:color="000000" w:sz="6" w:space="0"/>
                    <w:bottom w:val="single" w:color="000000" w:sz="6" w:space="0"/>
                    <w:right w:val="nil"/>
                  </w:tcBorders>
                  <w:vAlign w:val="center"/>
                </w:tcPr>
                <w:p>
                  <w:pPr>
                    <w:pStyle w:val="62"/>
                    <w:rPr>
                      <w:color w:val="auto"/>
                    </w:rPr>
                  </w:pPr>
                  <w:r>
                    <w:rPr>
                      <w:color w:val="auto"/>
                    </w:rPr>
                    <w:t>0.56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98" w:type="dxa"/>
                  <w:vMerge w:val="continue"/>
                  <w:tcBorders>
                    <w:top w:val="single" w:color="000000" w:sz="6" w:space="0"/>
                    <w:left w:val="nil"/>
                    <w:bottom w:val="single" w:color="000000" w:sz="6" w:space="0"/>
                    <w:right w:val="single" w:color="000000" w:sz="6" w:space="0"/>
                  </w:tcBorders>
                  <w:vAlign w:val="center"/>
                </w:tcPr>
                <w:p>
                  <w:pPr>
                    <w:pStyle w:val="62"/>
                    <w:rPr>
                      <w:color w:val="auto"/>
                    </w:rPr>
                  </w:pPr>
                </w:p>
              </w:tc>
              <w:tc>
                <w:tcPr>
                  <w:tcW w:w="1055"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洒水</w:t>
                  </w:r>
                </w:p>
              </w:tc>
              <w:tc>
                <w:tcPr>
                  <w:tcW w:w="1162"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2.11</w:t>
                  </w:r>
                </w:p>
              </w:tc>
              <w:tc>
                <w:tcPr>
                  <w:tcW w:w="1156"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1.40</w:t>
                  </w:r>
                </w:p>
              </w:tc>
              <w:tc>
                <w:tcPr>
                  <w:tcW w:w="1156"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0.68</w:t>
                  </w:r>
                </w:p>
              </w:tc>
              <w:tc>
                <w:tcPr>
                  <w:tcW w:w="1156" w:type="dxa"/>
                  <w:tcBorders>
                    <w:top w:val="single" w:color="000000" w:sz="6" w:space="0"/>
                    <w:left w:val="single" w:color="000000" w:sz="6" w:space="0"/>
                    <w:bottom w:val="single" w:color="000000" w:sz="6" w:space="0"/>
                    <w:right w:val="single" w:color="000000" w:sz="6" w:space="0"/>
                  </w:tcBorders>
                  <w:vAlign w:val="center"/>
                </w:tcPr>
                <w:p>
                  <w:pPr>
                    <w:pStyle w:val="62"/>
                    <w:rPr>
                      <w:color w:val="auto"/>
                    </w:rPr>
                  </w:pPr>
                  <w:r>
                    <w:rPr>
                      <w:color w:val="auto"/>
                    </w:rPr>
                    <w:t>0.60</w:t>
                  </w:r>
                </w:p>
              </w:tc>
              <w:tc>
                <w:tcPr>
                  <w:tcW w:w="1156" w:type="dxa"/>
                  <w:tcBorders>
                    <w:top w:val="single" w:color="000000" w:sz="6" w:space="0"/>
                    <w:left w:val="single" w:color="000000" w:sz="6" w:space="0"/>
                    <w:bottom w:val="single" w:color="000000" w:sz="6" w:space="0"/>
                    <w:right w:val="nil"/>
                  </w:tcBorders>
                  <w:vAlign w:val="center"/>
                </w:tcPr>
                <w:p>
                  <w:pPr>
                    <w:pStyle w:val="62"/>
                    <w:rPr>
                      <w:color w:val="auto"/>
                    </w:rPr>
                  </w:pPr>
                  <w:r>
                    <w:rPr>
                      <w:color w:val="auto"/>
                    </w:rPr>
                    <w:t>0.29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353" w:type="dxa"/>
                  <w:gridSpan w:val="2"/>
                  <w:tcBorders>
                    <w:top w:val="single" w:color="000000" w:sz="6" w:space="0"/>
                    <w:left w:val="nil"/>
                    <w:bottom w:val="single" w:color="000000" w:sz="12" w:space="0"/>
                    <w:right w:val="single" w:color="000000" w:sz="6" w:space="0"/>
                  </w:tcBorders>
                  <w:vAlign w:val="center"/>
                </w:tcPr>
                <w:p>
                  <w:pPr>
                    <w:pStyle w:val="62"/>
                    <w:rPr>
                      <w:color w:val="auto"/>
                    </w:rPr>
                  </w:pPr>
                  <w:r>
                    <w:rPr>
                      <w:color w:val="auto"/>
                    </w:rPr>
                    <w:t>去除率%</w:t>
                  </w:r>
                </w:p>
              </w:tc>
              <w:tc>
                <w:tcPr>
                  <w:tcW w:w="1162" w:type="dxa"/>
                  <w:tcBorders>
                    <w:top w:val="single" w:color="000000" w:sz="6" w:space="0"/>
                    <w:left w:val="single" w:color="000000" w:sz="6" w:space="0"/>
                    <w:bottom w:val="single" w:color="000000" w:sz="12" w:space="0"/>
                    <w:right w:val="single" w:color="000000" w:sz="6" w:space="0"/>
                  </w:tcBorders>
                  <w:vAlign w:val="center"/>
                </w:tcPr>
                <w:p>
                  <w:pPr>
                    <w:pStyle w:val="62"/>
                    <w:rPr>
                      <w:color w:val="auto"/>
                    </w:rPr>
                  </w:pPr>
                  <w:r>
                    <w:rPr>
                      <w:color w:val="auto"/>
                    </w:rPr>
                    <w:t>81</w:t>
                  </w:r>
                </w:p>
              </w:tc>
              <w:tc>
                <w:tcPr>
                  <w:tcW w:w="1156" w:type="dxa"/>
                  <w:tcBorders>
                    <w:top w:val="single" w:color="000000" w:sz="6" w:space="0"/>
                    <w:left w:val="single" w:color="000000" w:sz="6" w:space="0"/>
                    <w:bottom w:val="single" w:color="000000" w:sz="12" w:space="0"/>
                    <w:right w:val="single" w:color="000000" w:sz="6" w:space="0"/>
                  </w:tcBorders>
                  <w:vAlign w:val="center"/>
                </w:tcPr>
                <w:p>
                  <w:pPr>
                    <w:pStyle w:val="62"/>
                    <w:rPr>
                      <w:color w:val="auto"/>
                    </w:rPr>
                  </w:pPr>
                  <w:r>
                    <w:rPr>
                      <w:color w:val="auto"/>
                    </w:rPr>
                    <w:t>52</w:t>
                  </w:r>
                </w:p>
              </w:tc>
              <w:tc>
                <w:tcPr>
                  <w:tcW w:w="1156" w:type="dxa"/>
                  <w:tcBorders>
                    <w:top w:val="single" w:color="000000" w:sz="6" w:space="0"/>
                    <w:left w:val="single" w:color="000000" w:sz="6" w:space="0"/>
                    <w:bottom w:val="single" w:color="000000" w:sz="12" w:space="0"/>
                    <w:right w:val="single" w:color="000000" w:sz="6" w:space="0"/>
                  </w:tcBorders>
                  <w:vAlign w:val="center"/>
                </w:tcPr>
                <w:p>
                  <w:pPr>
                    <w:pStyle w:val="62"/>
                    <w:rPr>
                      <w:color w:val="auto"/>
                    </w:rPr>
                  </w:pPr>
                  <w:r>
                    <w:rPr>
                      <w:color w:val="auto"/>
                    </w:rPr>
                    <w:t>41</w:t>
                  </w:r>
                </w:p>
              </w:tc>
              <w:tc>
                <w:tcPr>
                  <w:tcW w:w="1156" w:type="dxa"/>
                  <w:tcBorders>
                    <w:top w:val="single" w:color="000000" w:sz="6" w:space="0"/>
                    <w:left w:val="single" w:color="000000" w:sz="6" w:space="0"/>
                    <w:bottom w:val="single" w:color="000000" w:sz="12" w:space="0"/>
                    <w:right w:val="single" w:color="000000" w:sz="6" w:space="0"/>
                  </w:tcBorders>
                  <w:vAlign w:val="center"/>
                </w:tcPr>
                <w:p>
                  <w:pPr>
                    <w:pStyle w:val="62"/>
                    <w:rPr>
                      <w:color w:val="auto"/>
                    </w:rPr>
                  </w:pPr>
                  <w:r>
                    <w:rPr>
                      <w:color w:val="auto"/>
                    </w:rPr>
                    <w:t>30</w:t>
                  </w:r>
                </w:p>
              </w:tc>
              <w:tc>
                <w:tcPr>
                  <w:tcW w:w="1156" w:type="dxa"/>
                  <w:tcBorders>
                    <w:top w:val="single" w:color="000000" w:sz="6" w:space="0"/>
                    <w:left w:val="single" w:color="000000" w:sz="6" w:space="0"/>
                    <w:bottom w:val="single" w:color="000000" w:sz="12" w:space="0"/>
                    <w:right w:val="nil"/>
                  </w:tcBorders>
                  <w:vAlign w:val="center"/>
                </w:tcPr>
                <w:p>
                  <w:pPr>
                    <w:pStyle w:val="62"/>
                    <w:rPr>
                      <w:color w:val="auto"/>
                    </w:rPr>
                  </w:pPr>
                  <w:r>
                    <w:rPr>
                      <w:color w:val="auto"/>
                    </w:rPr>
                    <w:t>48</w:t>
                  </w:r>
                </w:p>
              </w:tc>
            </w:tr>
          </w:tbl>
          <w:p>
            <w:pPr>
              <w:pStyle w:val="59"/>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rFonts w:cs="Times New Roman"/>
                <w:color w:val="auto"/>
                <w:kern w:val="2"/>
                <w:szCs w:val="24"/>
              </w:rPr>
            </w:pPr>
            <w:r>
              <w:rPr>
                <w:color w:val="auto"/>
              </w:rPr>
              <w:t>因此，本项目在路基施工期间将应进行洒水抑尘作业，有效减轻路基施工扬尘的起尘量并设置围挡的前提下，项目道路路基施工对沿线环境的影响较小。</w:t>
            </w:r>
          </w:p>
          <w:p>
            <w:pPr>
              <w:pStyle w:val="59"/>
              <w:ind w:firstLine="480"/>
              <w:jc w:val="left"/>
              <w:rPr>
                <w:color w:val="auto"/>
              </w:rPr>
            </w:pPr>
            <w:r>
              <w:rPr>
                <w:rFonts w:hint="eastAsia"/>
                <w:color w:val="auto"/>
              </w:rPr>
              <w:t>B.物料装卸、堆场扬尘</w:t>
            </w:r>
          </w:p>
          <w:p>
            <w:pPr>
              <w:pStyle w:val="59"/>
              <w:ind w:firstLine="480"/>
              <w:jc w:val="left"/>
              <w:rPr>
                <w:rFonts w:hint="eastAsia"/>
                <w:color w:val="auto"/>
              </w:rPr>
            </w:pPr>
            <w:r>
              <w:rPr>
                <w:rFonts w:hint="eastAsia"/>
                <w:color w:val="auto"/>
              </w:rPr>
              <w:t>物料堆场起尘速率与风速和物料堆的含水率有着密切的联系，另外比重小的物料容易受扰动而起尘，物料中小颗粒比例大时起尘量相应也大。堆场的扬尘包括料堆的风吹扬尘、装卸过程中因高差及物料抖动引起扬尘以及过往车辆带起路面积尘产生的二次扬尘等。若不采取有效防治措施，会对周围环境带来一定的影响。项目施工过程中应对材料堆放场做好防护工作，对可洒水物料进行表面洒水增湿，不可洒水物料进行防尘网膜覆盖，平稳物料装卸操作，及时清洁料场周围物料及降尘，可以有效地</w:t>
            </w:r>
            <w:r>
              <w:rPr>
                <w:rFonts w:hint="eastAsia"/>
                <w:color w:val="auto"/>
                <w:lang w:eastAsia="zh-CN"/>
              </w:rPr>
              <w:t>减少</w:t>
            </w:r>
            <w:r>
              <w:rPr>
                <w:rFonts w:hint="eastAsia"/>
                <w:color w:val="auto"/>
              </w:rPr>
              <w:t>料场粉尘环境影响。</w:t>
            </w:r>
          </w:p>
          <w:p>
            <w:pPr>
              <w:pStyle w:val="59"/>
              <w:ind w:firstLine="482"/>
              <w:jc w:val="left"/>
              <w:rPr>
                <w:b/>
                <w:bCs/>
                <w:color w:val="auto"/>
                <w:highlight w:val="yellow"/>
              </w:rPr>
            </w:pPr>
            <w:r>
              <w:rPr>
                <w:rFonts w:hint="eastAsia"/>
                <w:b w:val="0"/>
                <w:bCs w:val="0"/>
                <w:color w:val="auto"/>
                <w:highlight w:val="none"/>
              </w:rPr>
              <w:fldChar w:fldCharType="begin"/>
            </w:r>
            <w:r>
              <w:rPr>
                <w:rFonts w:hint="eastAsia"/>
                <w:b w:val="0"/>
                <w:bCs w:val="0"/>
                <w:color w:val="auto"/>
                <w:highlight w:val="none"/>
              </w:rPr>
              <w:instrText xml:space="preserve"> = 4 \* GB3 \* MERGEFORMAT </w:instrText>
            </w:r>
            <w:r>
              <w:rPr>
                <w:rFonts w:hint="eastAsia"/>
                <w:b w:val="0"/>
                <w:bCs w:val="0"/>
                <w:color w:val="auto"/>
                <w:highlight w:val="none"/>
              </w:rPr>
              <w:fldChar w:fldCharType="separate"/>
            </w:r>
            <w:r>
              <w:rPr>
                <w:rFonts w:hint="eastAsia"/>
                <w:b w:val="0"/>
                <w:bCs w:val="0"/>
                <w:color w:val="auto"/>
                <w:highlight w:val="none"/>
              </w:rPr>
              <w:t>④</w:t>
            </w:r>
            <w:r>
              <w:rPr>
                <w:rFonts w:hint="eastAsia"/>
                <w:b w:val="0"/>
                <w:bCs w:val="0"/>
                <w:color w:val="auto"/>
                <w:highlight w:val="none"/>
              </w:rPr>
              <w:fldChar w:fldCharType="end"/>
            </w:r>
            <w:r>
              <w:rPr>
                <w:rFonts w:hint="eastAsia"/>
                <w:b w:val="0"/>
                <w:bCs w:val="0"/>
                <w:color w:val="auto"/>
                <w:highlight w:val="none"/>
              </w:rPr>
              <w:t>沥青烟</w:t>
            </w:r>
          </w:p>
          <w:p>
            <w:pPr>
              <w:pStyle w:val="59"/>
              <w:keepNext w:val="0"/>
              <w:keepLines w:val="0"/>
              <w:pageBreakBefore w:val="0"/>
              <w:widowControl w:val="0"/>
              <w:kinsoku/>
              <w:wordWrap w:val="0"/>
              <w:overflowPunct/>
              <w:topLinePunct w:val="0"/>
              <w:autoSpaceDE/>
              <w:autoSpaceDN/>
              <w:bidi w:val="0"/>
              <w:adjustRightInd w:val="0"/>
              <w:snapToGrid w:val="0"/>
              <w:ind w:firstLine="480"/>
              <w:jc w:val="both"/>
              <w:textAlignment w:val="auto"/>
              <w:rPr>
                <w:rFonts w:hint="eastAsia"/>
                <w:color w:val="auto"/>
              </w:rPr>
            </w:pPr>
            <w:r>
              <w:rPr>
                <w:rFonts w:hint="eastAsia"/>
                <w:color w:val="auto"/>
              </w:rPr>
              <w:t>本项目路面采用沥青混凝土路面，所用沥青均为外购成品，项目实施过程中不设沥青搅拌站，因此，本项目只是在沥青铺设过程中产生少量沥青烟气，主要污染因子是沥青烟和苯并[a]芘，对沿线居民影响较小，对操作人员影响较大。摊铺时，沥青烟在130℃挥发形成烟。但当沥青由压路机压实并经10</w:t>
            </w:r>
            <w:r>
              <w:rPr>
                <w:rFonts w:hint="eastAsia"/>
                <w:color w:val="auto"/>
                <w:lang w:eastAsia="zh-CN"/>
              </w:rPr>
              <w:t>～</w:t>
            </w:r>
            <w:r>
              <w:rPr>
                <w:rFonts w:hint="eastAsia"/>
                <w:color w:val="auto"/>
              </w:rPr>
              <w:t>20min左右自然冷却后，沥青混合料温度降至82℃以下，沥青烟将明显减弱，待沥青基本凝固，沥青烟也随即消失，对大气环境的影响较小。</w:t>
            </w:r>
          </w:p>
          <w:p>
            <w:pPr>
              <w:pStyle w:val="59"/>
              <w:keepNext w:val="0"/>
              <w:keepLines w:val="0"/>
              <w:pageBreakBefore w:val="0"/>
              <w:widowControl w:val="0"/>
              <w:numPr>
                <w:ilvl w:val="0"/>
                <w:numId w:val="0"/>
              </w:numPr>
              <w:kinsoku/>
              <w:wordWrap w:val="0"/>
              <w:overflowPunct/>
              <w:topLinePunct w:val="0"/>
              <w:autoSpaceDE/>
              <w:autoSpaceDN/>
              <w:bidi w:val="0"/>
              <w:adjustRightInd w:val="0"/>
              <w:snapToGrid w:val="0"/>
              <w:ind w:leftChars="200"/>
              <w:jc w:val="both"/>
              <w:textAlignment w:val="auto"/>
              <w:rPr>
                <w:rFonts w:hint="eastAsia"/>
                <w:color w:val="auto"/>
              </w:rPr>
            </w:pPr>
            <w:r>
              <w:rPr>
                <w:rFonts w:hint="eastAsia"/>
                <w:color w:val="auto"/>
              </w:rPr>
              <w:fldChar w:fldCharType="begin"/>
            </w:r>
            <w:r>
              <w:rPr>
                <w:rFonts w:hint="eastAsia"/>
                <w:color w:val="auto"/>
              </w:rPr>
              <w:instrText xml:space="preserve"> = 5 \* GB3 \* MERGEFORMAT </w:instrText>
            </w:r>
            <w:r>
              <w:rPr>
                <w:rFonts w:hint="eastAsia"/>
                <w:color w:val="auto"/>
              </w:rPr>
              <w:fldChar w:fldCharType="separate"/>
            </w:r>
            <w:r>
              <w:rPr>
                <w:rFonts w:hint="eastAsia"/>
                <w:color w:val="auto"/>
              </w:rPr>
              <w:t>⑤</w:t>
            </w:r>
            <w:r>
              <w:rPr>
                <w:rFonts w:hint="eastAsia"/>
                <w:color w:val="auto"/>
              </w:rPr>
              <w:fldChar w:fldCharType="end"/>
            </w:r>
            <w:r>
              <w:rPr>
                <w:rFonts w:hint="eastAsia"/>
                <w:color w:val="auto"/>
              </w:rPr>
              <w:t>管道焊接烟尘</w:t>
            </w:r>
          </w:p>
          <w:p>
            <w:pPr>
              <w:pStyle w:val="59"/>
              <w:keepNext w:val="0"/>
              <w:keepLines w:val="0"/>
              <w:pageBreakBefore w:val="0"/>
              <w:widowControl w:val="0"/>
              <w:numPr>
                <w:ilvl w:val="0"/>
                <w:numId w:val="0"/>
              </w:numPr>
              <w:kinsoku/>
              <w:wordWrap w:val="0"/>
              <w:overflowPunct/>
              <w:topLinePunct w:val="0"/>
              <w:autoSpaceDE/>
              <w:autoSpaceDN/>
              <w:bidi w:val="0"/>
              <w:adjustRightInd w:val="0"/>
              <w:snapToGrid w:val="0"/>
              <w:ind w:firstLine="480" w:firstLineChars="200"/>
              <w:jc w:val="both"/>
              <w:textAlignment w:val="auto"/>
              <w:rPr>
                <w:rFonts w:hint="eastAsia"/>
                <w:color w:val="auto"/>
              </w:rPr>
            </w:pPr>
            <w:r>
              <w:rPr>
                <w:rFonts w:hint="eastAsia"/>
                <w:color w:val="auto"/>
              </w:rPr>
              <w:t>管线焊接过程中将会产生少量焊接烟气。由于焊接烟气分散于各个焊接点，且产生量较小，能迅速扩散。因此，焊接烟气对大气环境的影响较小。</w:t>
            </w:r>
          </w:p>
          <w:p>
            <w:pPr>
              <w:pStyle w:val="59"/>
              <w:keepNext w:val="0"/>
              <w:keepLines w:val="0"/>
              <w:pageBreakBefore w:val="0"/>
              <w:widowControl w:val="0"/>
              <w:numPr>
                <w:ilvl w:val="0"/>
                <w:numId w:val="0"/>
              </w:numPr>
              <w:kinsoku/>
              <w:wordWrap w:val="0"/>
              <w:overflowPunct/>
              <w:topLinePunct w:val="0"/>
              <w:autoSpaceDE/>
              <w:autoSpaceDN/>
              <w:bidi w:val="0"/>
              <w:adjustRightInd w:val="0"/>
              <w:snapToGrid w:val="0"/>
              <w:ind w:firstLine="480" w:firstLineChars="200"/>
              <w:jc w:val="both"/>
              <w:textAlignment w:val="auto"/>
              <w:rPr>
                <w:rFonts w:hint="eastAsia"/>
                <w:color w:val="auto"/>
              </w:rPr>
            </w:pPr>
            <w:r>
              <w:rPr>
                <w:rFonts w:hint="eastAsia"/>
                <w:color w:val="auto"/>
              </w:rPr>
              <w:t>综上，施工期间虽然会对周边环境产生一些不利的影响，但在落实环保措施并加强施工管理的前提下，可使施工期对周围环境以及敏感目标的影响降低到最小程度，且施工过程是短暂的，施工期影响将随着施工结束而消失。</w:t>
            </w:r>
          </w:p>
          <w:p>
            <w:pPr>
              <w:pStyle w:val="59"/>
              <w:keepNext w:val="0"/>
              <w:keepLines w:val="0"/>
              <w:pageBreakBefore w:val="0"/>
              <w:widowControl w:val="0"/>
              <w:kinsoku/>
              <w:wordWrap/>
              <w:overflowPunct/>
              <w:topLinePunct w:val="0"/>
              <w:autoSpaceDE/>
              <w:autoSpaceDN/>
              <w:bidi w:val="0"/>
              <w:adjustRightInd w:val="0"/>
              <w:snapToGrid w:val="0"/>
              <w:ind w:firstLine="482" w:firstLineChars="200"/>
              <w:jc w:val="left"/>
              <w:textAlignment w:val="auto"/>
              <w:rPr>
                <w:b/>
                <w:bCs/>
                <w:color w:val="auto"/>
              </w:rPr>
            </w:pPr>
            <w:r>
              <w:rPr>
                <w:rFonts w:hint="eastAsia"/>
                <w:b/>
                <w:bCs/>
                <w:color w:val="auto"/>
                <w:lang w:val="en-US" w:eastAsia="zh-CN"/>
              </w:rPr>
              <w:t>2、</w:t>
            </w:r>
            <w:r>
              <w:rPr>
                <w:rFonts w:hint="eastAsia"/>
                <w:b/>
                <w:bCs/>
                <w:color w:val="auto"/>
              </w:rPr>
              <w:t>施工期水环境影响分析</w:t>
            </w:r>
          </w:p>
          <w:p>
            <w:pPr>
              <w:pStyle w:val="59"/>
              <w:ind w:firstLine="480"/>
              <w:jc w:val="left"/>
              <w:rPr>
                <w:rFonts w:hint="eastAsia"/>
                <w:color w:val="auto"/>
              </w:rPr>
            </w:pPr>
            <w:r>
              <w:rPr>
                <w:rFonts w:hint="eastAsia"/>
                <w:color w:val="auto"/>
              </w:rPr>
              <w:t>施工期的废水主要来自施工机械冲洗废水、</w:t>
            </w:r>
            <w:r>
              <w:rPr>
                <w:rFonts w:hint="eastAsia"/>
                <w:color w:val="auto"/>
                <w:lang w:val="en-US" w:eastAsia="zh-CN"/>
              </w:rPr>
              <w:t>管道闭水试验用水、</w:t>
            </w:r>
            <w:r>
              <w:rPr>
                <w:rFonts w:hint="eastAsia"/>
                <w:color w:val="auto"/>
              </w:rPr>
              <w:t>施工人员日常生活污水。</w:t>
            </w:r>
          </w:p>
          <w:p>
            <w:pPr>
              <w:pStyle w:val="59"/>
              <w:ind w:firstLine="480"/>
              <w:jc w:val="left"/>
              <w:rPr>
                <w:rFonts w:hint="eastAsia" w:eastAsia="宋体"/>
                <w:color w:val="auto"/>
                <w:lang w:val="en-US" w:eastAsia="zh-CN"/>
              </w:rPr>
            </w:pPr>
            <w:r>
              <w:rPr>
                <w:rFonts w:hint="eastAsia"/>
                <w:color w:val="auto"/>
              </w:rPr>
              <w:t>①施工机械冲洗</w:t>
            </w:r>
            <w:r>
              <w:rPr>
                <w:rFonts w:hint="eastAsia"/>
                <w:color w:val="auto"/>
                <w:lang w:val="en-US" w:eastAsia="zh-CN"/>
              </w:rPr>
              <w:t>废水</w:t>
            </w:r>
          </w:p>
          <w:p>
            <w:pPr>
              <w:pStyle w:val="59"/>
              <w:keepNext w:val="0"/>
              <w:keepLines w:val="0"/>
              <w:pageBreakBefore w:val="0"/>
              <w:widowControl w:val="0"/>
              <w:kinsoku/>
              <w:wordWrap w:val="0"/>
              <w:overflowPunct/>
              <w:topLinePunct w:val="0"/>
              <w:autoSpaceDE/>
              <w:autoSpaceDN/>
              <w:bidi w:val="0"/>
              <w:adjustRightInd w:val="0"/>
              <w:snapToGrid w:val="0"/>
              <w:ind w:firstLine="480"/>
              <w:jc w:val="left"/>
              <w:textAlignment w:val="auto"/>
              <w:rPr>
                <w:rFonts w:hint="eastAsia"/>
                <w:color w:val="auto"/>
              </w:rPr>
            </w:pPr>
            <w:r>
              <w:rPr>
                <w:rFonts w:hint="eastAsia"/>
                <w:color w:val="auto"/>
              </w:rPr>
              <w:t>机械、车辆冲洗废水中主要污染成分为SS，洗车废水中SS浓度约为300</w:t>
            </w:r>
            <w:r>
              <w:rPr>
                <w:rFonts w:hint="eastAsia"/>
                <w:color w:val="auto"/>
                <w:lang w:eastAsia="zh-CN"/>
              </w:rPr>
              <w:t>—</w:t>
            </w:r>
            <w:r>
              <w:rPr>
                <w:rFonts w:hint="eastAsia"/>
                <w:color w:val="auto"/>
              </w:rPr>
              <w:t>500mg/L。施工高峰期各类机械车辆约有20台（辆），清洗频率2次/辆</w:t>
            </w:r>
            <w:r>
              <w:rPr>
                <w:b/>
                <w:bCs/>
                <w:color w:val="auto"/>
              </w:rPr>
              <w:t>·</w:t>
            </w:r>
            <w:r>
              <w:rPr>
                <w:rFonts w:hint="eastAsia"/>
                <w:color w:val="auto"/>
              </w:rPr>
              <w:t>天，参考《陕西省行业用水定额》（DB61/T 943-2020）中循环用水冲洗：大型车用水量55L/辆</w:t>
            </w:r>
            <w:r>
              <w:rPr>
                <w:b/>
                <w:bCs/>
                <w:color w:val="auto"/>
              </w:rPr>
              <w:t>·</w:t>
            </w:r>
            <w:r>
              <w:rPr>
                <w:rFonts w:hint="eastAsia"/>
                <w:color w:val="auto"/>
              </w:rPr>
              <w:t>次，中型车用水量45L/辆</w:t>
            </w:r>
            <w:r>
              <w:rPr>
                <w:b/>
                <w:bCs/>
                <w:color w:val="auto"/>
              </w:rPr>
              <w:t>·</w:t>
            </w:r>
            <w:r>
              <w:rPr>
                <w:rFonts w:hint="eastAsia"/>
                <w:color w:val="auto"/>
              </w:rPr>
              <w:t>次，结合《公路建设项目环境影响评价规范》（JTGB03-2006）“货车冲洗用水量40</w:t>
            </w:r>
            <w:r>
              <w:rPr>
                <w:rFonts w:hint="eastAsia"/>
                <w:color w:val="auto"/>
                <w:lang w:eastAsia="zh-CN"/>
              </w:rPr>
              <w:t>—</w:t>
            </w:r>
            <w:r>
              <w:rPr>
                <w:rFonts w:hint="eastAsia"/>
                <w:color w:val="auto"/>
              </w:rPr>
              <w:t>80L/车</w:t>
            </w:r>
            <w:r>
              <w:rPr>
                <w:b/>
                <w:bCs/>
                <w:color w:val="auto"/>
              </w:rPr>
              <w:t>·</w:t>
            </w:r>
            <w:r>
              <w:rPr>
                <w:rFonts w:hint="eastAsia"/>
                <w:color w:val="auto"/>
              </w:rPr>
              <w:t>次”，本次环评取50L/辆</w:t>
            </w:r>
            <w:r>
              <w:rPr>
                <w:b/>
                <w:bCs/>
                <w:color w:val="auto"/>
              </w:rPr>
              <w:t>·</w:t>
            </w:r>
            <w:r>
              <w:rPr>
                <w:rFonts w:hint="eastAsia"/>
                <w:color w:val="auto"/>
              </w:rPr>
              <w:t>次，则项目车辆冲洗用水2m</w:t>
            </w:r>
            <w:r>
              <w:rPr>
                <w:rFonts w:hint="eastAsia"/>
                <w:color w:val="auto"/>
                <w:vertAlign w:val="superscript"/>
              </w:rPr>
              <w:t>3</w:t>
            </w:r>
            <w:r>
              <w:rPr>
                <w:rFonts w:hint="eastAsia"/>
                <w:color w:val="auto"/>
              </w:rPr>
              <w:t>/d。在道路施工场地内设</w:t>
            </w:r>
            <w:r>
              <w:rPr>
                <w:rFonts w:hint="eastAsia"/>
                <w:color w:val="auto"/>
                <w:lang w:val="en-US" w:eastAsia="zh-CN"/>
              </w:rPr>
              <w:t>三级</w:t>
            </w:r>
            <w:r>
              <w:rPr>
                <w:rFonts w:hint="eastAsia"/>
                <w:color w:val="auto"/>
              </w:rPr>
              <w:t>沉淀池进行收集、沉淀后用于降尘、洒水，不外排。</w:t>
            </w:r>
          </w:p>
          <w:p>
            <w:pPr>
              <w:pStyle w:val="59"/>
              <w:keepNext w:val="0"/>
              <w:keepLines w:val="0"/>
              <w:pageBreakBefore w:val="0"/>
              <w:widowControl w:val="0"/>
              <w:kinsoku/>
              <w:wordWrap w:val="0"/>
              <w:overflowPunct/>
              <w:topLinePunct w:val="0"/>
              <w:autoSpaceDE/>
              <w:autoSpaceDN/>
              <w:bidi w:val="0"/>
              <w:adjustRightInd w:val="0"/>
              <w:snapToGrid w:val="0"/>
              <w:ind w:firstLine="480"/>
              <w:jc w:val="left"/>
              <w:textAlignment w:val="auto"/>
              <w:rPr>
                <w:rFonts w:hint="eastAsia"/>
                <w:color w:val="auto"/>
              </w:rPr>
            </w:pPr>
            <w:r>
              <w:rPr>
                <w:rFonts w:hint="eastAsia"/>
                <w:color w:val="auto"/>
              </w:rPr>
              <w:t>②</w:t>
            </w:r>
            <w:r>
              <w:rPr>
                <w:rFonts w:hint="eastAsia"/>
                <w:color w:val="auto"/>
                <w:lang w:val="en-US" w:eastAsia="zh-CN"/>
              </w:rPr>
              <w:t>管道闭水试验</w:t>
            </w:r>
            <w:r>
              <w:rPr>
                <w:rFonts w:hint="eastAsia"/>
                <w:color w:val="auto"/>
              </w:rPr>
              <w:t>废水</w:t>
            </w:r>
          </w:p>
          <w:p>
            <w:pPr>
              <w:pStyle w:val="59"/>
              <w:keepNext w:val="0"/>
              <w:keepLines w:val="0"/>
              <w:pageBreakBefore w:val="0"/>
              <w:widowControl w:val="0"/>
              <w:kinsoku/>
              <w:wordWrap w:val="0"/>
              <w:overflowPunct/>
              <w:topLinePunct w:val="0"/>
              <w:autoSpaceDE/>
              <w:autoSpaceDN/>
              <w:bidi w:val="0"/>
              <w:adjustRightInd w:val="0"/>
              <w:snapToGrid w:val="0"/>
              <w:ind w:firstLine="480"/>
              <w:jc w:val="left"/>
              <w:textAlignment w:val="auto"/>
              <w:rPr>
                <w:rFonts w:hint="eastAsia"/>
                <w:color w:val="auto"/>
              </w:rPr>
            </w:pPr>
            <w:r>
              <w:rPr>
                <w:rFonts w:hint="eastAsia"/>
                <w:color w:val="auto"/>
              </w:rPr>
              <w:t>管道铺设完成后需进行闭水试验，闭水试验采用自来水，分段试验，产生的废水量较少，主要污染物是SS，无其他特殊污染物。废水可直接用于路面洒水或道路两侧植被绿化。</w:t>
            </w:r>
          </w:p>
          <w:p>
            <w:pPr>
              <w:pStyle w:val="59"/>
              <w:keepNext w:val="0"/>
              <w:keepLines w:val="0"/>
              <w:pageBreakBefore w:val="0"/>
              <w:widowControl w:val="0"/>
              <w:kinsoku/>
              <w:wordWrap w:val="0"/>
              <w:overflowPunct/>
              <w:topLinePunct w:val="0"/>
              <w:autoSpaceDE/>
              <w:autoSpaceDN/>
              <w:bidi w:val="0"/>
              <w:adjustRightInd w:val="0"/>
              <w:snapToGrid w:val="0"/>
              <w:ind w:firstLine="480"/>
              <w:jc w:val="left"/>
              <w:textAlignment w:val="auto"/>
              <w:rPr>
                <w:rFonts w:hint="eastAsia"/>
                <w:color w:val="auto"/>
              </w:rPr>
            </w:pPr>
            <w:r>
              <w:rPr>
                <w:rFonts w:hint="eastAsia"/>
                <w:color w:val="auto"/>
              </w:rPr>
              <w:t>②生活污水</w:t>
            </w:r>
          </w:p>
          <w:p>
            <w:pPr>
              <w:pStyle w:val="59"/>
              <w:keepNext w:val="0"/>
              <w:keepLines w:val="0"/>
              <w:pageBreakBefore w:val="0"/>
              <w:widowControl w:val="0"/>
              <w:kinsoku/>
              <w:wordWrap w:val="0"/>
              <w:overflowPunct/>
              <w:topLinePunct w:val="0"/>
              <w:autoSpaceDE/>
              <w:autoSpaceDN/>
              <w:bidi w:val="0"/>
              <w:adjustRightInd w:val="0"/>
              <w:snapToGrid w:val="0"/>
              <w:ind w:firstLine="480"/>
              <w:jc w:val="left"/>
              <w:textAlignment w:val="auto"/>
              <w:rPr>
                <w:rFonts w:hint="eastAsia"/>
                <w:color w:val="auto"/>
                <w:lang w:val="en-US" w:eastAsia="zh-CN"/>
              </w:rPr>
            </w:pPr>
            <w:r>
              <w:rPr>
                <w:rFonts w:hint="eastAsia"/>
                <w:color w:val="auto"/>
              </w:rPr>
              <w:t>施工期生活污水主要来自施工人员。</w:t>
            </w:r>
            <w:r>
              <w:rPr>
                <w:rFonts w:hint="eastAsia"/>
                <w:color w:val="auto"/>
                <w:lang w:val="en-US" w:eastAsia="zh-CN"/>
              </w:rPr>
              <w:t>本项目周边基础设施便利，因此项目施工过程中不设置施工营地，工人食宿问题依托周边公辅设施。</w:t>
            </w:r>
          </w:p>
          <w:p>
            <w:pPr>
              <w:pStyle w:val="59"/>
              <w:keepNext w:val="0"/>
              <w:keepLines w:val="0"/>
              <w:pageBreakBefore w:val="0"/>
              <w:widowControl w:val="0"/>
              <w:kinsoku/>
              <w:wordWrap w:val="0"/>
              <w:overflowPunct/>
              <w:topLinePunct w:val="0"/>
              <w:autoSpaceDE/>
              <w:autoSpaceDN/>
              <w:bidi w:val="0"/>
              <w:adjustRightInd w:val="0"/>
              <w:snapToGrid w:val="0"/>
              <w:ind w:firstLine="480"/>
              <w:jc w:val="left"/>
              <w:textAlignment w:val="auto"/>
              <w:rPr>
                <w:color w:val="auto"/>
              </w:rPr>
            </w:pPr>
            <w:r>
              <w:rPr>
                <w:rFonts w:hint="eastAsia"/>
                <w:color w:val="auto"/>
                <w:lang w:val="en-US" w:eastAsia="zh-CN"/>
              </w:rPr>
              <w:t>综上，施工期废水对周围环境影响较小。</w:t>
            </w:r>
          </w:p>
          <w:p>
            <w:pPr>
              <w:pStyle w:val="59"/>
              <w:keepNext w:val="0"/>
              <w:keepLines w:val="0"/>
              <w:pageBreakBefore w:val="0"/>
              <w:widowControl w:val="0"/>
              <w:kinsoku/>
              <w:wordWrap/>
              <w:overflowPunct/>
              <w:topLinePunct w:val="0"/>
              <w:autoSpaceDE/>
              <w:autoSpaceDN/>
              <w:bidi w:val="0"/>
              <w:adjustRightInd w:val="0"/>
              <w:snapToGrid w:val="0"/>
              <w:ind w:firstLine="482" w:firstLineChars="200"/>
              <w:jc w:val="left"/>
              <w:textAlignment w:val="auto"/>
              <w:rPr>
                <w:b/>
                <w:bCs/>
                <w:color w:val="auto"/>
              </w:rPr>
            </w:pPr>
            <w:r>
              <w:rPr>
                <w:rFonts w:hint="eastAsia"/>
                <w:b/>
                <w:bCs/>
                <w:color w:val="auto"/>
                <w:lang w:val="en-US" w:eastAsia="zh-CN"/>
              </w:rPr>
              <w:t>3、</w:t>
            </w:r>
            <w:r>
              <w:rPr>
                <w:rFonts w:hint="eastAsia"/>
                <w:b/>
                <w:bCs/>
                <w:color w:val="auto"/>
              </w:rPr>
              <w:t>施工期噪声影响分析</w:t>
            </w:r>
          </w:p>
          <w:p>
            <w:pPr>
              <w:pageBreakBefore w:val="0"/>
              <w:kinsoku/>
              <w:wordWrap/>
              <w:overflowPunct/>
              <w:topLinePunct w:val="0"/>
              <w:bidi w:val="0"/>
              <w:adjustRightInd/>
              <w:snapToGrid/>
              <w:spacing w:line="360" w:lineRule="auto"/>
              <w:ind w:left="0" w:leftChars="0" w:right="0" w:rightChars="0" w:firstLine="480" w:firstLineChars="200"/>
              <w:textAlignment w:val="auto"/>
              <w:outlineLvl w:val="0"/>
              <w:rPr>
                <w:rFonts w:hint="eastAsia" w:ascii="Times New Roman" w:hAnsi="Times New Roman" w:cs="Times New Roman"/>
                <w:bCs/>
                <w:color w:val="auto"/>
                <w:sz w:val="24"/>
                <w:szCs w:val="24"/>
                <w:highlight w:val="none"/>
                <w:lang w:eastAsia="zh-CN"/>
              </w:rPr>
            </w:pPr>
            <w:r>
              <w:rPr>
                <w:rFonts w:hint="eastAsia" w:ascii="Times New Roman" w:hAnsi="Times New Roman" w:cs="Times New Roman"/>
                <w:bCs/>
                <w:color w:val="auto"/>
                <w:sz w:val="24"/>
                <w:szCs w:val="24"/>
                <w:highlight w:val="none"/>
                <w:lang w:eastAsia="zh-CN"/>
              </w:rPr>
              <w:t>由噪声专项评价可知，在道路施工期间，</w:t>
            </w:r>
            <w:r>
              <w:rPr>
                <w:rFonts w:hint="default" w:ascii="Times New Roman" w:hAnsi="Times New Roman" w:cs="Times New Roman"/>
                <w:color w:val="auto"/>
                <w:sz w:val="24"/>
                <w:szCs w:val="24"/>
              </w:rPr>
              <w:t>噪声源主要来自</w:t>
            </w:r>
            <w:r>
              <w:rPr>
                <w:rFonts w:hint="eastAsia" w:ascii="Times New Roman" w:hAnsi="Times New Roman" w:cs="Times New Roman"/>
                <w:color w:val="auto"/>
                <w:sz w:val="24"/>
                <w:szCs w:val="24"/>
              </w:rPr>
              <w:t>各种施工作业，主要有筑路机械噪声、车辆运输噪声。</w:t>
            </w:r>
          </w:p>
          <w:p>
            <w:pPr>
              <w:pageBreakBefore w:val="0"/>
              <w:kinsoku/>
              <w:wordWrap/>
              <w:overflowPunct/>
              <w:topLinePunct w:val="0"/>
              <w:bidi w:val="0"/>
              <w:adjustRightInd/>
              <w:snapToGrid/>
              <w:spacing w:line="360" w:lineRule="auto"/>
              <w:ind w:left="0" w:leftChars="0" w:right="0" w:rightChars="0" w:firstLine="480" w:firstLineChars="200"/>
              <w:textAlignment w:val="auto"/>
              <w:outlineLvl w:val="0"/>
              <w:rPr>
                <w:rFonts w:hint="default" w:ascii="Times New Roman" w:hAnsi="Times New Roman" w:cs="Times New Roman"/>
                <w:bCs/>
                <w:color w:val="auto"/>
                <w:sz w:val="24"/>
                <w:szCs w:val="24"/>
                <w:highlight w:val="none"/>
                <w:lang w:eastAsia="zh-CN"/>
              </w:rPr>
            </w:pPr>
            <w:r>
              <w:rPr>
                <w:rFonts w:hint="default" w:ascii="Times New Roman" w:hAnsi="Times New Roman" w:cs="Times New Roman"/>
                <w:color w:val="auto"/>
                <w:kern w:val="0"/>
                <w:sz w:val="24"/>
                <w:szCs w:val="24"/>
              </w:rPr>
              <w:t>施工机械噪声在无遮挡情况下，如果使用</w:t>
            </w:r>
            <w:r>
              <w:rPr>
                <w:rFonts w:hint="eastAsia" w:cs="Times New Roman"/>
                <w:color w:val="auto"/>
                <w:kern w:val="0"/>
                <w:sz w:val="24"/>
                <w:szCs w:val="24"/>
                <w:lang w:val="en-US" w:eastAsia="zh-CN"/>
              </w:rPr>
              <w:t>多</w:t>
            </w:r>
            <w:r>
              <w:rPr>
                <w:rFonts w:hint="default" w:ascii="Times New Roman" w:hAnsi="Times New Roman" w:cs="Times New Roman"/>
                <w:color w:val="auto"/>
                <w:kern w:val="0"/>
                <w:sz w:val="24"/>
                <w:szCs w:val="24"/>
              </w:rPr>
              <w:t>台机械</w:t>
            </w:r>
            <w:r>
              <w:rPr>
                <w:rFonts w:hint="eastAsia" w:cs="Times New Roman"/>
                <w:color w:val="auto"/>
                <w:kern w:val="0"/>
                <w:sz w:val="24"/>
                <w:szCs w:val="24"/>
                <w:lang w:val="en-US" w:eastAsia="zh-CN"/>
              </w:rPr>
              <w:t>同时作业，施工噪声对施工场地周围50—280m范围内环境的会产生较大的影响</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特别是夜间施工时影响更为严重。为减轻施工噪声对敏感点的影响，施工单位应根据场界外敏感点的具体情况，合理规划施工过程与高噪声设备和工艺的使用时间，避开居民休息，在施工阶段应重点关注并采取必要的噪声控制措施（如设置施工围挡、移动式声屏障等），夜间禁止施工作业。</w:t>
            </w:r>
            <w:r>
              <w:rPr>
                <w:rFonts w:hint="default" w:ascii="Times New Roman" w:hAnsi="Times New Roman" w:cs="Times New Roman"/>
                <w:bCs/>
                <w:color w:val="auto"/>
                <w:sz w:val="24"/>
                <w:szCs w:val="24"/>
                <w:highlight w:val="none"/>
                <w:lang w:eastAsia="zh-CN"/>
              </w:rPr>
              <w:t>施工期噪声具有间歇性和暂时性，</w:t>
            </w:r>
            <w:r>
              <w:rPr>
                <w:rFonts w:hint="default" w:ascii="Times New Roman" w:hAnsi="Times New Roman" w:cs="Times New Roman"/>
                <w:color w:val="auto"/>
                <w:sz w:val="24"/>
                <w:szCs w:val="24"/>
              </w:rPr>
              <w:t>伴随着施工期完成，施工噪声影响随之消失</w:t>
            </w:r>
            <w:r>
              <w:rPr>
                <w:rFonts w:hint="default" w:ascii="Times New Roman" w:hAnsi="Times New Roman" w:cs="Times New Roman"/>
                <w:bCs/>
                <w:color w:val="auto"/>
                <w:sz w:val="24"/>
                <w:szCs w:val="24"/>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4、</w:t>
            </w:r>
            <w:r>
              <w:rPr>
                <w:rFonts w:hint="eastAsia"/>
                <w:b/>
                <w:bCs/>
                <w:color w:val="auto"/>
                <w:sz w:val="24"/>
                <w:szCs w:val="24"/>
              </w:rPr>
              <w:t>施工期固体废物环境影响分析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本项目施工过程中的固体废物主要为</w:t>
            </w:r>
            <w:r>
              <w:rPr>
                <w:rFonts w:hint="eastAsia"/>
                <w:color w:val="auto"/>
                <w:sz w:val="24"/>
                <w:szCs w:val="24"/>
                <w:lang w:val="en-US" w:eastAsia="zh-CN"/>
              </w:rPr>
              <w:t>施工</w:t>
            </w:r>
            <w:r>
              <w:rPr>
                <w:rFonts w:hint="eastAsia"/>
                <w:color w:val="auto"/>
                <w:sz w:val="24"/>
                <w:szCs w:val="24"/>
              </w:rPr>
              <w:t>建筑垃圾、土石方和施工人员生活垃圾</w:t>
            </w:r>
            <w:r>
              <w:rPr>
                <w:rFonts w:hint="eastAsia"/>
                <w:color w:val="auto"/>
                <w:sz w:val="24"/>
                <w:szCs w:val="24"/>
                <w:lang w:eastAsia="zh-CN"/>
              </w:rPr>
              <w:t>、</w:t>
            </w:r>
            <w:r>
              <w:rPr>
                <w:rFonts w:hint="eastAsia"/>
                <w:color w:val="auto"/>
                <w:sz w:val="24"/>
                <w:szCs w:val="24"/>
                <w:lang w:val="en-US" w:eastAsia="zh-CN"/>
              </w:rPr>
              <w:t>现有道路拆除产生的建筑垃圾</w:t>
            </w:r>
            <w:r>
              <w:rPr>
                <w:rFonts w:hint="eastAsia"/>
                <w:color w:val="auto"/>
                <w:sz w:val="24"/>
                <w:szCs w:val="24"/>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fldChar w:fldCharType="begin"/>
            </w:r>
            <w:r>
              <w:rPr>
                <w:rFonts w:hint="eastAsia"/>
                <w:color w:val="auto"/>
                <w:sz w:val="24"/>
                <w:szCs w:val="24"/>
              </w:rPr>
              <w:instrText xml:space="preserve"> = 1 \* GB3 \* MERGEFORMAT </w:instrText>
            </w:r>
            <w:r>
              <w:rPr>
                <w:rFonts w:hint="eastAsia"/>
                <w:color w:val="auto"/>
                <w:sz w:val="24"/>
                <w:szCs w:val="24"/>
              </w:rPr>
              <w:fldChar w:fldCharType="separate"/>
            </w:r>
            <w:r>
              <w:rPr>
                <w:color w:val="auto"/>
                <w:sz w:val="24"/>
                <w:szCs w:val="24"/>
              </w:rPr>
              <w:t>①</w:t>
            </w:r>
            <w:r>
              <w:rPr>
                <w:rFonts w:hint="eastAsia"/>
                <w:color w:val="auto"/>
                <w:sz w:val="24"/>
                <w:szCs w:val="24"/>
              </w:rPr>
              <w:fldChar w:fldCharType="end"/>
            </w:r>
            <w:r>
              <w:rPr>
                <w:rFonts w:hint="eastAsia"/>
                <w:color w:val="auto"/>
                <w:sz w:val="24"/>
                <w:szCs w:val="24"/>
              </w:rPr>
              <w:t>施工期生活垃圾</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本项目施工期平均施工人员约</w:t>
            </w:r>
            <w:r>
              <w:rPr>
                <w:rFonts w:hint="eastAsia"/>
                <w:color w:val="auto"/>
                <w:sz w:val="24"/>
                <w:szCs w:val="24"/>
                <w:lang w:val="en-US" w:eastAsia="zh-CN"/>
              </w:rPr>
              <w:t>36</w:t>
            </w:r>
            <w:r>
              <w:rPr>
                <w:rFonts w:hint="eastAsia"/>
                <w:color w:val="auto"/>
                <w:sz w:val="24"/>
                <w:szCs w:val="24"/>
              </w:rPr>
              <w:t>人，按每人每天产生生活垃圾0.5kg计，施工期生活垃圾产生量</w:t>
            </w:r>
            <w:r>
              <w:rPr>
                <w:rFonts w:hint="eastAsia"/>
                <w:color w:val="auto"/>
                <w:sz w:val="24"/>
                <w:szCs w:val="24"/>
                <w:lang w:val="en-US" w:eastAsia="zh-CN"/>
              </w:rPr>
              <w:t>18</w:t>
            </w:r>
            <w:r>
              <w:rPr>
                <w:rFonts w:hint="eastAsia"/>
                <w:color w:val="auto"/>
                <w:sz w:val="24"/>
                <w:szCs w:val="24"/>
              </w:rPr>
              <w:t>kg/d。设生活垃圾收集设施，集中收集施工生活垃圾，定期统一由</w:t>
            </w:r>
            <w:r>
              <w:rPr>
                <w:rFonts w:hint="eastAsia"/>
                <w:color w:val="auto"/>
                <w:sz w:val="24"/>
                <w:szCs w:val="24"/>
                <w:lang w:val="en-US" w:eastAsia="zh-CN"/>
              </w:rPr>
              <w:t>区域</w:t>
            </w:r>
            <w:r>
              <w:rPr>
                <w:rFonts w:hint="eastAsia"/>
                <w:color w:val="auto"/>
                <w:sz w:val="24"/>
                <w:szCs w:val="24"/>
              </w:rPr>
              <w:t>环卫部门清运处置。</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rPr>
              <w:fldChar w:fldCharType="begin"/>
            </w:r>
            <w:r>
              <w:rPr>
                <w:rFonts w:hint="eastAsia"/>
                <w:color w:val="auto"/>
                <w:sz w:val="24"/>
                <w:szCs w:val="24"/>
              </w:rPr>
              <w:instrText xml:space="preserve"> = 2 \* GB3 \* MERGEFORMAT </w:instrText>
            </w:r>
            <w:r>
              <w:rPr>
                <w:rFonts w:hint="eastAsia"/>
                <w:color w:val="auto"/>
                <w:sz w:val="24"/>
                <w:szCs w:val="24"/>
              </w:rPr>
              <w:fldChar w:fldCharType="separate"/>
            </w:r>
            <w:r>
              <w:rPr>
                <w:color w:val="auto"/>
                <w:sz w:val="24"/>
                <w:szCs w:val="24"/>
              </w:rPr>
              <w:t>②</w:t>
            </w:r>
            <w:r>
              <w:rPr>
                <w:rFonts w:hint="eastAsia"/>
                <w:color w:val="auto"/>
                <w:sz w:val="24"/>
                <w:szCs w:val="24"/>
              </w:rPr>
              <w:fldChar w:fldCharType="end"/>
            </w:r>
            <w:r>
              <w:rPr>
                <w:rFonts w:hint="eastAsia"/>
                <w:color w:val="auto"/>
                <w:sz w:val="24"/>
                <w:szCs w:val="24"/>
                <w:lang w:val="en-US" w:eastAsia="zh-CN"/>
              </w:rPr>
              <w:t>土石方平衡</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根据设计资料可知，本项目</w:t>
            </w:r>
            <w:r>
              <w:rPr>
                <w:rFonts w:hint="eastAsia" w:cs="宋体"/>
                <w:b w:val="0"/>
                <w:color w:val="auto"/>
                <w:kern w:val="0"/>
                <w:sz w:val="24"/>
                <w:szCs w:val="21"/>
                <w:highlight w:val="none"/>
                <w:lang w:val="en-US" w:eastAsia="zh-CN" w:bidi="ar-SA"/>
              </w:rPr>
              <w:t>挖方约12703m</w:t>
            </w:r>
            <w:r>
              <w:rPr>
                <w:rFonts w:hint="eastAsia" w:cs="宋体"/>
                <w:b w:val="0"/>
                <w:color w:val="auto"/>
                <w:kern w:val="0"/>
                <w:sz w:val="24"/>
                <w:szCs w:val="21"/>
                <w:highlight w:val="none"/>
                <w:vertAlign w:val="superscript"/>
                <w:lang w:val="en-US" w:eastAsia="zh-CN" w:bidi="ar-SA"/>
              </w:rPr>
              <w:t>3</w:t>
            </w:r>
            <w:r>
              <w:rPr>
                <w:rFonts w:hint="eastAsia" w:cs="宋体"/>
                <w:b w:val="0"/>
                <w:color w:val="auto"/>
                <w:kern w:val="0"/>
                <w:sz w:val="24"/>
                <w:szCs w:val="21"/>
                <w:highlight w:val="none"/>
                <w:vertAlign w:val="baseline"/>
                <w:lang w:val="en-US" w:eastAsia="zh-CN" w:bidi="ar-SA"/>
              </w:rPr>
              <w:t>（含表土清理部分）</w:t>
            </w:r>
            <w:r>
              <w:rPr>
                <w:rFonts w:hint="eastAsia" w:cs="宋体"/>
                <w:b w:val="0"/>
                <w:color w:val="auto"/>
                <w:kern w:val="0"/>
                <w:sz w:val="24"/>
                <w:szCs w:val="21"/>
                <w:highlight w:val="none"/>
                <w:lang w:val="en-US" w:eastAsia="zh-CN" w:bidi="ar-SA"/>
              </w:rPr>
              <w:t>，填方约389203m</w:t>
            </w:r>
            <w:r>
              <w:rPr>
                <w:rFonts w:hint="eastAsia" w:cs="宋体"/>
                <w:b w:val="0"/>
                <w:color w:val="auto"/>
                <w:kern w:val="0"/>
                <w:sz w:val="24"/>
                <w:szCs w:val="21"/>
                <w:highlight w:val="none"/>
                <w:vertAlign w:val="superscript"/>
                <w:lang w:val="en-US" w:eastAsia="zh-CN" w:bidi="ar-SA"/>
              </w:rPr>
              <w:t>3</w:t>
            </w:r>
            <w:r>
              <w:rPr>
                <w:rFonts w:hint="eastAsia"/>
                <w:color w:val="auto"/>
                <w:sz w:val="24"/>
                <w:szCs w:val="24"/>
                <w:highlight w:val="none"/>
                <w:lang w:val="en-US" w:eastAsia="zh-CN"/>
              </w:rPr>
              <w:t>，具体见表4-3。</w:t>
            </w:r>
          </w:p>
          <w:p>
            <w:pPr>
              <w:bidi w:val="0"/>
              <w:jc w:val="center"/>
              <w:rPr>
                <w:rFonts w:hint="default"/>
                <w:b/>
                <w:bCs/>
                <w:color w:val="auto"/>
                <w:sz w:val="21"/>
                <w:szCs w:val="21"/>
                <w:highlight w:val="none"/>
                <w:lang w:val="en-US" w:eastAsia="zh-CN"/>
              </w:rPr>
            </w:pPr>
            <w:r>
              <w:rPr>
                <w:rFonts w:hint="eastAsia"/>
                <w:b/>
                <w:bCs/>
                <w:color w:val="auto"/>
                <w:sz w:val="21"/>
                <w:szCs w:val="21"/>
                <w:highlight w:val="none"/>
                <w:lang w:val="en-US" w:eastAsia="zh-CN"/>
              </w:rPr>
              <w:t>表4-3    项目土石方平衡表   单位：</w:t>
            </w:r>
            <w:r>
              <w:rPr>
                <w:rFonts w:hint="eastAsia" w:ascii="Times New Roman" w:eastAsia="宋体"/>
                <w:b/>
                <w:bCs/>
                <w:color w:val="auto"/>
                <w:sz w:val="21"/>
                <w:szCs w:val="21"/>
                <w:highlight w:val="none"/>
                <w:lang w:val="en-US" w:eastAsia="zh-CN"/>
              </w:rPr>
              <w:t>m</w:t>
            </w:r>
            <w:r>
              <w:rPr>
                <w:rFonts w:hint="eastAsia" w:ascii="Times New Roman" w:eastAsia="宋体"/>
                <w:b/>
                <w:bCs/>
                <w:color w:val="auto"/>
                <w:sz w:val="21"/>
                <w:szCs w:val="21"/>
                <w:highlight w:val="none"/>
                <w:vertAlign w:val="superscript"/>
                <w:lang w:val="en-US" w:eastAsia="zh-CN"/>
              </w:rPr>
              <w:t>3</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44"/>
              <w:gridCol w:w="1968"/>
              <w:gridCol w:w="2130"/>
              <w:gridCol w:w="2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44" w:type="dxa"/>
                  <w:tcBorders>
                    <w:tl2br w:val="nil"/>
                    <w:tr2bl w:val="nil"/>
                  </w:tcBorders>
                  <w:noWrap w:val="0"/>
                  <w:vAlign w:val="center"/>
                </w:tcPr>
                <w:p>
                  <w:pPr>
                    <w:pStyle w:val="62"/>
                    <w:bidi w:val="0"/>
                    <w:rPr>
                      <w:rFonts w:hint="eastAsia"/>
                      <w:b/>
                      <w:bCs/>
                      <w:color w:val="auto"/>
                      <w:highlight w:val="none"/>
                      <w:lang w:eastAsia="zh-CN"/>
                    </w:rPr>
                  </w:pPr>
                  <w:r>
                    <w:rPr>
                      <w:rFonts w:hint="eastAsia"/>
                      <w:b/>
                      <w:bCs/>
                      <w:color w:val="auto"/>
                      <w:highlight w:val="none"/>
                      <w:lang w:eastAsia="zh-CN"/>
                    </w:rPr>
                    <w:t>项目</w:t>
                  </w:r>
                </w:p>
              </w:tc>
              <w:tc>
                <w:tcPr>
                  <w:tcW w:w="1968" w:type="dxa"/>
                  <w:tcBorders>
                    <w:tl2br w:val="nil"/>
                    <w:tr2bl w:val="nil"/>
                  </w:tcBorders>
                  <w:noWrap w:val="0"/>
                  <w:vAlign w:val="center"/>
                </w:tcPr>
                <w:p>
                  <w:pPr>
                    <w:pStyle w:val="62"/>
                    <w:ind w:firstLine="0" w:firstLineChars="0"/>
                    <w:rPr>
                      <w:rFonts w:hint="default"/>
                      <w:b/>
                      <w:bCs/>
                      <w:color w:val="auto"/>
                      <w:highlight w:val="none"/>
                    </w:rPr>
                  </w:pPr>
                  <w:r>
                    <w:rPr>
                      <w:rFonts w:hint="eastAsia"/>
                      <w:b/>
                      <w:bCs/>
                      <w:color w:val="auto"/>
                      <w:sz w:val="21"/>
                      <w:szCs w:val="21"/>
                      <w:highlight w:val="none"/>
                      <w:lang w:val="en-US" w:eastAsia="zh-CN"/>
                    </w:rPr>
                    <w:t>填方（m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w:t>
                  </w:r>
                </w:p>
              </w:tc>
              <w:tc>
                <w:tcPr>
                  <w:tcW w:w="2130" w:type="dxa"/>
                  <w:tcBorders>
                    <w:tl2br w:val="nil"/>
                    <w:tr2bl w:val="nil"/>
                  </w:tcBorders>
                  <w:noWrap w:val="0"/>
                  <w:vAlign w:val="center"/>
                </w:tcPr>
                <w:p>
                  <w:pPr>
                    <w:pStyle w:val="62"/>
                    <w:ind w:firstLine="0" w:firstLineChars="0"/>
                    <w:rPr>
                      <w:rFonts w:hint="default"/>
                      <w:b/>
                      <w:bCs/>
                      <w:color w:val="auto"/>
                      <w:highlight w:val="none"/>
                    </w:rPr>
                  </w:pPr>
                  <w:r>
                    <w:rPr>
                      <w:rFonts w:hint="eastAsia"/>
                      <w:b/>
                      <w:bCs/>
                      <w:color w:val="auto"/>
                      <w:sz w:val="21"/>
                      <w:szCs w:val="21"/>
                      <w:highlight w:val="none"/>
                      <w:lang w:val="en-US" w:eastAsia="zh-CN"/>
                    </w:rPr>
                    <w:t>挖</w:t>
                  </w:r>
                  <w:r>
                    <w:rPr>
                      <w:rFonts w:hint="eastAsia" w:ascii="Times New Roman" w:eastAsia="宋体"/>
                      <w:b/>
                      <w:bCs/>
                      <w:color w:val="auto"/>
                      <w:sz w:val="21"/>
                      <w:szCs w:val="21"/>
                      <w:highlight w:val="none"/>
                      <w:lang w:val="en-US" w:eastAsia="zh-CN"/>
                    </w:rPr>
                    <w:t>方（m</w:t>
                  </w:r>
                  <w:r>
                    <w:rPr>
                      <w:rFonts w:hint="eastAsia" w:ascii="Times New Roman" w:eastAsia="宋体"/>
                      <w:b/>
                      <w:bCs/>
                      <w:color w:val="auto"/>
                      <w:sz w:val="21"/>
                      <w:szCs w:val="21"/>
                      <w:highlight w:val="none"/>
                      <w:vertAlign w:val="superscript"/>
                      <w:lang w:val="en-US" w:eastAsia="zh-CN"/>
                    </w:rPr>
                    <w:t>3</w:t>
                  </w:r>
                  <w:r>
                    <w:rPr>
                      <w:rFonts w:hint="eastAsia" w:ascii="Times New Roman" w:eastAsia="宋体"/>
                      <w:b/>
                      <w:bCs/>
                      <w:color w:val="auto"/>
                      <w:sz w:val="21"/>
                      <w:szCs w:val="21"/>
                      <w:highlight w:val="none"/>
                      <w:lang w:val="en-US" w:eastAsia="zh-CN"/>
                    </w:rPr>
                    <w:t>）</w:t>
                  </w:r>
                </w:p>
              </w:tc>
              <w:tc>
                <w:tcPr>
                  <w:tcW w:w="2105" w:type="dxa"/>
                  <w:tcBorders>
                    <w:tl2br w:val="nil"/>
                    <w:tr2bl w:val="nil"/>
                  </w:tcBorders>
                  <w:noWrap w:val="0"/>
                  <w:vAlign w:val="center"/>
                </w:tcPr>
                <w:p>
                  <w:pPr>
                    <w:pStyle w:val="62"/>
                    <w:ind w:firstLine="0" w:firstLineChars="0"/>
                    <w:rPr>
                      <w:rFonts w:hint="eastAsia"/>
                      <w:b/>
                      <w:bCs/>
                      <w:color w:val="auto"/>
                      <w:highlight w:val="none"/>
                      <w:lang w:val="en-US" w:eastAsia="zh-CN"/>
                    </w:rPr>
                  </w:pPr>
                  <w:r>
                    <w:rPr>
                      <w:rFonts w:hint="eastAsia"/>
                      <w:b/>
                      <w:bCs/>
                      <w:color w:val="auto"/>
                      <w:sz w:val="21"/>
                      <w:szCs w:val="21"/>
                      <w:highlight w:val="none"/>
                      <w:lang w:val="en-US" w:eastAsia="zh-CN"/>
                    </w:rPr>
                    <w:t>外购土方</w:t>
                  </w:r>
                  <w:r>
                    <w:rPr>
                      <w:rFonts w:hint="eastAsia" w:ascii="Times New Roman" w:eastAsia="宋体"/>
                      <w:b/>
                      <w:bCs/>
                      <w:color w:val="auto"/>
                      <w:sz w:val="21"/>
                      <w:szCs w:val="21"/>
                      <w:highlight w:val="none"/>
                      <w:lang w:val="en-US" w:eastAsia="zh-CN"/>
                    </w:rPr>
                    <w:t>（m</w:t>
                  </w:r>
                  <w:r>
                    <w:rPr>
                      <w:rFonts w:hint="eastAsia" w:ascii="Times New Roman" w:eastAsia="宋体"/>
                      <w:b/>
                      <w:bCs/>
                      <w:color w:val="auto"/>
                      <w:sz w:val="21"/>
                      <w:szCs w:val="21"/>
                      <w:highlight w:val="none"/>
                      <w:vertAlign w:val="superscript"/>
                      <w:lang w:val="en-US" w:eastAsia="zh-CN"/>
                    </w:rPr>
                    <w:t>3</w:t>
                  </w:r>
                  <w:r>
                    <w:rPr>
                      <w:rFonts w:hint="eastAsia" w:ascii="Times New Roman" w:eastAsia="宋体"/>
                      <w:b/>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44" w:type="dxa"/>
                  <w:tcBorders>
                    <w:tl2br w:val="nil"/>
                    <w:tr2bl w:val="nil"/>
                  </w:tcBorders>
                  <w:noWrap w:val="0"/>
                  <w:vAlign w:val="center"/>
                </w:tcPr>
                <w:p>
                  <w:pPr>
                    <w:pStyle w:val="62"/>
                    <w:bidi w:val="0"/>
                    <w:rPr>
                      <w:rFonts w:hint="eastAsia"/>
                      <w:color w:val="auto"/>
                      <w:highlight w:val="none"/>
                      <w:lang w:eastAsia="zh-CN"/>
                    </w:rPr>
                  </w:pPr>
                  <w:r>
                    <w:rPr>
                      <w:rFonts w:hint="eastAsia"/>
                      <w:color w:val="auto"/>
                      <w:highlight w:val="none"/>
                      <w:lang w:eastAsia="zh-CN"/>
                    </w:rPr>
                    <w:t>土石方</w:t>
                  </w:r>
                </w:p>
              </w:tc>
              <w:tc>
                <w:tcPr>
                  <w:tcW w:w="1968" w:type="dxa"/>
                  <w:tcBorders>
                    <w:tl2br w:val="nil"/>
                    <w:tr2bl w:val="nil"/>
                  </w:tcBorders>
                  <w:noWrap w:val="0"/>
                  <w:vAlign w:val="center"/>
                </w:tcPr>
                <w:p>
                  <w:pPr>
                    <w:pStyle w:val="62"/>
                    <w:ind w:firstLine="0" w:firstLineChars="0"/>
                    <w:rPr>
                      <w:rFonts w:hint="default"/>
                      <w:color w:val="auto"/>
                      <w:highlight w:val="none"/>
                      <w:lang w:val="en-US" w:eastAsia="zh-CN"/>
                    </w:rPr>
                  </w:pPr>
                  <w:r>
                    <w:rPr>
                      <w:rFonts w:hint="eastAsia"/>
                      <w:color w:val="auto"/>
                      <w:sz w:val="21"/>
                      <w:szCs w:val="21"/>
                      <w:highlight w:val="none"/>
                      <w:lang w:val="en-US" w:eastAsia="zh-CN"/>
                    </w:rPr>
                    <w:t>389203</w:t>
                  </w:r>
                </w:p>
              </w:tc>
              <w:tc>
                <w:tcPr>
                  <w:tcW w:w="2130" w:type="dxa"/>
                  <w:tcBorders>
                    <w:tl2br w:val="nil"/>
                    <w:tr2bl w:val="nil"/>
                  </w:tcBorders>
                  <w:noWrap w:val="0"/>
                  <w:vAlign w:val="center"/>
                </w:tcPr>
                <w:p>
                  <w:pPr>
                    <w:pStyle w:val="62"/>
                    <w:ind w:firstLine="0" w:firstLineChars="0"/>
                    <w:rPr>
                      <w:rFonts w:hint="default"/>
                      <w:color w:val="auto"/>
                      <w:highlight w:val="none"/>
                      <w:lang w:val="en-US" w:eastAsia="zh-CN"/>
                    </w:rPr>
                  </w:pPr>
                  <w:r>
                    <w:rPr>
                      <w:rFonts w:hint="eastAsia"/>
                      <w:color w:val="auto"/>
                      <w:sz w:val="21"/>
                      <w:szCs w:val="21"/>
                      <w:highlight w:val="none"/>
                      <w:lang w:val="en-US" w:eastAsia="zh-CN"/>
                    </w:rPr>
                    <w:t>12703</w:t>
                  </w:r>
                </w:p>
              </w:tc>
              <w:tc>
                <w:tcPr>
                  <w:tcW w:w="2105" w:type="dxa"/>
                  <w:tcBorders>
                    <w:tl2br w:val="nil"/>
                    <w:tr2bl w:val="nil"/>
                  </w:tcBorders>
                  <w:noWrap w:val="0"/>
                  <w:vAlign w:val="center"/>
                </w:tcPr>
                <w:p>
                  <w:pPr>
                    <w:pStyle w:val="62"/>
                    <w:ind w:firstLine="0" w:firstLineChars="0"/>
                    <w:rPr>
                      <w:rFonts w:hint="default"/>
                      <w:color w:val="auto"/>
                      <w:highlight w:val="none"/>
                      <w:lang w:val="en-US" w:eastAsia="zh-CN"/>
                    </w:rPr>
                  </w:pPr>
                  <w:r>
                    <w:rPr>
                      <w:rFonts w:hint="eastAsia"/>
                      <w:color w:val="auto"/>
                      <w:sz w:val="21"/>
                      <w:szCs w:val="21"/>
                      <w:highlight w:val="none"/>
                      <w:lang w:val="en-US" w:eastAsia="zh-CN"/>
                    </w:rPr>
                    <w:t>376500</w:t>
                  </w:r>
                </w:p>
              </w:tc>
            </w:tr>
          </w:tbl>
          <w:p>
            <w:pPr>
              <w:keepNext w:val="0"/>
              <w:keepLines w:val="0"/>
              <w:pageBreakBefore w:val="0"/>
              <w:widowControl w:val="0"/>
              <w:kinsoku/>
              <w:wordWrap w:val="0"/>
              <w:overflowPunct/>
              <w:topLinePunct w:val="0"/>
              <w:autoSpaceDE/>
              <w:autoSpaceDN/>
              <w:bidi w:val="0"/>
              <w:adjustRightInd/>
              <w:snapToGrid/>
              <w:spacing w:before="157" w:beforeLines="50" w:line="360" w:lineRule="auto"/>
              <w:ind w:firstLine="480" w:firstLineChars="200"/>
              <w:textAlignment w:val="auto"/>
              <w:rPr>
                <w:rFonts w:hint="eastAsia"/>
                <w:color w:val="auto"/>
                <w:sz w:val="24"/>
                <w:szCs w:val="24"/>
              </w:rPr>
            </w:pPr>
            <w:r>
              <w:rPr>
                <w:rFonts w:hint="eastAsia"/>
                <w:color w:val="auto"/>
                <w:sz w:val="24"/>
                <w:szCs w:val="24"/>
              </w:rPr>
              <w:t>评价要求：路基挖方</w:t>
            </w:r>
            <w:r>
              <w:rPr>
                <w:rFonts w:hint="eastAsia"/>
                <w:color w:val="auto"/>
                <w:sz w:val="24"/>
                <w:szCs w:val="24"/>
                <w:lang w:val="en-US" w:eastAsia="zh-CN"/>
              </w:rPr>
              <w:t>12703</w:t>
            </w:r>
            <w:r>
              <w:rPr>
                <w:rFonts w:hint="eastAsia"/>
                <w:color w:val="auto"/>
                <w:sz w:val="24"/>
                <w:szCs w:val="24"/>
              </w:rPr>
              <w:t>m</w:t>
            </w:r>
            <w:r>
              <w:rPr>
                <w:rFonts w:hint="eastAsia"/>
                <w:color w:val="auto"/>
                <w:sz w:val="24"/>
                <w:szCs w:val="24"/>
                <w:vertAlign w:val="superscript"/>
              </w:rPr>
              <w:t>3</w:t>
            </w:r>
            <w:r>
              <w:rPr>
                <w:rFonts w:hint="eastAsia"/>
                <w:color w:val="auto"/>
                <w:sz w:val="24"/>
                <w:szCs w:val="24"/>
              </w:rPr>
              <w:t>，填方</w:t>
            </w:r>
            <w:r>
              <w:rPr>
                <w:rFonts w:hint="eastAsia"/>
                <w:color w:val="auto"/>
                <w:sz w:val="24"/>
                <w:szCs w:val="24"/>
                <w:lang w:val="en-US" w:eastAsia="zh-CN"/>
              </w:rPr>
              <w:t>389203</w:t>
            </w:r>
            <w:r>
              <w:rPr>
                <w:rFonts w:hint="eastAsia"/>
                <w:color w:val="auto"/>
                <w:sz w:val="24"/>
                <w:szCs w:val="24"/>
              </w:rPr>
              <w:t>m</w:t>
            </w:r>
            <w:r>
              <w:rPr>
                <w:rFonts w:hint="eastAsia"/>
                <w:color w:val="auto"/>
                <w:sz w:val="24"/>
                <w:szCs w:val="24"/>
                <w:vertAlign w:val="superscript"/>
              </w:rPr>
              <w:t>3</w:t>
            </w:r>
            <w:r>
              <w:rPr>
                <w:rFonts w:hint="eastAsia"/>
                <w:color w:val="auto"/>
                <w:sz w:val="24"/>
                <w:szCs w:val="24"/>
              </w:rPr>
              <w:t>，借方</w:t>
            </w:r>
            <w:r>
              <w:rPr>
                <w:rFonts w:hint="eastAsia"/>
                <w:color w:val="auto"/>
                <w:sz w:val="24"/>
                <w:szCs w:val="24"/>
                <w:lang w:val="en-US" w:eastAsia="zh-CN"/>
              </w:rPr>
              <w:t>376500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w:t>
            </w:r>
            <w:r>
              <w:rPr>
                <w:color w:val="auto"/>
                <w:sz w:val="24"/>
                <w:szCs w:val="24"/>
              </w:rPr>
              <w:t>项目</w:t>
            </w:r>
            <w:r>
              <w:rPr>
                <w:rFonts w:hint="eastAsia"/>
                <w:color w:val="auto"/>
                <w:sz w:val="24"/>
                <w:szCs w:val="24"/>
              </w:rPr>
              <w:t>挖</w:t>
            </w:r>
            <w:r>
              <w:rPr>
                <w:color w:val="auto"/>
                <w:sz w:val="24"/>
                <w:szCs w:val="24"/>
              </w:rPr>
              <w:t>方量</w:t>
            </w:r>
            <w:r>
              <w:rPr>
                <w:rFonts w:hint="eastAsia"/>
                <w:color w:val="auto"/>
                <w:sz w:val="24"/>
                <w:szCs w:val="24"/>
                <w:lang w:val="en-US" w:eastAsia="zh-CN"/>
              </w:rPr>
              <w:t>小于</w:t>
            </w:r>
            <w:r>
              <w:rPr>
                <w:rFonts w:hint="eastAsia"/>
                <w:color w:val="auto"/>
                <w:sz w:val="24"/>
                <w:szCs w:val="24"/>
              </w:rPr>
              <w:t>填</w:t>
            </w:r>
            <w:r>
              <w:rPr>
                <w:color w:val="auto"/>
                <w:sz w:val="24"/>
                <w:szCs w:val="24"/>
              </w:rPr>
              <w:t>方量，因此</w:t>
            </w:r>
            <w:r>
              <w:rPr>
                <w:rFonts w:hint="eastAsia"/>
                <w:color w:val="auto"/>
                <w:sz w:val="24"/>
                <w:szCs w:val="24"/>
                <w:lang w:val="en-US" w:eastAsia="zh-CN"/>
              </w:rPr>
              <w:t>需要外购土方进行回填。</w:t>
            </w:r>
            <w:r>
              <w:rPr>
                <w:rFonts w:hint="eastAsia"/>
                <w:color w:val="auto"/>
                <w:sz w:val="24"/>
                <w:szCs w:val="24"/>
                <w:lang w:val="en-US" w:eastAsia="zh-CN"/>
              </w:rPr>
              <w:t>挖方全部回用，项目土方堆放存放于道路红线范围内，不新增临时占地，并采取临时覆盖措施</w:t>
            </w:r>
            <w:r>
              <w:rPr>
                <w:rFonts w:hint="eastAsia"/>
                <w:color w:val="auto"/>
                <w:lang w:eastAsia="zh-CN"/>
              </w:rPr>
              <w:t>。</w:t>
            </w:r>
            <w:r>
              <w:rPr>
                <w:rFonts w:hint="eastAsia"/>
                <w:color w:val="auto"/>
                <w:sz w:val="24"/>
                <w:szCs w:val="24"/>
              </w:rPr>
              <w:t>运输</w:t>
            </w:r>
            <w:r>
              <w:rPr>
                <w:rFonts w:hint="eastAsia"/>
                <w:color w:val="auto"/>
                <w:sz w:val="24"/>
                <w:szCs w:val="24"/>
                <w:lang w:val="en-US" w:eastAsia="zh-CN"/>
              </w:rPr>
              <w:t>土方</w:t>
            </w:r>
            <w:r>
              <w:rPr>
                <w:rFonts w:hint="eastAsia"/>
                <w:color w:val="auto"/>
                <w:sz w:val="24"/>
                <w:szCs w:val="24"/>
              </w:rPr>
              <w:t>时，应选择对城市环境影响最小的运输路线；运输车上路前加强车体、车胎冲洗，装土适宜，防止沿路抛洒以及道路扬尘。同时工程承包方应对施工人员加强教育，不随意乱丢废弃物，保证施工人员生活区的环境卫生质量。</w:t>
            </w:r>
          </w:p>
          <w:p>
            <w:pPr>
              <w:pStyle w:val="56"/>
              <w:rPr>
                <w:color w:val="auto"/>
              </w:rPr>
            </w:pPr>
            <w:r>
              <w:rPr>
                <w:rFonts w:hint="eastAsia"/>
                <w:b w:val="0"/>
                <w:bCs/>
                <w:color w:val="auto"/>
                <w:highlight w:val="none"/>
                <w:lang w:val="en-US" w:eastAsia="zh-CN"/>
              </w:rPr>
              <w:t>③现有道路拆除产生的</w:t>
            </w:r>
            <w:r>
              <w:rPr>
                <w:rFonts w:hint="eastAsia"/>
                <w:color w:val="auto"/>
              </w:rPr>
              <w:t>建筑</w:t>
            </w:r>
            <w:r>
              <w:rPr>
                <w:color w:val="auto"/>
              </w:rPr>
              <w:t>垃圾</w:t>
            </w:r>
          </w:p>
          <w:p>
            <w:pPr>
              <w:pStyle w:val="56"/>
              <w:rPr>
                <w:rFonts w:ascii="Times New Roman" w:hAnsi="Times New Roman" w:eastAsia="宋体" w:cs="Times New Roman"/>
                <w:color w:val="auto"/>
              </w:rPr>
            </w:pPr>
            <w:r>
              <w:rPr>
                <w:rFonts w:hint="eastAsia"/>
                <w:color w:val="auto"/>
              </w:rPr>
              <w:t>项目施工拆迁建筑物</w:t>
            </w:r>
            <w:r>
              <w:rPr>
                <w:rFonts w:hint="eastAsia"/>
                <w:color w:val="auto"/>
                <w:lang w:val="en-US" w:eastAsia="zh-CN"/>
              </w:rPr>
              <w:t>250.4</w:t>
            </w:r>
            <w:r>
              <w:rPr>
                <w:color w:val="auto"/>
              </w:rPr>
              <w:t>m</w:t>
            </w:r>
            <w:r>
              <w:rPr>
                <w:color w:val="auto"/>
                <w:vertAlign w:val="superscript"/>
              </w:rPr>
              <w:t>2</w:t>
            </w:r>
            <w:r>
              <w:rPr>
                <w:color w:val="auto"/>
              </w:rPr>
              <w:t>，按每平方米折合0.9t的建筑垃圾计算，全线共产生建筑垃圾</w:t>
            </w:r>
            <w:r>
              <w:rPr>
                <w:rFonts w:hint="eastAsia"/>
                <w:color w:val="auto"/>
                <w:lang w:val="en-US" w:eastAsia="zh-CN"/>
              </w:rPr>
              <w:t>225.36</w:t>
            </w:r>
            <w:r>
              <w:rPr>
                <w:color w:val="auto"/>
              </w:rPr>
              <w:t>t。</w:t>
            </w:r>
            <w:r>
              <w:rPr>
                <w:rFonts w:hint="eastAsia" w:ascii="Times New Roman" w:hAnsi="Times New Roman" w:eastAsia="宋体" w:cs="Times New Roman"/>
                <w:color w:val="auto"/>
              </w:rPr>
              <w:t>拆迁所产生的建筑垃圾要加强管理，尽可能处理后回用。</w:t>
            </w:r>
            <w:r>
              <w:rPr>
                <w:rFonts w:hint="eastAsia" w:ascii="Times New Roman" w:hAnsi="Times New Roman" w:eastAsia="宋体" w:cs="Times New Roman"/>
                <w:color w:val="auto"/>
              </w:rPr>
              <w:t>本环评要求对拆迁建筑垃圾优先回用，剩余部分全部清运至</w:t>
            </w:r>
            <w:r>
              <w:rPr>
                <w:rFonts w:hint="eastAsia" w:cs="Times New Roman"/>
                <w:color w:val="auto"/>
                <w:lang w:val="en-US" w:eastAsia="zh-CN"/>
              </w:rPr>
              <w:t>主管部门指定场所</w:t>
            </w:r>
            <w:r>
              <w:rPr>
                <w:rFonts w:hint="eastAsia" w:ascii="Times New Roman" w:hAnsi="Times New Roman" w:eastAsia="宋体" w:cs="Times New Roman"/>
                <w:color w:val="auto"/>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④清基工程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w:t>
            </w:r>
            <w:r>
              <w:rPr>
                <w:rFonts w:hint="default"/>
                <w:color w:val="auto"/>
                <w:sz w:val="24"/>
                <w:szCs w:val="24"/>
                <w:lang w:val="en-US" w:eastAsia="zh-CN"/>
              </w:rPr>
              <w:t>清基包括植被清理和表土开挖。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植被清理是指清除本标范围内的树根、杂草、垃圾、废渣及监理人指明的其它障碍物。清理的边界须延伸至施工图所示最大开挖边线或建筑物基础边线外侧至少5.00m,堤脚线外0.5m。表土系指含细根须、草本植物及覆盖草等植物的表层有机土壤，泥碳土、杂填土等必须清除，并将开挖的表土运到监理指定的地点堆放。</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在采取以上措施后，施工固体废物不会对周围环境造成较大影响。</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5、施工期生态影响分析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工程为城市道路工程</w:t>
            </w:r>
            <w:r>
              <w:rPr>
                <w:rFonts w:hint="eastAsia"/>
                <w:color w:val="auto"/>
                <w:sz w:val="24"/>
                <w:szCs w:val="24"/>
                <w:lang w:val="en-US" w:eastAsia="zh-CN"/>
              </w:rPr>
              <w:t>建设</w:t>
            </w:r>
            <w:r>
              <w:rPr>
                <w:rFonts w:hint="default"/>
                <w:color w:val="auto"/>
                <w:sz w:val="24"/>
                <w:szCs w:val="24"/>
                <w:lang w:val="en-US" w:eastAsia="zh-CN"/>
              </w:rPr>
              <w:t>，其占地类型为城市已规划的</w:t>
            </w:r>
            <w:r>
              <w:rPr>
                <w:rFonts w:hint="eastAsia"/>
                <w:color w:val="auto"/>
                <w:sz w:val="24"/>
                <w:szCs w:val="24"/>
                <w:lang w:val="en-US" w:eastAsia="zh-CN"/>
              </w:rPr>
              <w:t>道路</w:t>
            </w:r>
            <w:r>
              <w:rPr>
                <w:rFonts w:hint="default"/>
                <w:color w:val="auto"/>
                <w:sz w:val="24"/>
                <w:szCs w:val="24"/>
                <w:lang w:val="en-US" w:eastAsia="zh-CN"/>
              </w:rPr>
              <w:t>用地。工程施工期路基土方开挖、机械碾压等活动会使地表土层结构松散，在大雨或暴雨天气下受地表径流的冲刷作用而发生水土流失，施工产生的弃土处置不当也可能发生水土流失，对周围环境产生一定的不利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本项目拟建项目线路总长约</w:t>
            </w:r>
            <w:r>
              <w:rPr>
                <w:rFonts w:hint="eastAsia"/>
                <w:color w:val="auto"/>
                <w:sz w:val="24"/>
                <w:szCs w:val="24"/>
                <w:highlight w:val="none"/>
                <w:lang w:val="en-US" w:eastAsia="zh-CN"/>
              </w:rPr>
              <w:t>3029.7</w:t>
            </w:r>
            <w:r>
              <w:rPr>
                <w:rFonts w:hint="default"/>
                <w:color w:val="auto"/>
                <w:sz w:val="24"/>
                <w:szCs w:val="24"/>
                <w:lang w:val="en-US" w:eastAsia="zh-CN"/>
              </w:rPr>
              <w:t>m，生态系统较为简单，所涉及区域为一般区域。</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①工程占地影响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本项目建设地周围交通方便，不设置施工便道和施工营地，沥青、混凝土等建筑材料均外购预拌成品，不设置搅拌合站。本工程施工占地均在道路红线内，无临时占地。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②对植被、动物的影响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道路用地范围现状植被为人工绿化植被，项目建设完成后及时对道路两侧进行绿化，项目的建设有益于占地范围内生物多样化，不会对生态环境产生明显影响。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项目所在区域已受到人为的干扰，无原始的自然生态环境，区域内的动物主要以鼠类、麻雀、燕子等为主，未发现国家、省级重点保护野生动物。施工期噪声及人类活动对其影响较小。</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③水土流失影响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default"/>
                <w:color w:val="auto"/>
                <w:sz w:val="24"/>
                <w:szCs w:val="24"/>
                <w:lang w:val="en-US" w:eastAsia="zh-CN"/>
              </w:rPr>
              <w:t>本项目施工期路基开挖等活动将会使地表土壤裸露，在大雨或暴雨天气下受地表径流的冲刷作用而发生水土流失，施工产生的弃土处置不当也易引发水土流失。因此施工期间应对开挖及土方严格管理，裸露区域及时采取遮盖、绿化等措施</w:t>
            </w:r>
            <w:r>
              <w:rPr>
                <w:rFonts w:hint="eastAsia"/>
                <w:color w:val="auto"/>
                <w:sz w:val="24"/>
                <w:szCs w:val="24"/>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④</w:t>
            </w:r>
            <w:r>
              <w:rPr>
                <w:rFonts w:hint="default"/>
                <w:color w:val="auto"/>
                <w:sz w:val="24"/>
                <w:szCs w:val="24"/>
                <w:lang w:val="en-US" w:eastAsia="zh-CN"/>
              </w:rPr>
              <w:t>表土剥离数量、施工方式和利用方向</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拟建公路施工期间共需永久占用耕地，其表层土壤质量较好，具有一定的肥力。在施工中，如果对这一剥离的肥沃土层不加以保护，则工程施工造成的土壤肥力破坏较为严重，土壤养分损失也相当大，这将增加后期绿化建设及当地土地复垦措施的实施难度。</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根据《公路路基施工技术规范》（JTGF10-2006）有关规定，路基施工前应对路幅范围内的有肥力土层进行剥离收集，在路线征地范围内选择地势较平的地段设置临时表土堆积地，在堆积点设置编织土袋拦挡，</w:t>
            </w:r>
            <w:r>
              <w:rPr>
                <w:color w:val="auto"/>
                <w:sz w:val="24"/>
              </w:rPr>
              <w:t>其中编织土袋规格为梯形结构，底宽0.8m，顶宽0.6m，高度为0.6m。</w:t>
            </w:r>
            <w:r>
              <w:rPr>
                <w:color w:val="auto"/>
                <w:sz w:val="24"/>
                <w:szCs w:val="24"/>
              </w:rPr>
              <w:t>表土上方用塑料薄膜覆盖，集中堆放并用于后期恢复植被或临时工程设施用地的复耕。</w:t>
            </w:r>
          </w:p>
          <w:p>
            <w:pPr>
              <w:keepNext w:val="0"/>
              <w:keepLines w:val="0"/>
              <w:pageBreakBefore w:val="0"/>
              <w:widowControl w:val="0"/>
              <w:kinsoku/>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临时堆放方案及其水土流失预防措施设计，确保肥力较高的表土层用于工程后期的土地复垦或景观绿化美化工程。在采取了严格的剥离、存储管理和利用方案后，工程建设对于表层土壤的破坏程度将会降到最低，同时表层土中保存的大量植物根茎和种子可以在因工程建设导致生物量损失而进行的生态恢复措施中起到重要的作用。</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⑤对陕西泾河湿地的影响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陕西</w:t>
            </w:r>
            <w:r>
              <w:rPr>
                <w:rFonts w:hint="eastAsia"/>
                <w:color w:val="auto"/>
                <w:sz w:val="24"/>
                <w:szCs w:val="24"/>
                <w:lang w:val="en-US" w:eastAsia="zh-CN"/>
              </w:rPr>
              <w:t>泾河</w:t>
            </w:r>
            <w:r>
              <w:rPr>
                <w:rFonts w:hint="default"/>
                <w:color w:val="auto"/>
                <w:sz w:val="24"/>
                <w:szCs w:val="24"/>
                <w:lang w:val="en-US" w:eastAsia="zh-CN"/>
              </w:rPr>
              <w:t>湿地2008年8月6日被陕西省人民政府列入《陕西省重要湿地名录》（陕政发〔2008〕34号）。陕西渭河湿地的四至界限范围为：从</w:t>
            </w:r>
            <w:r>
              <w:rPr>
                <w:rFonts w:hint="eastAsia"/>
                <w:color w:val="auto"/>
                <w:sz w:val="24"/>
                <w:szCs w:val="24"/>
                <w:lang w:val="en-US" w:eastAsia="zh-CN"/>
              </w:rPr>
              <w:t>长武县芋圆乡至高陵县耿镇沿泾河至泾河与渭河交汇处</w:t>
            </w:r>
            <w:r>
              <w:rPr>
                <w:rFonts w:hint="default"/>
                <w:color w:val="auto"/>
                <w:sz w:val="24"/>
                <w:szCs w:val="24"/>
                <w:lang w:val="en-US" w:eastAsia="zh-CN"/>
              </w:rPr>
              <w:t>，包括</w:t>
            </w:r>
            <w:r>
              <w:rPr>
                <w:rFonts w:hint="eastAsia"/>
                <w:color w:val="auto"/>
                <w:sz w:val="24"/>
                <w:szCs w:val="24"/>
                <w:lang w:val="en-US" w:eastAsia="zh-CN"/>
              </w:rPr>
              <w:t>泾河</w:t>
            </w:r>
            <w:r>
              <w:rPr>
                <w:rFonts w:hint="default"/>
                <w:color w:val="auto"/>
                <w:sz w:val="24"/>
                <w:szCs w:val="24"/>
                <w:lang w:val="en-US" w:eastAsia="zh-CN"/>
              </w:rPr>
              <w:t>河道、河滩、泛洪区及河道两岸1km范围内的人工湿地。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项目未进入陕西</w:t>
            </w:r>
            <w:r>
              <w:rPr>
                <w:rFonts w:hint="eastAsia"/>
                <w:color w:val="auto"/>
                <w:sz w:val="24"/>
                <w:szCs w:val="24"/>
                <w:lang w:val="en-US" w:eastAsia="zh-CN"/>
              </w:rPr>
              <w:t>泾河</w:t>
            </w:r>
            <w:r>
              <w:rPr>
                <w:rFonts w:hint="default"/>
                <w:color w:val="auto"/>
                <w:sz w:val="24"/>
                <w:szCs w:val="24"/>
                <w:lang w:val="en-US" w:eastAsia="zh-CN"/>
              </w:rPr>
              <w:t>湿地范围内，路线距离湿地最近约</w:t>
            </w:r>
            <w:r>
              <w:rPr>
                <w:rFonts w:hint="eastAsia"/>
                <w:color w:val="auto"/>
                <w:sz w:val="24"/>
                <w:szCs w:val="24"/>
                <w:lang w:val="en-US" w:eastAsia="zh-CN"/>
              </w:rPr>
              <w:t>9</w:t>
            </w:r>
            <w:r>
              <w:rPr>
                <w:rFonts w:hint="default"/>
                <w:color w:val="auto"/>
                <w:sz w:val="24"/>
                <w:szCs w:val="24"/>
                <w:lang w:val="en-US" w:eastAsia="zh-CN"/>
              </w:rPr>
              <w:t>0m。根据《陕西省湿地保护条例》二十七条，禁止在天然湿地范围内从事下列活动：“（一）开垦、烧荒；（二）擅自排放湿地蓄水；（三）破坏鱼类等水生生物洄游通道或者野生动物栖息地；（四）擅自采砂、采石、采矿、挖塘；（五）擅自砍伐林木、采集野生植物，猎捕野生动物、捡拾鸟卵或者采用灭绝性方式捕捞鱼类及其他水生生物；（六）向天然湿地内排放超标污水或者有毒有害气体，投放可能危害水体、水生生物的化学物品；（七）向天然湿地及其周边一公里范围内倾倒固体废弃物；（八）擅自向天然湿地引入外来物种；（九）其他破坏天然湿地的行为。”由于项目对陕西</w:t>
            </w:r>
            <w:r>
              <w:rPr>
                <w:rFonts w:hint="eastAsia"/>
                <w:color w:val="auto"/>
                <w:sz w:val="24"/>
                <w:szCs w:val="24"/>
                <w:lang w:val="en-US" w:eastAsia="zh-CN"/>
              </w:rPr>
              <w:t>泾河</w:t>
            </w:r>
            <w:r>
              <w:rPr>
                <w:rFonts w:hint="default"/>
                <w:color w:val="auto"/>
                <w:sz w:val="24"/>
                <w:szCs w:val="24"/>
                <w:lang w:val="en-US" w:eastAsia="zh-CN"/>
              </w:rPr>
              <w:t>湿地的影响是</w:t>
            </w:r>
            <w:r>
              <w:rPr>
                <w:rFonts w:hint="eastAsia"/>
                <w:color w:val="auto"/>
                <w:sz w:val="24"/>
                <w:szCs w:val="24"/>
                <w:lang w:val="en-US" w:eastAsia="zh-CN"/>
              </w:rPr>
              <w:t>间接</w:t>
            </w:r>
            <w:r>
              <w:rPr>
                <w:rFonts w:hint="default"/>
                <w:color w:val="auto"/>
                <w:sz w:val="24"/>
                <w:szCs w:val="24"/>
                <w:lang w:val="en-US" w:eastAsia="zh-CN"/>
              </w:rPr>
              <w:t>影响，主要体现在施工中，如果施工管理不当，会产生一定的影响，但是这种影响会随着施工的结束而消失。因此，要加强该段的施工管理，严格按照《陕西省湿地保护条例》保护湿地生态环境。与本项目位置关系见图</w:t>
            </w:r>
            <w:r>
              <w:rPr>
                <w:rFonts w:hint="eastAsia"/>
                <w:color w:val="auto"/>
                <w:sz w:val="24"/>
                <w:szCs w:val="24"/>
                <w:lang w:val="en-US" w:eastAsia="zh-CN"/>
              </w:rPr>
              <w:t>4-1</w:t>
            </w:r>
            <w:r>
              <w:rPr>
                <w:rFonts w:hint="default"/>
                <w:color w:val="auto"/>
                <w:sz w:val="24"/>
                <w:szCs w:val="24"/>
                <w:lang w:val="en-US" w:eastAsia="zh-CN"/>
              </w:rPr>
              <w:t>。</w:t>
            </w:r>
          </w:p>
          <w:p>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drawing>
                <wp:inline distT="0" distB="0" distL="114300" distR="114300">
                  <wp:extent cx="4792345" cy="2869565"/>
                  <wp:effectExtent l="0" t="0" r="8255" b="10795"/>
                  <wp:docPr id="4" name="图片 4"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 -1"/>
                          <pic:cNvPicPr>
                            <a:picLocks noChangeAspect="1"/>
                          </pic:cNvPicPr>
                        </pic:nvPicPr>
                        <pic:blipFill>
                          <a:blip r:embed="rId10"/>
                          <a:stretch>
                            <a:fillRect/>
                          </a:stretch>
                        </pic:blipFill>
                        <pic:spPr>
                          <a:xfrm>
                            <a:off x="0" y="0"/>
                            <a:ext cx="4792345" cy="2869565"/>
                          </a:xfrm>
                          <a:prstGeom prst="rect">
                            <a:avLst/>
                          </a:prstGeom>
                        </pic:spPr>
                      </pic:pic>
                    </a:graphicData>
                  </a:graphic>
                </wp:inline>
              </w:drawing>
            </w:r>
          </w:p>
          <w:p>
            <w:pPr>
              <w:pStyle w:val="3"/>
              <w:jc w:val="center"/>
              <w:rPr>
                <w:rFonts w:hint="default"/>
                <w:color w:val="auto"/>
                <w:lang w:val="en-US" w:eastAsia="zh-CN"/>
              </w:rPr>
            </w:pPr>
            <w:r>
              <w:rPr>
                <w:rFonts w:hint="default" w:ascii="Times New Roman" w:hAnsi="Times New Roman" w:eastAsia="宋体" w:cs="Times New Roman"/>
                <w:color w:val="auto"/>
                <w:sz w:val="21"/>
                <w:szCs w:val="21"/>
                <w:lang w:val="en-US" w:eastAsia="zh-CN"/>
              </w:rPr>
              <w:t>图4-1  拟建项目与泾河湿地位置关系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79" w:type="dxa"/>
            <w:tcMar>
              <w:left w:w="28" w:type="dxa"/>
              <w:right w:w="28" w:type="dxa"/>
            </w:tcMar>
            <w:vAlign w:val="center"/>
          </w:tcPr>
          <w:p>
            <w:pPr>
              <w:pStyle w:val="23"/>
              <w:adjustRightInd w:val="0"/>
              <w:snapToGrid w:val="0"/>
              <w:spacing w:before="0" w:beforeAutospacing="0" w:after="0" w:afterAutospacing="0"/>
              <w:jc w:val="center"/>
              <w:rPr>
                <w:rFonts w:cs="宋体"/>
                <w:bCs/>
                <w:color w:val="auto"/>
                <w:kern w:val="2"/>
                <w:sz w:val="21"/>
                <w:szCs w:val="21"/>
              </w:rPr>
            </w:pPr>
            <w:r>
              <w:rPr>
                <w:rFonts w:hint="eastAsia" w:cs="宋体"/>
                <w:bCs/>
                <w:color w:val="auto"/>
                <w:spacing w:val="10"/>
                <w:kern w:val="2"/>
                <w:sz w:val="21"/>
                <w:szCs w:val="21"/>
              </w:rPr>
              <w:t>运营期生态环境影响分析</w:t>
            </w:r>
          </w:p>
        </w:tc>
        <w:tc>
          <w:tcPr>
            <w:tcW w:w="8363" w:type="dxa"/>
          </w:tcPr>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1、运营期</w:t>
            </w:r>
            <w:r>
              <w:rPr>
                <w:rFonts w:hint="eastAsia"/>
                <w:b/>
                <w:bCs/>
                <w:color w:val="auto"/>
                <w:sz w:val="24"/>
                <w:szCs w:val="24"/>
              </w:rPr>
              <w:t>环境空气影响分析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本项目运营期环境空气影响主要</w:t>
            </w:r>
            <w:r>
              <w:rPr>
                <w:rFonts w:hint="eastAsia"/>
                <w:color w:val="auto"/>
                <w:sz w:val="24"/>
                <w:szCs w:val="24"/>
                <w:lang w:eastAsia="zh-CN"/>
              </w:rPr>
              <w:t>来自</w:t>
            </w:r>
            <w:r>
              <w:rPr>
                <w:rFonts w:hint="eastAsia"/>
                <w:color w:val="auto"/>
                <w:sz w:val="24"/>
                <w:szCs w:val="24"/>
              </w:rPr>
              <w:t>车辆尾气和极少量的道路扬尘。</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fldChar w:fldCharType="begin"/>
            </w:r>
            <w:r>
              <w:rPr>
                <w:rFonts w:hint="eastAsia"/>
                <w:color w:val="auto"/>
                <w:sz w:val="24"/>
                <w:szCs w:val="24"/>
              </w:rPr>
              <w:instrText xml:space="preserve"> = 1 \* GB3 \* MERGEFORMAT </w:instrText>
            </w:r>
            <w:r>
              <w:rPr>
                <w:rFonts w:hint="eastAsia"/>
                <w:color w:val="auto"/>
                <w:sz w:val="24"/>
                <w:szCs w:val="24"/>
              </w:rPr>
              <w:fldChar w:fldCharType="separate"/>
            </w:r>
            <w:r>
              <w:rPr>
                <w:color w:val="auto"/>
                <w:sz w:val="24"/>
                <w:szCs w:val="24"/>
              </w:rPr>
              <w:t>①</w:t>
            </w:r>
            <w:r>
              <w:rPr>
                <w:rFonts w:hint="eastAsia"/>
                <w:color w:val="auto"/>
                <w:sz w:val="24"/>
                <w:szCs w:val="24"/>
              </w:rPr>
              <w:fldChar w:fldCharType="end"/>
            </w:r>
            <w:r>
              <w:rPr>
                <w:rFonts w:hint="eastAsia"/>
                <w:color w:val="auto"/>
                <w:sz w:val="24"/>
                <w:szCs w:val="24"/>
              </w:rPr>
              <w:t>道路扬尘</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道路车辆行驶时将会产生扬尘，运送散装含尘物料的车辆由于散落、风吹等原因产生扬尘污染。定期对路面进行清扫、洒水等措施后可有效减少道路扬尘影响。</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fldChar w:fldCharType="begin"/>
            </w:r>
            <w:r>
              <w:rPr>
                <w:rFonts w:hint="eastAsia"/>
                <w:color w:val="auto"/>
                <w:sz w:val="24"/>
                <w:szCs w:val="24"/>
              </w:rPr>
              <w:instrText xml:space="preserve"> = 2 \* GB3 \* MERGEFORMAT </w:instrText>
            </w:r>
            <w:r>
              <w:rPr>
                <w:rFonts w:hint="eastAsia"/>
                <w:color w:val="auto"/>
                <w:sz w:val="24"/>
                <w:szCs w:val="24"/>
              </w:rPr>
              <w:fldChar w:fldCharType="separate"/>
            </w:r>
            <w:r>
              <w:rPr>
                <w:color w:val="auto"/>
                <w:sz w:val="24"/>
                <w:szCs w:val="24"/>
              </w:rPr>
              <w:t>②</w:t>
            </w:r>
            <w:r>
              <w:rPr>
                <w:rFonts w:hint="eastAsia"/>
                <w:color w:val="auto"/>
                <w:sz w:val="24"/>
                <w:szCs w:val="24"/>
              </w:rPr>
              <w:fldChar w:fldCharType="end"/>
            </w:r>
            <w:r>
              <w:rPr>
                <w:rFonts w:hint="eastAsia"/>
                <w:color w:val="auto"/>
                <w:sz w:val="24"/>
                <w:szCs w:val="24"/>
              </w:rPr>
              <w:t>汽车尾气</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道路建成后，汽车尾气中的CO、NOx对沿线环境空气质量有一定影响，敏感点受汽车尾气中的NO</w:t>
            </w:r>
            <w:r>
              <w:rPr>
                <w:rFonts w:hint="eastAsia"/>
                <w:color w:val="auto"/>
                <w:sz w:val="24"/>
                <w:szCs w:val="24"/>
                <w:vertAlign w:val="subscript"/>
              </w:rPr>
              <w:t>2</w:t>
            </w:r>
            <w:r>
              <w:rPr>
                <w:rFonts w:hint="eastAsia"/>
                <w:color w:val="auto"/>
                <w:sz w:val="24"/>
                <w:szCs w:val="24"/>
              </w:rPr>
              <w:t>污染的程度与汽车尾气排放量、气象条件有关，同时还与敏感点同路之间水平距离有较大关系，即交通量越大，污染物排放量越大；相对距离路越近，污染物浓度越高；风速越小，越不利于扩散，污染物浓度越高；敏感建筑处在道路下风向时，其影响程度越大。</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道路为开放式的广域扩散空间，且单辆汽车为移动式污染源，整个道路可看作很长路段的线状污染源，汽车尾气相对于长路段来说，扩散至道路两侧一定距离的敏感点处的NO</w:t>
            </w:r>
            <w:r>
              <w:rPr>
                <w:rFonts w:hint="eastAsia"/>
                <w:color w:val="auto"/>
                <w:sz w:val="24"/>
                <w:szCs w:val="24"/>
                <w:vertAlign w:val="subscript"/>
              </w:rPr>
              <w:t>2</w:t>
            </w:r>
            <w:r>
              <w:rPr>
                <w:rFonts w:hint="eastAsia"/>
                <w:color w:val="auto"/>
                <w:sz w:val="24"/>
                <w:szCs w:val="24"/>
              </w:rPr>
              <w:t>浓度较低，一般在道路两侧20m处均可达到环境空气质量一级标准浓度，汽车尾气对道路两侧敏感点的影响很小。</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项目建成后路面宽阔平整，将较大程度的改善区域通行条件，减少车辆加减速次数，减少车辆沿途遗洒，车辆行驶较稳定，均能减少地表二次扬尘和汽车尾气产生量。随着道路沿线绿化工程的实施，多种植适合当地环境条件的绿化物种，这样既可以净化吸收车辆尾气中的污染物，减少大气中粉尘，又可以美化环境和改善道路沿线景观效果；加强对道路的养护和清扫，确保路面平整和清洁；加强宣传与管理，确保过路运输车辆对散状物料覆盖，对沿途大气环境的影响较现状道路有较大程度的改善。</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综合以上分析，本项目在运营期对项目沿线环境空气质量有一定影响，在采取道路两旁绿化、加强道路清扫、定期洒水等措施后，对环境空气的影响较小。</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2、运营期</w:t>
            </w:r>
            <w:r>
              <w:rPr>
                <w:rFonts w:hint="eastAsia"/>
                <w:b/>
                <w:bCs/>
                <w:color w:val="auto"/>
                <w:sz w:val="24"/>
                <w:szCs w:val="24"/>
              </w:rPr>
              <w:t>水环境影响分析</w:t>
            </w:r>
          </w:p>
          <w:p>
            <w:pPr>
              <w:pageBreakBefore w:val="0"/>
              <w:kinsoku/>
              <w:overflowPunct/>
              <w:topLinePunct w:val="0"/>
              <w:bidi w:val="0"/>
              <w:adjustRightInd/>
              <w:snapToGrid/>
              <w:spacing w:line="360" w:lineRule="auto"/>
              <w:ind w:left="0" w:leftChars="0" w:right="0" w:rightChars="0" w:firstLine="480" w:firstLineChars="200"/>
              <w:jc w:val="lef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本项目不设服务设施</w:t>
            </w:r>
            <w:r>
              <w:rPr>
                <w:rFonts w:hint="default" w:ascii="Times New Roman" w:hAnsi="Times New Roman" w:eastAsia="宋体" w:cs="Times New Roman"/>
                <w:color w:val="auto"/>
                <w:sz w:val="24"/>
                <w:szCs w:val="24"/>
                <w:lang w:val="en-US" w:eastAsia="zh-CN"/>
              </w:rPr>
              <w:t>，因此该项目在运营期无生活污水产生。在道路建成投入运营后，道路交通对沿线水质的主要影响因素是运行车辆所泄漏的石油类物质，通过地表径流流入雨水收集井。路面径流是运营期产生的非经常性污水，根据调查影响道路地面径流水量和水质的因素较多，包括降雨量、车流量、两场降雨之间的时间</w:t>
            </w:r>
            <w:r>
              <w:rPr>
                <w:rFonts w:hint="eastAsia" w:cs="Times New Roman"/>
                <w:color w:val="auto"/>
                <w:sz w:val="24"/>
                <w:szCs w:val="24"/>
                <w:lang w:val="en-US" w:eastAsia="zh-CN"/>
              </w:rPr>
              <w:t>间隔</w:t>
            </w:r>
            <w:r>
              <w:rPr>
                <w:rFonts w:hint="default" w:ascii="Times New Roman" w:hAnsi="Times New Roman" w:eastAsia="宋体" w:cs="Times New Roman"/>
                <w:color w:val="auto"/>
                <w:sz w:val="24"/>
                <w:szCs w:val="24"/>
                <w:lang w:val="en-US" w:eastAsia="zh-CN"/>
              </w:rPr>
              <w:t>等，其水质变化幅度很大。</w:t>
            </w:r>
          </w:p>
          <w:p>
            <w:pPr>
              <w:pageBreakBefore w:val="0"/>
              <w:kinsoku/>
              <w:overflowPunct/>
              <w:topLinePunct w:val="0"/>
              <w:bidi w:val="0"/>
              <w:adjustRightInd/>
              <w:snapToGrid/>
              <w:spacing w:line="360" w:lineRule="auto"/>
              <w:ind w:left="0" w:leftChars="0" w:right="0" w:rightChars="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降雨初期，路面径流所挟带的污染物</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lang w:val="en-US" w:eastAsia="zh-CN"/>
              </w:rPr>
              <w:t>主要为悬浮物，还有遗洒在道路上的少量石油类，这些物质经过运行车辆轮胎的挤压，随轮胎带走一部分，其余</w:t>
            </w:r>
            <w:r>
              <w:rPr>
                <w:rFonts w:hint="default" w:ascii="Times New Roman" w:hAnsi="Times New Roman" w:eastAsia="宋体" w:cs="Times New Roman"/>
                <w:color w:val="auto"/>
                <w:sz w:val="24"/>
                <w:szCs w:val="24"/>
                <w:lang w:val="en-US" w:eastAsia="zh-CN"/>
              </w:rPr>
              <w:t>部分物质量较小。只有在大雨季节路面径流排入路面两侧雨水管道。路面径流中的污染物浓度已经得到很大程度的降低，所以对沿线水体产生的影响很小。</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3、运营期</w:t>
            </w:r>
            <w:r>
              <w:rPr>
                <w:rFonts w:hint="eastAsia"/>
                <w:b/>
                <w:bCs/>
                <w:color w:val="auto"/>
                <w:sz w:val="24"/>
                <w:szCs w:val="24"/>
              </w:rPr>
              <w:t>声环境影响分析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交通噪声是由来往的各种车辆所产生，机动车噪声包括各种不同噪声的综合声源，它包括了发动机、排气噪声、车体振动噪声、传动机构噪声和制动噪声等。在上述噪声中，发动机噪声是主要污染源。交通噪声的大小，不仅与车速有关，而且与车流量、机动车类型、道路结构、道路表面覆盖物等诸多因素有关。</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lang w:val="en-US" w:eastAsia="zh-CN"/>
              </w:rPr>
              <w:t>通过道路沿线敏感点噪声预测结果可知，项目运营期沿线敏感点湖城印象·熙岸小区（在建）北侧临后排、隆基泰和·澜庭溪谷（在建）北侧临后排、西咸新区泾河新城第四小学、西咸新区泾河新城第一中学昼夜噪声预测值均达标。湖城印象·熙岸小区（在建）南侧临首排、隆基泰和·澜庭溪谷（在建）南侧临首排昼夜间预测值超标，根据噪声专项评价可知湖城印象·熙岸小区（在建）南侧临首排、隆基泰和·澜庭溪谷（在建）南侧临首排内多处存在建筑施工，致使声环境监测背景值偏高，导致环境噪声预测值偏高，本项目运营期交通噪声贡献值并未造成该区域声环境恶化。具体见噪声专项评价。</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4、运营期</w:t>
            </w:r>
            <w:r>
              <w:rPr>
                <w:rFonts w:hint="eastAsia"/>
                <w:b/>
                <w:bCs/>
                <w:color w:val="auto"/>
                <w:sz w:val="24"/>
                <w:szCs w:val="24"/>
              </w:rPr>
              <w:t>固体废物环境影响分析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运营期产生的固体废物主要包括降尘、载重汽车散落的固体废物，以及行人随意丢弃的垃圾废物。道路建成后，应委派专人负责清理。运营期设置垃圾分类收集装置，并设专人随时收集、保管、处置。</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5、运营期</w:t>
            </w:r>
            <w:r>
              <w:rPr>
                <w:rFonts w:hint="eastAsia"/>
                <w:b/>
                <w:bCs/>
                <w:color w:val="auto"/>
                <w:sz w:val="24"/>
                <w:szCs w:val="24"/>
              </w:rPr>
              <w:t>生态环境影响分析</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rPr>
            </w:pPr>
            <w:r>
              <w:rPr>
                <w:rFonts w:hint="eastAsia"/>
                <w:color w:val="auto"/>
                <w:sz w:val="24"/>
                <w:szCs w:val="24"/>
              </w:rPr>
              <w:t>本项目</w:t>
            </w:r>
            <w:r>
              <w:rPr>
                <w:rFonts w:hint="eastAsia"/>
                <w:color w:val="auto"/>
                <w:sz w:val="24"/>
                <w:szCs w:val="24"/>
                <w:lang w:val="en-US" w:eastAsia="zh-CN"/>
              </w:rPr>
              <w:t>为城市道路建设项目</w:t>
            </w:r>
            <w:r>
              <w:rPr>
                <w:rFonts w:hint="eastAsia"/>
                <w:color w:val="auto"/>
                <w:sz w:val="24"/>
                <w:szCs w:val="24"/>
              </w:rPr>
              <w:t>，道路建成运行后汽车尾气和扬尘会对道路沿线两侧绿化带产生一定的影响。管理部门须强化沿线的绿化苗木管理和养护，确保道路绿化长效发挥固土护坡、减少水土流失、净化空气、隔声降噪、美化景观等环保功能；配备专业人员定期对绿化苗木进行浇水、施肥、松土、修剪、病虫害防治，检查苗木生长状况，对枯死苗木、草皮进行更换补种。采取以上措施后，本项目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6" w:hRule="atLeast"/>
          <w:jc w:val="center"/>
        </w:trPr>
        <w:tc>
          <w:tcPr>
            <w:tcW w:w="879" w:type="dxa"/>
            <w:vAlign w:val="center"/>
          </w:tcPr>
          <w:p>
            <w:pPr>
              <w:pStyle w:val="23"/>
              <w:adjustRightInd w:val="0"/>
              <w:snapToGrid w:val="0"/>
              <w:spacing w:before="0" w:beforeAutospacing="0" w:after="0" w:afterAutospacing="0"/>
              <w:jc w:val="center"/>
              <w:rPr>
                <w:rFonts w:cs="宋体"/>
                <w:bCs/>
                <w:color w:val="auto"/>
                <w:kern w:val="2"/>
                <w:sz w:val="21"/>
                <w:szCs w:val="21"/>
              </w:rPr>
            </w:pPr>
            <w:r>
              <w:rPr>
                <w:rFonts w:hint="eastAsia" w:cs="宋体"/>
                <w:bCs/>
                <w:color w:val="auto"/>
                <w:kern w:val="2"/>
                <w:sz w:val="21"/>
                <w:szCs w:val="21"/>
              </w:rPr>
              <w:t>选址选线环境合理性分析</w:t>
            </w:r>
          </w:p>
        </w:tc>
        <w:tc>
          <w:tcPr>
            <w:tcW w:w="8363" w:type="dxa"/>
          </w:tcPr>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r>
              <w:rPr>
                <w:rFonts w:hint="eastAsia"/>
                <w:color w:val="auto"/>
              </w:rPr>
              <w:t>项目的建设符合国家及地方产业政策，项目位于西咸新区泾河新城，施工期供水、供电都有保障，周边交通便利，原料来源方便，项目区不涉及国家、省、市级自然保护区、风景名胜区及重点文物保护对象，选址符合要求，沿线现状敏感点较少，项目建成后可为泾河新城基础建设提供很多便捷。通过采取项目工程设计及环评提出的环保措施后，项目污染物可达标排放，对环境影响较小。从环保角度分析，项目选址可行。</w:t>
            </w: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p>
            <w:pPr>
              <w:pStyle w:val="5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rPr>
            </w:pPr>
          </w:p>
        </w:tc>
      </w:tr>
    </w:tbl>
    <w:p>
      <w:pPr>
        <w:pStyle w:val="23"/>
        <w:jc w:val="center"/>
        <w:rPr>
          <w:rFonts w:ascii="黑体" w:hAnsi="黑体" w:eastAsia="黑体"/>
          <w:snapToGrid w:val="0"/>
          <w:color w:val="auto"/>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五、主要生态环境保护措施</w:t>
      </w:r>
    </w:p>
    <w:tbl>
      <w:tblPr>
        <w:tblStyle w:val="2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adjustRightInd w:val="0"/>
              <w:snapToGrid w:val="0"/>
              <w:jc w:val="center"/>
              <w:rPr>
                <w:rFonts w:ascii="宋体" w:hAnsi="宋体"/>
                <w:bCs/>
                <w:color w:val="auto"/>
                <w:szCs w:val="21"/>
              </w:rPr>
            </w:pPr>
            <w:r>
              <w:rPr>
                <w:rFonts w:hint="eastAsia" w:ascii="宋体" w:hAnsi="宋体" w:cs="宋体"/>
                <w:bCs/>
                <w:color w:val="auto"/>
                <w:spacing w:val="10"/>
                <w:szCs w:val="21"/>
              </w:rPr>
              <w:t>施工期生态环境保护措施</w:t>
            </w:r>
          </w:p>
        </w:tc>
        <w:tc>
          <w:tcPr>
            <w:tcW w:w="8457" w:type="dxa"/>
          </w:tcPr>
          <w:p>
            <w:pPr>
              <w:pStyle w:val="59"/>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textAlignment w:val="auto"/>
              <w:rPr>
                <w:b/>
                <w:bCs/>
                <w:color w:val="auto"/>
              </w:rPr>
            </w:pPr>
            <w:r>
              <w:rPr>
                <w:rFonts w:hint="eastAsia"/>
                <w:b/>
                <w:bCs/>
                <w:color w:val="auto"/>
                <w:lang w:val="en-US" w:eastAsia="zh-CN"/>
              </w:rPr>
              <w:t>1、</w:t>
            </w:r>
            <w:r>
              <w:rPr>
                <w:rFonts w:hint="eastAsia"/>
                <w:b/>
                <w:bCs/>
                <w:color w:val="auto"/>
              </w:rPr>
              <w:t>施工期环境空气保护措施</w:t>
            </w:r>
          </w:p>
          <w:p>
            <w:pPr>
              <w:pStyle w:val="59"/>
              <w:ind w:firstLine="480"/>
              <w:rPr>
                <w:color w:val="auto"/>
              </w:rPr>
            </w:pPr>
            <w:r>
              <w:rPr>
                <w:rFonts w:hint="eastAsia"/>
                <w:color w:val="auto"/>
              </w:rPr>
              <w:t>（1）扬尘防治措施</w:t>
            </w:r>
          </w:p>
          <w:p>
            <w:pPr>
              <w:pStyle w:val="59"/>
              <w:ind w:firstLine="480"/>
              <w:rPr>
                <w:color w:val="auto"/>
              </w:rPr>
            </w:pPr>
            <w:r>
              <w:rPr>
                <w:rFonts w:hint="eastAsia"/>
                <w:color w:val="auto"/>
              </w:rPr>
              <w:t>为了防治施工期扬尘对周围敏感点的影响，根据《陕西省大气污染防治条例</w:t>
            </w:r>
            <w:r>
              <w:rPr>
                <w:rFonts w:hint="eastAsia"/>
                <w:color w:val="auto"/>
                <w:lang w:eastAsia="zh-CN"/>
              </w:rPr>
              <w:t>》、《</w:t>
            </w:r>
            <w:r>
              <w:rPr>
                <w:rFonts w:hint="eastAsia"/>
                <w:color w:val="auto"/>
              </w:rPr>
              <w:t>陕西省人民政府关于印发&lt;陕西省全面改善城市空气质量工作方案&gt;的通知</w:t>
            </w:r>
            <w:r>
              <w:rPr>
                <w:rFonts w:hint="eastAsia"/>
                <w:color w:val="auto"/>
                <w:lang w:eastAsia="zh-CN"/>
              </w:rPr>
              <w:t>》、《</w:t>
            </w:r>
            <w:r>
              <w:rPr>
                <w:rFonts w:hint="eastAsia"/>
                <w:color w:val="auto"/>
              </w:rPr>
              <w:t>陕西省城市空气重污染日应急方案（暂行）</w:t>
            </w:r>
            <w:r>
              <w:rPr>
                <w:rFonts w:hint="eastAsia"/>
                <w:color w:val="auto"/>
                <w:lang w:eastAsia="zh-CN"/>
              </w:rPr>
              <w:t>》、《</w:t>
            </w:r>
            <w:r>
              <w:rPr>
                <w:rFonts w:hint="eastAsia"/>
                <w:color w:val="auto"/>
              </w:rPr>
              <w:t>陕西省扬尘污染专项整治行动方案</w:t>
            </w:r>
            <w:r>
              <w:rPr>
                <w:rFonts w:hint="eastAsia"/>
                <w:color w:val="auto"/>
                <w:lang w:eastAsia="zh-CN"/>
              </w:rPr>
              <w:t>》、《</w:t>
            </w:r>
            <w:r>
              <w:rPr>
                <w:rFonts w:hint="eastAsia"/>
                <w:color w:val="auto"/>
              </w:rPr>
              <w:t>陕西省建筑施工扬尘治理行动方案</w:t>
            </w:r>
            <w:r>
              <w:rPr>
                <w:rFonts w:hint="eastAsia"/>
                <w:color w:val="auto"/>
                <w:lang w:eastAsia="zh-CN"/>
              </w:rPr>
              <w:t>》、《</w:t>
            </w:r>
            <w:r>
              <w:rPr>
                <w:rFonts w:hint="eastAsia"/>
                <w:color w:val="auto"/>
              </w:rPr>
              <w:t>陕西省建筑施工扬尘治理措施16条》</w:t>
            </w:r>
            <w:r>
              <w:rPr>
                <w:rFonts w:hint="eastAsia"/>
                <w:color w:val="auto"/>
                <w:lang w:eastAsia="zh-CN"/>
              </w:rPr>
              <w:t>、《陕西省大气污染治理专项行动方案（2023—2027年）》（陕发〔2023〕4号）、《西安市大气污染治理专项行动方案（2023-2027）》（市字〔2023〕32号、《西咸新区大气污染治理专项行动方案（2023-2027）》（陕西咸党发〔2023〕4号</w:t>
            </w:r>
            <w:r>
              <w:rPr>
                <w:rFonts w:hint="eastAsia"/>
                <w:color w:val="auto"/>
              </w:rPr>
              <w:t>等的相关要求，建立扬尘污染防治工作机制，进一步明确治理扬尘污染的责任，加强对建设施工工地扬尘污染的管理与控制，遇有4级以上（含4级）风力时，施工单位必须停止施工。因此，为减轻本项目建筑施工场地扬尘污染，必须严格执行以下措施：</w:t>
            </w:r>
          </w:p>
          <w:p>
            <w:pPr>
              <w:pStyle w:val="59"/>
              <w:ind w:firstLine="480"/>
              <w:rPr>
                <w:rFonts w:cs="Times New Roman"/>
                <w:color w:val="auto"/>
              </w:rPr>
            </w:pPr>
            <w:r>
              <w:rPr>
                <w:rFonts w:hint="eastAsia" w:ascii="宋体" w:hAnsi="宋体"/>
                <w:color w:val="auto"/>
              </w:rPr>
              <w:t>①</w:t>
            </w:r>
            <w:r>
              <w:rPr>
                <w:rFonts w:cs="Times New Roman"/>
                <w:color w:val="auto"/>
              </w:rPr>
              <w:t>施工组织设计中，必须制定施工现场扬尘预防治理专项方案，并指定专人负责落实，无专项方案严禁开工。所有工地全面施行湿法作业、清洗覆盖等措施。</w:t>
            </w:r>
          </w:p>
          <w:p>
            <w:pPr>
              <w:pStyle w:val="59"/>
              <w:ind w:firstLine="480"/>
              <w:rPr>
                <w:rFonts w:cs="Times New Roman"/>
                <w:color w:val="auto"/>
              </w:rPr>
            </w:pPr>
            <w:r>
              <w:rPr>
                <w:rFonts w:hint="eastAsia" w:ascii="宋体" w:hAnsi="宋体"/>
                <w:color w:val="auto"/>
              </w:rPr>
              <w:t>②</w:t>
            </w:r>
            <w:r>
              <w:rPr>
                <w:rFonts w:cs="Times New Roman"/>
                <w:color w:val="auto"/>
              </w:rPr>
              <w:t>施工</w:t>
            </w:r>
            <w:r>
              <w:rPr>
                <w:rFonts w:hint="eastAsia" w:cs="Times New Roman"/>
                <w:color w:val="auto"/>
                <w:lang w:eastAsia="zh-CN"/>
              </w:rPr>
              <w:t>场地</w:t>
            </w:r>
            <w:r>
              <w:rPr>
                <w:rFonts w:cs="Times New Roman"/>
                <w:color w:val="auto"/>
              </w:rPr>
              <w:t>达到施工现场100%围挡、设1.8m以上围挡</w:t>
            </w:r>
            <w:r>
              <w:rPr>
                <w:rFonts w:hint="eastAsia" w:cs="Times New Roman"/>
                <w:color w:val="auto"/>
              </w:rPr>
              <w:t>，并在围挡上方安装喷淋设施</w:t>
            </w:r>
            <w:r>
              <w:rPr>
                <w:rFonts w:cs="Times New Roman"/>
                <w:color w:val="auto"/>
              </w:rPr>
              <w:t>。工地渣土100%覆盖（简易绿化或喷洒扬尘抑制剂）、工地内施工道路和出入口100%硬化并保持整洁、驶出工地车辆100%冲洗干净后方可上路。裸露场地要增加洒水降尘频次（至少2次/日）。</w:t>
            </w:r>
          </w:p>
          <w:p>
            <w:pPr>
              <w:pStyle w:val="59"/>
              <w:ind w:firstLine="480"/>
              <w:rPr>
                <w:rFonts w:cs="Times New Roman"/>
                <w:color w:val="auto"/>
              </w:rPr>
            </w:pPr>
            <w:r>
              <w:rPr>
                <w:rFonts w:hint="eastAsia" w:ascii="宋体" w:hAnsi="宋体"/>
                <w:color w:val="auto"/>
              </w:rPr>
              <w:t>③</w:t>
            </w:r>
            <w:r>
              <w:rPr>
                <w:rFonts w:cs="Times New Roman"/>
                <w:color w:val="auto"/>
              </w:rPr>
              <w:t>出现四级以上大风天气时，禁止进行土方和拆除施工等易产生扬尘污染的施工作业，并应当采取防尘措施。</w:t>
            </w:r>
          </w:p>
          <w:p>
            <w:pPr>
              <w:pStyle w:val="59"/>
              <w:ind w:firstLine="480"/>
              <w:rPr>
                <w:rFonts w:cs="Times New Roman"/>
                <w:color w:val="auto"/>
              </w:rPr>
            </w:pPr>
            <w:r>
              <w:rPr>
                <w:rFonts w:hint="eastAsia" w:ascii="宋体" w:hAnsi="宋体"/>
                <w:color w:val="auto"/>
              </w:rPr>
              <w:t>④</w:t>
            </w:r>
            <w:r>
              <w:rPr>
                <w:rFonts w:cs="Times New Roman"/>
                <w:color w:val="auto"/>
              </w:rPr>
              <w:t>施工工地现场出入口地面必须硬化处理并设置车辆冲洗台以及配套的排水、泥浆沉淀设施，冲洗设施到位并保持完好。车辆在驶出工地前，应将车轮、车身冲洗干净，不得带泥上路。</w:t>
            </w:r>
          </w:p>
          <w:p>
            <w:pPr>
              <w:pStyle w:val="59"/>
              <w:ind w:firstLine="480"/>
              <w:rPr>
                <w:rFonts w:hint="eastAsia" w:eastAsia="宋体" w:cs="Times New Roman"/>
                <w:color w:val="auto"/>
                <w:lang w:eastAsia="zh-CN"/>
              </w:rPr>
            </w:pPr>
            <w:r>
              <w:rPr>
                <w:rFonts w:hint="eastAsia" w:ascii="宋体" w:hAnsi="宋体"/>
                <w:color w:val="auto"/>
              </w:rPr>
              <w:t>⑤</w:t>
            </w:r>
            <w:r>
              <w:rPr>
                <w:rFonts w:cs="Times New Roman"/>
                <w:color w:val="auto"/>
              </w:rPr>
              <w:t>施工现场运送土方、渣土的车辆必须封闭或遮盖，严禁沿路遗漏或</w:t>
            </w:r>
            <w:r>
              <w:rPr>
                <w:rFonts w:hint="eastAsia" w:cs="Times New Roman"/>
                <w:color w:val="auto"/>
                <w:lang w:eastAsia="zh-CN"/>
              </w:rPr>
              <w:t>抛洒</w:t>
            </w:r>
            <w:r>
              <w:rPr>
                <w:rFonts w:cs="Times New Roman"/>
                <w:color w:val="auto"/>
              </w:rPr>
              <w:t>。施工现场的水泥及其它粉尘类建筑材料必须密闭存放或覆盖，严禁露天放置。施工现场必须建立洒水清扫制度或雾化降尘措施，并有专人负责。施工工地及时洒水降尘，工地道路及时洒水清扫</w:t>
            </w:r>
            <w:r>
              <w:rPr>
                <w:rFonts w:hint="eastAsia" w:cs="Times New Roman"/>
                <w:color w:val="auto"/>
                <w:lang w:eastAsia="zh-CN"/>
              </w:rPr>
              <w:t>。</w:t>
            </w:r>
          </w:p>
          <w:p>
            <w:pPr>
              <w:pStyle w:val="59"/>
              <w:ind w:firstLine="480"/>
              <w:rPr>
                <w:rFonts w:cs="Times New Roman"/>
                <w:color w:val="auto"/>
              </w:rPr>
            </w:pPr>
            <w:r>
              <w:rPr>
                <w:rFonts w:hint="eastAsia" w:ascii="宋体" w:hAnsi="宋体"/>
                <w:color w:val="auto"/>
              </w:rPr>
              <w:t>⑥</w:t>
            </w:r>
            <w:r>
              <w:rPr>
                <w:rFonts w:cs="Times New Roman"/>
                <w:color w:val="auto"/>
              </w:rPr>
              <w:t>遇干旱季节、连续晴天天气，对弃土表面、道路和露天地表洒水，以保持其表面湿润，减少扬尘产生量。每天洒水1～2次，扬尘排放量可减少50～70%。</w:t>
            </w:r>
          </w:p>
          <w:p>
            <w:pPr>
              <w:pStyle w:val="59"/>
              <w:ind w:firstLine="480"/>
              <w:rPr>
                <w:rFonts w:cs="Times New Roman"/>
                <w:color w:val="auto"/>
              </w:rPr>
            </w:pPr>
            <w:r>
              <w:rPr>
                <w:rFonts w:hint="eastAsia" w:ascii="宋体" w:hAnsi="宋体"/>
                <w:color w:val="auto"/>
              </w:rPr>
              <w:t>⑦</w:t>
            </w:r>
            <w:r>
              <w:rPr>
                <w:rFonts w:cs="Times New Roman"/>
                <w:color w:val="auto"/>
              </w:rPr>
              <w:t>施工工地出入口必须设立环境保护监督牌。必须注明项目名称、建设单位、施工单位、防治扬尘</w:t>
            </w:r>
            <w:r>
              <w:rPr>
                <w:rFonts w:hint="eastAsia" w:cs="Times New Roman"/>
                <w:color w:val="auto"/>
                <w:lang w:eastAsia="zh-CN"/>
              </w:rPr>
              <w:t>污染</w:t>
            </w:r>
            <w:r>
              <w:rPr>
                <w:rFonts w:cs="Times New Roman"/>
                <w:color w:val="auto"/>
              </w:rPr>
              <w:t>现场监督员姓名和联系电话、项目工期、环保措施、辖区环保部门举报电话等内容。</w:t>
            </w:r>
          </w:p>
          <w:p>
            <w:pPr>
              <w:pStyle w:val="59"/>
              <w:ind w:firstLine="480"/>
              <w:rPr>
                <w:rFonts w:cs="Times New Roman"/>
                <w:color w:val="auto"/>
              </w:rPr>
            </w:pPr>
            <w:r>
              <w:rPr>
                <w:rFonts w:hint="eastAsia" w:ascii="宋体" w:hAnsi="宋体"/>
                <w:color w:val="auto"/>
              </w:rPr>
              <w:t>⑧</w:t>
            </w:r>
            <w:r>
              <w:rPr>
                <w:rFonts w:cs="Times New Roman"/>
                <w:color w:val="auto"/>
              </w:rPr>
              <w:t>项目竣工施工单位应当平整施工</w:t>
            </w:r>
            <w:r>
              <w:rPr>
                <w:rFonts w:hint="eastAsia" w:cs="Times New Roman"/>
                <w:color w:val="auto"/>
                <w:lang w:eastAsia="zh-CN"/>
              </w:rPr>
              <w:t>场地</w:t>
            </w:r>
            <w:r>
              <w:rPr>
                <w:rFonts w:cs="Times New Roman"/>
                <w:color w:val="auto"/>
              </w:rPr>
              <w:t>，并清除积土、堆物。</w:t>
            </w:r>
          </w:p>
          <w:p>
            <w:pPr>
              <w:pStyle w:val="59"/>
              <w:ind w:firstLine="480"/>
              <w:rPr>
                <w:rFonts w:cs="Times New Roman"/>
                <w:color w:val="auto"/>
              </w:rPr>
            </w:pPr>
            <w:r>
              <w:rPr>
                <w:rFonts w:hint="eastAsia" w:ascii="宋体" w:hAnsi="宋体"/>
                <w:color w:val="auto"/>
              </w:rPr>
              <w:t>⑨</w:t>
            </w:r>
            <w:r>
              <w:rPr>
                <w:rFonts w:cs="Times New Roman"/>
                <w:color w:val="auto"/>
              </w:rPr>
              <w:t>建设单位应当在施工前向工程主管部门、环境保护行政主管部门提交工地扬尘污染防治方案，将扬尘污染防治纳入工程监理范围，所需费用列入工程预算，并在工程承包合同中明确施工单位防治扬尘污染的责任。</w:t>
            </w:r>
          </w:p>
          <w:p>
            <w:pPr>
              <w:pStyle w:val="59"/>
              <w:ind w:firstLine="480"/>
              <w:rPr>
                <w:rFonts w:cs="Times New Roman"/>
                <w:color w:val="auto"/>
              </w:rPr>
            </w:pPr>
            <w:r>
              <w:rPr>
                <w:rFonts w:hint="eastAsia" w:ascii="宋体" w:hAnsi="宋体"/>
                <w:color w:val="auto"/>
              </w:rPr>
              <w:t>⑩</w:t>
            </w:r>
            <w:r>
              <w:rPr>
                <w:rFonts w:cs="Times New Roman"/>
                <w:color w:val="auto"/>
              </w:rPr>
              <w:t>施工单位应当按照工地扬尘污染防治方案的要求施工，在施工现场出入口公示扬尘污染控制措施、负责人、环保监督员、扬尘监管行政主管部门等有关信息，接受社会监督。</w:t>
            </w:r>
          </w:p>
          <w:p>
            <w:pPr>
              <w:pStyle w:val="59"/>
              <w:ind w:firstLine="480"/>
              <w:rPr>
                <w:rFonts w:cs="Times New Roman"/>
                <w:color w:val="auto"/>
              </w:rPr>
            </w:pPr>
            <w:r>
              <w:rPr>
                <w:rFonts w:hint="eastAsia" w:ascii="宋体" w:hAnsi="宋体" w:eastAsia="宋体" w:cs="宋体"/>
                <w:color w:val="auto"/>
                <w:highlight w:val="none"/>
              </w:rPr>
              <w:t>⑪</w:t>
            </w:r>
            <w:r>
              <w:rPr>
                <w:rFonts w:cs="Times New Roman"/>
                <w:color w:val="auto"/>
                <w:highlight w:val="none"/>
              </w:rPr>
              <w:t>工</w:t>
            </w:r>
            <w:r>
              <w:rPr>
                <w:rFonts w:cs="Times New Roman"/>
                <w:color w:val="auto"/>
              </w:rPr>
              <w:t>程项目部必须制定空气重污染应急预案，政府发布重污染预警时，立即启动应急响应；</w:t>
            </w:r>
          </w:p>
          <w:p>
            <w:pPr>
              <w:pStyle w:val="59"/>
              <w:ind w:firstLine="480"/>
              <w:rPr>
                <w:rFonts w:cs="Times New Roman"/>
                <w:color w:val="auto"/>
              </w:rPr>
            </w:pPr>
            <w:r>
              <w:rPr>
                <w:rFonts w:hint="eastAsia" w:ascii="宋体" w:hAnsi="宋体" w:eastAsia="宋体" w:cs="宋体"/>
                <w:color w:val="auto"/>
              </w:rPr>
              <w:t>⑫</w:t>
            </w:r>
            <w:r>
              <w:rPr>
                <w:rFonts w:cs="Times New Roman"/>
                <w:color w:val="auto"/>
              </w:rPr>
              <w:t>拆除工程必须采用围挡隔离，并采取洒水降尘或雾化降尘措施，废弃物应及时覆盖或清运，严禁敞开式拆除。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⑬项目施工期间，在施工现场安装扬尘在线监测系统，实时监测施工现场扬尘等污染物。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cs="Times New Roman"/>
                <w:color w:val="auto"/>
                <w:sz w:val="24"/>
                <w:szCs w:val="24"/>
              </w:rPr>
            </w:pPr>
            <w:r>
              <w:rPr>
                <w:rFonts w:hint="default" w:ascii="Times New Roman" w:hAnsi="Times New Roman" w:eastAsia="宋体" w:cs="Times New Roman"/>
                <w:color w:val="auto"/>
                <w:sz w:val="24"/>
                <w:szCs w:val="24"/>
              </w:rPr>
              <w:t>⑭建设单位应加强扬尘控制措施，注意运输道路的清扫，洗车要规范，洒水要到位，并建立健全的施工扬尘管理制度。</w:t>
            </w:r>
          </w:p>
          <w:p>
            <w:pPr>
              <w:pStyle w:val="59"/>
              <w:ind w:firstLine="480"/>
              <w:rPr>
                <w:color w:val="auto"/>
              </w:rPr>
            </w:pPr>
            <w:r>
              <w:rPr>
                <w:rFonts w:hint="eastAsia"/>
                <w:color w:val="auto"/>
              </w:rPr>
              <w:t>根据《陕西省施工场界扬尘排放限值》（DB61/1078-2017）中的扬尘排放控制要求，城市建成区、规划区施工场界内施工扬尘浓度在周界外浓度最高点拆除、土方及地基处理工程小时平均浓度限值控制在不大于0.8mg/m</w:t>
            </w:r>
            <w:r>
              <w:rPr>
                <w:rFonts w:hint="eastAsia"/>
                <w:color w:val="auto"/>
                <w:vertAlign w:val="superscript"/>
              </w:rPr>
              <w:t>3</w:t>
            </w:r>
            <w:r>
              <w:rPr>
                <w:rFonts w:hint="eastAsia"/>
                <w:color w:val="auto"/>
              </w:rPr>
              <w:t>，在周界外浓度最高点基础、主体结构及装饰工程小时平均浓度限值控制在不大于0.7mg/m</w:t>
            </w:r>
            <w:r>
              <w:rPr>
                <w:rFonts w:hint="eastAsia"/>
                <w:color w:val="auto"/>
                <w:vertAlign w:val="superscript"/>
              </w:rPr>
              <w:t>3</w:t>
            </w:r>
            <w:r>
              <w:rPr>
                <w:rFonts w:hint="eastAsia"/>
                <w:color w:val="auto"/>
              </w:rPr>
              <w:t>。为落实以上要求，建设单位施工过程中应严格落实―洒水、覆盖、硬化、冲洗、绿化、围挡“六个100%”措施，尽量减缓施工扬尘对周围环境的影响。采取如上措施后施工期扬尘对周围环境影响不大，且施工期对大气环境的污染是短期的，施工完成后就会消失。</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施工机械、车辆尾气</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本项目为减小施工期施工机械、材料运输车辆尾气对周围环境的影响，本环评要求拟采取如下控制措施：</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①选用符合国家标准的施工机械设备和运输车辆；</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②加强对施工机械及施工车辆的检修和维护，严禁使用超期服役和尾气超标的施工机械及车辆；</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③尽可能使用气动和电动设备及机械，或使用优质燃油，以减少机械和车辆有害气体的排放。采取以上措施后，可有效减少施工机械、车辆尾气对周围环境的影响，排放废气可满足非道路移动机械相关标准要求。</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（3）沥青摊铺烟气</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本项目不单独设置沥青搅拌站，所用沥青均为外购成品，只是在沥青铺设过程中产生少量沥青烟气，排放量较小，施工单位在沥青路面铺设过程中严格注意控制沥青的温度，及时摊铺作业并压实，可减少沥青烟挥发对大气环境及操作人员的影响。由于施工场地开阔，沥青在摊铺过程中影响范围较为集中，影响范围较小，摊铺时间较短，随施工结束而结束，评价要求避免在风向针对敏感目标的时段施工。</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（4）管道焊接烟尘</w:t>
            </w:r>
          </w:p>
          <w:p>
            <w:pPr>
              <w:pStyle w:val="59"/>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color w:val="auto"/>
              </w:rPr>
            </w:pPr>
            <w:r>
              <w:rPr>
                <w:rFonts w:hint="eastAsia"/>
                <w:color w:val="auto"/>
              </w:rPr>
              <w:t>管线焊接过程中将会产生少量焊接烟气。由于焊接烟气分散于各个焊接点，且产生量较小，能迅速扩散。评价要求避免在风向针对敏感目标的时段施工，焊接烟气对大气环境的影响较小。</w:t>
            </w:r>
          </w:p>
          <w:p>
            <w:pPr>
              <w:pStyle w:val="59"/>
              <w:keepNext w:val="0"/>
              <w:keepLines w:val="0"/>
              <w:pageBreakBefore w:val="0"/>
              <w:widowControl w:val="0"/>
              <w:kinsoku/>
              <w:wordWrap/>
              <w:overflowPunct/>
              <w:topLinePunct w:val="0"/>
              <w:autoSpaceDE/>
              <w:autoSpaceDN/>
              <w:bidi w:val="0"/>
              <w:adjustRightInd w:val="0"/>
              <w:snapToGrid w:val="0"/>
              <w:ind w:firstLine="482" w:firstLineChars="200"/>
              <w:textAlignment w:val="auto"/>
              <w:rPr>
                <w:b/>
                <w:bCs/>
                <w:color w:val="auto"/>
              </w:rPr>
            </w:pPr>
            <w:r>
              <w:rPr>
                <w:rFonts w:hint="eastAsia"/>
                <w:b/>
                <w:bCs/>
                <w:color w:val="auto"/>
                <w:lang w:val="en-US" w:eastAsia="zh-CN"/>
              </w:rPr>
              <w:t>2、</w:t>
            </w:r>
            <w:r>
              <w:rPr>
                <w:rFonts w:hint="eastAsia"/>
                <w:b/>
                <w:bCs/>
                <w:color w:val="auto"/>
              </w:rPr>
              <w:t>施工期水污染防治措施</w:t>
            </w:r>
          </w:p>
          <w:p>
            <w:pPr>
              <w:pStyle w:val="59"/>
              <w:ind w:firstLine="480"/>
              <w:rPr>
                <w:rFonts w:hint="eastAsia"/>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施工废水</w:t>
            </w:r>
          </w:p>
          <w:p>
            <w:pPr>
              <w:pStyle w:val="59"/>
              <w:ind w:firstLine="480"/>
              <w:rPr>
                <w:rFonts w:hint="eastAsia"/>
                <w:color w:val="auto"/>
                <w:highlight w:val="none"/>
              </w:rPr>
            </w:pPr>
            <w:r>
              <w:rPr>
                <w:rFonts w:hint="eastAsia"/>
                <w:color w:val="auto"/>
                <w:highlight w:val="none"/>
              </w:rPr>
              <w:t>在施工场地内设置</w:t>
            </w:r>
            <w:r>
              <w:rPr>
                <w:rFonts w:hint="eastAsia"/>
                <w:color w:val="auto"/>
                <w:highlight w:val="none"/>
                <w:lang w:val="en-US" w:eastAsia="zh-CN"/>
              </w:rPr>
              <w:t>1套三级沉淀池</w:t>
            </w:r>
            <w:r>
              <w:rPr>
                <w:rFonts w:hint="eastAsia"/>
                <w:color w:val="auto"/>
                <w:highlight w:val="none"/>
              </w:rPr>
              <w:t>（</w:t>
            </w:r>
            <w:r>
              <w:rPr>
                <w:rFonts w:hint="eastAsia"/>
                <w:color w:val="auto"/>
                <w:highlight w:val="none"/>
                <w:lang w:val="en-US" w:eastAsia="zh-CN"/>
              </w:rPr>
              <w:t>容积</w:t>
            </w:r>
            <w:r>
              <w:rPr>
                <w:rFonts w:hint="eastAsia"/>
                <w:color w:val="auto"/>
                <w:highlight w:val="none"/>
              </w:rPr>
              <w:t>约</w:t>
            </w:r>
            <w:r>
              <w:rPr>
                <w:rFonts w:hint="eastAsia"/>
                <w:color w:val="auto"/>
                <w:highlight w:val="none"/>
                <w:lang w:val="en-US" w:eastAsia="zh-CN"/>
              </w:rPr>
              <w:t>为60</w:t>
            </w:r>
            <w:r>
              <w:rPr>
                <w:rFonts w:hint="eastAsia"/>
                <w:color w:val="auto"/>
                <w:highlight w:val="none"/>
              </w:rPr>
              <w:t>m</w:t>
            </w:r>
            <w:r>
              <w:rPr>
                <w:rFonts w:hint="eastAsia"/>
                <w:color w:val="auto"/>
                <w:highlight w:val="none"/>
                <w:vertAlign w:val="superscript"/>
              </w:rPr>
              <w:t>3</w:t>
            </w:r>
            <w:r>
              <w:rPr>
                <w:rFonts w:hint="eastAsia"/>
                <w:color w:val="auto"/>
                <w:highlight w:val="none"/>
              </w:rPr>
              <w:t>）对收集的施工废水进行处理，处理后的水循环回用于车辆冲洗和场地、道路洒水降尘，不外排。施工材料临时堆放要采取覆盖措施，防止雨水冲刷造成污染，工程废料应及时清运。管道闭水试验废水主要污染物为SS，无其他污染物，较清洁，废水可直接用于路面洒水或道路两侧植被绿化。</w:t>
            </w:r>
          </w:p>
          <w:p>
            <w:pPr>
              <w:pStyle w:val="59"/>
              <w:ind w:firstLine="480"/>
              <w:rPr>
                <w:rFonts w:hint="eastAsia"/>
                <w:color w:val="auto"/>
              </w:rPr>
            </w:pPr>
            <w:r>
              <w:rPr>
                <w:rFonts w:hint="eastAsia"/>
                <w:color w:val="auto"/>
              </w:rPr>
              <w:t>（2）生活污水</w:t>
            </w:r>
          </w:p>
          <w:p>
            <w:pPr>
              <w:pStyle w:val="59"/>
              <w:ind w:firstLine="480"/>
              <w:rPr>
                <w:color w:val="auto"/>
              </w:rPr>
            </w:pPr>
            <w:r>
              <w:rPr>
                <w:rFonts w:hint="eastAsia"/>
                <w:color w:val="auto"/>
              </w:rPr>
              <w:t>项目施工场地内不设置施工营地，施工人员生活污水依托项目周边公共卫生设施处理。</w:t>
            </w:r>
          </w:p>
          <w:p>
            <w:pPr>
              <w:pStyle w:val="59"/>
              <w:keepNext w:val="0"/>
              <w:keepLines w:val="0"/>
              <w:pageBreakBefore w:val="0"/>
              <w:widowControl w:val="0"/>
              <w:kinsoku/>
              <w:wordWrap/>
              <w:overflowPunct/>
              <w:topLinePunct w:val="0"/>
              <w:autoSpaceDE/>
              <w:autoSpaceDN/>
              <w:bidi w:val="0"/>
              <w:adjustRightInd w:val="0"/>
              <w:snapToGrid w:val="0"/>
              <w:ind w:firstLine="482" w:firstLineChars="200"/>
              <w:textAlignment w:val="auto"/>
              <w:rPr>
                <w:b/>
                <w:bCs/>
                <w:color w:val="auto"/>
              </w:rPr>
            </w:pPr>
            <w:r>
              <w:rPr>
                <w:rFonts w:hint="eastAsia"/>
                <w:b/>
                <w:bCs/>
                <w:color w:val="auto"/>
                <w:lang w:val="en-US" w:eastAsia="zh-CN"/>
              </w:rPr>
              <w:t>3、</w:t>
            </w:r>
            <w:r>
              <w:rPr>
                <w:rFonts w:hint="eastAsia"/>
                <w:b/>
                <w:bCs/>
                <w:color w:val="auto"/>
              </w:rPr>
              <w:t>施工期噪声污染防控措施</w:t>
            </w:r>
          </w:p>
          <w:p>
            <w:pPr>
              <w:pStyle w:val="59"/>
              <w:ind w:firstLine="480"/>
              <w:rPr>
                <w:color w:val="auto"/>
              </w:rPr>
            </w:pPr>
            <w:r>
              <w:rPr>
                <w:rFonts w:hint="eastAsia"/>
                <w:color w:val="auto"/>
              </w:rPr>
              <w:t>①施工期间，高噪声设备、多台设备施工以及集中施工场地的设置采取相应的隔声、减振、消声等降噪措施，昼间施工对于噪声影响较大的敏感点设置移动声屏障等保护措施。</w:t>
            </w:r>
          </w:p>
          <w:p>
            <w:pPr>
              <w:pStyle w:val="59"/>
              <w:ind w:firstLine="480"/>
              <w:rPr>
                <w:color w:val="auto"/>
              </w:rPr>
            </w:pPr>
            <w:r>
              <w:rPr>
                <w:rFonts w:hint="eastAsia"/>
                <w:color w:val="auto"/>
              </w:rPr>
              <w:t>②昼间施工作业应合理安排施工时间，保护沿线居民的正常生活和休息，建设施工单位应合理地安排施工进度和时间，文明、环保施工，并采取必要的噪声控制措施，降低施工噪声对环境的影响。在沿线声环境敏感点附近施工时，必须采取严格措施以减轻对其周围居民的影响。</w:t>
            </w:r>
          </w:p>
          <w:p>
            <w:pPr>
              <w:pStyle w:val="59"/>
              <w:ind w:firstLine="480"/>
              <w:rPr>
                <w:color w:val="auto"/>
              </w:rPr>
            </w:pPr>
            <w:r>
              <w:rPr>
                <w:rFonts w:hint="eastAsia"/>
                <w:color w:val="auto"/>
              </w:rPr>
              <w:t>③合理安排施工时间，制订施工计划时，应尽可能避免大量的高噪声设备同时施工。严禁在中午（12:00～14:00）期间作业，因特殊需要延续施工时间的，必须报有关管理部门批准，施工场界噪声应控制在《建筑施工场界环境噪声排放标准》（GB12523-2011）限值之内。</w:t>
            </w:r>
          </w:p>
          <w:p>
            <w:pPr>
              <w:pStyle w:val="59"/>
              <w:ind w:firstLine="480"/>
              <w:rPr>
                <w:color w:val="auto"/>
              </w:rPr>
            </w:pPr>
            <w:r>
              <w:rPr>
                <w:rFonts w:hint="eastAsia"/>
                <w:color w:val="auto"/>
              </w:rPr>
              <w:t>④施工机械应尽量采用市电，以避免柴油发电机组噪声的产生；施工单位须选用符合国家有关标准的施工机具和运输车辆，尽量选用低噪声或带隔声、消声的施工机械和工艺，如用液压工具代替气压工具，皮带机机头等机械应安装消声器；振动较大的固定机械设备应加装减振机座，同时应注意对设备的养护和正确操作，产生的噪声较</w:t>
            </w:r>
            <w:r>
              <w:rPr>
                <w:rFonts w:hint="eastAsia"/>
                <w:color w:val="auto"/>
                <w:highlight w:val="none"/>
              </w:rPr>
              <w:t>小。</w:t>
            </w:r>
          </w:p>
          <w:p>
            <w:pPr>
              <w:pStyle w:val="59"/>
              <w:ind w:firstLine="480"/>
              <w:rPr>
                <w:color w:val="auto"/>
              </w:rPr>
            </w:pPr>
            <w:r>
              <w:rPr>
                <w:rFonts w:hint="eastAsia"/>
                <w:color w:val="auto"/>
              </w:rPr>
              <w:t>⑤施工现场应按照《建筑施工场界环境噪声排放标准》（GB12523-2011）制定降噪措施，并可由施工企业自行对施工现场的噪声值进行监测和记录；采用专人监测、专人管理的原则，凡超过《建筑施工场界环境噪声排放标准》（GB</w:t>
            </w:r>
            <w:r>
              <w:rPr>
                <w:color w:val="auto"/>
              </w:rPr>
              <w:t xml:space="preserve"> </w:t>
            </w:r>
            <w:r>
              <w:rPr>
                <w:rFonts w:hint="eastAsia"/>
                <w:color w:val="auto"/>
              </w:rPr>
              <w:t>12523-2011）的，要及时对施工现场噪声超标的有关因素进行调整，力争达到施工噪声不扰民。</w:t>
            </w:r>
          </w:p>
          <w:p>
            <w:pPr>
              <w:pStyle w:val="59"/>
              <w:ind w:firstLine="480"/>
              <w:rPr>
                <w:color w:val="auto"/>
              </w:rPr>
            </w:pPr>
            <w:r>
              <w:rPr>
                <w:rFonts w:hint="eastAsia"/>
                <w:color w:val="auto"/>
              </w:rPr>
              <w:t>⑥施工单位在工程开工前15天内向有审批权的环境保护部门提出申报，并说明拟采用的防治措施；因施工需要而必须夜间连续进行施工作业时，必须经当地有关主管部门的批准同意、取得附近居民的谅解，并采取利用移动式或临时声屏障等防噪措施；建设单位应与周围单位、居民建立良好关系，对受施工干扰的单位和居民，应在作业前做好安民告示，取得社会的理解和支持。</w:t>
            </w:r>
          </w:p>
          <w:p>
            <w:pPr>
              <w:pStyle w:val="59"/>
              <w:keepNext w:val="0"/>
              <w:keepLines w:val="0"/>
              <w:pageBreakBefore w:val="0"/>
              <w:widowControl w:val="0"/>
              <w:kinsoku/>
              <w:wordWrap/>
              <w:overflowPunct/>
              <w:topLinePunct w:val="0"/>
              <w:autoSpaceDE/>
              <w:autoSpaceDN/>
              <w:bidi w:val="0"/>
              <w:adjustRightInd w:val="0"/>
              <w:snapToGrid w:val="0"/>
              <w:ind w:firstLine="482" w:firstLineChars="200"/>
              <w:textAlignment w:val="auto"/>
              <w:rPr>
                <w:b/>
                <w:bCs/>
                <w:color w:val="auto"/>
              </w:rPr>
            </w:pPr>
            <w:r>
              <w:rPr>
                <w:rFonts w:hint="eastAsia"/>
                <w:b/>
                <w:bCs/>
                <w:color w:val="auto"/>
                <w:lang w:val="en-US" w:eastAsia="zh-CN"/>
              </w:rPr>
              <w:t>4、</w:t>
            </w:r>
            <w:r>
              <w:rPr>
                <w:rFonts w:hint="eastAsia"/>
                <w:b/>
                <w:bCs/>
                <w:color w:val="auto"/>
              </w:rPr>
              <w:t>固体废物环境保护措施</w:t>
            </w:r>
          </w:p>
          <w:p>
            <w:pPr>
              <w:pStyle w:val="59"/>
              <w:ind w:firstLine="480"/>
              <w:rPr>
                <w:rFonts w:hint="eastAsia"/>
                <w:color w:val="auto"/>
              </w:rPr>
            </w:pPr>
            <w:r>
              <w:rPr>
                <w:rFonts w:hint="eastAsia"/>
                <w:color w:val="auto"/>
              </w:rPr>
              <w:t>施工期固体废物主要包括建筑垃圾、土石方和施工人员生活垃圾。</w:t>
            </w:r>
          </w:p>
          <w:p>
            <w:pPr>
              <w:pStyle w:val="59"/>
              <w:ind w:firstLine="480"/>
              <w:rPr>
                <w:rFonts w:hint="eastAsia"/>
                <w:color w:val="auto"/>
              </w:rPr>
            </w:pPr>
            <w:r>
              <w:rPr>
                <w:rFonts w:hint="eastAsia"/>
                <w:color w:val="auto"/>
              </w:rPr>
              <w:t>施工单位应配备管理人员对拆迁产生的建筑垃圾、道路清理表土和土石方弃渣实施现场管理，渣土运输的车辆必须设置密闭式加盖装置，并按规定的时间、地点和路线进行。施工人员的生活垃圾，应以专门容器收集，由环卫部门有偿清运，不允许随地乱抛，或混入建筑垃圾，影响环境卫生。</w:t>
            </w:r>
          </w:p>
          <w:p>
            <w:pPr>
              <w:pStyle w:val="59"/>
              <w:ind w:firstLine="480"/>
              <w:rPr>
                <w:color w:val="auto"/>
              </w:rPr>
            </w:pPr>
            <w:r>
              <w:rPr>
                <w:rFonts w:hint="eastAsia"/>
                <w:color w:val="auto"/>
              </w:rPr>
              <w:t>通过采取以上防治措施，本项目施工过程中固体废弃物不会对外环境产生明显不利影响。</w:t>
            </w:r>
          </w:p>
          <w:p>
            <w:pPr>
              <w:pStyle w:val="59"/>
              <w:ind w:firstLine="480"/>
              <w:rPr>
                <w:b/>
                <w:bCs/>
                <w:color w:val="auto"/>
              </w:rPr>
            </w:pPr>
            <w:r>
              <w:rPr>
                <w:rFonts w:hint="eastAsia"/>
                <w:b/>
                <w:bCs/>
                <w:color w:val="auto"/>
                <w:lang w:val="en-US" w:eastAsia="zh-CN"/>
              </w:rPr>
              <w:t>5、</w:t>
            </w:r>
            <w:r>
              <w:rPr>
                <w:rFonts w:hint="eastAsia"/>
                <w:b/>
                <w:bCs/>
                <w:color w:val="auto"/>
              </w:rPr>
              <w:t>生态环境保护措施</w:t>
            </w:r>
          </w:p>
          <w:p>
            <w:pPr>
              <w:pStyle w:val="59"/>
              <w:ind w:firstLine="480"/>
              <w:rPr>
                <w:rFonts w:hint="eastAsia"/>
                <w:color w:val="auto"/>
              </w:rPr>
            </w:pPr>
            <w:r>
              <w:rPr>
                <w:rFonts w:hint="eastAsia"/>
                <w:color w:val="auto"/>
              </w:rPr>
              <w:t>建设单位拟采取以下生态环境保护措施：</w:t>
            </w:r>
          </w:p>
          <w:p>
            <w:pPr>
              <w:pStyle w:val="59"/>
              <w:ind w:firstLine="480"/>
              <w:rPr>
                <w:rFonts w:hint="eastAsia"/>
                <w:color w:val="auto"/>
              </w:rPr>
            </w:pPr>
            <w:r>
              <w:rPr>
                <w:rFonts w:hint="eastAsia"/>
                <w:color w:val="auto"/>
              </w:rPr>
              <w:t>①施工期临时占地选择在道路征地范围内，不占土地。</w:t>
            </w:r>
          </w:p>
          <w:p>
            <w:pPr>
              <w:pStyle w:val="59"/>
              <w:ind w:firstLine="480"/>
              <w:rPr>
                <w:rFonts w:hint="eastAsia"/>
                <w:color w:val="auto"/>
              </w:rPr>
            </w:pPr>
            <w:r>
              <w:rPr>
                <w:rFonts w:hint="eastAsia"/>
                <w:color w:val="auto"/>
              </w:rPr>
              <w:t>②各种施工活动应严格控制在施工作业区内。</w:t>
            </w:r>
          </w:p>
          <w:p>
            <w:pPr>
              <w:pStyle w:val="59"/>
              <w:ind w:firstLine="480"/>
              <w:rPr>
                <w:rFonts w:hint="eastAsia"/>
                <w:color w:val="auto"/>
              </w:rPr>
            </w:pPr>
            <w:r>
              <w:rPr>
                <w:rFonts w:hint="eastAsia"/>
                <w:color w:val="auto"/>
              </w:rPr>
              <w:t>③大规模的土石方工程应尽量避开雨季。</w:t>
            </w:r>
          </w:p>
          <w:p>
            <w:pPr>
              <w:pStyle w:val="59"/>
              <w:ind w:firstLine="480"/>
              <w:rPr>
                <w:rFonts w:hint="eastAsia"/>
                <w:color w:val="auto"/>
              </w:rPr>
            </w:pPr>
            <w:r>
              <w:rPr>
                <w:rFonts w:hint="eastAsia"/>
                <w:color w:val="auto"/>
              </w:rPr>
              <w:t>④为使施工期间的降雨不会对开挖的裸露地表造成冲刷，在施工场地周边设置临时排水沟，排水沟末端</w:t>
            </w:r>
            <w:r>
              <w:rPr>
                <w:rFonts w:hint="eastAsia"/>
                <w:color w:val="auto"/>
                <w:lang w:val="en-US" w:eastAsia="zh-CN"/>
              </w:rPr>
              <w:t>与沉淀池相连</w:t>
            </w:r>
            <w:r>
              <w:rPr>
                <w:rFonts w:hint="eastAsia"/>
                <w:color w:val="auto"/>
              </w:rPr>
              <w:t>，以汇集施工区的降水，待工程结束后将排水沟填平夯实。</w:t>
            </w:r>
          </w:p>
          <w:p>
            <w:pPr>
              <w:pStyle w:val="59"/>
              <w:ind w:firstLine="480"/>
              <w:rPr>
                <w:rFonts w:hint="eastAsia"/>
                <w:color w:val="auto"/>
              </w:rPr>
            </w:pPr>
            <w:r>
              <w:rPr>
                <w:rFonts w:hint="eastAsia"/>
                <w:color w:val="auto"/>
              </w:rPr>
              <w:t>⑤工程在道路用地范围内均进行了绿化设计，并根据当地的地形地貌，选择适宜的植被进行绿化。</w:t>
            </w:r>
          </w:p>
          <w:p>
            <w:pPr>
              <w:pStyle w:val="59"/>
              <w:ind w:firstLine="480"/>
              <w:rPr>
                <w:color w:val="auto"/>
                <w:sz w:val="24"/>
              </w:rPr>
            </w:pPr>
            <w:r>
              <w:rPr>
                <w:rFonts w:hint="eastAsia"/>
                <w:color w:val="auto"/>
                <w:lang w:val="en-US" w:eastAsia="zh-CN"/>
              </w:rPr>
              <w:t>⑥</w:t>
            </w:r>
            <w:r>
              <w:rPr>
                <w:rFonts w:hint="default"/>
                <w:color w:val="auto"/>
                <w:sz w:val="24"/>
                <w:szCs w:val="24"/>
                <w:lang w:val="en-US" w:eastAsia="zh-CN"/>
              </w:rPr>
              <w:t>根据《陕西省湿地保护条例》</w:t>
            </w:r>
            <w:r>
              <w:rPr>
                <w:rFonts w:hint="eastAsia"/>
                <w:color w:val="auto"/>
                <w:sz w:val="24"/>
                <w:szCs w:val="24"/>
                <w:lang w:val="en-US" w:eastAsia="zh-CN"/>
              </w:rPr>
              <w:t>，</w:t>
            </w:r>
            <w:r>
              <w:rPr>
                <w:color w:val="auto"/>
                <w:sz w:val="24"/>
              </w:rPr>
              <w:t>禁止在湿地河滩地、洪泛区内设临时工程。</w:t>
            </w:r>
          </w:p>
          <w:p>
            <w:pPr>
              <w:pStyle w:val="59"/>
              <w:ind w:firstLine="480"/>
              <w:rPr>
                <w:rFonts w:hint="default" w:eastAsia="宋体"/>
                <w:color w:val="auto"/>
                <w:sz w:val="24"/>
                <w:lang w:val="en-US" w:eastAsia="zh-CN"/>
              </w:rPr>
            </w:pPr>
            <w:r>
              <w:rPr>
                <w:rFonts w:hint="eastAsia"/>
                <w:color w:val="auto"/>
                <w:sz w:val="24"/>
                <w:lang w:val="en-US" w:eastAsia="zh-CN"/>
              </w:rPr>
              <w:t>⑦加强施工人员管理，禁止向河道内倾倒施工废水，施工材料堆放远离泾河一侧。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53" w:type="dxa"/>
            <w:tcMar>
              <w:left w:w="28" w:type="dxa"/>
              <w:right w:w="28" w:type="dxa"/>
            </w:tcMar>
            <w:vAlign w:val="center"/>
          </w:tcPr>
          <w:p>
            <w:pPr>
              <w:adjustRightInd w:val="0"/>
              <w:snapToGrid w:val="0"/>
              <w:jc w:val="center"/>
              <w:rPr>
                <w:rFonts w:ascii="宋体" w:hAnsi="宋体" w:cs="宋体"/>
                <w:bCs/>
                <w:color w:val="auto"/>
                <w:spacing w:val="10"/>
                <w:szCs w:val="21"/>
              </w:rPr>
            </w:pPr>
            <w:r>
              <w:rPr>
                <w:rFonts w:hint="eastAsia" w:ascii="宋体" w:hAnsi="宋体" w:cs="宋体"/>
                <w:bCs/>
                <w:color w:val="auto"/>
                <w:spacing w:val="10"/>
                <w:szCs w:val="21"/>
              </w:rPr>
              <w:t>运营期生态环境保护措施</w:t>
            </w:r>
          </w:p>
        </w:tc>
        <w:tc>
          <w:tcPr>
            <w:tcW w:w="8457" w:type="dxa"/>
          </w:tcPr>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1、</w:t>
            </w:r>
            <w:r>
              <w:rPr>
                <w:rFonts w:hint="eastAsia"/>
                <w:b/>
                <w:bCs/>
                <w:color w:val="auto"/>
                <w:sz w:val="24"/>
                <w:szCs w:val="24"/>
              </w:rPr>
              <w:t>运营期大气污染防治措施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运营期定期对路面进行清扫、日常洒水抑尘；加强对道路的养护，使道路保持良好的运营状态以减少车辆非正常工况行驶的情况发生；加强道路两侧的绿化维护，以净化吸收车辆尾气中的污染物，衰减大气中总悬浮微粒，又可以美化环境和改善道路沿线景观效果。</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2、运营期水环境保护措施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本工程道路周边汇水范围的雨水径流通过道路下方设的雨水管道收集。路面径流为面源污染，其污染程度与区域大气环境质量状况、地表的清洁程度、降雨特征等因素有关，可以通过采取加强交通管理，保持路面清洁的措施减缓对地表水环境的影响，使地表清洁、卫生状况良好，则随雨水径流带入水体的污染物将大大降低。</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3、</w:t>
            </w:r>
            <w:r>
              <w:rPr>
                <w:rFonts w:hint="eastAsia"/>
                <w:b/>
                <w:bCs/>
                <w:color w:val="auto"/>
                <w:sz w:val="24"/>
                <w:szCs w:val="24"/>
              </w:rPr>
              <w:t>运营期噪声污染防治措施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运营期采用低噪声筑路材料、加强市政路管理、加强交通管理；对于学校等特殊敏感目标在运营期预留降噪费用，加强运营期跟踪监测，如超标应采取隔声窗等相应措施，确保敏感点室内环境满足使用功能要求。通过采取以上措施，本项目对声环境的影响可以控制在国家有关标准和要求允许的范围内。具体声环境保护措施见噪声专项评价。</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4、</w:t>
            </w:r>
            <w:r>
              <w:rPr>
                <w:rFonts w:hint="eastAsia"/>
                <w:b/>
                <w:bCs/>
                <w:color w:val="auto"/>
                <w:sz w:val="24"/>
                <w:szCs w:val="24"/>
              </w:rPr>
              <w:t>运营期固体废物环境保护措施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营运期固体废物主要来源是运输车辆散落的运载物、发生交通事故的车辆装载的货物、乘客丢弃的物品等，及行人丢弃的垃圾。</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（1）路面固体废物为一般城市垃圾，可交由环卫部门进行处置，定期组织环卫部门对道路的清扫可有效防止固废污染。</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（2）建议沿线布设相应数量的垃圾桶/箱，减少废物的丢弃量。</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（3）建议设立相应的“勿丢废弃物”警示牌，提醒过往的行人及司机不要乱丢果皮、杂物。</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5、</w:t>
            </w:r>
            <w:r>
              <w:rPr>
                <w:rFonts w:hint="eastAsia"/>
                <w:b/>
                <w:bCs/>
                <w:color w:val="auto"/>
                <w:sz w:val="24"/>
                <w:szCs w:val="24"/>
              </w:rPr>
              <w:t>生态环境保护措施</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rPr>
              <w:t>为弥补工程引起的土地占用和植被破坏导致的生态损失，项目区需同时进行植被恢复</w:t>
            </w:r>
            <w:r>
              <w:rPr>
                <w:rFonts w:hint="eastAsia"/>
                <w:color w:val="auto"/>
                <w:sz w:val="24"/>
                <w:szCs w:val="24"/>
                <w:lang w:eastAsia="zh-CN"/>
              </w:rPr>
              <w:t>，</w:t>
            </w:r>
            <w:r>
              <w:rPr>
                <w:rFonts w:hint="eastAsia"/>
                <w:color w:val="auto"/>
                <w:sz w:val="24"/>
                <w:szCs w:val="24"/>
              </w:rPr>
              <w:t>选择适宜的植物种类</w:t>
            </w:r>
            <w:r>
              <w:rPr>
                <w:rFonts w:hint="eastAsia"/>
                <w:color w:val="auto"/>
                <w:sz w:val="24"/>
                <w:szCs w:val="24"/>
                <w:lang w:eastAsia="zh-CN"/>
              </w:rPr>
              <w:t>，注意沿线绿化的日常维护（包括浇水、修剪等）。</w:t>
            </w:r>
          </w:p>
          <w:p>
            <w:pPr>
              <w:pStyle w:val="26"/>
              <w:rPr>
                <w:rFonts w:hint="eastAsia"/>
                <w:color w:val="auto"/>
                <w:sz w:val="24"/>
                <w:szCs w:val="24"/>
                <w:lang w:eastAsia="zh-CN"/>
              </w:rPr>
            </w:pPr>
          </w:p>
          <w:p>
            <w:pPr>
              <w:rPr>
                <w:rFonts w:hint="eastAsia"/>
                <w:color w:val="auto"/>
                <w:sz w:val="24"/>
                <w:szCs w:val="24"/>
                <w:lang w:eastAsia="zh-CN"/>
              </w:rPr>
            </w:pPr>
          </w:p>
          <w:p>
            <w:pPr>
              <w:pStyle w:val="26"/>
              <w:rPr>
                <w:rFonts w:hint="eastAsia"/>
                <w:color w:val="auto"/>
                <w:sz w:val="24"/>
                <w:szCs w:val="24"/>
                <w:lang w:eastAsia="zh-CN"/>
              </w:rPr>
            </w:pPr>
          </w:p>
          <w:p>
            <w:pPr>
              <w:rPr>
                <w:rFonts w:hint="eastAsia"/>
                <w:color w:val="auto"/>
                <w:sz w:val="24"/>
                <w:szCs w:val="24"/>
                <w:lang w:eastAsia="zh-CN"/>
              </w:rPr>
            </w:pPr>
          </w:p>
          <w:p>
            <w:pPr>
              <w:pStyle w:val="26"/>
              <w:rPr>
                <w:rFonts w:hint="eastAsia"/>
                <w:color w:val="auto"/>
                <w:sz w:val="24"/>
                <w:szCs w:val="24"/>
                <w:lang w:eastAsia="zh-CN"/>
              </w:rPr>
            </w:pPr>
          </w:p>
          <w:p>
            <w:pPr>
              <w:rPr>
                <w:rFonts w:hint="eastAsia"/>
                <w:color w:val="auto"/>
                <w:sz w:val="24"/>
                <w:szCs w:val="24"/>
                <w:lang w:eastAsia="zh-CN"/>
              </w:rPr>
            </w:pPr>
          </w:p>
          <w:p>
            <w:pPr>
              <w:pStyle w:val="26"/>
              <w:rPr>
                <w:rFonts w:hint="eastAsia"/>
                <w:color w:val="auto"/>
                <w:sz w:val="24"/>
                <w:szCs w:val="24"/>
                <w:lang w:eastAsia="zh-CN"/>
              </w:rPr>
            </w:pPr>
          </w:p>
          <w:p>
            <w:pPr>
              <w:rPr>
                <w:rFonts w:hint="eastAsia"/>
                <w:color w:val="auto"/>
                <w:sz w:val="24"/>
                <w:szCs w:val="24"/>
                <w:lang w:eastAsia="zh-CN"/>
              </w:rPr>
            </w:pPr>
          </w:p>
          <w:p>
            <w:pPr>
              <w:rPr>
                <w:rFonts w:hint="eastAsia"/>
                <w:color w:val="auto"/>
                <w:sz w:val="24"/>
                <w:szCs w:val="24"/>
                <w:lang w:eastAsia="zh-CN"/>
              </w:rPr>
            </w:pPr>
          </w:p>
          <w:p>
            <w:pPr>
              <w:pStyle w:val="26"/>
              <w:rPr>
                <w:rFonts w:hint="eastAsia"/>
                <w:color w:val="auto"/>
                <w:sz w:val="24"/>
                <w:szCs w:val="24"/>
                <w:lang w:eastAsia="zh-CN"/>
              </w:rPr>
            </w:pPr>
          </w:p>
          <w:p>
            <w:pPr>
              <w:rPr>
                <w:rFonts w:hint="eastAsia"/>
                <w:color w:val="auto"/>
                <w:lang w:eastAsia="zh-CN"/>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9" w:hRule="atLeast"/>
          <w:jc w:val="center"/>
        </w:trPr>
        <w:tc>
          <w:tcPr>
            <w:tcW w:w="753" w:type="dxa"/>
            <w:vAlign w:val="center"/>
          </w:tcPr>
          <w:p>
            <w:pPr>
              <w:adjustRightInd w:val="0"/>
              <w:snapToGrid w:val="0"/>
              <w:jc w:val="center"/>
              <w:rPr>
                <w:rFonts w:ascii="宋体" w:hAnsi="宋体" w:cs="宋体"/>
                <w:bCs/>
                <w:color w:val="auto"/>
                <w:spacing w:val="10"/>
                <w:szCs w:val="21"/>
              </w:rPr>
            </w:pPr>
            <w:r>
              <w:rPr>
                <w:rFonts w:hint="eastAsia" w:ascii="宋体" w:hAnsi="宋体"/>
                <w:bCs/>
                <w:color w:val="auto"/>
                <w:szCs w:val="21"/>
              </w:rPr>
              <w:t>其他</w:t>
            </w:r>
          </w:p>
        </w:tc>
        <w:tc>
          <w:tcPr>
            <w:tcW w:w="8457"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1、</w:t>
            </w:r>
            <w:r>
              <w:rPr>
                <w:rFonts w:hint="eastAsia"/>
                <w:b/>
                <w:bCs/>
                <w:color w:val="auto"/>
                <w:sz w:val="24"/>
                <w:szCs w:val="24"/>
              </w:rPr>
              <w:t>施工期环境管理计划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施工期环境管理计划见表</w:t>
            </w:r>
            <w:r>
              <w:rPr>
                <w:rFonts w:hint="eastAsia"/>
                <w:color w:val="auto"/>
                <w:sz w:val="24"/>
                <w:szCs w:val="24"/>
                <w:lang w:val="en-US" w:eastAsia="zh-CN"/>
              </w:rPr>
              <w:t>5-1</w:t>
            </w:r>
            <w:r>
              <w:rPr>
                <w:rFonts w:hint="eastAsia"/>
                <w:color w:val="auto"/>
                <w:sz w:val="24"/>
                <w:szCs w:val="24"/>
              </w:rPr>
              <w:t>。</w:t>
            </w:r>
          </w:p>
          <w:p>
            <w:pPr>
              <w:pStyle w:val="47"/>
              <w:rPr>
                <w:color w:val="auto"/>
                <w:sz w:val="21"/>
                <w:szCs w:val="21"/>
              </w:rPr>
            </w:pPr>
            <w:r>
              <w:rPr>
                <w:rFonts w:hint="eastAsia"/>
                <w:color w:val="auto"/>
                <w:sz w:val="21"/>
                <w:szCs w:val="21"/>
              </w:rPr>
              <w:t>表</w:t>
            </w:r>
            <w:r>
              <w:rPr>
                <w:rFonts w:hint="eastAsia"/>
                <w:color w:val="auto"/>
                <w:sz w:val="21"/>
                <w:szCs w:val="21"/>
                <w:lang w:val="en-US" w:eastAsia="zh-CN"/>
              </w:rPr>
              <w:t>5-1</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施工期环境管理计划表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3"/>
              <w:gridCol w:w="1209"/>
              <w:gridCol w:w="63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12"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b/>
                      <w:bCs/>
                      <w:color w:val="auto"/>
                    </w:rPr>
                  </w:pPr>
                  <w:r>
                    <w:rPr>
                      <w:rFonts w:hint="eastAsia"/>
                      <w:b/>
                      <w:bCs/>
                      <w:color w:val="auto"/>
                    </w:rPr>
                    <w:t>序号</w:t>
                  </w:r>
                </w:p>
              </w:tc>
              <w:tc>
                <w:tcPr>
                  <w:tcW w:w="734" w:type="pct"/>
                  <w:tcBorders>
                    <w:top w:val="single" w:color="auto" w:sz="12" w:space="0"/>
                    <w:left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b/>
                      <w:bCs/>
                      <w:color w:val="auto"/>
                    </w:rPr>
                  </w:pPr>
                  <w:r>
                    <w:rPr>
                      <w:rFonts w:hint="eastAsia"/>
                      <w:b/>
                      <w:bCs/>
                      <w:color w:val="auto"/>
                    </w:rPr>
                    <w:t>施工期</w:t>
                  </w:r>
                </w:p>
              </w:tc>
              <w:tc>
                <w:tcPr>
                  <w:tcW w:w="3846" w:type="pct"/>
                  <w:tcBorders>
                    <w:top w:val="single" w:color="auto" w:sz="12" w:space="0"/>
                    <w:left w:val="single" w:color="auto" w:sz="6" w:space="0"/>
                    <w:bottom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b/>
                      <w:bCs/>
                      <w:color w:val="auto"/>
                    </w:rPr>
                  </w:pPr>
                  <w:r>
                    <w:rPr>
                      <w:rFonts w:hint="eastAsia"/>
                      <w:b/>
                      <w:bCs/>
                      <w:color w:val="auto"/>
                    </w:rPr>
                    <w:t>管理内容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color w:val="auto"/>
                    </w:rPr>
                    <w:t>1</w:t>
                  </w:r>
                </w:p>
              </w:tc>
              <w:tc>
                <w:tcPr>
                  <w:tcW w:w="734" w:type="pct"/>
                  <w:tcBorders>
                    <w:top w:val="single" w:color="auto" w:sz="6" w:space="0"/>
                    <w:left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扬尘</w:t>
                  </w:r>
                </w:p>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空气污染</w:t>
                  </w:r>
                </w:p>
              </w:tc>
              <w:tc>
                <w:tcPr>
                  <w:tcW w:w="3845" w:type="pct"/>
                  <w:tcBorders>
                    <w:top w:val="single" w:color="auto" w:sz="6" w:space="0"/>
                    <w:left w:val="single" w:color="auto" w:sz="6" w:space="0"/>
                    <w:bottom w:val="single" w:color="auto" w:sz="6" w:space="0"/>
                  </w:tcBorders>
                </w:tcPr>
                <w:p>
                  <w:pPr>
                    <w:pStyle w:val="62"/>
                    <w:keepNext w:val="0"/>
                    <w:keepLines w:val="0"/>
                    <w:pageBreakBefore w:val="0"/>
                    <w:widowControl w:val="0"/>
                    <w:kinsoku/>
                    <w:wordWrap/>
                    <w:overflowPunct/>
                    <w:topLinePunct w:val="0"/>
                    <w:autoSpaceDE/>
                    <w:autoSpaceDN/>
                    <w:bidi w:val="0"/>
                    <w:adjustRightInd w:val="0"/>
                    <w:snapToGrid w:val="0"/>
                    <w:spacing w:line="300" w:lineRule="atLeast"/>
                    <w:jc w:val="both"/>
                    <w:textAlignment w:val="auto"/>
                    <w:rPr>
                      <w:rFonts w:hint="eastAsia" w:eastAsia="宋体"/>
                      <w:color w:val="auto"/>
                      <w:lang w:val="en-US" w:eastAsia="zh-CN"/>
                    </w:rPr>
                  </w:pPr>
                  <w:r>
                    <w:rPr>
                      <w:rFonts w:hint="eastAsia"/>
                      <w:color w:val="auto"/>
                    </w:rPr>
                    <w:t>施工现场及运料道路无雨的天气定期洒水，防止尘土飞扬；料堆须遮盖或洒水以防止尘埃污染</w:t>
                  </w:r>
                  <w:r>
                    <w:rPr>
                      <w:rFonts w:hint="eastAsia"/>
                      <w:color w:val="auto"/>
                      <w:lang w:eastAsia="zh-CN"/>
                    </w:rPr>
                    <w:t>；</w:t>
                  </w:r>
                  <w:r>
                    <w:rPr>
                      <w:rFonts w:hint="eastAsia"/>
                      <w:color w:val="auto"/>
                    </w:rPr>
                    <w:t>运送建筑材料的卡车用采用帆布等遮盖措施，减少跑漏</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color w:val="auto"/>
                    </w:rPr>
                    <w:t>2</w:t>
                  </w:r>
                </w:p>
              </w:tc>
              <w:tc>
                <w:tcPr>
                  <w:tcW w:w="734" w:type="pct"/>
                  <w:tcBorders>
                    <w:top w:val="single" w:color="auto" w:sz="6" w:space="0"/>
                    <w:left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水污染</w:t>
                  </w:r>
                </w:p>
              </w:tc>
              <w:tc>
                <w:tcPr>
                  <w:tcW w:w="3845" w:type="pct"/>
                  <w:tcBorders>
                    <w:top w:val="single" w:color="auto" w:sz="6" w:space="0"/>
                    <w:left w:val="single" w:color="auto" w:sz="6" w:space="0"/>
                    <w:bottom w:val="single" w:color="auto" w:sz="6" w:space="0"/>
                  </w:tcBorders>
                </w:tcPr>
                <w:p>
                  <w:pPr>
                    <w:pStyle w:val="62"/>
                    <w:keepNext w:val="0"/>
                    <w:keepLines w:val="0"/>
                    <w:pageBreakBefore w:val="0"/>
                    <w:widowControl w:val="0"/>
                    <w:kinsoku/>
                    <w:wordWrap/>
                    <w:overflowPunct/>
                    <w:topLinePunct w:val="0"/>
                    <w:autoSpaceDE/>
                    <w:autoSpaceDN/>
                    <w:bidi w:val="0"/>
                    <w:adjustRightInd w:val="0"/>
                    <w:snapToGrid w:val="0"/>
                    <w:spacing w:line="300" w:lineRule="atLeast"/>
                    <w:jc w:val="both"/>
                    <w:textAlignment w:val="auto"/>
                    <w:rPr>
                      <w:color w:val="auto"/>
                    </w:rPr>
                  </w:pPr>
                  <w:r>
                    <w:rPr>
                      <w:rFonts w:hint="eastAsia"/>
                      <w:color w:val="auto"/>
                    </w:rPr>
                    <w:t>施工材料应备有临时遮挡的帆布，防止大风暴雨冲刷通过地表径流而进入水体。道路施工过程</w:t>
                  </w:r>
                  <w:r>
                    <w:rPr>
                      <w:rFonts w:hint="eastAsia"/>
                      <w:color w:val="auto"/>
                      <w:lang w:val="en-US" w:eastAsia="zh-CN"/>
                    </w:rPr>
                    <w:t>设置</w:t>
                  </w:r>
                  <w:r>
                    <w:rPr>
                      <w:rFonts w:hint="eastAsia"/>
                      <w:color w:val="auto"/>
                    </w:rPr>
                    <w:t>沉淀池，废水沉淀后用于洒水、绿化。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color w:val="auto"/>
                    </w:rPr>
                    <w:t>3</w:t>
                  </w:r>
                </w:p>
              </w:tc>
              <w:tc>
                <w:tcPr>
                  <w:tcW w:w="734" w:type="pct"/>
                  <w:tcBorders>
                    <w:top w:val="single" w:color="auto" w:sz="6" w:space="0"/>
                    <w:left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噪声</w:t>
                  </w:r>
                </w:p>
              </w:tc>
              <w:tc>
                <w:tcPr>
                  <w:tcW w:w="3845" w:type="pct"/>
                  <w:tcBorders>
                    <w:top w:val="single" w:color="auto" w:sz="6" w:space="0"/>
                    <w:left w:val="single" w:color="auto" w:sz="6" w:space="0"/>
                    <w:bottom w:val="single" w:color="auto" w:sz="6" w:space="0"/>
                  </w:tcBorders>
                </w:tcPr>
                <w:p>
                  <w:pPr>
                    <w:pStyle w:val="62"/>
                    <w:keepNext w:val="0"/>
                    <w:keepLines w:val="0"/>
                    <w:pageBreakBefore w:val="0"/>
                    <w:widowControl w:val="0"/>
                    <w:kinsoku/>
                    <w:wordWrap/>
                    <w:overflowPunct/>
                    <w:topLinePunct w:val="0"/>
                    <w:autoSpaceDE/>
                    <w:autoSpaceDN/>
                    <w:bidi w:val="0"/>
                    <w:adjustRightInd w:val="0"/>
                    <w:snapToGrid w:val="0"/>
                    <w:spacing w:line="300" w:lineRule="atLeast"/>
                    <w:jc w:val="both"/>
                    <w:textAlignment w:val="auto"/>
                    <w:rPr>
                      <w:color w:val="auto"/>
                    </w:rPr>
                  </w:pPr>
                  <w:r>
                    <w:rPr>
                      <w:rFonts w:hint="eastAsia"/>
                      <w:color w:val="auto"/>
                    </w:rPr>
                    <w:t>严格执行工业企业噪声标准以防止道路施工人员受噪声侵害，并限制工作时间。运输材料车辆夜间不准鸣喇叭，地方道路交通高峰时停止或减少运输车辆通行，减少噪声影响。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color w:val="auto"/>
                    </w:rPr>
                    <w:t>4</w:t>
                  </w:r>
                </w:p>
              </w:tc>
              <w:tc>
                <w:tcPr>
                  <w:tcW w:w="734" w:type="pct"/>
                  <w:tcBorders>
                    <w:top w:val="single" w:color="auto" w:sz="6" w:space="0"/>
                    <w:left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固废</w:t>
                  </w:r>
                </w:p>
              </w:tc>
              <w:tc>
                <w:tcPr>
                  <w:tcW w:w="3845" w:type="pct"/>
                  <w:tcBorders>
                    <w:top w:val="single" w:color="auto" w:sz="6" w:space="0"/>
                    <w:left w:val="single" w:color="auto" w:sz="6" w:space="0"/>
                    <w:bottom w:val="single" w:color="auto" w:sz="6" w:space="0"/>
                  </w:tcBorders>
                </w:tcPr>
                <w:p>
                  <w:pPr>
                    <w:pStyle w:val="62"/>
                    <w:keepNext w:val="0"/>
                    <w:keepLines w:val="0"/>
                    <w:pageBreakBefore w:val="0"/>
                    <w:widowControl w:val="0"/>
                    <w:kinsoku/>
                    <w:wordWrap/>
                    <w:overflowPunct/>
                    <w:topLinePunct w:val="0"/>
                    <w:autoSpaceDE/>
                    <w:autoSpaceDN/>
                    <w:bidi w:val="0"/>
                    <w:adjustRightInd w:val="0"/>
                    <w:snapToGrid w:val="0"/>
                    <w:spacing w:line="300" w:lineRule="atLeast"/>
                    <w:jc w:val="both"/>
                    <w:textAlignment w:val="auto"/>
                    <w:rPr>
                      <w:rFonts w:hint="default" w:eastAsia="宋体"/>
                      <w:color w:val="auto"/>
                      <w:lang w:val="en-US" w:eastAsia="zh-CN"/>
                    </w:rPr>
                  </w:pPr>
                  <w:r>
                    <w:rPr>
                      <w:rFonts w:hint="eastAsia"/>
                      <w:color w:val="auto"/>
                    </w:rPr>
                    <w:t>建筑垃圾应及时清运至政府</w:t>
                  </w:r>
                  <w:r>
                    <w:rPr>
                      <w:rFonts w:hint="eastAsia"/>
                      <w:color w:val="auto"/>
                      <w:lang w:eastAsia="zh-CN"/>
                    </w:rPr>
                    <w:t>指定地点，</w:t>
                  </w:r>
                  <w:r>
                    <w:rPr>
                      <w:rFonts w:hint="eastAsia"/>
                      <w:color w:val="auto"/>
                      <w:lang w:val="en-US" w:eastAsia="zh-CN"/>
                    </w:rPr>
                    <w:t>生活垃圾由区域环卫定期清运。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color w:val="auto"/>
                    </w:rPr>
                    <w:t>5</w:t>
                  </w:r>
                </w:p>
              </w:tc>
              <w:tc>
                <w:tcPr>
                  <w:tcW w:w="734" w:type="pct"/>
                  <w:tcBorders>
                    <w:top w:val="single" w:color="auto" w:sz="6" w:space="0"/>
                    <w:left w:val="single" w:color="auto" w:sz="6" w:space="0"/>
                    <w:bottom w:val="single" w:color="auto" w:sz="6"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运输管理</w:t>
                  </w:r>
                </w:p>
              </w:tc>
              <w:tc>
                <w:tcPr>
                  <w:tcW w:w="3845" w:type="pct"/>
                  <w:tcBorders>
                    <w:top w:val="single" w:color="auto" w:sz="6" w:space="0"/>
                    <w:left w:val="single" w:color="auto" w:sz="6" w:space="0"/>
                    <w:bottom w:val="single" w:color="auto" w:sz="6" w:space="0"/>
                  </w:tcBorders>
                </w:tcPr>
                <w:p>
                  <w:pPr>
                    <w:pStyle w:val="62"/>
                    <w:keepNext w:val="0"/>
                    <w:keepLines w:val="0"/>
                    <w:pageBreakBefore w:val="0"/>
                    <w:widowControl w:val="0"/>
                    <w:kinsoku/>
                    <w:wordWrap/>
                    <w:overflowPunct/>
                    <w:topLinePunct w:val="0"/>
                    <w:autoSpaceDE/>
                    <w:autoSpaceDN/>
                    <w:bidi w:val="0"/>
                    <w:adjustRightInd w:val="0"/>
                    <w:snapToGrid w:val="0"/>
                    <w:spacing w:line="300" w:lineRule="atLeast"/>
                    <w:jc w:val="both"/>
                    <w:textAlignment w:val="auto"/>
                    <w:rPr>
                      <w:color w:val="auto"/>
                    </w:rPr>
                  </w:pPr>
                  <w:r>
                    <w:rPr>
                      <w:rFonts w:hint="eastAsia"/>
                      <w:color w:val="auto"/>
                    </w:rPr>
                    <w:t>建筑材料的运送路线应仔细选定，避免长途运输，应尽量避免影响现有的交通设施，减少尘埃和噪声污染。制订合适的建筑材料运输计划，避开现有道路交通高峰。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0" w:type="pct"/>
                  <w:tcBorders>
                    <w:top w:val="single" w:color="auto" w:sz="6" w:space="0"/>
                    <w:bottom w:val="single" w:color="auto" w:sz="12"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color w:val="auto"/>
                    </w:rPr>
                    <w:t>6</w:t>
                  </w:r>
                </w:p>
              </w:tc>
              <w:tc>
                <w:tcPr>
                  <w:tcW w:w="734" w:type="pct"/>
                  <w:tcBorders>
                    <w:top w:val="single" w:color="auto" w:sz="6" w:space="0"/>
                    <w:left w:val="single" w:color="auto" w:sz="6" w:space="0"/>
                    <w:bottom w:val="single" w:color="auto" w:sz="12" w:space="0"/>
                    <w:right w:val="single" w:color="auto" w:sz="6" w:space="0"/>
                  </w:tcBorders>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atLeast"/>
                    <w:textAlignment w:val="auto"/>
                    <w:rPr>
                      <w:color w:val="auto"/>
                    </w:rPr>
                  </w:pPr>
                  <w:r>
                    <w:rPr>
                      <w:rFonts w:hint="eastAsia"/>
                      <w:color w:val="auto"/>
                    </w:rPr>
                    <w:t>施工管理</w:t>
                  </w:r>
                </w:p>
              </w:tc>
              <w:tc>
                <w:tcPr>
                  <w:tcW w:w="3846" w:type="pct"/>
                  <w:tcBorders>
                    <w:top w:val="single" w:color="auto" w:sz="6" w:space="0"/>
                    <w:left w:val="single" w:color="auto" w:sz="6" w:space="0"/>
                    <w:bottom w:val="single" w:color="auto" w:sz="12" w:space="0"/>
                  </w:tcBorders>
                </w:tcPr>
                <w:p>
                  <w:pPr>
                    <w:pStyle w:val="62"/>
                    <w:keepNext w:val="0"/>
                    <w:keepLines w:val="0"/>
                    <w:pageBreakBefore w:val="0"/>
                    <w:widowControl w:val="0"/>
                    <w:kinsoku/>
                    <w:wordWrap/>
                    <w:overflowPunct/>
                    <w:topLinePunct w:val="0"/>
                    <w:autoSpaceDE/>
                    <w:autoSpaceDN/>
                    <w:bidi w:val="0"/>
                    <w:adjustRightInd w:val="0"/>
                    <w:snapToGrid w:val="0"/>
                    <w:spacing w:line="300" w:lineRule="atLeast"/>
                    <w:jc w:val="both"/>
                    <w:textAlignment w:val="auto"/>
                    <w:rPr>
                      <w:color w:val="auto"/>
                    </w:rPr>
                  </w:pPr>
                  <w:r>
                    <w:rPr>
                      <w:rFonts w:hint="eastAsia"/>
                      <w:color w:val="auto"/>
                    </w:rPr>
                    <w:t>应</w:t>
                  </w:r>
                  <w:r>
                    <w:rPr>
                      <w:rFonts w:hint="eastAsia"/>
                      <w:color w:val="auto"/>
                      <w:lang w:eastAsia="zh-CN"/>
                    </w:rPr>
                    <w:t>增强</w:t>
                  </w:r>
                  <w:r>
                    <w:rPr>
                      <w:rFonts w:hint="eastAsia"/>
                      <w:color w:val="auto"/>
                    </w:rPr>
                    <w:t>环保意识，加强驻地和施工现场的环境管理，合理安排施工计划，切实做到组织计划严谨，文明施工。工程施工完毕后施工单位及时清理和恢复施工现场，妥善处理施工弃渣，减少扬尘。</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lang w:val="en-US" w:eastAsia="zh-CN"/>
              </w:rPr>
              <w:t>2、</w:t>
            </w:r>
            <w:r>
              <w:rPr>
                <w:rFonts w:hint="eastAsia"/>
                <w:b/>
                <w:bCs/>
                <w:color w:val="auto"/>
                <w:sz w:val="24"/>
                <w:szCs w:val="24"/>
              </w:rPr>
              <w:t>运营期环境管理计划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项目</w:t>
            </w:r>
            <w:r>
              <w:rPr>
                <w:color w:val="auto"/>
                <w:sz w:val="24"/>
                <w:szCs w:val="24"/>
              </w:rPr>
              <w:t>运营期管理计划见表</w:t>
            </w:r>
            <w:r>
              <w:rPr>
                <w:rFonts w:hint="eastAsia"/>
                <w:color w:val="auto"/>
                <w:sz w:val="24"/>
                <w:szCs w:val="24"/>
                <w:lang w:val="en-US" w:eastAsia="zh-CN"/>
              </w:rPr>
              <w:t>5-2</w:t>
            </w:r>
            <w:r>
              <w:rPr>
                <w:rFonts w:hint="eastAsia"/>
                <w:color w:val="auto"/>
                <w:sz w:val="24"/>
                <w:szCs w:val="24"/>
              </w:rPr>
              <w:t>。</w:t>
            </w:r>
          </w:p>
          <w:p>
            <w:pPr>
              <w:pStyle w:val="47"/>
              <w:rPr>
                <w:color w:val="auto"/>
                <w:sz w:val="21"/>
                <w:szCs w:val="21"/>
              </w:rPr>
            </w:pPr>
            <w:r>
              <w:rPr>
                <w:rFonts w:hint="eastAsia"/>
                <w:color w:val="auto"/>
                <w:sz w:val="21"/>
                <w:szCs w:val="21"/>
              </w:rPr>
              <w:t>表</w:t>
            </w:r>
            <w:r>
              <w:rPr>
                <w:rFonts w:hint="eastAsia"/>
                <w:color w:val="auto"/>
                <w:sz w:val="21"/>
                <w:szCs w:val="21"/>
                <w:lang w:val="en-US" w:eastAsia="zh-CN"/>
              </w:rPr>
              <w:t>5-2</w:t>
            </w:r>
            <w:r>
              <w:rPr>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运营期环境管理计划表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2"/>
              <w:gridCol w:w="1124"/>
              <w:gridCol w:w="64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b/>
                      <w:bCs/>
                      <w:color w:val="auto"/>
                    </w:rPr>
                  </w:pPr>
                  <w:r>
                    <w:rPr>
                      <w:rFonts w:hint="eastAsia"/>
                      <w:b/>
                      <w:bCs/>
                      <w:color w:val="auto"/>
                    </w:rPr>
                    <w:t>序号</w:t>
                  </w:r>
                </w:p>
              </w:tc>
              <w:tc>
                <w:tcPr>
                  <w:tcW w:w="682"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b/>
                      <w:bCs/>
                      <w:color w:val="auto"/>
                    </w:rPr>
                  </w:pPr>
                  <w:r>
                    <w:rPr>
                      <w:rFonts w:hint="eastAsia"/>
                      <w:b/>
                      <w:bCs/>
                      <w:color w:val="auto"/>
                    </w:rPr>
                    <w:t>运营期</w:t>
                  </w:r>
                </w:p>
              </w:tc>
              <w:tc>
                <w:tcPr>
                  <w:tcW w:w="3892"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b/>
                      <w:bCs/>
                      <w:color w:val="auto"/>
                    </w:rPr>
                  </w:pPr>
                  <w:r>
                    <w:rPr>
                      <w:rFonts w:hint="eastAsia"/>
                      <w:b/>
                      <w:bCs/>
                      <w:color w:val="auto"/>
                    </w:rPr>
                    <w:t>管理内容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color w:val="auto"/>
                    </w:rPr>
                  </w:pPr>
                  <w:r>
                    <w:rPr>
                      <w:color w:val="auto"/>
                    </w:rPr>
                    <w:t>1</w:t>
                  </w:r>
                </w:p>
              </w:tc>
              <w:tc>
                <w:tcPr>
                  <w:tcW w:w="682"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color w:val="auto"/>
                    </w:rPr>
                  </w:pPr>
                  <w:r>
                    <w:rPr>
                      <w:rFonts w:hint="eastAsia"/>
                      <w:color w:val="auto"/>
                    </w:rPr>
                    <w:t>交通噪声</w:t>
                  </w:r>
                </w:p>
              </w:tc>
              <w:tc>
                <w:tcPr>
                  <w:tcW w:w="3890" w:type="pct"/>
                </w:tcPr>
                <w:p>
                  <w:pPr>
                    <w:pStyle w:val="62"/>
                    <w:keepNext w:val="0"/>
                    <w:keepLines w:val="0"/>
                    <w:pageBreakBefore w:val="0"/>
                    <w:widowControl w:val="0"/>
                    <w:kinsoku/>
                    <w:wordWrap/>
                    <w:overflowPunct/>
                    <w:topLinePunct w:val="0"/>
                    <w:autoSpaceDE/>
                    <w:autoSpaceDN/>
                    <w:bidi w:val="0"/>
                    <w:adjustRightInd w:val="0"/>
                    <w:snapToGrid w:val="0"/>
                    <w:spacing w:line="320" w:lineRule="atLeast"/>
                    <w:jc w:val="both"/>
                    <w:textAlignment w:val="auto"/>
                    <w:rPr>
                      <w:color w:val="auto"/>
                    </w:rPr>
                  </w:pPr>
                  <w:r>
                    <w:rPr>
                      <w:rFonts w:hint="eastAsia"/>
                      <w:color w:val="auto"/>
                    </w:rPr>
                    <w:t>在道路经过</w:t>
                  </w:r>
                  <w:r>
                    <w:rPr>
                      <w:rFonts w:hint="eastAsia"/>
                      <w:color w:val="auto"/>
                      <w:lang w:val="en-US" w:eastAsia="zh-CN"/>
                    </w:rPr>
                    <w:t>学校</w:t>
                  </w:r>
                  <w:r>
                    <w:rPr>
                      <w:rFonts w:hint="eastAsia"/>
                      <w:color w:val="auto"/>
                      <w:highlight w:val="none"/>
                    </w:rPr>
                    <w:t>的</w:t>
                  </w:r>
                  <w:r>
                    <w:rPr>
                      <w:rFonts w:hint="eastAsia"/>
                      <w:color w:val="auto"/>
                    </w:rPr>
                    <w:t>路段设置限速标志牌</w:t>
                  </w:r>
                  <w:r>
                    <w:rPr>
                      <w:rFonts w:hint="eastAsia"/>
                      <w:color w:val="auto"/>
                      <w:lang w:eastAsia="zh-CN"/>
                    </w:rPr>
                    <w:t>，</w:t>
                  </w:r>
                  <w:r>
                    <w:rPr>
                      <w:rFonts w:hint="eastAsia"/>
                      <w:color w:val="auto"/>
                    </w:rPr>
                    <w:t>在道路入口处加强交通管理。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color w:val="auto"/>
                    </w:rPr>
                  </w:pPr>
                  <w:r>
                    <w:rPr>
                      <w:color w:val="auto"/>
                    </w:rPr>
                    <w:t>2</w:t>
                  </w:r>
                </w:p>
              </w:tc>
              <w:tc>
                <w:tcPr>
                  <w:tcW w:w="682"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atLeast"/>
                    <w:textAlignment w:val="auto"/>
                    <w:rPr>
                      <w:color w:val="auto"/>
                    </w:rPr>
                  </w:pPr>
                  <w:r>
                    <w:rPr>
                      <w:rFonts w:hint="eastAsia"/>
                      <w:color w:val="auto"/>
                    </w:rPr>
                    <w:t>空气污染</w:t>
                  </w:r>
                </w:p>
              </w:tc>
              <w:tc>
                <w:tcPr>
                  <w:tcW w:w="3890" w:type="pct"/>
                </w:tcPr>
                <w:p>
                  <w:pPr>
                    <w:pStyle w:val="62"/>
                    <w:keepNext w:val="0"/>
                    <w:keepLines w:val="0"/>
                    <w:pageBreakBefore w:val="0"/>
                    <w:widowControl w:val="0"/>
                    <w:kinsoku/>
                    <w:wordWrap/>
                    <w:overflowPunct/>
                    <w:topLinePunct w:val="0"/>
                    <w:autoSpaceDE/>
                    <w:autoSpaceDN/>
                    <w:bidi w:val="0"/>
                    <w:adjustRightInd w:val="0"/>
                    <w:snapToGrid w:val="0"/>
                    <w:spacing w:line="320" w:lineRule="atLeast"/>
                    <w:jc w:val="both"/>
                    <w:textAlignment w:val="auto"/>
                    <w:rPr>
                      <w:color w:val="auto"/>
                    </w:rPr>
                  </w:pPr>
                  <w:r>
                    <w:rPr>
                      <w:rFonts w:hint="eastAsia"/>
                      <w:color w:val="auto"/>
                    </w:rPr>
                    <w:t>结合道路绿化设计，在环境敏感点附近种植乔、灌木。</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rPr>
              <w:t>3</w:t>
            </w:r>
            <w:r>
              <w:rPr>
                <w:rFonts w:hint="eastAsia"/>
                <w:b/>
                <w:bCs/>
                <w:color w:val="auto"/>
                <w:sz w:val="24"/>
                <w:szCs w:val="24"/>
                <w:lang w:eastAsia="zh-CN"/>
              </w:rPr>
              <w:t>、</w:t>
            </w:r>
            <w:r>
              <w:rPr>
                <w:b/>
                <w:bCs/>
                <w:color w:val="auto"/>
                <w:sz w:val="24"/>
                <w:szCs w:val="24"/>
              </w:rPr>
              <w:t>环境监测计划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本项目制定环境监测计划见表</w:t>
            </w:r>
            <w:r>
              <w:rPr>
                <w:rFonts w:hint="eastAsia"/>
                <w:color w:val="auto"/>
                <w:sz w:val="24"/>
                <w:szCs w:val="24"/>
                <w:lang w:val="en-US" w:eastAsia="zh-CN"/>
              </w:rPr>
              <w:t>5-3</w:t>
            </w:r>
            <w:r>
              <w:rPr>
                <w:color w:val="auto"/>
                <w:sz w:val="24"/>
                <w:szCs w:val="24"/>
              </w:rPr>
              <w:t>。</w:t>
            </w:r>
          </w:p>
          <w:p>
            <w:pPr>
              <w:pStyle w:val="47"/>
              <w:rPr>
                <w:color w:val="auto"/>
                <w:sz w:val="21"/>
                <w:szCs w:val="21"/>
              </w:rPr>
            </w:pPr>
            <w:r>
              <w:rPr>
                <w:color w:val="auto"/>
                <w:sz w:val="21"/>
                <w:szCs w:val="21"/>
              </w:rPr>
              <w:t>表</w:t>
            </w:r>
            <w:r>
              <w:rPr>
                <w:rFonts w:hint="eastAsia"/>
                <w:color w:val="auto"/>
                <w:sz w:val="21"/>
                <w:szCs w:val="21"/>
                <w:lang w:val="en-US" w:eastAsia="zh-CN"/>
              </w:rPr>
              <w:t xml:space="preserve">5-3 </w:t>
            </w:r>
            <w:r>
              <w:rPr>
                <w:color w:val="auto"/>
                <w:sz w:val="21"/>
                <w:szCs w:val="21"/>
              </w:rPr>
              <w:t xml:space="preserve"> </w:t>
            </w:r>
            <w:r>
              <w:rPr>
                <w:rFonts w:hint="eastAsia"/>
                <w:color w:val="auto"/>
                <w:sz w:val="21"/>
                <w:szCs w:val="21"/>
                <w:lang w:val="en-US" w:eastAsia="zh-CN"/>
              </w:rPr>
              <w:t xml:space="preserve"> </w:t>
            </w:r>
            <w:r>
              <w:rPr>
                <w:color w:val="auto"/>
                <w:sz w:val="21"/>
                <w:szCs w:val="21"/>
              </w:rPr>
              <w:t xml:space="preserve"> 环境质量监测内容及计划</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359"/>
              <w:gridCol w:w="1030"/>
              <w:gridCol w:w="2704"/>
              <w:gridCol w:w="20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b/>
                      <w:bCs/>
                      <w:color w:val="auto"/>
                    </w:rPr>
                  </w:pPr>
                  <w:r>
                    <w:rPr>
                      <w:b/>
                      <w:bCs/>
                      <w:color w:val="auto"/>
                    </w:rPr>
                    <w:t>环境要素</w:t>
                  </w:r>
                </w:p>
              </w:tc>
              <w:tc>
                <w:tcPr>
                  <w:tcW w:w="8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b/>
                      <w:bCs/>
                      <w:color w:val="auto"/>
                    </w:rPr>
                  </w:pPr>
                  <w:r>
                    <w:rPr>
                      <w:b/>
                      <w:bCs/>
                      <w:color w:val="auto"/>
                    </w:rPr>
                    <w:t>环境因子</w:t>
                  </w:r>
                </w:p>
              </w:tc>
              <w:tc>
                <w:tcPr>
                  <w:tcW w:w="6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b/>
                      <w:bCs/>
                      <w:color w:val="auto"/>
                    </w:rPr>
                  </w:pPr>
                  <w:r>
                    <w:rPr>
                      <w:b/>
                      <w:bCs/>
                      <w:color w:val="auto"/>
                    </w:rPr>
                    <w:t>监测项目</w:t>
                  </w:r>
                </w:p>
              </w:tc>
              <w:tc>
                <w:tcPr>
                  <w:tcW w:w="164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b/>
                      <w:bCs/>
                      <w:color w:val="auto"/>
                    </w:rPr>
                  </w:pPr>
                  <w:r>
                    <w:rPr>
                      <w:b/>
                      <w:bCs/>
                      <w:color w:val="auto"/>
                    </w:rPr>
                    <w:t>监测点位</w:t>
                  </w:r>
                </w:p>
              </w:tc>
              <w:tc>
                <w:tcPr>
                  <w:tcW w:w="124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b/>
                      <w:bCs/>
                      <w:color w:val="auto"/>
                    </w:rPr>
                  </w:pPr>
                  <w:r>
                    <w:rPr>
                      <w:b/>
                      <w:bCs/>
                      <w:color w:val="auto"/>
                    </w:rPr>
                    <w:t>监测时间与频率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Merge w:val="restar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施工期环境监测</w:t>
                  </w:r>
                </w:p>
              </w:tc>
              <w:tc>
                <w:tcPr>
                  <w:tcW w:w="8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空气环境质量</w:t>
                  </w:r>
                </w:p>
              </w:tc>
              <w:tc>
                <w:tcPr>
                  <w:tcW w:w="6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highlight w:val="none"/>
                    </w:rPr>
                  </w:pPr>
                  <w:r>
                    <w:rPr>
                      <w:color w:val="auto"/>
                      <w:highlight w:val="none"/>
                    </w:rPr>
                    <w:t>TSP</w:t>
                  </w:r>
                </w:p>
              </w:tc>
              <w:tc>
                <w:tcPr>
                  <w:tcW w:w="164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color w:val="auto"/>
                      <w:highlight w:val="none"/>
                    </w:rPr>
                    <w:t>施工道路附近的</w:t>
                  </w:r>
                  <w:r>
                    <w:rPr>
                      <w:rFonts w:hint="eastAsia"/>
                      <w:color w:val="auto"/>
                      <w:highlight w:val="none"/>
                      <w:lang w:val="en-US" w:eastAsia="zh-CN"/>
                    </w:rPr>
                    <w:t>2处学校</w:t>
                  </w:r>
                  <w:r>
                    <w:rPr>
                      <w:rFonts w:hint="eastAsia"/>
                      <w:color w:val="auto"/>
                      <w:highlight w:val="none"/>
                      <w:lang w:eastAsia="zh-CN"/>
                    </w:rPr>
                    <w:t>（</w:t>
                  </w:r>
                  <w:r>
                    <w:rPr>
                      <w:rStyle w:val="61"/>
                      <w:rFonts w:hint="eastAsia" w:cs="Times New Roman"/>
                      <w:color w:val="auto"/>
                      <w:sz w:val="21"/>
                      <w:szCs w:val="21"/>
                      <w:highlight w:val="none"/>
                      <w:vertAlign w:val="baseline"/>
                      <w:lang w:val="en-US" w:eastAsia="zh-CN"/>
                    </w:rPr>
                    <w:t>西咸新区泾河新城第四小学、</w:t>
                  </w:r>
                  <w:r>
                    <w:rPr>
                      <w:rFonts w:hint="eastAsia"/>
                      <w:color w:val="auto"/>
                      <w:sz w:val="21"/>
                      <w:szCs w:val="21"/>
                      <w:lang w:val="en-US" w:eastAsia="zh-CN"/>
                    </w:rPr>
                    <w:t>西咸新区泾河新城第一中学</w:t>
                  </w:r>
                  <w:r>
                    <w:rPr>
                      <w:rFonts w:hint="eastAsia"/>
                      <w:color w:val="auto"/>
                      <w:highlight w:val="none"/>
                      <w:lang w:eastAsia="zh-CN"/>
                    </w:rPr>
                    <w:t>）</w:t>
                  </w:r>
                </w:p>
              </w:tc>
              <w:tc>
                <w:tcPr>
                  <w:tcW w:w="124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施工期监测1次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Merge w:val="continue"/>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p>
              </w:tc>
              <w:tc>
                <w:tcPr>
                  <w:tcW w:w="8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声环境质量</w:t>
                  </w:r>
                </w:p>
              </w:tc>
              <w:tc>
                <w:tcPr>
                  <w:tcW w:w="6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Leq（A）</w:t>
                  </w:r>
                </w:p>
              </w:tc>
              <w:tc>
                <w:tcPr>
                  <w:tcW w:w="164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根据施工进度，对噪声大的工序处的敏感点监测，每次测2个点</w:t>
                  </w:r>
                </w:p>
              </w:tc>
              <w:tc>
                <w:tcPr>
                  <w:tcW w:w="124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施工期昼、夜各监测1次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运营期环境监测</w:t>
                  </w:r>
                </w:p>
              </w:tc>
              <w:tc>
                <w:tcPr>
                  <w:tcW w:w="8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rPr>
                  </w:pPr>
                  <w:r>
                    <w:rPr>
                      <w:color w:val="auto"/>
                    </w:rPr>
                    <w:t>声环境质量</w:t>
                  </w:r>
                </w:p>
              </w:tc>
              <w:tc>
                <w:tcPr>
                  <w:tcW w:w="62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color w:val="auto"/>
                      <w:highlight w:val="none"/>
                    </w:rPr>
                  </w:pPr>
                  <w:r>
                    <w:rPr>
                      <w:color w:val="auto"/>
                      <w:highlight w:val="none"/>
                    </w:rPr>
                    <w:t>Leq（A）</w:t>
                  </w:r>
                </w:p>
              </w:tc>
              <w:tc>
                <w:tcPr>
                  <w:tcW w:w="164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rFonts w:hint="eastAsia"/>
                      <w:color w:val="auto"/>
                      <w:highlight w:val="none"/>
                      <w:lang w:val="en-US" w:eastAsia="zh-CN"/>
                    </w:rPr>
                    <w:t>对运营期超标2</w:t>
                  </w:r>
                  <w:r>
                    <w:rPr>
                      <w:color w:val="auto"/>
                      <w:highlight w:val="none"/>
                    </w:rPr>
                    <w:t>处敏感点</w:t>
                  </w:r>
                  <w:r>
                    <w:rPr>
                      <w:rFonts w:hint="eastAsia"/>
                      <w:color w:val="auto"/>
                      <w:highlight w:val="none"/>
                      <w:lang w:eastAsia="zh-CN"/>
                    </w:rPr>
                    <w:t>（</w:t>
                  </w:r>
                  <w:r>
                    <w:rPr>
                      <w:rFonts w:hint="eastAsia" w:ascii="Times New Roman" w:eastAsia="宋体"/>
                      <w:color w:val="auto"/>
                      <w:sz w:val="21"/>
                      <w:szCs w:val="21"/>
                      <w:highlight w:val="none"/>
                      <w:lang w:val="en-US" w:eastAsia="zh-CN"/>
                    </w:rPr>
                    <w:t>湖城印象·熙岸小区</w:t>
                  </w:r>
                  <w:r>
                    <w:rPr>
                      <w:rFonts w:hint="eastAsia"/>
                      <w:color w:val="auto"/>
                      <w:sz w:val="21"/>
                      <w:szCs w:val="21"/>
                      <w:highlight w:val="none"/>
                      <w:lang w:val="en-US" w:eastAsia="zh-CN"/>
                    </w:rPr>
                    <w:t>、隆基泰和·澜庭溪谷）</w:t>
                  </w:r>
                </w:p>
              </w:tc>
              <w:tc>
                <w:tcPr>
                  <w:tcW w:w="124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eastAsia="宋体"/>
                      <w:color w:val="auto"/>
                      <w:highlight w:val="none"/>
                      <w:lang w:eastAsia="zh-CN"/>
                    </w:rPr>
                  </w:pPr>
                  <w:r>
                    <w:rPr>
                      <w:color w:val="auto"/>
                      <w:highlight w:val="none"/>
                    </w:rPr>
                    <w:t>1次/</w:t>
                  </w:r>
                  <w:r>
                    <w:rPr>
                      <w:rFonts w:hint="eastAsia"/>
                      <w:color w:val="auto"/>
                      <w:highlight w:val="none"/>
                      <w:lang w:val="en-US" w:eastAsia="zh-CN"/>
                    </w:rPr>
                    <w:t>季度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rPr>
              <w:t>4</w:t>
            </w:r>
            <w:r>
              <w:rPr>
                <w:rFonts w:hint="eastAsia"/>
                <w:b/>
                <w:bCs/>
                <w:color w:val="auto"/>
                <w:sz w:val="24"/>
                <w:szCs w:val="24"/>
                <w:lang w:eastAsia="zh-CN"/>
              </w:rPr>
              <w:t>、</w:t>
            </w:r>
            <w:r>
              <w:rPr>
                <w:rFonts w:hint="eastAsia"/>
                <w:b/>
                <w:bCs/>
                <w:color w:val="auto"/>
                <w:sz w:val="24"/>
                <w:szCs w:val="24"/>
              </w:rPr>
              <w:t>环境保护竣工验收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color w:val="auto"/>
                <w:sz w:val="24"/>
                <w:szCs w:val="24"/>
              </w:rPr>
              <w:t>工程施工应严格落实</w:t>
            </w:r>
            <w:r>
              <w:rPr>
                <w:rFonts w:hint="eastAsia"/>
                <w:color w:val="auto"/>
                <w:sz w:val="24"/>
                <w:szCs w:val="24"/>
              </w:rPr>
              <w:t>“</w:t>
            </w:r>
            <w:r>
              <w:rPr>
                <w:color w:val="auto"/>
                <w:sz w:val="24"/>
                <w:szCs w:val="24"/>
              </w:rPr>
              <w:t>三同时</w:t>
            </w:r>
            <w:r>
              <w:rPr>
                <w:rFonts w:hint="eastAsia"/>
                <w:color w:val="auto"/>
                <w:sz w:val="24"/>
                <w:szCs w:val="24"/>
              </w:rPr>
              <w:t>”</w:t>
            </w:r>
            <w:r>
              <w:rPr>
                <w:color w:val="auto"/>
                <w:sz w:val="24"/>
                <w:szCs w:val="24"/>
              </w:rPr>
              <w:t>制度，本项目环保设施验收清单表</w:t>
            </w:r>
            <w:r>
              <w:rPr>
                <w:rFonts w:hint="eastAsia"/>
                <w:color w:val="auto"/>
                <w:sz w:val="24"/>
                <w:szCs w:val="24"/>
                <w:lang w:val="en-US" w:eastAsia="zh-CN"/>
              </w:rPr>
              <w:t>5-4</w:t>
            </w:r>
            <w:r>
              <w:rPr>
                <w:color w:val="auto"/>
                <w:sz w:val="24"/>
                <w:szCs w:val="24"/>
              </w:rPr>
              <w:t>。</w:t>
            </w:r>
          </w:p>
          <w:p>
            <w:pPr>
              <w:pStyle w:val="47"/>
              <w:rPr>
                <w:color w:val="auto"/>
                <w:sz w:val="21"/>
                <w:szCs w:val="21"/>
                <w:lang w:bidi="ar"/>
              </w:rPr>
            </w:pPr>
            <w:r>
              <w:rPr>
                <w:color w:val="auto"/>
                <w:sz w:val="21"/>
                <w:szCs w:val="21"/>
              </w:rPr>
              <w:t>表</w:t>
            </w:r>
            <w:r>
              <w:rPr>
                <w:rFonts w:hint="eastAsia"/>
                <w:color w:val="auto"/>
                <w:sz w:val="21"/>
                <w:szCs w:val="21"/>
                <w:lang w:val="en-US" w:eastAsia="zh-CN"/>
              </w:rPr>
              <w:t>5-4</w:t>
            </w:r>
            <w:r>
              <w:rPr>
                <w:color w:val="auto"/>
                <w:sz w:val="21"/>
                <w:szCs w:val="21"/>
              </w:rPr>
              <w:t xml:space="preserve">  </w:t>
            </w:r>
            <w:r>
              <w:rPr>
                <w:rFonts w:hint="eastAsia"/>
                <w:color w:val="auto"/>
                <w:sz w:val="21"/>
                <w:szCs w:val="21"/>
                <w:lang w:val="en-US" w:eastAsia="zh-CN"/>
              </w:rPr>
              <w:t xml:space="preserve"> </w:t>
            </w:r>
            <w:r>
              <w:rPr>
                <w:color w:val="auto"/>
                <w:sz w:val="21"/>
                <w:szCs w:val="21"/>
              </w:rPr>
              <w:t xml:space="preserve"> </w:t>
            </w:r>
            <w:r>
              <w:rPr>
                <w:color w:val="auto"/>
                <w:sz w:val="21"/>
                <w:szCs w:val="21"/>
                <w:lang w:bidi="ar"/>
              </w:rPr>
              <w:t>环保设施验收清单表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6"/>
              <w:gridCol w:w="860"/>
              <w:gridCol w:w="933"/>
              <w:gridCol w:w="1615"/>
              <w:gridCol w:w="771"/>
              <w:gridCol w:w="3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类别</w:t>
                  </w:r>
                </w:p>
              </w:tc>
              <w:tc>
                <w:tcPr>
                  <w:tcW w:w="52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治理</w:t>
                  </w:r>
                </w:p>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项目</w:t>
                  </w:r>
                </w:p>
              </w:tc>
              <w:tc>
                <w:tcPr>
                  <w:tcW w:w="566"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污染源</w:t>
                  </w:r>
                </w:p>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位置</w:t>
                  </w:r>
                </w:p>
              </w:tc>
              <w:tc>
                <w:tcPr>
                  <w:tcW w:w="979"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环保设施或措施</w:t>
                  </w:r>
                </w:p>
              </w:tc>
              <w:tc>
                <w:tcPr>
                  <w:tcW w:w="467"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数量</w:t>
                  </w:r>
                </w:p>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台/套</w:t>
                  </w:r>
                </w:p>
              </w:tc>
              <w:tc>
                <w:tcPr>
                  <w:tcW w:w="210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b/>
                      <w:bCs/>
                      <w:color w:val="auto"/>
                    </w:rPr>
                  </w:pPr>
                  <w:r>
                    <w:rPr>
                      <w:b/>
                      <w:bCs/>
                      <w:color w:val="auto"/>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噪声</w:t>
                  </w:r>
                </w:p>
              </w:tc>
              <w:tc>
                <w:tcPr>
                  <w:tcW w:w="52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交通噪声</w:t>
                  </w:r>
                </w:p>
              </w:tc>
              <w:tc>
                <w:tcPr>
                  <w:tcW w:w="566"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道路沿线</w:t>
                  </w:r>
                </w:p>
              </w:tc>
              <w:tc>
                <w:tcPr>
                  <w:tcW w:w="979"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设置减速带、限速禁鸣标志等措施</w:t>
                  </w:r>
                </w:p>
              </w:tc>
              <w:tc>
                <w:tcPr>
                  <w:tcW w:w="467"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若干</w:t>
                  </w:r>
                </w:p>
              </w:tc>
              <w:tc>
                <w:tcPr>
                  <w:tcW w:w="210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eastAsia="宋体"/>
                      <w:color w:val="auto"/>
                      <w:lang w:val="en-US" w:eastAsia="zh-CN"/>
                    </w:rPr>
                  </w:pPr>
                  <w:r>
                    <w:rPr>
                      <w:color w:val="auto"/>
                      <w:sz w:val="21"/>
                      <w:szCs w:val="21"/>
                    </w:rPr>
                    <w:t>声环境敏感点声环境达标或室内达标；尽量减小对沿线声环境的影响。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55"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固废</w:t>
                  </w:r>
                </w:p>
              </w:tc>
              <w:tc>
                <w:tcPr>
                  <w:tcW w:w="521"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生活垃圾</w:t>
                  </w:r>
                </w:p>
              </w:tc>
              <w:tc>
                <w:tcPr>
                  <w:tcW w:w="566"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道路沿线</w:t>
                  </w:r>
                </w:p>
              </w:tc>
              <w:tc>
                <w:tcPr>
                  <w:tcW w:w="979"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垃圾桶</w:t>
                  </w:r>
                </w:p>
              </w:tc>
              <w:tc>
                <w:tcPr>
                  <w:tcW w:w="467"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若干</w:t>
                  </w:r>
                </w:p>
              </w:tc>
              <w:tc>
                <w:tcPr>
                  <w:tcW w:w="2108" w:type="pct"/>
                  <w:vAlign w:val="center"/>
                </w:tcPr>
                <w:p>
                  <w:pPr>
                    <w:pStyle w:val="62"/>
                    <w:keepNext w:val="0"/>
                    <w:keepLines w:val="0"/>
                    <w:pageBreakBefore w:val="0"/>
                    <w:widowControl w:val="0"/>
                    <w:kinsoku/>
                    <w:wordWrap/>
                    <w:overflowPunct/>
                    <w:topLinePunct w:val="0"/>
                    <w:autoSpaceDE/>
                    <w:autoSpaceDN/>
                    <w:bidi w:val="0"/>
                    <w:adjustRightInd w:val="0"/>
                    <w:snapToGrid w:val="0"/>
                    <w:spacing w:line="300" w:lineRule="exact"/>
                    <w:textAlignment w:val="auto"/>
                    <w:rPr>
                      <w:color w:val="auto"/>
                    </w:rPr>
                  </w:pPr>
                  <w:r>
                    <w:rPr>
                      <w:color w:val="auto"/>
                    </w:rPr>
                    <w:t>/</w:t>
                  </w:r>
                </w:p>
              </w:tc>
            </w:tr>
          </w:tbl>
          <w:p>
            <w:pPr>
              <w:adjustRightInd w:val="0"/>
              <w:snapToGrid w:val="0"/>
              <w:rPr>
                <w:rFonts w:hint="eastAsia" w:ascii="宋体" w:hAnsi="宋体" w:eastAsia="宋体" w:cs="宋体"/>
                <w:bCs/>
                <w:color w:val="auto"/>
                <w:spacing w:val="1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4" w:hRule="atLeast"/>
          <w:jc w:val="center"/>
        </w:trPr>
        <w:tc>
          <w:tcPr>
            <w:tcW w:w="753" w:type="dxa"/>
            <w:vAlign w:val="center"/>
          </w:tcPr>
          <w:p>
            <w:pPr>
              <w:adjustRightInd w:val="0"/>
              <w:snapToGrid w:val="0"/>
              <w:jc w:val="center"/>
              <w:rPr>
                <w:rFonts w:ascii="宋体" w:hAnsi="宋体" w:cs="宋体"/>
                <w:bCs/>
                <w:color w:val="auto"/>
                <w:spacing w:val="10"/>
                <w:szCs w:val="21"/>
              </w:rPr>
            </w:pPr>
            <w:r>
              <w:rPr>
                <w:rFonts w:hint="eastAsia" w:ascii="宋体" w:hAnsi="宋体"/>
                <w:bCs/>
                <w:color w:val="auto"/>
                <w:szCs w:val="21"/>
              </w:rPr>
              <w:t>环保投资</w:t>
            </w:r>
          </w:p>
        </w:tc>
        <w:tc>
          <w:tcPr>
            <w:tcW w:w="8457" w:type="dxa"/>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lang w:eastAsia="zh-CN"/>
              </w:rPr>
            </w:pPr>
            <w:r>
              <w:rPr>
                <w:color w:val="auto"/>
                <w:sz w:val="24"/>
                <w:szCs w:val="24"/>
              </w:rPr>
              <w:t>拟建公路工程建设项目总投资为</w:t>
            </w:r>
            <w:r>
              <w:rPr>
                <w:rFonts w:hint="eastAsia"/>
                <w:color w:val="auto"/>
                <w:sz w:val="24"/>
                <w:szCs w:val="24"/>
                <w:lang w:val="en-US" w:eastAsia="zh-CN"/>
              </w:rPr>
              <w:t>31344.23</w:t>
            </w:r>
            <w:r>
              <w:rPr>
                <w:color w:val="auto"/>
                <w:sz w:val="24"/>
                <w:szCs w:val="24"/>
              </w:rPr>
              <w:t>万元。环保投资预算费用为</w:t>
            </w:r>
            <w:r>
              <w:rPr>
                <w:rFonts w:hint="eastAsia"/>
                <w:color w:val="auto"/>
                <w:sz w:val="24"/>
                <w:szCs w:val="24"/>
                <w:lang w:val="en-US" w:eastAsia="zh-CN"/>
              </w:rPr>
              <w:t>208.6</w:t>
            </w:r>
            <w:r>
              <w:rPr>
                <w:color w:val="auto"/>
                <w:sz w:val="24"/>
                <w:szCs w:val="24"/>
              </w:rPr>
              <w:t>万元，环保投资占整个项目投资的比例</w:t>
            </w:r>
            <w:r>
              <w:rPr>
                <w:rFonts w:hint="eastAsia"/>
                <w:color w:val="auto"/>
                <w:sz w:val="24"/>
                <w:szCs w:val="24"/>
              </w:rPr>
              <w:t>约</w:t>
            </w:r>
            <w:r>
              <w:rPr>
                <w:color w:val="auto"/>
                <w:sz w:val="24"/>
                <w:szCs w:val="24"/>
              </w:rPr>
              <w:t>为</w:t>
            </w:r>
            <w:r>
              <w:rPr>
                <w:rFonts w:hint="eastAsia"/>
                <w:color w:val="auto"/>
                <w:sz w:val="24"/>
                <w:szCs w:val="24"/>
                <w:lang w:val="en-US" w:eastAsia="zh-CN"/>
              </w:rPr>
              <w:t>0.67</w:t>
            </w:r>
            <w:r>
              <w:rPr>
                <w:rFonts w:hint="eastAsia"/>
                <w:color w:val="auto"/>
                <w:sz w:val="24"/>
                <w:szCs w:val="24"/>
              </w:rPr>
              <w:t>%</w:t>
            </w:r>
            <w:r>
              <w:rPr>
                <w:color w:val="auto"/>
                <w:sz w:val="24"/>
                <w:szCs w:val="24"/>
              </w:rPr>
              <w:t>，具体环保投资见表</w:t>
            </w:r>
            <w:r>
              <w:rPr>
                <w:rFonts w:hint="eastAsia"/>
                <w:color w:val="auto"/>
                <w:sz w:val="24"/>
                <w:szCs w:val="24"/>
                <w:lang w:val="en-US" w:eastAsia="zh-CN"/>
              </w:rPr>
              <w:t>5-5</w:t>
            </w:r>
            <w:r>
              <w:rPr>
                <w:color w:val="auto"/>
                <w:sz w:val="24"/>
                <w:szCs w:val="24"/>
              </w:rPr>
              <w:t>。</w:t>
            </w:r>
          </w:p>
          <w:p>
            <w:pPr>
              <w:pStyle w:val="47"/>
              <w:rPr>
                <w:rFonts w:hint="eastAsia"/>
                <w:color w:val="auto"/>
                <w:sz w:val="21"/>
                <w:szCs w:val="21"/>
              </w:rPr>
            </w:pPr>
            <w:r>
              <w:rPr>
                <w:rFonts w:hint="eastAsia"/>
                <w:color w:val="auto"/>
                <w:sz w:val="21"/>
                <w:szCs w:val="21"/>
              </w:rPr>
              <w:t>表</w:t>
            </w:r>
            <w:r>
              <w:rPr>
                <w:rFonts w:hint="eastAsia"/>
                <w:color w:val="auto"/>
                <w:sz w:val="21"/>
                <w:szCs w:val="21"/>
                <w:lang w:val="en-US" w:eastAsia="zh-CN"/>
              </w:rPr>
              <w:t>5-5</w:t>
            </w:r>
            <w:r>
              <w:rPr>
                <w:rFonts w:hint="eastAsia"/>
                <w:color w:val="auto"/>
                <w:sz w:val="21"/>
                <w:szCs w:val="21"/>
              </w:rPr>
              <w:t xml:space="preserve"> </w:t>
            </w:r>
            <w:r>
              <w:rPr>
                <w:color w:val="auto"/>
                <w:sz w:val="21"/>
                <w:szCs w:val="21"/>
              </w:rPr>
              <w:t xml:space="preserve"> </w:t>
            </w:r>
            <w:r>
              <w:rPr>
                <w:rFonts w:hint="eastAsia"/>
                <w:color w:val="auto"/>
                <w:sz w:val="21"/>
                <w:szCs w:val="21"/>
                <w:lang w:val="en-US" w:eastAsia="zh-CN"/>
              </w:rPr>
              <w:t xml:space="preserve"> </w:t>
            </w:r>
            <w:r>
              <w:rPr>
                <w:color w:val="auto"/>
                <w:sz w:val="21"/>
                <w:szCs w:val="21"/>
              </w:rPr>
              <w:t xml:space="preserve"> </w:t>
            </w:r>
            <w:r>
              <w:rPr>
                <w:rFonts w:hint="eastAsia"/>
                <w:color w:val="auto"/>
                <w:sz w:val="21"/>
                <w:szCs w:val="21"/>
              </w:rPr>
              <w:t>环保投资估算表</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520"/>
              <w:gridCol w:w="595"/>
              <w:gridCol w:w="3480"/>
              <w:gridCol w:w="898"/>
              <w:gridCol w:w="707"/>
              <w:gridCol w:w="20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b/>
                      <w:bCs/>
                      <w:color w:val="auto"/>
                    </w:rPr>
                  </w:pPr>
                  <w:r>
                    <w:rPr>
                      <w:rFonts w:hint="default"/>
                      <w:b/>
                      <w:bCs/>
                      <w:color w:val="auto"/>
                    </w:rPr>
                    <w:t>时段</w:t>
                  </w:r>
                </w:p>
              </w:tc>
              <w:tc>
                <w:tcPr>
                  <w:tcW w:w="407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b/>
                      <w:bCs/>
                      <w:color w:val="auto"/>
                    </w:rPr>
                  </w:pPr>
                  <w:r>
                    <w:rPr>
                      <w:rFonts w:hint="default"/>
                      <w:b/>
                      <w:bCs/>
                      <w:color w:val="auto"/>
                    </w:rPr>
                    <w:t>内容</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b/>
                      <w:bCs/>
                      <w:color w:val="auto"/>
                    </w:rPr>
                  </w:pPr>
                  <w:r>
                    <w:rPr>
                      <w:rFonts w:hint="default"/>
                      <w:b/>
                      <w:bCs/>
                      <w:color w:val="auto"/>
                    </w:rPr>
                    <w:t>数量</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b/>
                      <w:bCs/>
                      <w:color w:val="auto"/>
                    </w:rPr>
                  </w:pPr>
                  <w:r>
                    <w:rPr>
                      <w:rFonts w:hint="default"/>
                      <w:b/>
                      <w:bCs/>
                      <w:color w:val="auto"/>
                    </w:rPr>
                    <w:t>金额</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b/>
                      <w:bCs/>
                      <w:color w:val="auto"/>
                    </w:rPr>
                  </w:pPr>
                  <w:r>
                    <w:rPr>
                      <w:rFonts w:hint="default"/>
                      <w:b/>
                      <w:bCs/>
                      <w:color w:val="auto"/>
                    </w:rPr>
                    <w:t>环境效益</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施</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工</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期</w:t>
                  </w:r>
                </w:p>
              </w:tc>
              <w:tc>
                <w:tcPr>
                  <w:tcW w:w="5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大气</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洒水降尘（洒水车）</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eastAsia"/>
                      <w:color w:val="auto"/>
                      <w:lang w:val="en-US" w:eastAsia="zh-CN"/>
                    </w:rPr>
                    <w:t>1</w:t>
                  </w:r>
                  <w:r>
                    <w:rPr>
                      <w:rFonts w:hint="default"/>
                      <w:color w:val="auto"/>
                    </w:rPr>
                    <w:t>5</w:t>
                  </w:r>
                </w:p>
              </w:tc>
              <w:tc>
                <w:tcPr>
                  <w:tcW w:w="20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减少大气污染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雾化降尘</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lang w:val="en-US" w:eastAsia="zh-CN"/>
                    </w:rPr>
                  </w:pPr>
                  <w:r>
                    <w:rPr>
                      <w:rFonts w:hint="eastAsia"/>
                      <w:color w:val="auto"/>
                      <w:lang w:val="en-US" w:eastAsia="zh-CN"/>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2</w:t>
                  </w:r>
                </w:p>
              </w:tc>
              <w:tc>
                <w:tcPr>
                  <w:tcW w:w="20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施工现场设置围挡</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45</w:t>
                  </w:r>
                </w:p>
              </w:tc>
              <w:tc>
                <w:tcPr>
                  <w:tcW w:w="20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color w:val="auto"/>
                    </w:rPr>
                    <w:t>运输车辆遮盖篷布</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lang w:val="en-US" w:eastAsia="zh-CN"/>
                    </w:rPr>
                  </w:pPr>
                  <w:r>
                    <w:rPr>
                      <w:rFonts w:hint="eastAsia"/>
                      <w:color w:val="auto"/>
                      <w:lang w:val="en-US" w:eastAsia="zh-CN"/>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1</w:t>
                  </w:r>
                </w:p>
              </w:tc>
              <w:tc>
                <w:tcPr>
                  <w:tcW w:w="20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扬尘在线监测系统</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1</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10</w:t>
                  </w:r>
                </w:p>
              </w:tc>
              <w:tc>
                <w:tcPr>
                  <w:tcW w:w="20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噪声</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禁鸣、限速等指示标志</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0.5</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减少施工期噪声污染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废水</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施工废水处理（沉淀池）</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rPr>
                  </w:pPr>
                  <w:r>
                    <w:rPr>
                      <w:rFonts w:hint="eastAsia"/>
                      <w:color w:val="auto"/>
                      <w:lang w:val="en-US" w:eastAsia="zh-CN"/>
                    </w:rPr>
                    <w:t>1套</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8</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减少地表水环境污染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固废</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生活垃圾集中收集，由环卫部门定期清运处置</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0.1</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生态恢复</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施工裸露地表注意随时密目网覆盖；对于有机质含量高的表土进行剥离，可单独堆存用于绿化；施工结束后进行道路的绿化恢复工作</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48</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运</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营</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期</w:t>
                  </w: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噪声</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设置减速带、限速禁鸣、控制行车噪声及车速、加强路面保养维持路面平整等</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55</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减少交通噪声污染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固废</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垃圾桶</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lang w:eastAsia="zh-CN"/>
                    </w:rPr>
                  </w:pPr>
                  <w:r>
                    <w:rPr>
                      <w:rFonts w:hint="eastAsia"/>
                      <w:color w:val="auto"/>
                      <w:lang w:eastAsia="zh-CN"/>
                    </w:rPr>
                    <w:t>若干</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4</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p>
              </w:tc>
              <w:tc>
                <w:tcPr>
                  <w:tcW w:w="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生态补偿</w:t>
                  </w:r>
                </w:p>
              </w:tc>
              <w:tc>
                <w:tcPr>
                  <w:tcW w:w="3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种植花草、移栽树木</w:t>
                  </w:r>
                  <w:r>
                    <w:rPr>
                      <w:rFonts w:hint="eastAsia"/>
                      <w:color w:val="auto"/>
                      <w:lang w:eastAsia="zh-CN"/>
                    </w:rPr>
                    <w:t>等绿化工程</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olor w:val="auto"/>
                      <w:lang w:eastAsia="zh-CN"/>
                    </w:rPr>
                  </w:pPr>
                  <w:r>
                    <w:rPr>
                      <w:rFonts w:hint="default"/>
                      <w:color w:val="auto"/>
                    </w:rPr>
                    <w:t>/</w:t>
                  </w:r>
                </w:p>
              </w:tc>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20</w:t>
                  </w:r>
                </w:p>
              </w:tc>
              <w:tc>
                <w:tcPr>
                  <w:tcW w:w="20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保护生态环境、降低交通噪声污染、提高景观环境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549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rPr>
                  </w:pPr>
                  <w:r>
                    <w:rPr>
                      <w:rFonts w:hint="default"/>
                      <w:color w:val="auto"/>
                    </w:rPr>
                    <w:t>总计</w:t>
                  </w:r>
                </w:p>
              </w:tc>
              <w:tc>
                <w:tcPr>
                  <w:tcW w:w="27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color w:val="auto"/>
                      <w:lang w:val="en-US" w:eastAsia="zh-CN"/>
                    </w:rPr>
                  </w:pPr>
                  <w:r>
                    <w:rPr>
                      <w:rFonts w:hint="eastAsia"/>
                      <w:color w:val="auto"/>
                      <w:lang w:val="en-US" w:eastAsia="zh-CN"/>
                    </w:rPr>
                    <w:t>208.6</w:t>
                  </w:r>
                </w:p>
              </w:tc>
            </w:tr>
          </w:tbl>
          <w:p>
            <w:pPr>
              <w:adjustRightInd w:val="0"/>
              <w:snapToGrid w:val="0"/>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pStyle w:val="32"/>
              <w:rPr>
                <w:color w:val="auto"/>
              </w:rPr>
            </w:pPr>
          </w:p>
          <w:p>
            <w:pPr>
              <w:pStyle w:val="26"/>
              <w:rPr>
                <w:color w:val="auto"/>
              </w:rPr>
            </w:pPr>
          </w:p>
          <w:p>
            <w:pPr>
              <w:rPr>
                <w:color w:val="auto"/>
              </w:rPr>
            </w:pPr>
          </w:p>
          <w:p>
            <w:pPr>
              <w:pStyle w:val="32"/>
              <w:rPr>
                <w:color w:val="auto"/>
              </w:rPr>
            </w:pPr>
          </w:p>
          <w:p>
            <w:pPr>
              <w:pStyle w:val="26"/>
              <w:rPr>
                <w:color w:val="auto"/>
              </w:rPr>
            </w:pPr>
          </w:p>
          <w:p>
            <w:pPr>
              <w:rPr>
                <w:color w:val="auto"/>
              </w:rPr>
            </w:pPr>
          </w:p>
          <w:p>
            <w:pPr>
              <w:pStyle w:val="26"/>
              <w:rPr>
                <w:color w:val="auto"/>
              </w:rPr>
            </w:pPr>
          </w:p>
          <w:p>
            <w:pPr>
              <w:rPr>
                <w:color w:val="auto"/>
              </w:rPr>
            </w:pPr>
          </w:p>
          <w:p>
            <w:pPr>
              <w:pStyle w:val="26"/>
              <w:rPr>
                <w:color w:val="auto"/>
              </w:rPr>
            </w:pPr>
          </w:p>
          <w:p>
            <w:pPr>
              <w:rPr>
                <w:color w:val="auto"/>
              </w:rPr>
            </w:pPr>
          </w:p>
          <w:p>
            <w:pPr>
              <w:rPr>
                <w:color w:val="auto"/>
              </w:rPr>
            </w:pPr>
          </w:p>
          <w:p>
            <w:pPr>
              <w:pStyle w:val="26"/>
              <w:rPr>
                <w:color w:val="auto"/>
              </w:rPr>
            </w:pPr>
          </w:p>
        </w:tc>
      </w:tr>
    </w:tbl>
    <w:p>
      <w:pPr>
        <w:rPr>
          <w:color w:val="auto"/>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六、生态环境保护措施监督检查清单</w:t>
      </w:r>
    </w:p>
    <w:tbl>
      <w:tblPr>
        <w:tblStyle w:val="27"/>
        <w:tblW w:w="457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994"/>
        <w:gridCol w:w="1498"/>
        <w:gridCol w:w="1560"/>
        <w:gridCol w:w="17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652" w:type="pct"/>
            <w:vMerge w:val="restart"/>
            <w:tcBorders>
              <w:tl2br w:val="single" w:color="auto" w:sz="4" w:space="0"/>
            </w:tcBorders>
          </w:tcPr>
          <w:p>
            <w:pPr>
              <w:pStyle w:val="23"/>
              <w:adjustRightInd w:val="0"/>
              <w:snapToGrid w:val="0"/>
              <w:spacing w:before="72" w:beforeLines="3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内容</w:t>
            </w:r>
          </w:p>
          <w:p>
            <w:pPr>
              <w:pStyle w:val="23"/>
              <w:adjustRightInd w:val="0"/>
              <w:snapToGrid w:val="0"/>
              <w:spacing w:before="72" w:beforeLines="30" w:beforeAutospacing="0" w:after="0" w:afterAutospacing="0"/>
              <w:jc w:val="center"/>
              <w:outlineLvl w:val="0"/>
              <w:rPr>
                <w:rFonts w:ascii="黑体" w:hAnsi="黑体" w:eastAsia="黑体" w:cs="宋体"/>
                <w:color w:val="auto"/>
                <w:kern w:val="2"/>
                <w:sz w:val="21"/>
                <w:szCs w:val="21"/>
              </w:rPr>
            </w:pPr>
          </w:p>
          <w:p>
            <w:pPr>
              <w:pStyle w:val="23"/>
              <w:adjustRightInd w:val="0"/>
              <w:snapToGrid w:val="0"/>
              <w:spacing w:before="0" w:beforeAutospacing="0" w:after="0" w:afterAutospacing="0" w:line="14" w:lineRule="auto"/>
              <w:outlineLvl w:val="0"/>
              <w:rPr>
                <w:rFonts w:ascii="黑体" w:hAnsi="黑体" w:eastAsia="黑体" w:cs="宋体"/>
                <w:color w:val="auto"/>
                <w:kern w:val="2"/>
                <w:sz w:val="135"/>
                <w:szCs w:val="21"/>
              </w:rPr>
            </w:pPr>
            <w:r>
              <w:rPr>
                <w:rFonts w:hint="eastAsia" w:ascii="黑体" w:hAnsi="黑体" w:eastAsia="黑体" w:cs="宋体"/>
                <w:color w:val="auto"/>
                <w:kern w:val="2"/>
                <w:sz w:val="21"/>
                <w:szCs w:val="21"/>
              </w:rPr>
              <w:t xml:space="preserve"> </w:t>
            </w:r>
            <w:r>
              <w:rPr>
                <w:rFonts w:hint="eastAsia" w:ascii="黑体" w:hAnsi="黑体" w:eastAsia="黑体" w:cs="宋体"/>
                <w:color w:val="auto"/>
                <w:kern w:val="2"/>
                <w:sz w:val="135"/>
                <w:szCs w:val="21"/>
              </w:rPr>
              <w:t xml:space="preserve"> </w:t>
            </w:r>
          </w:p>
          <w:p>
            <w:pPr>
              <w:pStyle w:val="23"/>
              <w:adjustRightInd w:val="0"/>
              <w:snapToGrid w:val="0"/>
              <w:spacing w:before="0" w:beforeAutospacing="0" w:after="0" w:afterAutospacing="0"/>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要素</w:t>
            </w:r>
          </w:p>
        </w:tc>
        <w:tc>
          <w:tcPr>
            <w:tcW w:w="2239" w:type="pct"/>
            <w:gridSpan w:val="2"/>
            <w:vAlign w:val="center"/>
          </w:tcPr>
          <w:p>
            <w:pPr>
              <w:pStyle w:val="23"/>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施工期</w:t>
            </w:r>
          </w:p>
        </w:tc>
        <w:tc>
          <w:tcPr>
            <w:tcW w:w="2108" w:type="pct"/>
            <w:gridSpan w:val="2"/>
            <w:vAlign w:val="center"/>
          </w:tcPr>
          <w:p>
            <w:pPr>
              <w:pStyle w:val="23"/>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652" w:type="pct"/>
            <w:vMerge w:val="continue"/>
          </w:tcPr>
          <w:p>
            <w:pPr>
              <w:pStyle w:val="23"/>
              <w:adjustRightInd w:val="0"/>
              <w:snapToGrid w:val="0"/>
              <w:spacing w:before="0" w:beforeAutospacing="0" w:after="0" w:afterAutospacing="0"/>
              <w:ind w:firstLine="840"/>
              <w:jc w:val="center"/>
              <w:outlineLvl w:val="0"/>
              <w:rPr>
                <w:rFonts w:ascii="黑体" w:hAnsi="黑体" w:eastAsia="黑体" w:cs="宋体"/>
                <w:color w:val="auto"/>
                <w:kern w:val="2"/>
                <w:sz w:val="21"/>
                <w:szCs w:val="21"/>
              </w:rPr>
            </w:pPr>
          </w:p>
        </w:tc>
        <w:tc>
          <w:tcPr>
            <w:tcW w:w="1278" w:type="pct"/>
            <w:vAlign w:val="center"/>
          </w:tcPr>
          <w:p>
            <w:pPr>
              <w:pStyle w:val="23"/>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环境保护措施</w:t>
            </w:r>
          </w:p>
        </w:tc>
        <w:tc>
          <w:tcPr>
            <w:tcW w:w="960" w:type="pct"/>
            <w:vAlign w:val="center"/>
          </w:tcPr>
          <w:p>
            <w:pPr>
              <w:pStyle w:val="23"/>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验收要求</w:t>
            </w:r>
          </w:p>
        </w:tc>
        <w:tc>
          <w:tcPr>
            <w:tcW w:w="1000" w:type="pct"/>
            <w:vAlign w:val="center"/>
          </w:tcPr>
          <w:p>
            <w:pPr>
              <w:pStyle w:val="23"/>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环境保护措施</w:t>
            </w:r>
          </w:p>
        </w:tc>
        <w:tc>
          <w:tcPr>
            <w:tcW w:w="1108" w:type="pct"/>
            <w:vAlign w:val="center"/>
          </w:tcPr>
          <w:p>
            <w:pPr>
              <w:pStyle w:val="23"/>
              <w:adjustRightInd w:val="0"/>
              <w:snapToGrid w:val="0"/>
              <w:spacing w:before="0" w:beforeAutospacing="0" w:after="0" w:afterAutospacing="0"/>
              <w:jc w:val="center"/>
              <w:outlineLvl w:val="0"/>
              <w:rPr>
                <w:rFonts w:ascii="黑体" w:hAnsi="黑体" w:eastAsia="黑体" w:cs="宋体"/>
                <w:color w:val="auto"/>
                <w:kern w:val="2"/>
                <w:sz w:val="21"/>
                <w:szCs w:val="21"/>
              </w:rPr>
            </w:pPr>
            <w:r>
              <w:rPr>
                <w:rFonts w:hint="eastAsia" w:ascii="黑体" w:hAnsi="黑体" w:eastAsia="黑体" w:cs="宋体"/>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1" w:hRule="atLeast"/>
          <w:jc w:val="center"/>
        </w:trPr>
        <w:tc>
          <w:tcPr>
            <w:tcW w:w="652" w:type="pct"/>
            <w:vAlign w:val="center"/>
          </w:tcPr>
          <w:p>
            <w:pPr>
              <w:adjustRightInd w:val="0"/>
              <w:snapToGrid w:val="0"/>
              <w:jc w:val="center"/>
              <w:rPr>
                <w:color w:val="auto"/>
                <w:szCs w:val="21"/>
              </w:rPr>
            </w:pPr>
            <w:r>
              <w:rPr>
                <w:color w:val="auto"/>
                <w:szCs w:val="21"/>
              </w:rPr>
              <w:t>陆生生态</w:t>
            </w:r>
          </w:p>
        </w:tc>
        <w:tc>
          <w:tcPr>
            <w:tcW w:w="1278" w:type="pct"/>
            <w:vAlign w:val="center"/>
          </w:tcPr>
          <w:p>
            <w:pPr>
              <w:bidi w:val="0"/>
              <w:rPr>
                <w:color w:val="auto"/>
              </w:rPr>
            </w:pPr>
            <w:r>
              <w:rPr>
                <w:rFonts w:hint="default"/>
                <w:color w:val="auto"/>
              </w:rPr>
              <w:t>加强施工管理，严格按划定的道路红线施工并采取防护措施；分段施工、及时回填，施工裸露地表随时密目网覆盖，防止水土流失；施工结束后做好生态恢复，进行道路绿化恢复工作，进行生态补偿</w:t>
            </w:r>
          </w:p>
        </w:tc>
        <w:tc>
          <w:tcPr>
            <w:tcW w:w="960" w:type="pct"/>
            <w:vAlign w:val="center"/>
          </w:tcPr>
          <w:p>
            <w:pPr>
              <w:bidi w:val="0"/>
              <w:rPr>
                <w:color w:val="auto"/>
              </w:rPr>
            </w:pPr>
            <w:r>
              <w:rPr>
                <w:rFonts w:hint="eastAsia"/>
                <w:color w:val="auto"/>
              </w:rPr>
              <w:t>落实各项环保措施，以减轻生态破坏、水土流失程度，施工期应采集和留存落实</w:t>
            </w:r>
            <w:r>
              <w:rPr>
                <w:rFonts w:hint="eastAsia"/>
                <w:color w:val="auto"/>
                <w:lang w:eastAsia="zh-CN"/>
              </w:rPr>
              <w:t>各项</w:t>
            </w:r>
            <w:r>
              <w:rPr>
                <w:rFonts w:hint="eastAsia"/>
                <w:color w:val="auto"/>
              </w:rPr>
              <w:t>环保措施的照片、影像资料等</w:t>
            </w:r>
          </w:p>
        </w:tc>
        <w:tc>
          <w:tcPr>
            <w:tcW w:w="1000" w:type="pct"/>
            <w:vAlign w:val="center"/>
          </w:tcPr>
          <w:p>
            <w:pPr>
              <w:bidi w:val="0"/>
              <w:rPr>
                <w:color w:val="auto"/>
              </w:rPr>
            </w:pPr>
            <w:r>
              <w:rPr>
                <w:rFonts w:hint="eastAsia"/>
                <w:color w:val="auto"/>
              </w:rPr>
              <w:t>加强管理，注意沿线绿化的日常维护（包括浇水、修剪等），对道路沿线进行景观提升</w:t>
            </w:r>
          </w:p>
        </w:tc>
        <w:tc>
          <w:tcPr>
            <w:tcW w:w="1108" w:type="pct"/>
            <w:vAlign w:val="center"/>
          </w:tcPr>
          <w:p>
            <w:pPr>
              <w:bidi w:val="0"/>
              <w:rPr>
                <w:color w:val="auto"/>
              </w:rPr>
            </w:pPr>
            <w:r>
              <w:rPr>
                <w:color w:val="auto"/>
              </w:rPr>
              <w:t>做好施工临时占地的生态恢复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1" w:hRule="atLeast"/>
          <w:jc w:val="center"/>
        </w:trPr>
        <w:tc>
          <w:tcPr>
            <w:tcW w:w="652" w:type="pct"/>
            <w:vAlign w:val="center"/>
          </w:tcPr>
          <w:p>
            <w:pPr>
              <w:adjustRightInd w:val="0"/>
              <w:snapToGrid w:val="0"/>
              <w:jc w:val="center"/>
              <w:rPr>
                <w:color w:val="auto"/>
                <w:szCs w:val="21"/>
              </w:rPr>
            </w:pPr>
            <w:r>
              <w:rPr>
                <w:color w:val="auto"/>
                <w:szCs w:val="21"/>
              </w:rPr>
              <w:t>水生生态</w:t>
            </w:r>
          </w:p>
        </w:tc>
        <w:tc>
          <w:tcPr>
            <w:tcW w:w="1278" w:type="pct"/>
            <w:vAlign w:val="center"/>
          </w:tcPr>
          <w:p>
            <w:pPr>
              <w:pStyle w:val="78"/>
              <w:ind w:firstLine="0" w:firstLineChars="0"/>
              <w:rPr>
                <w:color w:val="auto"/>
                <w:szCs w:val="21"/>
              </w:rPr>
            </w:pPr>
            <w:r>
              <w:rPr>
                <w:color w:val="auto"/>
              </w:rPr>
              <w:t>加强施工队伍的管理，注意对</w:t>
            </w:r>
            <w:r>
              <w:rPr>
                <w:rFonts w:hint="eastAsia"/>
                <w:color w:val="auto"/>
                <w:lang w:val="en-US" w:eastAsia="zh-CN"/>
              </w:rPr>
              <w:t>陕西泾河湿地</w:t>
            </w:r>
            <w:r>
              <w:rPr>
                <w:color w:val="auto"/>
              </w:rPr>
              <w:t>范围内的野生动植物及水生生态的保护。施工废水、生活污水应采取及时收集并进行无害化处理措施，避免其流入河道，污染水体。</w:t>
            </w:r>
          </w:p>
        </w:tc>
        <w:tc>
          <w:tcPr>
            <w:tcW w:w="960" w:type="pct"/>
            <w:vAlign w:val="center"/>
          </w:tcPr>
          <w:p>
            <w:pPr>
              <w:pStyle w:val="78"/>
              <w:ind w:firstLine="0" w:firstLineChars="0"/>
              <w:rPr>
                <w:color w:val="auto"/>
                <w:szCs w:val="21"/>
              </w:rPr>
            </w:pPr>
            <w:r>
              <w:rPr>
                <w:color w:val="auto"/>
              </w:rPr>
              <w:t>影响不明显</w:t>
            </w:r>
          </w:p>
        </w:tc>
        <w:tc>
          <w:tcPr>
            <w:tcW w:w="1000" w:type="pct"/>
            <w:vAlign w:val="center"/>
          </w:tcPr>
          <w:p>
            <w:pPr>
              <w:pStyle w:val="78"/>
              <w:ind w:firstLine="0" w:firstLineChars="0"/>
              <w:rPr>
                <w:color w:val="auto"/>
                <w:szCs w:val="21"/>
              </w:rPr>
            </w:pPr>
            <w:r>
              <w:rPr>
                <w:color w:val="auto"/>
              </w:rPr>
              <w:t>严格车辆管理制度，加强人员安全意识。</w:t>
            </w:r>
          </w:p>
        </w:tc>
        <w:tc>
          <w:tcPr>
            <w:tcW w:w="1108" w:type="pct"/>
            <w:vAlign w:val="center"/>
          </w:tcPr>
          <w:p>
            <w:pPr>
              <w:pStyle w:val="78"/>
              <w:ind w:firstLine="0" w:firstLineChars="0"/>
              <w:rPr>
                <w:color w:val="auto"/>
                <w:szCs w:val="21"/>
              </w:rPr>
            </w:pPr>
            <w:r>
              <w:rPr>
                <w:color w:val="auto"/>
              </w:rPr>
              <w:t>对水生生态影响较小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7" w:hRule="atLeast"/>
          <w:jc w:val="center"/>
        </w:trPr>
        <w:tc>
          <w:tcPr>
            <w:tcW w:w="652" w:type="pct"/>
            <w:vAlign w:val="center"/>
          </w:tcPr>
          <w:p>
            <w:pPr>
              <w:adjustRightInd w:val="0"/>
              <w:snapToGrid w:val="0"/>
              <w:jc w:val="center"/>
              <w:rPr>
                <w:color w:val="auto"/>
                <w:szCs w:val="21"/>
              </w:rPr>
            </w:pPr>
            <w:r>
              <w:rPr>
                <w:color w:val="auto"/>
                <w:szCs w:val="21"/>
              </w:rPr>
              <w:t>地表水环境</w:t>
            </w:r>
          </w:p>
        </w:tc>
        <w:tc>
          <w:tcPr>
            <w:tcW w:w="1278" w:type="pct"/>
            <w:vAlign w:val="center"/>
          </w:tcPr>
          <w:p>
            <w:pPr>
              <w:bidi w:val="0"/>
              <w:rPr>
                <w:color w:val="auto"/>
              </w:rPr>
            </w:pPr>
            <w:r>
              <w:rPr>
                <w:rFonts w:hint="eastAsia"/>
                <w:color w:val="auto"/>
              </w:rPr>
              <w:t>车辆冲洗废水设置</w:t>
            </w:r>
            <w:r>
              <w:rPr>
                <w:rFonts w:hint="eastAsia"/>
                <w:color w:val="auto"/>
                <w:lang w:val="en-US" w:eastAsia="zh-CN"/>
              </w:rPr>
              <w:t>三级</w:t>
            </w:r>
            <w:r>
              <w:rPr>
                <w:rFonts w:hint="eastAsia"/>
                <w:color w:val="auto"/>
              </w:rPr>
              <w:t>沉淀池，沉淀后用于施工区地面洒水；管道闭水试验废水用于路面洒水或道路两侧植被绿化；施工人员生活污水依托附近公共设施收集处置</w:t>
            </w:r>
          </w:p>
        </w:tc>
        <w:tc>
          <w:tcPr>
            <w:tcW w:w="960" w:type="pct"/>
            <w:vAlign w:val="center"/>
          </w:tcPr>
          <w:p>
            <w:pPr>
              <w:bidi w:val="0"/>
              <w:rPr>
                <w:color w:val="auto"/>
              </w:rPr>
            </w:pPr>
            <w:r>
              <w:rPr>
                <w:rFonts w:hint="eastAsia"/>
                <w:color w:val="auto"/>
              </w:rPr>
              <w:t>落实各项环保措施，废水不外排；施工期应采集和留存落实</w:t>
            </w:r>
            <w:r>
              <w:rPr>
                <w:rFonts w:hint="eastAsia"/>
                <w:color w:val="auto"/>
                <w:lang w:eastAsia="zh-CN"/>
              </w:rPr>
              <w:t>各项</w:t>
            </w:r>
            <w:r>
              <w:rPr>
                <w:rFonts w:hint="eastAsia"/>
                <w:color w:val="auto"/>
              </w:rPr>
              <w:t>环保措施的照片、影像资料等</w:t>
            </w:r>
          </w:p>
        </w:tc>
        <w:tc>
          <w:tcPr>
            <w:tcW w:w="1000" w:type="pct"/>
            <w:vAlign w:val="center"/>
          </w:tcPr>
          <w:p>
            <w:pPr>
              <w:bidi w:val="0"/>
              <w:rPr>
                <w:rFonts w:hint="eastAsia"/>
                <w:color w:val="auto"/>
                <w:lang w:val="en-US" w:eastAsia="zh-CN"/>
              </w:rPr>
            </w:pPr>
            <w:r>
              <w:rPr>
                <w:rFonts w:hint="eastAsia"/>
                <w:color w:val="auto"/>
                <w:lang w:val="en-US" w:eastAsia="zh-CN"/>
              </w:rPr>
              <w:t>道路两侧设雨污水管网；加强管网维护，保证雨污水疏排顺畅，防止路面积水</w:t>
            </w:r>
          </w:p>
        </w:tc>
        <w:tc>
          <w:tcPr>
            <w:tcW w:w="1108" w:type="pct"/>
            <w:vAlign w:val="center"/>
          </w:tcPr>
          <w:p>
            <w:pPr>
              <w:bidi w:val="0"/>
              <w:rPr>
                <w:rFonts w:hint="eastAsia"/>
                <w:color w:val="auto"/>
                <w:lang w:eastAsia="zh-CN"/>
              </w:rPr>
            </w:pPr>
            <w:r>
              <w:rPr>
                <w:rFonts w:hint="eastAsia"/>
                <w:color w:val="auto"/>
                <w:lang w:eastAsia="zh-CN"/>
              </w:rPr>
              <w:t>落实各项环保措施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52" w:type="pct"/>
            <w:vAlign w:val="center"/>
          </w:tcPr>
          <w:p>
            <w:pPr>
              <w:adjustRightInd w:val="0"/>
              <w:snapToGrid w:val="0"/>
              <w:jc w:val="center"/>
              <w:rPr>
                <w:color w:val="auto"/>
                <w:szCs w:val="21"/>
              </w:rPr>
            </w:pPr>
            <w:r>
              <w:rPr>
                <w:color w:val="auto"/>
                <w:szCs w:val="21"/>
              </w:rPr>
              <w:t>地下水及土壤环境</w:t>
            </w:r>
          </w:p>
        </w:tc>
        <w:tc>
          <w:tcPr>
            <w:tcW w:w="1278" w:type="pct"/>
            <w:vAlign w:val="center"/>
          </w:tcPr>
          <w:p>
            <w:pPr>
              <w:adjustRightInd w:val="0"/>
              <w:snapToGrid w:val="0"/>
              <w:jc w:val="center"/>
              <w:rPr>
                <w:color w:val="auto"/>
                <w:szCs w:val="21"/>
              </w:rPr>
            </w:pPr>
            <w:r>
              <w:rPr>
                <w:color w:val="auto"/>
                <w:szCs w:val="21"/>
              </w:rPr>
              <w:t>/</w:t>
            </w:r>
          </w:p>
        </w:tc>
        <w:tc>
          <w:tcPr>
            <w:tcW w:w="960" w:type="pct"/>
            <w:vAlign w:val="center"/>
          </w:tcPr>
          <w:p>
            <w:pPr>
              <w:adjustRightInd w:val="0"/>
              <w:snapToGrid w:val="0"/>
              <w:jc w:val="center"/>
              <w:rPr>
                <w:color w:val="auto"/>
                <w:szCs w:val="21"/>
              </w:rPr>
            </w:pPr>
            <w:r>
              <w:rPr>
                <w:color w:val="auto"/>
                <w:szCs w:val="21"/>
              </w:rPr>
              <w:t>/</w:t>
            </w:r>
          </w:p>
        </w:tc>
        <w:tc>
          <w:tcPr>
            <w:tcW w:w="1000" w:type="pct"/>
            <w:vAlign w:val="center"/>
          </w:tcPr>
          <w:p>
            <w:pPr>
              <w:adjustRightInd w:val="0"/>
              <w:snapToGrid w:val="0"/>
              <w:jc w:val="center"/>
              <w:rPr>
                <w:color w:val="auto"/>
                <w:szCs w:val="21"/>
              </w:rPr>
            </w:pPr>
            <w:r>
              <w:rPr>
                <w:color w:val="auto"/>
                <w:szCs w:val="21"/>
              </w:rPr>
              <w:t>/</w:t>
            </w:r>
          </w:p>
        </w:tc>
        <w:tc>
          <w:tcPr>
            <w:tcW w:w="1108" w:type="pct"/>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652" w:type="pct"/>
            <w:vAlign w:val="center"/>
          </w:tcPr>
          <w:p>
            <w:pPr>
              <w:adjustRightInd w:val="0"/>
              <w:snapToGrid w:val="0"/>
              <w:jc w:val="center"/>
              <w:rPr>
                <w:color w:val="auto"/>
                <w:szCs w:val="21"/>
              </w:rPr>
            </w:pPr>
            <w:r>
              <w:rPr>
                <w:color w:val="auto"/>
                <w:szCs w:val="21"/>
              </w:rPr>
              <w:t>声环境</w:t>
            </w:r>
          </w:p>
        </w:tc>
        <w:tc>
          <w:tcPr>
            <w:tcW w:w="1278" w:type="pct"/>
            <w:vAlign w:val="center"/>
          </w:tcPr>
          <w:p>
            <w:pPr>
              <w:pStyle w:val="78"/>
              <w:ind w:firstLine="0" w:firstLineChars="0"/>
              <w:rPr>
                <w:color w:val="auto"/>
              </w:rPr>
            </w:pPr>
            <w:r>
              <w:rPr>
                <w:color w:val="auto"/>
              </w:rPr>
              <w:t>合理布局施工现场，安排施工作业时间，选用低噪声设备；加强进出车辆管理</w:t>
            </w:r>
          </w:p>
        </w:tc>
        <w:tc>
          <w:tcPr>
            <w:tcW w:w="960" w:type="pct"/>
            <w:vAlign w:val="center"/>
          </w:tcPr>
          <w:p>
            <w:pPr>
              <w:pStyle w:val="78"/>
              <w:ind w:firstLine="0" w:firstLineChars="0"/>
              <w:rPr>
                <w:rFonts w:hint="eastAsia"/>
                <w:color w:val="auto"/>
                <w:lang w:val="en-US" w:eastAsia="zh-CN"/>
              </w:rPr>
            </w:pPr>
            <w:r>
              <w:rPr>
                <w:color w:val="auto"/>
              </w:rPr>
              <w:t>满足《建筑施工场界噪声限值》</w:t>
            </w:r>
            <w:r>
              <w:rPr>
                <w:rFonts w:hint="eastAsia"/>
                <w:color w:val="auto"/>
                <w:lang w:eastAsia="zh-CN"/>
              </w:rPr>
              <w:t>（</w:t>
            </w:r>
            <w:r>
              <w:rPr>
                <w:color w:val="auto"/>
              </w:rPr>
              <w:t>GB12523-2011）的标准限值。</w:t>
            </w:r>
          </w:p>
        </w:tc>
        <w:tc>
          <w:tcPr>
            <w:tcW w:w="1000" w:type="pct"/>
            <w:vAlign w:val="center"/>
          </w:tcPr>
          <w:p>
            <w:pPr>
              <w:bidi w:val="0"/>
              <w:rPr>
                <w:color w:val="auto"/>
              </w:rPr>
            </w:pPr>
            <w:r>
              <w:rPr>
                <w:rFonts w:hint="eastAsia"/>
                <w:color w:val="auto"/>
              </w:rPr>
              <w:t>设置绿化带、减速带、限速禁鸣、控制行车噪声及车速、加强路面保养维持路面平整</w:t>
            </w:r>
          </w:p>
        </w:tc>
        <w:tc>
          <w:tcPr>
            <w:tcW w:w="1108" w:type="pct"/>
            <w:vAlign w:val="center"/>
          </w:tcPr>
          <w:p>
            <w:pPr>
              <w:bidi w:val="0"/>
              <w:rPr>
                <w:color w:val="auto"/>
              </w:rPr>
            </w:pPr>
            <w:r>
              <w:rPr>
                <w:color w:val="auto"/>
              </w:rPr>
              <w:t>敏感点处声环境达标或保证敏感点室内环境满足使用功能要求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52" w:type="pct"/>
            <w:vAlign w:val="center"/>
          </w:tcPr>
          <w:p>
            <w:pPr>
              <w:adjustRightInd w:val="0"/>
              <w:snapToGrid w:val="0"/>
              <w:jc w:val="center"/>
              <w:rPr>
                <w:color w:val="auto"/>
                <w:szCs w:val="21"/>
              </w:rPr>
            </w:pPr>
            <w:r>
              <w:rPr>
                <w:color w:val="auto"/>
                <w:szCs w:val="21"/>
              </w:rPr>
              <w:t>振动</w:t>
            </w:r>
          </w:p>
        </w:tc>
        <w:tc>
          <w:tcPr>
            <w:tcW w:w="1278" w:type="pct"/>
            <w:vAlign w:val="center"/>
          </w:tcPr>
          <w:p>
            <w:pPr>
              <w:adjustRightInd w:val="0"/>
              <w:snapToGrid w:val="0"/>
              <w:jc w:val="center"/>
              <w:rPr>
                <w:color w:val="auto"/>
                <w:szCs w:val="21"/>
              </w:rPr>
            </w:pPr>
            <w:r>
              <w:rPr>
                <w:color w:val="auto"/>
              </w:rPr>
              <w:t>振动较大的固定机械设备应加装减振机座</w:t>
            </w:r>
          </w:p>
        </w:tc>
        <w:tc>
          <w:tcPr>
            <w:tcW w:w="960" w:type="pct"/>
            <w:vAlign w:val="center"/>
          </w:tcPr>
          <w:p>
            <w:pPr>
              <w:adjustRightInd w:val="0"/>
              <w:snapToGrid w:val="0"/>
              <w:jc w:val="center"/>
              <w:rPr>
                <w:color w:val="auto"/>
                <w:szCs w:val="21"/>
              </w:rPr>
            </w:pPr>
            <w:r>
              <w:rPr>
                <w:color w:val="auto"/>
                <w:szCs w:val="21"/>
              </w:rPr>
              <w:t>/</w:t>
            </w:r>
          </w:p>
        </w:tc>
        <w:tc>
          <w:tcPr>
            <w:tcW w:w="1000" w:type="pct"/>
            <w:vAlign w:val="center"/>
          </w:tcPr>
          <w:p>
            <w:pPr>
              <w:adjustRightInd w:val="0"/>
              <w:snapToGrid w:val="0"/>
              <w:jc w:val="center"/>
              <w:rPr>
                <w:color w:val="auto"/>
                <w:szCs w:val="21"/>
              </w:rPr>
            </w:pPr>
            <w:r>
              <w:rPr>
                <w:color w:val="auto"/>
                <w:szCs w:val="21"/>
              </w:rPr>
              <w:t>/</w:t>
            </w:r>
          </w:p>
        </w:tc>
        <w:tc>
          <w:tcPr>
            <w:tcW w:w="1108" w:type="pct"/>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652" w:type="pct"/>
            <w:vAlign w:val="center"/>
          </w:tcPr>
          <w:p>
            <w:pPr>
              <w:adjustRightInd w:val="0"/>
              <w:snapToGrid w:val="0"/>
              <w:jc w:val="center"/>
              <w:rPr>
                <w:color w:val="auto"/>
                <w:szCs w:val="21"/>
              </w:rPr>
            </w:pPr>
            <w:r>
              <w:rPr>
                <w:color w:val="auto"/>
                <w:szCs w:val="21"/>
              </w:rPr>
              <w:t>大气环境</w:t>
            </w:r>
          </w:p>
        </w:tc>
        <w:tc>
          <w:tcPr>
            <w:tcW w:w="1278" w:type="pct"/>
            <w:vAlign w:val="center"/>
          </w:tcPr>
          <w:p>
            <w:pPr>
              <w:bidi w:val="0"/>
              <w:rPr>
                <w:rFonts w:hint="eastAsia"/>
                <w:color w:val="auto"/>
                <w:lang w:eastAsia="zh-CN"/>
              </w:rPr>
            </w:pPr>
            <w:r>
              <w:rPr>
                <w:rFonts w:hint="eastAsia"/>
                <w:color w:val="auto"/>
              </w:rPr>
              <w:t>密闭围挡；洒水抑尘；车辆冲洗设施等；缩短沥青铺设工期；加强施工车辆运行管理及维护保养</w:t>
            </w:r>
          </w:p>
        </w:tc>
        <w:tc>
          <w:tcPr>
            <w:tcW w:w="960" w:type="pct"/>
            <w:vAlign w:val="center"/>
          </w:tcPr>
          <w:p>
            <w:pPr>
              <w:bidi w:val="0"/>
              <w:rPr>
                <w:rFonts w:hint="eastAsia"/>
                <w:color w:val="auto"/>
                <w:lang w:eastAsia="zh-CN"/>
              </w:rPr>
            </w:pPr>
            <w:r>
              <w:rPr>
                <w:rFonts w:hint="eastAsia"/>
                <w:color w:val="auto"/>
                <w:lang w:val="en-US" w:eastAsia="zh-CN"/>
              </w:rPr>
              <w:t>落实各项环保措施，施工期应采集和留存落实各项环保措施的照片、影像资料等</w:t>
            </w:r>
          </w:p>
        </w:tc>
        <w:tc>
          <w:tcPr>
            <w:tcW w:w="1000" w:type="pct"/>
            <w:vAlign w:val="center"/>
          </w:tcPr>
          <w:p>
            <w:pPr>
              <w:bidi w:val="0"/>
              <w:rPr>
                <w:color w:val="auto"/>
              </w:rPr>
            </w:pPr>
            <w:r>
              <w:rPr>
                <w:rFonts w:hint="eastAsia"/>
                <w:color w:val="auto"/>
              </w:rPr>
              <w:t>道路两旁绿化、加强道路清扫、定期洒水等措施</w:t>
            </w:r>
          </w:p>
        </w:tc>
        <w:tc>
          <w:tcPr>
            <w:tcW w:w="1108" w:type="pct"/>
            <w:vAlign w:val="center"/>
          </w:tcPr>
          <w:p>
            <w:pPr>
              <w:bidi w:val="0"/>
              <w:rPr>
                <w:rFonts w:hint="default"/>
                <w:color w:val="auto"/>
                <w:lang w:val="en-US" w:eastAsia="zh-CN"/>
              </w:rPr>
            </w:pPr>
            <w:r>
              <w:rPr>
                <w:rFonts w:hint="eastAsia"/>
                <w:color w:val="auto"/>
                <w:lang w:val="en-US" w:eastAsia="zh-CN"/>
              </w:rPr>
              <w:t>落实各项环保措施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1" w:hRule="atLeast"/>
          <w:jc w:val="center"/>
        </w:trPr>
        <w:tc>
          <w:tcPr>
            <w:tcW w:w="652" w:type="pct"/>
            <w:vAlign w:val="center"/>
          </w:tcPr>
          <w:p>
            <w:pPr>
              <w:adjustRightInd w:val="0"/>
              <w:snapToGrid w:val="0"/>
              <w:jc w:val="center"/>
              <w:rPr>
                <w:color w:val="auto"/>
                <w:szCs w:val="21"/>
              </w:rPr>
            </w:pPr>
            <w:r>
              <w:rPr>
                <w:color w:val="auto"/>
                <w:szCs w:val="21"/>
              </w:rPr>
              <w:t>固体废物</w:t>
            </w:r>
          </w:p>
        </w:tc>
        <w:tc>
          <w:tcPr>
            <w:tcW w:w="1278" w:type="pct"/>
            <w:vAlign w:val="center"/>
          </w:tcPr>
          <w:p>
            <w:pPr>
              <w:bidi w:val="0"/>
              <w:rPr>
                <w:rFonts w:hint="default"/>
                <w:color w:val="auto"/>
                <w:lang w:val="en-US" w:eastAsia="zh-CN"/>
              </w:rPr>
            </w:pPr>
            <w:r>
              <w:rPr>
                <w:rFonts w:hint="default"/>
                <w:color w:val="auto"/>
                <w:lang w:val="en-US" w:eastAsia="zh-CN"/>
              </w:rPr>
              <w:t>建筑垃圾运至</w:t>
            </w:r>
            <w:r>
              <w:rPr>
                <w:rFonts w:hint="eastAsia"/>
                <w:color w:val="auto"/>
                <w:lang w:val="en-US" w:eastAsia="zh-CN"/>
              </w:rPr>
              <w:t>行政主管部门指定场所</w:t>
            </w:r>
            <w:r>
              <w:rPr>
                <w:rFonts w:hint="default"/>
                <w:color w:val="auto"/>
                <w:lang w:val="en-US" w:eastAsia="zh-CN"/>
              </w:rPr>
              <w:t>；挖方等优先自身回用；生活垃圾集中收集，由环卫部门定期清运处置</w:t>
            </w:r>
          </w:p>
        </w:tc>
        <w:tc>
          <w:tcPr>
            <w:tcW w:w="960" w:type="pct"/>
            <w:vAlign w:val="center"/>
          </w:tcPr>
          <w:p>
            <w:pPr>
              <w:bidi w:val="0"/>
              <w:rPr>
                <w:color w:val="auto"/>
              </w:rPr>
            </w:pPr>
            <w:r>
              <w:rPr>
                <w:rFonts w:hint="eastAsia"/>
                <w:color w:val="auto"/>
              </w:rPr>
              <w:t>落实各项环保措施，确保建筑垃圾、土石方、生活垃圾等合理处置；施工期应采集和留存落实</w:t>
            </w:r>
            <w:r>
              <w:rPr>
                <w:rFonts w:hint="eastAsia"/>
                <w:color w:val="auto"/>
                <w:lang w:eastAsia="zh-CN"/>
              </w:rPr>
              <w:t>各项</w:t>
            </w:r>
            <w:r>
              <w:rPr>
                <w:rFonts w:hint="eastAsia"/>
                <w:color w:val="auto"/>
              </w:rPr>
              <w:t>环保措施的照片、影像资料等</w:t>
            </w:r>
          </w:p>
        </w:tc>
        <w:tc>
          <w:tcPr>
            <w:tcW w:w="1000" w:type="pct"/>
            <w:vAlign w:val="center"/>
          </w:tcPr>
          <w:p>
            <w:pPr>
              <w:bidi w:val="0"/>
              <w:rPr>
                <w:color w:val="auto"/>
              </w:rPr>
            </w:pPr>
            <w:r>
              <w:rPr>
                <w:rFonts w:hint="eastAsia"/>
                <w:color w:val="auto"/>
              </w:rPr>
              <w:t>加强文明宣传，加强管理，全线养护，道路沿线设置生活垃圾收集设施</w:t>
            </w:r>
          </w:p>
        </w:tc>
        <w:tc>
          <w:tcPr>
            <w:tcW w:w="1108" w:type="pct"/>
            <w:vAlign w:val="center"/>
          </w:tcPr>
          <w:p>
            <w:pPr>
              <w:bidi w:val="0"/>
              <w:rPr>
                <w:color w:val="auto"/>
              </w:rPr>
            </w:pPr>
            <w:r>
              <w:rPr>
                <w:rFonts w:hint="eastAsia"/>
                <w:color w:val="auto"/>
              </w:rPr>
              <w:t>落实各项环保措施，确保道路沿线生活垃圾合理处置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52" w:type="pct"/>
            <w:vAlign w:val="center"/>
          </w:tcPr>
          <w:p>
            <w:pPr>
              <w:adjustRightInd w:val="0"/>
              <w:snapToGrid w:val="0"/>
              <w:jc w:val="center"/>
              <w:rPr>
                <w:color w:val="auto"/>
                <w:szCs w:val="21"/>
              </w:rPr>
            </w:pPr>
            <w:r>
              <w:rPr>
                <w:color w:val="auto"/>
                <w:szCs w:val="21"/>
              </w:rPr>
              <w:t>电磁环境</w:t>
            </w:r>
          </w:p>
        </w:tc>
        <w:tc>
          <w:tcPr>
            <w:tcW w:w="1278" w:type="pct"/>
            <w:vAlign w:val="center"/>
          </w:tcPr>
          <w:p>
            <w:pPr>
              <w:bidi w:val="0"/>
              <w:jc w:val="center"/>
              <w:rPr>
                <w:color w:val="auto"/>
              </w:rPr>
            </w:pPr>
            <w:r>
              <w:rPr>
                <w:color w:val="auto"/>
              </w:rPr>
              <w:t>/</w:t>
            </w:r>
          </w:p>
        </w:tc>
        <w:tc>
          <w:tcPr>
            <w:tcW w:w="960" w:type="pct"/>
            <w:vAlign w:val="center"/>
          </w:tcPr>
          <w:p>
            <w:pPr>
              <w:bidi w:val="0"/>
              <w:jc w:val="center"/>
              <w:rPr>
                <w:color w:val="auto"/>
              </w:rPr>
            </w:pPr>
            <w:r>
              <w:rPr>
                <w:color w:val="auto"/>
              </w:rPr>
              <w:t>/</w:t>
            </w:r>
          </w:p>
        </w:tc>
        <w:tc>
          <w:tcPr>
            <w:tcW w:w="1000" w:type="pct"/>
            <w:vAlign w:val="center"/>
          </w:tcPr>
          <w:p>
            <w:pPr>
              <w:bidi w:val="0"/>
              <w:jc w:val="center"/>
              <w:rPr>
                <w:color w:val="auto"/>
              </w:rPr>
            </w:pPr>
            <w:r>
              <w:rPr>
                <w:color w:val="auto"/>
              </w:rPr>
              <w:t>/</w:t>
            </w:r>
          </w:p>
        </w:tc>
        <w:tc>
          <w:tcPr>
            <w:tcW w:w="1108" w:type="pct"/>
            <w:vAlign w:val="center"/>
          </w:tcPr>
          <w:p>
            <w:pPr>
              <w:bidi w:val="0"/>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652" w:type="pct"/>
            <w:vAlign w:val="center"/>
          </w:tcPr>
          <w:p>
            <w:pPr>
              <w:adjustRightInd w:val="0"/>
              <w:snapToGrid w:val="0"/>
              <w:jc w:val="center"/>
              <w:rPr>
                <w:color w:val="auto"/>
                <w:szCs w:val="21"/>
              </w:rPr>
            </w:pPr>
            <w:r>
              <w:rPr>
                <w:color w:val="auto"/>
                <w:szCs w:val="21"/>
              </w:rPr>
              <w:t>环境风险</w:t>
            </w:r>
          </w:p>
        </w:tc>
        <w:tc>
          <w:tcPr>
            <w:tcW w:w="1278" w:type="pct"/>
            <w:vAlign w:val="center"/>
          </w:tcPr>
          <w:p>
            <w:pPr>
              <w:bidi w:val="0"/>
              <w:jc w:val="center"/>
              <w:rPr>
                <w:rFonts w:hint="default"/>
                <w:color w:val="auto"/>
                <w:lang w:val="en-US" w:eastAsia="zh-CN"/>
              </w:rPr>
            </w:pPr>
            <w:r>
              <w:rPr>
                <w:rFonts w:hint="eastAsia"/>
                <w:color w:val="auto"/>
                <w:lang w:val="en-US" w:eastAsia="zh-CN"/>
              </w:rPr>
              <w:t>/</w:t>
            </w:r>
          </w:p>
        </w:tc>
        <w:tc>
          <w:tcPr>
            <w:tcW w:w="960" w:type="pct"/>
            <w:vAlign w:val="center"/>
          </w:tcPr>
          <w:p>
            <w:pPr>
              <w:bidi w:val="0"/>
              <w:jc w:val="center"/>
              <w:rPr>
                <w:color w:val="auto"/>
              </w:rPr>
            </w:pPr>
            <w:r>
              <w:rPr>
                <w:color w:val="auto"/>
              </w:rPr>
              <w:t>/</w:t>
            </w:r>
          </w:p>
        </w:tc>
        <w:tc>
          <w:tcPr>
            <w:tcW w:w="1000" w:type="pct"/>
            <w:vAlign w:val="center"/>
          </w:tcPr>
          <w:p>
            <w:pPr>
              <w:bidi w:val="0"/>
              <w:rPr>
                <w:color w:val="auto"/>
              </w:rPr>
            </w:pPr>
            <w:r>
              <w:rPr>
                <w:rFonts w:hint="eastAsia"/>
                <w:color w:val="auto"/>
              </w:rPr>
              <w:t>设置告示牌，提醒危化品运输车辆驾驶人员注意通行条件</w:t>
            </w:r>
          </w:p>
        </w:tc>
        <w:tc>
          <w:tcPr>
            <w:tcW w:w="1108" w:type="pct"/>
            <w:vAlign w:val="center"/>
          </w:tcPr>
          <w:p>
            <w:pPr>
              <w:bidi w:val="0"/>
              <w:rPr>
                <w:rFonts w:hint="default"/>
                <w:color w:val="auto"/>
                <w:lang w:val="en-US" w:eastAsia="zh-CN"/>
              </w:rPr>
            </w:pPr>
            <w:r>
              <w:rPr>
                <w:rFonts w:hint="eastAsia"/>
                <w:color w:val="auto"/>
                <w:lang w:val="en-US" w:eastAsia="zh-CN"/>
              </w:rPr>
              <w:t>落实各项环保措施，防止危险品运输车辆事故对沿线环境影响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52" w:type="pc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环境监测</w:t>
            </w:r>
          </w:p>
        </w:tc>
        <w:tc>
          <w:tcPr>
            <w:tcW w:w="1278" w:type="pct"/>
            <w:vAlign w:val="center"/>
          </w:tcPr>
          <w:p>
            <w:pPr>
              <w:pStyle w:val="78"/>
              <w:ind w:firstLine="0" w:firstLineChars="0"/>
              <w:rPr>
                <w:rFonts w:hint="eastAsia"/>
                <w:color w:val="auto"/>
                <w:lang w:val="en-US" w:eastAsia="zh-CN"/>
              </w:rPr>
            </w:pPr>
            <w:r>
              <w:rPr>
                <w:color w:val="auto"/>
              </w:rPr>
              <w:t>对项目沿线环境敏感点进行大气和噪声的现状监测</w:t>
            </w:r>
          </w:p>
        </w:tc>
        <w:tc>
          <w:tcPr>
            <w:tcW w:w="960" w:type="pct"/>
            <w:vAlign w:val="center"/>
          </w:tcPr>
          <w:p>
            <w:pPr>
              <w:pStyle w:val="78"/>
              <w:ind w:firstLine="0" w:firstLineChars="0"/>
              <w:rPr>
                <w:color w:val="auto"/>
              </w:rPr>
            </w:pPr>
            <w:r>
              <w:rPr>
                <w:color w:val="auto"/>
              </w:rPr>
              <w:t>满足《声环境质量</w:t>
            </w:r>
            <w:r>
              <w:rPr>
                <w:rFonts w:hint="eastAsia"/>
                <w:color w:val="auto"/>
                <w:lang w:eastAsia="zh-CN"/>
              </w:rPr>
              <w:t>标准</w:t>
            </w:r>
            <w:r>
              <w:rPr>
                <w:color w:val="auto"/>
              </w:rPr>
              <w:t>》</w:t>
            </w:r>
            <w:r>
              <w:rPr>
                <w:rFonts w:hint="eastAsia"/>
                <w:color w:val="auto"/>
                <w:lang w:eastAsia="zh-CN"/>
              </w:rPr>
              <w:t>（</w:t>
            </w:r>
            <w:r>
              <w:rPr>
                <w:color w:val="auto"/>
              </w:rPr>
              <w:t>GB3096-2008）2类标准要求、《环境空气质量标准》二类区的标准限值。</w:t>
            </w:r>
          </w:p>
        </w:tc>
        <w:tc>
          <w:tcPr>
            <w:tcW w:w="1000" w:type="pct"/>
            <w:vAlign w:val="center"/>
          </w:tcPr>
          <w:p>
            <w:pPr>
              <w:pStyle w:val="78"/>
              <w:ind w:firstLine="0" w:firstLineChars="0"/>
              <w:rPr>
                <w:rFonts w:hint="eastAsia"/>
                <w:color w:val="auto"/>
              </w:rPr>
            </w:pPr>
            <w:r>
              <w:rPr>
                <w:color w:val="auto"/>
              </w:rPr>
              <w:t>定期对交通车辆噪声对沿线环境敏感点的影响进行监测</w:t>
            </w:r>
          </w:p>
        </w:tc>
        <w:tc>
          <w:tcPr>
            <w:tcW w:w="1108" w:type="pct"/>
            <w:vAlign w:val="center"/>
          </w:tcPr>
          <w:p>
            <w:pPr>
              <w:pStyle w:val="78"/>
              <w:ind w:firstLine="0" w:firstLineChars="0"/>
              <w:rPr>
                <w:rFonts w:hint="eastAsia"/>
                <w:color w:val="auto"/>
                <w:lang w:val="en-US" w:eastAsia="zh-CN"/>
              </w:rPr>
            </w:pPr>
            <w:r>
              <w:rPr>
                <w:color w:val="auto"/>
              </w:rPr>
              <w:t>满足《声环境质量标准》(GB3096-2008)</w:t>
            </w:r>
            <w:r>
              <w:rPr>
                <w:rFonts w:hint="eastAsia"/>
                <w:color w:val="auto"/>
                <w:lang w:val="en-US" w:eastAsia="zh-CN"/>
              </w:rPr>
              <w:t>4a类和</w:t>
            </w:r>
            <w:r>
              <w:rPr>
                <w:color w:val="auto"/>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52" w:type="pct"/>
            <w:vAlign w:val="center"/>
          </w:tcPr>
          <w:p>
            <w:pPr>
              <w:adjustRightInd w:val="0"/>
              <w:snapToGrid w:val="0"/>
              <w:jc w:val="center"/>
              <w:rPr>
                <w:color w:val="auto"/>
                <w:szCs w:val="21"/>
              </w:rPr>
            </w:pPr>
            <w:r>
              <w:rPr>
                <w:color w:val="auto"/>
                <w:szCs w:val="21"/>
              </w:rPr>
              <w:t>其他</w:t>
            </w:r>
          </w:p>
        </w:tc>
        <w:tc>
          <w:tcPr>
            <w:tcW w:w="1278" w:type="pct"/>
            <w:vAlign w:val="center"/>
          </w:tcPr>
          <w:p>
            <w:pPr>
              <w:adjustRightInd w:val="0"/>
              <w:snapToGrid w:val="0"/>
              <w:jc w:val="center"/>
              <w:rPr>
                <w:color w:val="auto"/>
                <w:szCs w:val="21"/>
              </w:rPr>
            </w:pPr>
            <w:r>
              <w:rPr>
                <w:color w:val="auto"/>
                <w:szCs w:val="21"/>
              </w:rPr>
              <w:t>/</w:t>
            </w:r>
          </w:p>
        </w:tc>
        <w:tc>
          <w:tcPr>
            <w:tcW w:w="960" w:type="pct"/>
            <w:vAlign w:val="center"/>
          </w:tcPr>
          <w:p>
            <w:pPr>
              <w:adjustRightInd w:val="0"/>
              <w:snapToGrid w:val="0"/>
              <w:jc w:val="center"/>
              <w:rPr>
                <w:color w:val="auto"/>
                <w:szCs w:val="21"/>
              </w:rPr>
            </w:pPr>
            <w:r>
              <w:rPr>
                <w:color w:val="auto"/>
                <w:szCs w:val="21"/>
              </w:rPr>
              <w:t>/</w:t>
            </w:r>
          </w:p>
        </w:tc>
        <w:tc>
          <w:tcPr>
            <w:tcW w:w="1000" w:type="pct"/>
            <w:vAlign w:val="center"/>
          </w:tcPr>
          <w:p>
            <w:pPr>
              <w:adjustRightInd w:val="0"/>
              <w:snapToGrid w:val="0"/>
              <w:jc w:val="center"/>
              <w:rPr>
                <w:color w:val="auto"/>
                <w:szCs w:val="21"/>
              </w:rPr>
            </w:pPr>
            <w:r>
              <w:rPr>
                <w:color w:val="auto"/>
                <w:szCs w:val="21"/>
              </w:rPr>
              <w:t>/</w:t>
            </w:r>
          </w:p>
        </w:tc>
        <w:tc>
          <w:tcPr>
            <w:tcW w:w="1108" w:type="pct"/>
            <w:vAlign w:val="center"/>
          </w:tcPr>
          <w:p>
            <w:pPr>
              <w:adjustRightInd w:val="0"/>
              <w:snapToGrid w:val="0"/>
              <w:jc w:val="center"/>
              <w:rPr>
                <w:color w:val="auto"/>
                <w:szCs w:val="21"/>
              </w:rPr>
            </w:pPr>
            <w:r>
              <w:rPr>
                <w:color w:val="auto"/>
                <w:szCs w:val="21"/>
              </w:rPr>
              <w:t>/</w:t>
            </w:r>
          </w:p>
        </w:tc>
      </w:tr>
    </w:tbl>
    <w:p>
      <w:pPr>
        <w:rPr>
          <w:color w:val="auto"/>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七、结论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6" w:hRule="atLeast"/>
          <w:jc w:val="center"/>
        </w:trPr>
        <w:tc>
          <w:tcPr>
            <w:tcW w:w="5000" w:type="pct"/>
          </w:tcPr>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r>
              <w:rPr>
                <w:rFonts w:hint="eastAsia"/>
                <w:color w:val="auto"/>
                <w:sz w:val="24"/>
                <w:szCs w:val="24"/>
              </w:rPr>
              <w:t>泾河新城滨河北路（茶马大道</w:t>
            </w:r>
            <w:r>
              <w:rPr>
                <w:rFonts w:hint="eastAsia"/>
                <w:color w:val="auto"/>
                <w:sz w:val="24"/>
                <w:szCs w:val="24"/>
                <w:lang w:eastAsia="zh-CN"/>
              </w:rPr>
              <w:t>－</w:t>
            </w:r>
            <w:r>
              <w:rPr>
                <w:rFonts w:hint="eastAsia"/>
                <w:color w:val="auto"/>
                <w:sz w:val="24"/>
                <w:szCs w:val="24"/>
              </w:rPr>
              <w:t>泾河二街）市政道路工程符合国家产业政策，符合环境管理政策要求</w:t>
            </w:r>
            <w:r>
              <w:rPr>
                <w:rFonts w:hint="eastAsia"/>
                <w:color w:val="auto"/>
                <w:sz w:val="24"/>
                <w:szCs w:val="24"/>
                <w:lang w:eastAsia="zh-CN"/>
              </w:rPr>
              <w:t>，项目推荐的路线方案合理，在施工期和营运期采取相应的环境保护措施后，可以使项目建设对环境的不利影响可得到有效控制，并能为环境所接受。从满足环境质量目标要求分析，项目建设可行。</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bookmarkStart w:id="5" w:name="_GoBack"/>
            <w:bookmarkEnd w:id="5"/>
          </w:p>
          <w:p>
            <w:pPr>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pStyle w:val="26"/>
              <w:rPr>
                <w:rFonts w:hint="eastAsia"/>
                <w:color w:val="auto"/>
              </w:rPr>
            </w:pPr>
          </w:p>
          <w:p>
            <w:pPr>
              <w:pStyle w:val="26"/>
              <w:rPr>
                <w:rFonts w:hint="eastAsia"/>
                <w:color w:val="auto"/>
                <w:sz w:val="24"/>
                <w:szCs w:val="24"/>
              </w:rPr>
            </w:pPr>
          </w:p>
          <w:p>
            <w:pPr>
              <w:rPr>
                <w:rFonts w:hint="eastAsia"/>
                <w:color w:val="auto"/>
                <w:sz w:val="24"/>
                <w:szCs w:val="24"/>
              </w:rPr>
            </w:pPr>
          </w:p>
          <w:p>
            <w:pPr>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pStyle w:val="26"/>
              <w:rPr>
                <w:rFonts w:hint="eastAsia"/>
                <w:color w:val="auto"/>
                <w:sz w:val="24"/>
                <w:szCs w:val="24"/>
              </w:rPr>
            </w:pPr>
          </w:p>
          <w:p>
            <w:pPr>
              <w:rPr>
                <w:rFonts w:hint="eastAsia"/>
                <w:color w:val="auto"/>
                <w:sz w:val="24"/>
                <w:szCs w:val="24"/>
              </w:rPr>
            </w:pPr>
          </w:p>
          <w:p>
            <w:pPr>
              <w:pStyle w:val="32"/>
              <w:rPr>
                <w:rFonts w:hint="eastAsia"/>
                <w:color w:val="auto"/>
                <w:sz w:val="24"/>
                <w:szCs w:val="24"/>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color w:val="auto"/>
                <w:sz w:val="24"/>
                <w:szCs w:val="24"/>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color w:val="auto"/>
              </w:rPr>
            </w:pPr>
          </w:p>
        </w:tc>
      </w:tr>
    </w:tbl>
    <w:p>
      <w:pPr>
        <w:pStyle w:val="59"/>
        <w:ind w:firstLine="0" w:firstLineChars="0"/>
        <w:rPr>
          <w:color w:val="auto"/>
        </w:rPr>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KaiTi_GB2312">
    <w:altName w:val="楷体"/>
    <w:panose1 w:val="02010609030101010101"/>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30"/>
      </w:rPr>
    </w:pPr>
    <w:r>
      <w:rPr>
        <w:rStyle w:val="30"/>
      </w:rPr>
      <w:fldChar w:fldCharType="begin"/>
    </w:r>
    <w:r>
      <w:rPr>
        <w:rStyle w:val="30"/>
      </w:rPr>
      <w:instrText xml:space="preserve">PAGE  </w:instrText>
    </w:r>
    <w:r>
      <w:rPr>
        <w:rStyle w:val="30"/>
      </w:rP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2</w:t>
    </w:r>
    <w:r>
      <w:fldChar w:fldCharType="end"/>
    </w:r>
  </w:p>
  <w:p>
    <w:pPr>
      <w:pStyle w:val="2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F00ACD"/>
    <w:multiLevelType w:val="singleLevel"/>
    <w:tmpl w:val="C9F00ACD"/>
    <w:lvl w:ilvl="0" w:tentative="0">
      <w:start w:val="2"/>
      <w:numFmt w:val="decimal"/>
      <w:suff w:val="nothing"/>
      <w:lvlText w:val="（%1）"/>
      <w:lvlJc w:val="left"/>
    </w:lvl>
  </w:abstractNum>
  <w:abstractNum w:abstractNumId="1">
    <w:nsid w:val="EDDABC3F"/>
    <w:multiLevelType w:val="singleLevel"/>
    <w:tmpl w:val="EDDABC3F"/>
    <w:lvl w:ilvl="0" w:tentative="0">
      <w:start w:val="3"/>
      <w:numFmt w:val="decimal"/>
      <w:suff w:val="nothing"/>
      <w:lvlText w:val="（%1）"/>
      <w:lvlJc w:val="left"/>
    </w:lvl>
  </w:abstractNum>
  <w:abstractNum w:abstractNumId="2">
    <w:nsid w:val="29B4184B"/>
    <w:multiLevelType w:val="singleLevel"/>
    <w:tmpl w:val="29B4184B"/>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1MTZhMmVjZGY3OWI2MmRhN2Q0ODA2ZDY3YmUyZDkifQ=="/>
  </w:docVars>
  <w:rsids>
    <w:rsidRoot w:val="00A14947"/>
    <w:rsid w:val="00001CED"/>
    <w:rsid w:val="00001E67"/>
    <w:rsid w:val="00003CD8"/>
    <w:rsid w:val="00007374"/>
    <w:rsid w:val="000117D9"/>
    <w:rsid w:val="00014965"/>
    <w:rsid w:val="0001523A"/>
    <w:rsid w:val="00016ECB"/>
    <w:rsid w:val="0002197B"/>
    <w:rsid w:val="00021E10"/>
    <w:rsid w:val="0002260F"/>
    <w:rsid w:val="00022E92"/>
    <w:rsid w:val="00025AA1"/>
    <w:rsid w:val="000269F6"/>
    <w:rsid w:val="00031939"/>
    <w:rsid w:val="00031BA3"/>
    <w:rsid w:val="00032D25"/>
    <w:rsid w:val="0003712D"/>
    <w:rsid w:val="00042CB4"/>
    <w:rsid w:val="000475FB"/>
    <w:rsid w:val="00051547"/>
    <w:rsid w:val="0005219D"/>
    <w:rsid w:val="0005568F"/>
    <w:rsid w:val="00057B06"/>
    <w:rsid w:val="0006153D"/>
    <w:rsid w:val="00061B1F"/>
    <w:rsid w:val="0006354C"/>
    <w:rsid w:val="000641DB"/>
    <w:rsid w:val="000664DB"/>
    <w:rsid w:val="000702B2"/>
    <w:rsid w:val="0007127D"/>
    <w:rsid w:val="00071AE5"/>
    <w:rsid w:val="00073F5F"/>
    <w:rsid w:val="00074783"/>
    <w:rsid w:val="00075C78"/>
    <w:rsid w:val="0007730F"/>
    <w:rsid w:val="000801E0"/>
    <w:rsid w:val="000806D1"/>
    <w:rsid w:val="00082A29"/>
    <w:rsid w:val="0008331D"/>
    <w:rsid w:val="00083C18"/>
    <w:rsid w:val="000847F8"/>
    <w:rsid w:val="00086AA3"/>
    <w:rsid w:val="00086C88"/>
    <w:rsid w:val="00092899"/>
    <w:rsid w:val="00093A79"/>
    <w:rsid w:val="0009526F"/>
    <w:rsid w:val="000A0CB6"/>
    <w:rsid w:val="000A178E"/>
    <w:rsid w:val="000A3455"/>
    <w:rsid w:val="000A389F"/>
    <w:rsid w:val="000A557E"/>
    <w:rsid w:val="000A687D"/>
    <w:rsid w:val="000B058F"/>
    <w:rsid w:val="000B3B67"/>
    <w:rsid w:val="000B693F"/>
    <w:rsid w:val="000B7602"/>
    <w:rsid w:val="000C07F2"/>
    <w:rsid w:val="000C09AC"/>
    <w:rsid w:val="000C0A63"/>
    <w:rsid w:val="000C3BC6"/>
    <w:rsid w:val="000C437E"/>
    <w:rsid w:val="000C568E"/>
    <w:rsid w:val="000C74A0"/>
    <w:rsid w:val="000D0CCE"/>
    <w:rsid w:val="000D3FCA"/>
    <w:rsid w:val="000D419D"/>
    <w:rsid w:val="000D53A1"/>
    <w:rsid w:val="000E2DD0"/>
    <w:rsid w:val="000E30D1"/>
    <w:rsid w:val="000E3B4E"/>
    <w:rsid w:val="000E3E57"/>
    <w:rsid w:val="000E5F16"/>
    <w:rsid w:val="000E7155"/>
    <w:rsid w:val="000E7242"/>
    <w:rsid w:val="000F4452"/>
    <w:rsid w:val="000F4512"/>
    <w:rsid w:val="000F57E4"/>
    <w:rsid w:val="000F6DA1"/>
    <w:rsid w:val="000F701B"/>
    <w:rsid w:val="0010213C"/>
    <w:rsid w:val="00104D2C"/>
    <w:rsid w:val="001056A0"/>
    <w:rsid w:val="001056CC"/>
    <w:rsid w:val="001062AA"/>
    <w:rsid w:val="001070AD"/>
    <w:rsid w:val="00107B0F"/>
    <w:rsid w:val="001146A5"/>
    <w:rsid w:val="001149A8"/>
    <w:rsid w:val="00115279"/>
    <w:rsid w:val="00117459"/>
    <w:rsid w:val="0011749A"/>
    <w:rsid w:val="0012349D"/>
    <w:rsid w:val="001252B5"/>
    <w:rsid w:val="00126800"/>
    <w:rsid w:val="00127A68"/>
    <w:rsid w:val="0013046B"/>
    <w:rsid w:val="00131A77"/>
    <w:rsid w:val="001324BB"/>
    <w:rsid w:val="001372C4"/>
    <w:rsid w:val="00140B13"/>
    <w:rsid w:val="00141B68"/>
    <w:rsid w:val="00143B83"/>
    <w:rsid w:val="001448B9"/>
    <w:rsid w:val="001466DA"/>
    <w:rsid w:val="001540F2"/>
    <w:rsid w:val="00154DE1"/>
    <w:rsid w:val="00155B40"/>
    <w:rsid w:val="00157435"/>
    <w:rsid w:val="00160AAF"/>
    <w:rsid w:val="00163EEA"/>
    <w:rsid w:val="00167A07"/>
    <w:rsid w:val="0017046A"/>
    <w:rsid w:val="001704A3"/>
    <w:rsid w:val="0017504D"/>
    <w:rsid w:val="001768B3"/>
    <w:rsid w:val="00177422"/>
    <w:rsid w:val="00182B7F"/>
    <w:rsid w:val="0018493C"/>
    <w:rsid w:val="00184F10"/>
    <w:rsid w:val="00185546"/>
    <w:rsid w:val="00187892"/>
    <w:rsid w:val="0019015C"/>
    <w:rsid w:val="001908D7"/>
    <w:rsid w:val="0019146B"/>
    <w:rsid w:val="00193375"/>
    <w:rsid w:val="00194398"/>
    <w:rsid w:val="00196B9B"/>
    <w:rsid w:val="0019771B"/>
    <w:rsid w:val="00197BFD"/>
    <w:rsid w:val="001A5595"/>
    <w:rsid w:val="001A7D2A"/>
    <w:rsid w:val="001B13BD"/>
    <w:rsid w:val="001B13D4"/>
    <w:rsid w:val="001B574C"/>
    <w:rsid w:val="001C0AF9"/>
    <w:rsid w:val="001C155A"/>
    <w:rsid w:val="001C2502"/>
    <w:rsid w:val="001C2B8E"/>
    <w:rsid w:val="001C48C0"/>
    <w:rsid w:val="001D0A4B"/>
    <w:rsid w:val="001D2B28"/>
    <w:rsid w:val="001D6275"/>
    <w:rsid w:val="001D6726"/>
    <w:rsid w:val="001F3347"/>
    <w:rsid w:val="001F4440"/>
    <w:rsid w:val="001F69E4"/>
    <w:rsid w:val="001F799D"/>
    <w:rsid w:val="002019BA"/>
    <w:rsid w:val="0020221C"/>
    <w:rsid w:val="00203499"/>
    <w:rsid w:val="0020699C"/>
    <w:rsid w:val="00206A65"/>
    <w:rsid w:val="00207372"/>
    <w:rsid w:val="00207D1A"/>
    <w:rsid w:val="00210547"/>
    <w:rsid w:val="00211D03"/>
    <w:rsid w:val="00212D31"/>
    <w:rsid w:val="002130C7"/>
    <w:rsid w:val="00221498"/>
    <w:rsid w:val="002218A8"/>
    <w:rsid w:val="00222EA1"/>
    <w:rsid w:val="0022306D"/>
    <w:rsid w:val="00224FC3"/>
    <w:rsid w:val="002257F2"/>
    <w:rsid w:val="00226574"/>
    <w:rsid w:val="00226D11"/>
    <w:rsid w:val="00227283"/>
    <w:rsid w:val="002278EC"/>
    <w:rsid w:val="00233307"/>
    <w:rsid w:val="00234E29"/>
    <w:rsid w:val="00235420"/>
    <w:rsid w:val="002357C7"/>
    <w:rsid w:val="002367C4"/>
    <w:rsid w:val="00237E17"/>
    <w:rsid w:val="0024182A"/>
    <w:rsid w:val="00241FD3"/>
    <w:rsid w:val="002420C6"/>
    <w:rsid w:val="00246491"/>
    <w:rsid w:val="00247687"/>
    <w:rsid w:val="002501D9"/>
    <w:rsid w:val="00250CC3"/>
    <w:rsid w:val="0025149A"/>
    <w:rsid w:val="0025640B"/>
    <w:rsid w:val="0025679E"/>
    <w:rsid w:val="0025719E"/>
    <w:rsid w:val="00260C68"/>
    <w:rsid w:val="002648B0"/>
    <w:rsid w:val="00273D3B"/>
    <w:rsid w:val="00275271"/>
    <w:rsid w:val="0027535E"/>
    <w:rsid w:val="002754A6"/>
    <w:rsid w:val="00275AA6"/>
    <w:rsid w:val="00277ED2"/>
    <w:rsid w:val="00280478"/>
    <w:rsid w:val="002807D5"/>
    <w:rsid w:val="00282CCD"/>
    <w:rsid w:val="00293B74"/>
    <w:rsid w:val="0029757D"/>
    <w:rsid w:val="002A168C"/>
    <w:rsid w:val="002A2C48"/>
    <w:rsid w:val="002A32A2"/>
    <w:rsid w:val="002A3EED"/>
    <w:rsid w:val="002A4A39"/>
    <w:rsid w:val="002A5A17"/>
    <w:rsid w:val="002A6425"/>
    <w:rsid w:val="002A7088"/>
    <w:rsid w:val="002A7D9C"/>
    <w:rsid w:val="002B0001"/>
    <w:rsid w:val="002B099D"/>
    <w:rsid w:val="002B1C51"/>
    <w:rsid w:val="002B21F2"/>
    <w:rsid w:val="002B49E2"/>
    <w:rsid w:val="002B6B8D"/>
    <w:rsid w:val="002B7B00"/>
    <w:rsid w:val="002B7C44"/>
    <w:rsid w:val="002C1388"/>
    <w:rsid w:val="002C2C38"/>
    <w:rsid w:val="002C3927"/>
    <w:rsid w:val="002C3C6A"/>
    <w:rsid w:val="002C423F"/>
    <w:rsid w:val="002C5203"/>
    <w:rsid w:val="002C746F"/>
    <w:rsid w:val="002D0EC6"/>
    <w:rsid w:val="002D42DB"/>
    <w:rsid w:val="002D4945"/>
    <w:rsid w:val="002E00FD"/>
    <w:rsid w:val="002E142E"/>
    <w:rsid w:val="002E1508"/>
    <w:rsid w:val="002E1F3A"/>
    <w:rsid w:val="002E298A"/>
    <w:rsid w:val="002E3691"/>
    <w:rsid w:val="002E4022"/>
    <w:rsid w:val="002E5282"/>
    <w:rsid w:val="002E5BE8"/>
    <w:rsid w:val="002F01B2"/>
    <w:rsid w:val="002F02A4"/>
    <w:rsid w:val="002F04C9"/>
    <w:rsid w:val="002F272B"/>
    <w:rsid w:val="002F55B1"/>
    <w:rsid w:val="002F7C6D"/>
    <w:rsid w:val="003024AA"/>
    <w:rsid w:val="003027E4"/>
    <w:rsid w:val="0030332C"/>
    <w:rsid w:val="003109CC"/>
    <w:rsid w:val="00312296"/>
    <w:rsid w:val="0031340E"/>
    <w:rsid w:val="00316319"/>
    <w:rsid w:val="00316464"/>
    <w:rsid w:val="00320294"/>
    <w:rsid w:val="0032073A"/>
    <w:rsid w:val="00321D8E"/>
    <w:rsid w:val="00322A45"/>
    <w:rsid w:val="003231B6"/>
    <w:rsid w:val="0032504E"/>
    <w:rsid w:val="00332838"/>
    <w:rsid w:val="00334996"/>
    <w:rsid w:val="00335D2E"/>
    <w:rsid w:val="00336969"/>
    <w:rsid w:val="00336C52"/>
    <w:rsid w:val="0034131F"/>
    <w:rsid w:val="00341B3E"/>
    <w:rsid w:val="00341B42"/>
    <w:rsid w:val="003427E3"/>
    <w:rsid w:val="00345154"/>
    <w:rsid w:val="0034560E"/>
    <w:rsid w:val="00347013"/>
    <w:rsid w:val="00347FB6"/>
    <w:rsid w:val="00350523"/>
    <w:rsid w:val="0035224E"/>
    <w:rsid w:val="00352975"/>
    <w:rsid w:val="00354070"/>
    <w:rsid w:val="00354EB0"/>
    <w:rsid w:val="00356868"/>
    <w:rsid w:val="00360A7D"/>
    <w:rsid w:val="0036155F"/>
    <w:rsid w:val="0036230D"/>
    <w:rsid w:val="003639C7"/>
    <w:rsid w:val="0036485B"/>
    <w:rsid w:val="00364F86"/>
    <w:rsid w:val="003656A4"/>
    <w:rsid w:val="00366324"/>
    <w:rsid w:val="00366904"/>
    <w:rsid w:val="00370C5E"/>
    <w:rsid w:val="00373B0D"/>
    <w:rsid w:val="00374B44"/>
    <w:rsid w:val="00376988"/>
    <w:rsid w:val="00376B76"/>
    <w:rsid w:val="00381A72"/>
    <w:rsid w:val="00382036"/>
    <w:rsid w:val="00383FFF"/>
    <w:rsid w:val="00392342"/>
    <w:rsid w:val="003926E5"/>
    <w:rsid w:val="003A0802"/>
    <w:rsid w:val="003A11F9"/>
    <w:rsid w:val="003A1948"/>
    <w:rsid w:val="003A232E"/>
    <w:rsid w:val="003A7BB9"/>
    <w:rsid w:val="003B152A"/>
    <w:rsid w:val="003B37A9"/>
    <w:rsid w:val="003B545B"/>
    <w:rsid w:val="003B5AD8"/>
    <w:rsid w:val="003C7127"/>
    <w:rsid w:val="003C7362"/>
    <w:rsid w:val="003C7A3D"/>
    <w:rsid w:val="003D06F7"/>
    <w:rsid w:val="003D1C25"/>
    <w:rsid w:val="003D3EE9"/>
    <w:rsid w:val="003D70A5"/>
    <w:rsid w:val="003D7EE4"/>
    <w:rsid w:val="003E343E"/>
    <w:rsid w:val="003E4E78"/>
    <w:rsid w:val="003E57B5"/>
    <w:rsid w:val="003E7644"/>
    <w:rsid w:val="003E7681"/>
    <w:rsid w:val="003F0809"/>
    <w:rsid w:val="003F0E16"/>
    <w:rsid w:val="003F1ADC"/>
    <w:rsid w:val="003F4656"/>
    <w:rsid w:val="003F611C"/>
    <w:rsid w:val="003F755C"/>
    <w:rsid w:val="004010C7"/>
    <w:rsid w:val="0040198B"/>
    <w:rsid w:val="00401A70"/>
    <w:rsid w:val="00403860"/>
    <w:rsid w:val="00404433"/>
    <w:rsid w:val="00404A8E"/>
    <w:rsid w:val="00406E31"/>
    <w:rsid w:val="00406F01"/>
    <w:rsid w:val="00410F6F"/>
    <w:rsid w:val="00411B36"/>
    <w:rsid w:val="004121D7"/>
    <w:rsid w:val="00412433"/>
    <w:rsid w:val="00416D50"/>
    <w:rsid w:val="00416D57"/>
    <w:rsid w:val="00417772"/>
    <w:rsid w:val="004204BF"/>
    <w:rsid w:val="00420E6A"/>
    <w:rsid w:val="0042233C"/>
    <w:rsid w:val="00422C09"/>
    <w:rsid w:val="00423DE0"/>
    <w:rsid w:val="0042742C"/>
    <w:rsid w:val="00432217"/>
    <w:rsid w:val="004328A9"/>
    <w:rsid w:val="00432D08"/>
    <w:rsid w:val="00433110"/>
    <w:rsid w:val="00433CA9"/>
    <w:rsid w:val="0043521D"/>
    <w:rsid w:val="00435F50"/>
    <w:rsid w:val="00440AD1"/>
    <w:rsid w:val="004411FD"/>
    <w:rsid w:val="00441AE1"/>
    <w:rsid w:val="00442024"/>
    <w:rsid w:val="00442361"/>
    <w:rsid w:val="0044254C"/>
    <w:rsid w:val="00443F6A"/>
    <w:rsid w:val="00450015"/>
    <w:rsid w:val="00450A17"/>
    <w:rsid w:val="0045524C"/>
    <w:rsid w:val="00466321"/>
    <w:rsid w:val="004672AF"/>
    <w:rsid w:val="00467D82"/>
    <w:rsid w:val="004727B0"/>
    <w:rsid w:val="004753FE"/>
    <w:rsid w:val="00475597"/>
    <w:rsid w:val="00480247"/>
    <w:rsid w:val="0048081D"/>
    <w:rsid w:val="0048117E"/>
    <w:rsid w:val="00483428"/>
    <w:rsid w:val="00484A2D"/>
    <w:rsid w:val="00484A90"/>
    <w:rsid w:val="004855F6"/>
    <w:rsid w:val="00485922"/>
    <w:rsid w:val="00486F0C"/>
    <w:rsid w:val="00494670"/>
    <w:rsid w:val="00495919"/>
    <w:rsid w:val="00496A09"/>
    <w:rsid w:val="00497AFA"/>
    <w:rsid w:val="004A0EB4"/>
    <w:rsid w:val="004A1783"/>
    <w:rsid w:val="004A24A3"/>
    <w:rsid w:val="004A3823"/>
    <w:rsid w:val="004A59BB"/>
    <w:rsid w:val="004A72CD"/>
    <w:rsid w:val="004A7ECC"/>
    <w:rsid w:val="004B0372"/>
    <w:rsid w:val="004B43A3"/>
    <w:rsid w:val="004B4C49"/>
    <w:rsid w:val="004B58A5"/>
    <w:rsid w:val="004B5B08"/>
    <w:rsid w:val="004B60AF"/>
    <w:rsid w:val="004B63D9"/>
    <w:rsid w:val="004B6ECB"/>
    <w:rsid w:val="004B7A49"/>
    <w:rsid w:val="004B7DD1"/>
    <w:rsid w:val="004C0882"/>
    <w:rsid w:val="004C3B55"/>
    <w:rsid w:val="004C4D9B"/>
    <w:rsid w:val="004C55BE"/>
    <w:rsid w:val="004D03E6"/>
    <w:rsid w:val="004D051B"/>
    <w:rsid w:val="004D4D33"/>
    <w:rsid w:val="004D61BE"/>
    <w:rsid w:val="004D7029"/>
    <w:rsid w:val="004D7DC4"/>
    <w:rsid w:val="004D7E1E"/>
    <w:rsid w:val="004E0BCE"/>
    <w:rsid w:val="004E3966"/>
    <w:rsid w:val="004E5B30"/>
    <w:rsid w:val="004E61C4"/>
    <w:rsid w:val="004E623F"/>
    <w:rsid w:val="004F0779"/>
    <w:rsid w:val="004F1230"/>
    <w:rsid w:val="004F1341"/>
    <w:rsid w:val="004F173F"/>
    <w:rsid w:val="004F177C"/>
    <w:rsid w:val="004F1C37"/>
    <w:rsid w:val="004F2DCE"/>
    <w:rsid w:val="004F524C"/>
    <w:rsid w:val="004F72DF"/>
    <w:rsid w:val="004F73C9"/>
    <w:rsid w:val="005003A4"/>
    <w:rsid w:val="00501979"/>
    <w:rsid w:val="005039CB"/>
    <w:rsid w:val="0050558F"/>
    <w:rsid w:val="005057E0"/>
    <w:rsid w:val="00506286"/>
    <w:rsid w:val="005077E1"/>
    <w:rsid w:val="00507F15"/>
    <w:rsid w:val="00510813"/>
    <w:rsid w:val="00510C85"/>
    <w:rsid w:val="0051143A"/>
    <w:rsid w:val="00511DE0"/>
    <w:rsid w:val="00517F02"/>
    <w:rsid w:val="00520DD6"/>
    <w:rsid w:val="00523F5D"/>
    <w:rsid w:val="0052438D"/>
    <w:rsid w:val="00524547"/>
    <w:rsid w:val="005258A2"/>
    <w:rsid w:val="005260D6"/>
    <w:rsid w:val="0053013C"/>
    <w:rsid w:val="005303E3"/>
    <w:rsid w:val="00530F7C"/>
    <w:rsid w:val="005342E9"/>
    <w:rsid w:val="00534567"/>
    <w:rsid w:val="00534F43"/>
    <w:rsid w:val="00535335"/>
    <w:rsid w:val="00535A84"/>
    <w:rsid w:val="00536889"/>
    <w:rsid w:val="005376AF"/>
    <w:rsid w:val="00542E07"/>
    <w:rsid w:val="00553B52"/>
    <w:rsid w:val="00554A7B"/>
    <w:rsid w:val="00555482"/>
    <w:rsid w:val="0055572C"/>
    <w:rsid w:val="00555CB6"/>
    <w:rsid w:val="0056064F"/>
    <w:rsid w:val="00561B84"/>
    <w:rsid w:val="00564D31"/>
    <w:rsid w:val="00564DE5"/>
    <w:rsid w:val="00565216"/>
    <w:rsid w:val="00566B24"/>
    <w:rsid w:val="00571D98"/>
    <w:rsid w:val="005720AE"/>
    <w:rsid w:val="00574A5C"/>
    <w:rsid w:val="0057687D"/>
    <w:rsid w:val="0058010A"/>
    <w:rsid w:val="0058030D"/>
    <w:rsid w:val="00582045"/>
    <w:rsid w:val="00585AB2"/>
    <w:rsid w:val="00585C42"/>
    <w:rsid w:val="00590AE3"/>
    <w:rsid w:val="005918F1"/>
    <w:rsid w:val="005932A2"/>
    <w:rsid w:val="00597B42"/>
    <w:rsid w:val="005A03BB"/>
    <w:rsid w:val="005A06B7"/>
    <w:rsid w:val="005A1759"/>
    <w:rsid w:val="005B280A"/>
    <w:rsid w:val="005B3F09"/>
    <w:rsid w:val="005B49F4"/>
    <w:rsid w:val="005B4D8E"/>
    <w:rsid w:val="005B73FF"/>
    <w:rsid w:val="005C1082"/>
    <w:rsid w:val="005C7971"/>
    <w:rsid w:val="005D0369"/>
    <w:rsid w:val="005D0A72"/>
    <w:rsid w:val="005D2498"/>
    <w:rsid w:val="005D2A59"/>
    <w:rsid w:val="005D3965"/>
    <w:rsid w:val="005D53FE"/>
    <w:rsid w:val="005D5C03"/>
    <w:rsid w:val="005D6C47"/>
    <w:rsid w:val="005D7A0F"/>
    <w:rsid w:val="005E0438"/>
    <w:rsid w:val="005E1791"/>
    <w:rsid w:val="005E2CE6"/>
    <w:rsid w:val="005E378A"/>
    <w:rsid w:val="005E53E8"/>
    <w:rsid w:val="005E6324"/>
    <w:rsid w:val="005E7468"/>
    <w:rsid w:val="005F228B"/>
    <w:rsid w:val="005F23C9"/>
    <w:rsid w:val="005F29CD"/>
    <w:rsid w:val="005F3534"/>
    <w:rsid w:val="005F4DFB"/>
    <w:rsid w:val="005F5B1B"/>
    <w:rsid w:val="005F6538"/>
    <w:rsid w:val="005F65F0"/>
    <w:rsid w:val="005F6CC0"/>
    <w:rsid w:val="00601D6F"/>
    <w:rsid w:val="00603E5B"/>
    <w:rsid w:val="00604506"/>
    <w:rsid w:val="00604BC8"/>
    <w:rsid w:val="00604F63"/>
    <w:rsid w:val="00605B84"/>
    <w:rsid w:val="00611C14"/>
    <w:rsid w:val="00613B2C"/>
    <w:rsid w:val="00615B4C"/>
    <w:rsid w:val="00615B5D"/>
    <w:rsid w:val="0061689D"/>
    <w:rsid w:val="0061734B"/>
    <w:rsid w:val="0062146F"/>
    <w:rsid w:val="00624BC6"/>
    <w:rsid w:val="00624E70"/>
    <w:rsid w:val="006260BB"/>
    <w:rsid w:val="0063338A"/>
    <w:rsid w:val="006343AF"/>
    <w:rsid w:val="00635B3D"/>
    <w:rsid w:val="0063634A"/>
    <w:rsid w:val="00636E2D"/>
    <w:rsid w:val="0064250D"/>
    <w:rsid w:val="00646D65"/>
    <w:rsid w:val="0064797F"/>
    <w:rsid w:val="00650C5C"/>
    <w:rsid w:val="00651CCF"/>
    <w:rsid w:val="0065237A"/>
    <w:rsid w:val="006535EB"/>
    <w:rsid w:val="00653C25"/>
    <w:rsid w:val="006542C7"/>
    <w:rsid w:val="006618F6"/>
    <w:rsid w:val="00663016"/>
    <w:rsid w:val="006641D6"/>
    <w:rsid w:val="006654FF"/>
    <w:rsid w:val="0066556C"/>
    <w:rsid w:val="00673247"/>
    <w:rsid w:val="00674605"/>
    <w:rsid w:val="006746CE"/>
    <w:rsid w:val="006748B8"/>
    <w:rsid w:val="00676746"/>
    <w:rsid w:val="00676B51"/>
    <w:rsid w:val="00681962"/>
    <w:rsid w:val="00684D22"/>
    <w:rsid w:val="0068535B"/>
    <w:rsid w:val="00685B29"/>
    <w:rsid w:val="0068619A"/>
    <w:rsid w:val="00687267"/>
    <w:rsid w:val="0068736E"/>
    <w:rsid w:val="0069290A"/>
    <w:rsid w:val="006938F8"/>
    <w:rsid w:val="00695D98"/>
    <w:rsid w:val="00696A4C"/>
    <w:rsid w:val="00697032"/>
    <w:rsid w:val="006975AC"/>
    <w:rsid w:val="006A15FB"/>
    <w:rsid w:val="006A1E1E"/>
    <w:rsid w:val="006A5856"/>
    <w:rsid w:val="006A72BF"/>
    <w:rsid w:val="006B332A"/>
    <w:rsid w:val="006B33BD"/>
    <w:rsid w:val="006B557F"/>
    <w:rsid w:val="006B59C2"/>
    <w:rsid w:val="006B5C0A"/>
    <w:rsid w:val="006C15A4"/>
    <w:rsid w:val="006C23D5"/>
    <w:rsid w:val="006C3F75"/>
    <w:rsid w:val="006D170E"/>
    <w:rsid w:val="006D1F6F"/>
    <w:rsid w:val="006E06AF"/>
    <w:rsid w:val="006E0CFF"/>
    <w:rsid w:val="006E2E4D"/>
    <w:rsid w:val="006E388F"/>
    <w:rsid w:val="006E7A42"/>
    <w:rsid w:val="006F00FA"/>
    <w:rsid w:val="006F03C8"/>
    <w:rsid w:val="006F1789"/>
    <w:rsid w:val="006F2AD9"/>
    <w:rsid w:val="006F5DC0"/>
    <w:rsid w:val="00702B65"/>
    <w:rsid w:val="00703EF1"/>
    <w:rsid w:val="00704E3C"/>
    <w:rsid w:val="00706C5D"/>
    <w:rsid w:val="00707AAB"/>
    <w:rsid w:val="00710BE1"/>
    <w:rsid w:val="007118E6"/>
    <w:rsid w:val="00712DA1"/>
    <w:rsid w:val="00713A24"/>
    <w:rsid w:val="00715037"/>
    <w:rsid w:val="007168A3"/>
    <w:rsid w:val="007225C9"/>
    <w:rsid w:val="0072272B"/>
    <w:rsid w:val="0072443E"/>
    <w:rsid w:val="007249C9"/>
    <w:rsid w:val="0072539D"/>
    <w:rsid w:val="007266FB"/>
    <w:rsid w:val="0073081E"/>
    <w:rsid w:val="00731425"/>
    <w:rsid w:val="00734CDB"/>
    <w:rsid w:val="007355CE"/>
    <w:rsid w:val="00735CD7"/>
    <w:rsid w:val="00743D3E"/>
    <w:rsid w:val="007441E4"/>
    <w:rsid w:val="007470D0"/>
    <w:rsid w:val="00750FD1"/>
    <w:rsid w:val="00753F28"/>
    <w:rsid w:val="00754034"/>
    <w:rsid w:val="00754BF1"/>
    <w:rsid w:val="00755A30"/>
    <w:rsid w:val="00755C60"/>
    <w:rsid w:val="00755E1C"/>
    <w:rsid w:val="00756556"/>
    <w:rsid w:val="0076132B"/>
    <w:rsid w:val="007623AE"/>
    <w:rsid w:val="00762A0B"/>
    <w:rsid w:val="00763413"/>
    <w:rsid w:val="00763D46"/>
    <w:rsid w:val="00765E22"/>
    <w:rsid w:val="0076682A"/>
    <w:rsid w:val="00766B58"/>
    <w:rsid w:val="00770712"/>
    <w:rsid w:val="00770853"/>
    <w:rsid w:val="00770B19"/>
    <w:rsid w:val="00771BB6"/>
    <w:rsid w:val="00774FA0"/>
    <w:rsid w:val="00776620"/>
    <w:rsid w:val="00777924"/>
    <w:rsid w:val="00777B6D"/>
    <w:rsid w:val="007829F5"/>
    <w:rsid w:val="00784855"/>
    <w:rsid w:val="00784F39"/>
    <w:rsid w:val="0078545C"/>
    <w:rsid w:val="007869F9"/>
    <w:rsid w:val="00786ECF"/>
    <w:rsid w:val="007906C4"/>
    <w:rsid w:val="007932A4"/>
    <w:rsid w:val="007940EA"/>
    <w:rsid w:val="007967E8"/>
    <w:rsid w:val="007A1C90"/>
    <w:rsid w:val="007A2062"/>
    <w:rsid w:val="007A2C50"/>
    <w:rsid w:val="007A47A6"/>
    <w:rsid w:val="007A63F2"/>
    <w:rsid w:val="007A666B"/>
    <w:rsid w:val="007B68DE"/>
    <w:rsid w:val="007B7546"/>
    <w:rsid w:val="007B7916"/>
    <w:rsid w:val="007C1857"/>
    <w:rsid w:val="007C2989"/>
    <w:rsid w:val="007C514F"/>
    <w:rsid w:val="007D0F95"/>
    <w:rsid w:val="007D483C"/>
    <w:rsid w:val="007D48C5"/>
    <w:rsid w:val="007D5A63"/>
    <w:rsid w:val="007D782D"/>
    <w:rsid w:val="007D7ECB"/>
    <w:rsid w:val="007E12DE"/>
    <w:rsid w:val="007E1555"/>
    <w:rsid w:val="007E25A1"/>
    <w:rsid w:val="007E277F"/>
    <w:rsid w:val="007E3F09"/>
    <w:rsid w:val="007E4BD2"/>
    <w:rsid w:val="007E57B0"/>
    <w:rsid w:val="007E7145"/>
    <w:rsid w:val="007F3413"/>
    <w:rsid w:val="007F3916"/>
    <w:rsid w:val="007F3D3C"/>
    <w:rsid w:val="007F74D3"/>
    <w:rsid w:val="00801179"/>
    <w:rsid w:val="00802479"/>
    <w:rsid w:val="00803081"/>
    <w:rsid w:val="00805372"/>
    <w:rsid w:val="00805B7B"/>
    <w:rsid w:val="0081293E"/>
    <w:rsid w:val="00814FFB"/>
    <w:rsid w:val="00816DC0"/>
    <w:rsid w:val="00820568"/>
    <w:rsid w:val="00827EF7"/>
    <w:rsid w:val="00827FB4"/>
    <w:rsid w:val="008307CD"/>
    <w:rsid w:val="00831A80"/>
    <w:rsid w:val="00831B27"/>
    <w:rsid w:val="00832BEB"/>
    <w:rsid w:val="008332C8"/>
    <w:rsid w:val="00833743"/>
    <w:rsid w:val="008340A4"/>
    <w:rsid w:val="00836799"/>
    <w:rsid w:val="00836828"/>
    <w:rsid w:val="00837028"/>
    <w:rsid w:val="00837131"/>
    <w:rsid w:val="008413DC"/>
    <w:rsid w:val="0084281F"/>
    <w:rsid w:val="00843509"/>
    <w:rsid w:val="00844B7D"/>
    <w:rsid w:val="00845F57"/>
    <w:rsid w:val="008521E0"/>
    <w:rsid w:val="008525B0"/>
    <w:rsid w:val="0085320D"/>
    <w:rsid w:val="00854222"/>
    <w:rsid w:val="00863D4F"/>
    <w:rsid w:val="00867CBC"/>
    <w:rsid w:val="00873EC6"/>
    <w:rsid w:val="008741A4"/>
    <w:rsid w:val="00876C30"/>
    <w:rsid w:val="00877017"/>
    <w:rsid w:val="008773C0"/>
    <w:rsid w:val="008778E4"/>
    <w:rsid w:val="00877BAC"/>
    <w:rsid w:val="00880364"/>
    <w:rsid w:val="0088467D"/>
    <w:rsid w:val="00886C4C"/>
    <w:rsid w:val="0088711C"/>
    <w:rsid w:val="00892ECF"/>
    <w:rsid w:val="00892F06"/>
    <w:rsid w:val="008941DD"/>
    <w:rsid w:val="00894285"/>
    <w:rsid w:val="0089473D"/>
    <w:rsid w:val="00895BB5"/>
    <w:rsid w:val="008A2F23"/>
    <w:rsid w:val="008A40AE"/>
    <w:rsid w:val="008A4C7F"/>
    <w:rsid w:val="008A4E19"/>
    <w:rsid w:val="008A61F9"/>
    <w:rsid w:val="008A67C5"/>
    <w:rsid w:val="008B02FA"/>
    <w:rsid w:val="008B22E1"/>
    <w:rsid w:val="008B3C78"/>
    <w:rsid w:val="008B4AE9"/>
    <w:rsid w:val="008B5AB6"/>
    <w:rsid w:val="008B5DB4"/>
    <w:rsid w:val="008C0541"/>
    <w:rsid w:val="008C2A11"/>
    <w:rsid w:val="008C30AD"/>
    <w:rsid w:val="008C5A94"/>
    <w:rsid w:val="008D068E"/>
    <w:rsid w:val="008D0F7A"/>
    <w:rsid w:val="008D3AD8"/>
    <w:rsid w:val="008D4F2F"/>
    <w:rsid w:val="008D625D"/>
    <w:rsid w:val="008D63BE"/>
    <w:rsid w:val="008E0361"/>
    <w:rsid w:val="008E039F"/>
    <w:rsid w:val="008E0CFF"/>
    <w:rsid w:val="008E2EB1"/>
    <w:rsid w:val="008E35EE"/>
    <w:rsid w:val="008E5D6B"/>
    <w:rsid w:val="008E689B"/>
    <w:rsid w:val="008E7267"/>
    <w:rsid w:val="008E76F0"/>
    <w:rsid w:val="008E7A48"/>
    <w:rsid w:val="008F08CC"/>
    <w:rsid w:val="008F15FE"/>
    <w:rsid w:val="008F2A94"/>
    <w:rsid w:val="008F5187"/>
    <w:rsid w:val="008F709C"/>
    <w:rsid w:val="00901595"/>
    <w:rsid w:val="0090312B"/>
    <w:rsid w:val="00904961"/>
    <w:rsid w:val="00912B86"/>
    <w:rsid w:val="00912C92"/>
    <w:rsid w:val="00915BE8"/>
    <w:rsid w:val="0091736D"/>
    <w:rsid w:val="00920BF8"/>
    <w:rsid w:val="00931001"/>
    <w:rsid w:val="009315E5"/>
    <w:rsid w:val="00931863"/>
    <w:rsid w:val="009328C2"/>
    <w:rsid w:val="00933524"/>
    <w:rsid w:val="00933E4F"/>
    <w:rsid w:val="00935BEC"/>
    <w:rsid w:val="00940E44"/>
    <w:rsid w:val="0094278D"/>
    <w:rsid w:val="00944F67"/>
    <w:rsid w:val="0095308A"/>
    <w:rsid w:val="0095391A"/>
    <w:rsid w:val="00955AEE"/>
    <w:rsid w:val="00956F14"/>
    <w:rsid w:val="00961F30"/>
    <w:rsid w:val="009620FD"/>
    <w:rsid w:val="0096247A"/>
    <w:rsid w:val="00964E45"/>
    <w:rsid w:val="00965F4B"/>
    <w:rsid w:val="00967632"/>
    <w:rsid w:val="00967F6E"/>
    <w:rsid w:val="00970F8A"/>
    <w:rsid w:val="00971B54"/>
    <w:rsid w:val="00971FB5"/>
    <w:rsid w:val="00972D2A"/>
    <w:rsid w:val="00972FA3"/>
    <w:rsid w:val="009733EA"/>
    <w:rsid w:val="00975CC5"/>
    <w:rsid w:val="00976328"/>
    <w:rsid w:val="00976B4E"/>
    <w:rsid w:val="00980FEC"/>
    <w:rsid w:val="00984458"/>
    <w:rsid w:val="00985283"/>
    <w:rsid w:val="00987322"/>
    <w:rsid w:val="00990812"/>
    <w:rsid w:val="009943AA"/>
    <w:rsid w:val="009A0F3B"/>
    <w:rsid w:val="009A5121"/>
    <w:rsid w:val="009A72C7"/>
    <w:rsid w:val="009A75ED"/>
    <w:rsid w:val="009B0897"/>
    <w:rsid w:val="009B1F33"/>
    <w:rsid w:val="009B398C"/>
    <w:rsid w:val="009B3C3B"/>
    <w:rsid w:val="009B61AA"/>
    <w:rsid w:val="009B7CC5"/>
    <w:rsid w:val="009C07A3"/>
    <w:rsid w:val="009C29D2"/>
    <w:rsid w:val="009C353B"/>
    <w:rsid w:val="009C7CD1"/>
    <w:rsid w:val="009C7EAC"/>
    <w:rsid w:val="009D06FE"/>
    <w:rsid w:val="009D0852"/>
    <w:rsid w:val="009D1FBF"/>
    <w:rsid w:val="009D2401"/>
    <w:rsid w:val="009D2E0C"/>
    <w:rsid w:val="009D59FF"/>
    <w:rsid w:val="009D72E7"/>
    <w:rsid w:val="009D766F"/>
    <w:rsid w:val="009E2CE4"/>
    <w:rsid w:val="009E399C"/>
    <w:rsid w:val="009E43C1"/>
    <w:rsid w:val="009E594C"/>
    <w:rsid w:val="009E7E95"/>
    <w:rsid w:val="009F0330"/>
    <w:rsid w:val="009F116F"/>
    <w:rsid w:val="009F2868"/>
    <w:rsid w:val="009F329E"/>
    <w:rsid w:val="009F4FE2"/>
    <w:rsid w:val="009F5614"/>
    <w:rsid w:val="009F7182"/>
    <w:rsid w:val="009F7ED3"/>
    <w:rsid w:val="00A01AF5"/>
    <w:rsid w:val="00A03607"/>
    <w:rsid w:val="00A03E82"/>
    <w:rsid w:val="00A047FF"/>
    <w:rsid w:val="00A04FEF"/>
    <w:rsid w:val="00A056F7"/>
    <w:rsid w:val="00A06741"/>
    <w:rsid w:val="00A10132"/>
    <w:rsid w:val="00A10F40"/>
    <w:rsid w:val="00A12247"/>
    <w:rsid w:val="00A122CD"/>
    <w:rsid w:val="00A129F4"/>
    <w:rsid w:val="00A12A32"/>
    <w:rsid w:val="00A14248"/>
    <w:rsid w:val="00A14947"/>
    <w:rsid w:val="00A14EC4"/>
    <w:rsid w:val="00A22F8B"/>
    <w:rsid w:val="00A23DC5"/>
    <w:rsid w:val="00A2430C"/>
    <w:rsid w:val="00A27847"/>
    <w:rsid w:val="00A32082"/>
    <w:rsid w:val="00A34028"/>
    <w:rsid w:val="00A35568"/>
    <w:rsid w:val="00A35939"/>
    <w:rsid w:val="00A37056"/>
    <w:rsid w:val="00A407A9"/>
    <w:rsid w:val="00A4358F"/>
    <w:rsid w:val="00A441C1"/>
    <w:rsid w:val="00A44AB7"/>
    <w:rsid w:val="00A456E9"/>
    <w:rsid w:val="00A4651C"/>
    <w:rsid w:val="00A46F67"/>
    <w:rsid w:val="00A50AD4"/>
    <w:rsid w:val="00A520A9"/>
    <w:rsid w:val="00A52B2B"/>
    <w:rsid w:val="00A54AA1"/>
    <w:rsid w:val="00A55F65"/>
    <w:rsid w:val="00A568FF"/>
    <w:rsid w:val="00A6103D"/>
    <w:rsid w:val="00A6122D"/>
    <w:rsid w:val="00A61496"/>
    <w:rsid w:val="00A61833"/>
    <w:rsid w:val="00A6243E"/>
    <w:rsid w:val="00A624C6"/>
    <w:rsid w:val="00A62DEA"/>
    <w:rsid w:val="00A63CEC"/>
    <w:rsid w:val="00A641CD"/>
    <w:rsid w:val="00A7031E"/>
    <w:rsid w:val="00A728B1"/>
    <w:rsid w:val="00A763DE"/>
    <w:rsid w:val="00A776C0"/>
    <w:rsid w:val="00A803D6"/>
    <w:rsid w:val="00A80605"/>
    <w:rsid w:val="00A81282"/>
    <w:rsid w:val="00A8313B"/>
    <w:rsid w:val="00A8527B"/>
    <w:rsid w:val="00A86D07"/>
    <w:rsid w:val="00A8713F"/>
    <w:rsid w:val="00A90757"/>
    <w:rsid w:val="00A90DCA"/>
    <w:rsid w:val="00A91167"/>
    <w:rsid w:val="00A9171C"/>
    <w:rsid w:val="00A92A9C"/>
    <w:rsid w:val="00A92FFD"/>
    <w:rsid w:val="00A933DB"/>
    <w:rsid w:val="00A94591"/>
    <w:rsid w:val="00A95975"/>
    <w:rsid w:val="00A962C9"/>
    <w:rsid w:val="00A9708D"/>
    <w:rsid w:val="00AA2C17"/>
    <w:rsid w:val="00AA4172"/>
    <w:rsid w:val="00AA4692"/>
    <w:rsid w:val="00AA4EAD"/>
    <w:rsid w:val="00AA50E8"/>
    <w:rsid w:val="00AA776A"/>
    <w:rsid w:val="00AA7FAE"/>
    <w:rsid w:val="00AB1914"/>
    <w:rsid w:val="00AB2892"/>
    <w:rsid w:val="00AB5330"/>
    <w:rsid w:val="00AB7571"/>
    <w:rsid w:val="00AB7747"/>
    <w:rsid w:val="00AC215C"/>
    <w:rsid w:val="00AC2532"/>
    <w:rsid w:val="00AC395F"/>
    <w:rsid w:val="00AC39CB"/>
    <w:rsid w:val="00AC6899"/>
    <w:rsid w:val="00AD06E0"/>
    <w:rsid w:val="00AD1507"/>
    <w:rsid w:val="00AD5620"/>
    <w:rsid w:val="00AD5A70"/>
    <w:rsid w:val="00AD738B"/>
    <w:rsid w:val="00AE1647"/>
    <w:rsid w:val="00AE1763"/>
    <w:rsid w:val="00AE1BF4"/>
    <w:rsid w:val="00AE3101"/>
    <w:rsid w:val="00AE325B"/>
    <w:rsid w:val="00AE5D97"/>
    <w:rsid w:val="00AE6041"/>
    <w:rsid w:val="00AE667D"/>
    <w:rsid w:val="00AE6794"/>
    <w:rsid w:val="00AF0EE9"/>
    <w:rsid w:val="00B01110"/>
    <w:rsid w:val="00B02262"/>
    <w:rsid w:val="00B02C2F"/>
    <w:rsid w:val="00B03AD7"/>
    <w:rsid w:val="00B03CEC"/>
    <w:rsid w:val="00B03E03"/>
    <w:rsid w:val="00B03E59"/>
    <w:rsid w:val="00B10A6F"/>
    <w:rsid w:val="00B11D53"/>
    <w:rsid w:val="00B11E3A"/>
    <w:rsid w:val="00B1209F"/>
    <w:rsid w:val="00B12AD0"/>
    <w:rsid w:val="00B12AE6"/>
    <w:rsid w:val="00B13C8C"/>
    <w:rsid w:val="00B1417C"/>
    <w:rsid w:val="00B17D25"/>
    <w:rsid w:val="00B22E41"/>
    <w:rsid w:val="00B24F30"/>
    <w:rsid w:val="00B25C23"/>
    <w:rsid w:val="00B31A38"/>
    <w:rsid w:val="00B31ABF"/>
    <w:rsid w:val="00B31E50"/>
    <w:rsid w:val="00B335AE"/>
    <w:rsid w:val="00B34D4D"/>
    <w:rsid w:val="00B37CE1"/>
    <w:rsid w:val="00B37E33"/>
    <w:rsid w:val="00B40570"/>
    <w:rsid w:val="00B40ACF"/>
    <w:rsid w:val="00B43971"/>
    <w:rsid w:val="00B448B2"/>
    <w:rsid w:val="00B46BAA"/>
    <w:rsid w:val="00B47DE1"/>
    <w:rsid w:val="00B50B5F"/>
    <w:rsid w:val="00B54128"/>
    <w:rsid w:val="00B55826"/>
    <w:rsid w:val="00B55938"/>
    <w:rsid w:val="00B56D8A"/>
    <w:rsid w:val="00B60426"/>
    <w:rsid w:val="00B61232"/>
    <w:rsid w:val="00B622DD"/>
    <w:rsid w:val="00B63522"/>
    <w:rsid w:val="00B63887"/>
    <w:rsid w:val="00B67076"/>
    <w:rsid w:val="00B71415"/>
    <w:rsid w:val="00B71AB7"/>
    <w:rsid w:val="00B726D4"/>
    <w:rsid w:val="00B7385B"/>
    <w:rsid w:val="00B742C4"/>
    <w:rsid w:val="00B74F9D"/>
    <w:rsid w:val="00B76F1D"/>
    <w:rsid w:val="00B80C34"/>
    <w:rsid w:val="00B819BB"/>
    <w:rsid w:val="00B82F66"/>
    <w:rsid w:val="00B85045"/>
    <w:rsid w:val="00B92A19"/>
    <w:rsid w:val="00B9544C"/>
    <w:rsid w:val="00BA16A9"/>
    <w:rsid w:val="00BA29E9"/>
    <w:rsid w:val="00BA3CEF"/>
    <w:rsid w:val="00BA5102"/>
    <w:rsid w:val="00BA7B7F"/>
    <w:rsid w:val="00BB05EF"/>
    <w:rsid w:val="00BB2A81"/>
    <w:rsid w:val="00BB3618"/>
    <w:rsid w:val="00BB3F3E"/>
    <w:rsid w:val="00BB56E4"/>
    <w:rsid w:val="00BB6BFB"/>
    <w:rsid w:val="00BB7045"/>
    <w:rsid w:val="00BB749B"/>
    <w:rsid w:val="00BC0C9E"/>
    <w:rsid w:val="00BC2D3B"/>
    <w:rsid w:val="00BC2E8A"/>
    <w:rsid w:val="00BC32DC"/>
    <w:rsid w:val="00BC3D1E"/>
    <w:rsid w:val="00BD1B51"/>
    <w:rsid w:val="00BD47F6"/>
    <w:rsid w:val="00BD6E90"/>
    <w:rsid w:val="00BD6FA1"/>
    <w:rsid w:val="00BD7F67"/>
    <w:rsid w:val="00BE1F78"/>
    <w:rsid w:val="00BE312D"/>
    <w:rsid w:val="00BE3FCA"/>
    <w:rsid w:val="00BE5B2A"/>
    <w:rsid w:val="00BE63AF"/>
    <w:rsid w:val="00BE7ED6"/>
    <w:rsid w:val="00BF0CC9"/>
    <w:rsid w:val="00BF0F97"/>
    <w:rsid w:val="00BF116C"/>
    <w:rsid w:val="00BF2F04"/>
    <w:rsid w:val="00BF3039"/>
    <w:rsid w:val="00BF51A7"/>
    <w:rsid w:val="00BF540C"/>
    <w:rsid w:val="00BF572A"/>
    <w:rsid w:val="00C05719"/>
    <w:rsid w:val="00C07A22"/>
    <w:rsid w:val="00C10578"/>
    <w:rsid w:val="00C17D62"/>
    <w:rsid w:val="00C21FDC"/>
    <w:rsid w:val="00C24EE7"/>
    <w:rsid w:val="00C2596A"/>
    <w:rsid w:val="00C26554"/>
    <w:rsid w:val="00C271BE"/>
    <w:rsid w:val="00C27425"/>
    <w:rsid w:val="00C328FE"/>
    <w:rsid w:val="00C33607"/>
    <w:rsid w:val="00C33A05"/>
    <w:rsid w:val="00C34234"/>
    <w:rsid w:val="00C351EC"/>
    <w:rsid w:val="00C42500"/>
    <w:rsid w:val="00C42FDC"/>
    <w:rsid w:val="00C4409D"/>
    <w:rsid w:val="00C455BE"/>
    <w:rsid w:val="00C45BB2"/>
    <w:rsid w:val="00C460A3"/>
    <w:rsid w:val="00C51E5F"/>
    <w:rsid w:val="00C605B0"/>
    <w:rsid w:val="00C61E4B"/>
    <w:rsid w:val="00C62E3A"/>
    <w:rsid w:val="00C64503"/>
    <w:rsid w:val="00C64A1F"/>
    <w:rsid w:val="00C64BFF"/>
    <w:rsid w:val="00C66761"/>
    <w:rsid w:val="00C66FF3"/>
    <w:rsid w:val="00C677E0"/>
    <w:rsid w:val="00C7523E"/>
    <w:rsid w:val="00C763C9"/>
    <w:rsid w:val="00C77685"/>
    <w:rsid w:val="00C7777D"/>
    <w:rsid w:val="00C80057"/>
    <w:rsid w:val="00C807AC"/>
    <w:rsid w:val="00C82C79"/>
    <w:rsid w:val="00C84753"/>
    <w:rsid w:val="00C85B89"/>
    <w:rsid w:val="00C914B7"/>
    <w:rsid w:val="00C91611"/>
    <w:rsid w:val="00C91C34"/>
    <w:rsid w:val="00C934DF"/>
    <w:rsid w:val="00C937CB"/>
    <w:rsid w:val="00C94090"/>
    <w:rsid w:val="00CA067A"/>
    <w:rsid w:val="00CA2050"/>
    <w:rsid w:val="00CA3585"/>
    <w:rsid w:val="00CA3D5A"/>
    <w:rsid w:val="00CA475E"/>
    <w:rsid w:val="00CA4C7C"/>
    <w:rsid w:val="00CB0183"/>
    <w:rsid w:val="00CB02D7"/>
    <w:rsid w:val="00CB1EA3"/>
    <w:rsid w:val="00CB552C"/>
    <w:rsid w:val="00CB5E28"/>
    <w:rsid w:val="00CB6A9E"/>
    <w:rsid w:val="00CC11BC"/>
    <w:rsid w:val="00CC3B9E"/>
    <w:rsid w:val="00CC3E1A"/>
    <w:rsid w:val="00CC434C"/>
    <w:rsid w:val="00CC4CD6"/>
    <w:rsid w:val="00CC6181"/>
    <w:rsid w:val="00CD2BCD"/>
    <w:rsid w:val="00CD2EFE"/>
    <w:rsid w:val="00CD36AA"/>
    <w:rsid w:val="00CD3791"/>
    <w:rsid w:val="00CD37A8"/>
    <w:rsid w:val="00CD41D9"/>
    <w:rsid w:val="00CD6420"/>
    <w:rsid w:val="00CD65B0"/>
    <w:rsid w:val="00CE02CD"/>
    <w:rsid w:val="00CE10E9"/>
    <w:rsid w:val="00CE34A3"/>
    <w:rsid w:val="00CE406C"/>
    <w:rsid w:val="00CF18F8"/>
    <w:rsid w:val="00CF2044"/>
    <w:rsid w:val="00CF234B"/>
    <w:rsid w:val="00CF61F2"/>
    <w:rsid w:val="00CF7A34"/>
    <w:rsid w:val="00D0072E"/>
    <w:rsid w:val="00D00D74"/>
    <w:rsid w:val="00D036A5"/>
    <w:rsid w:val="00D07187"/>
    <w:rsid w:val="00D10090"/>
    <w:rsid w:val="00D103CF"/>
    <w:rsid w:val="00D11FD4"/>
    <w:rsid w:val="00D1219F"/>
    <w:rsid w:val="00D128EC"/>
    <w:rsid w:val="00D12EFB"/>
    <w:rsid w:val="00D15727"/>
    <w:rsid w:val="00D16332"/>
    <w:rsid w:val="00D243A8"/>
    <w:rsid w:val="00D24972"/>
    <w:rsid w:val="00D2515E"/>
    <w:rsid w:val="00D26D9B"/>
    <w:rsid w:val="00D27879"/>
    <w:rsid w:val="00D308ED"/>
    <w:rsid w:val="00D32310"/>
    <w:rsid w:val="00D3561B"/>
    <w:rsid w:val="00D35BDC"/>
    <w:rsid w:val="00D368F8"/>
    <w:rsid w:val="00D52ADF"/>
    <w:rsid w:val="00D56178"/>
    <w:rsid w:val="00D5651A"/>
    <w:rsid w:val="00D56CF0"/>
    <w:rsid w:val="00D56F5C"/>
    <w:rsid w:val="00D60F9E"/>
    <w:rsid w:val="00D614CB"/>
    <w:rsid w:val="00D64B83"/>
    <w:rsid w:val="00D661B9"/>
    <w:rsid w:val="00D67D60"/>
    <w:rsid w:val="00D67F7A"/>
    <w:rsid w:val="00D67F7D"/>
    <w:rsid w:val="00D704B1"/>
    <w:rsid w:val="00D709FA"/>
    <w:rsid w:val="00D70B63"/>
    <w:rsid w:val="00D71AEC"/>
    <w:rsid w:val="00D71DC2"/>
    <w:rsid w:val="00D72B92"/>
    <w:rsid w:val="00D72ED4"/>
    <w:rsid w:val="00D73F61"/>
    <w:rsid w:val="00D754C0"/>
    <w:rsid w:val="00D772C7"/>
    <w:rsid w:val="00D776A2"/>
    <w:rsid w:val="00D801C4"/>
    <w:rsid w:val="00D842EB"/>
    <w:rsid w:val="00D84AC6"/>
    <w:rsid w:val="00D85978"/>
    <w:rsid w:val="00D85E35"/>
    <w:rsid w:val="00D86DAF"/>
    <w:rsid w:val="00D90836"/>
    <w:rsid w:val="00D95896"/>
    <w:rsid w:val="00D95CC6"/>
    <w:rsid w:val="00D9692D"/>
    <w:rsid w:val="00DA2DA3"/>
    <w:rsid w:val="00DA376A"/>
    <w:rsid w:val="00DA5B5F"/>
    <w:rsid w:val="00DA5EB6"/>
    <w:rsid w:val="00DA6615"/>
    <w:rsid w:val="00DA6C65"/>
    <w:rsid w:val="00DA76AE"/>
    <w:rsid w:val="00DB181E"/>
    <w:rsid w:val="00DB1C7A"/>
    <w:rsid w:val="00DB2983"/>
    <w:rsid w:val="00DB343D"/>
    <w:rsid w:val="00DB3815"/>
    <w:rsid w:val="00DB41C2"/>
    <w:rsid w:val="00DB5579"/>
    <w:rsid w:val="00DB5CFE"/>
    <w:rsid w:val="00DB6EB9"/>
    <w:rsid w:val="00DC2F7F"/>
    <w:rsid w:val="00DC635A"/>
    <w:rsid w:val="00DC72A6"/>
    <w:rsid w:val="00DC72F6"/>
    <w:rsid w:val="00DD0E7B"/>
    <w:rsid w:val="00DD2113"/>
    <w:rsid w:val="00DD265E"/>
    <w:rsid w:val="00DE004C"/>
    <w:rsid w:val="00DE004E"/>
    <w:rsid w:val="00DE089C"/>
    <w:rsid w:val="00DE1641"/>
    <w:rsid w:val="00DE2F19"/>
    <w:rsid w:val="00DE3B5F"/>
    <w:rsid w:val="00DE64E4"/>
    <w:rsid w:val="00DE7A99"/>
    <w:rsid w:val="00DF168C"/>
    <w:rsid w:val="00DF1930"/>
    <w:rsid w:val="00DF514A"/>
    <w:rsid w:val="00DF5B0A"/>
    <w:rsid w:val="00DF7231"/>
    <w:rsid w:val="00E02D7A"/>
    <w:rsid w:val="00E0358D"/>
    <w:rsid w:val="00E06327"/>
    <w:rsid w:val="00E06A34"/>
    <w:rsid w:val="00E07D9C"/>
    <w:rsid w:val="00E10396"/>
    <w:rsid w:val="00E10CCD"/>
    <w:rsid w:val="00E1131B"/>
    <w:rsid w:val="00E14383"/>
    <w:rsid w:val="00E2064B"/>
    <w:rsid w:val="00E22C16"/>
    <w:rsid w:val="00E25239"/>
    <w:rsid w:val="00E265B1"/>
    <w:rsid w:val="00E275B0"/>
    <w:rsid w:val="00E324C2"/>
    <w:rsid w:val="00E333D2"/>
    <w:rsid w:val="00E37536"/>
    <w:rsid w:val="00E4018D"/>
    <w:rsid w:val="00E412D0"/>
    <w:rsid w:val="00E47CDB"/>
    <w:rsid w:val="00E50192"/>
    <w:rsid w:val="00E510D3"/>
    <w:rsid w:val="00E55389"/>
    <w:rsid w:val="00E566BC"/>
    <w:rsid w:val="00E60982"/>
    <w:rsid w:val="00E60B0D"/>
    <w:rsid w:val="00E60C8D"/>
    <w:rsid w:val="00E6143E"/>
    <w:rsid w:val="00E6162F"/>
    <w:rsid w:val="00E6311B"/>
    <w:rsid w:val="00E65B4C"/>
    <w:rsid w:val="00E65D97"/>
    <w:rsid w:val="00E67EFD"/>
    <w:rsid w:val="00E700F2"/>
    <w:rsid w:val="00E702DC"/>
    <w:rsid w:val="00E71FFB"/>
    <w:rsid w:val="00E73C42"/>
    <w:rsid w:val="00E76D1D"/>
    <w:rsid w:val="00E77D11"/>
    <w:rsid w:val="00E802B0"/>
    <w:rsid w:val="00E806F8"/>
    <w:rsid w:val="00E8170D"/>
    <w:rsid w:val="00E824BE"/>
    <w:rsid w:val="00E84CA4"/>
    <w:rsid w:val="00E856B2"/>
    <w:rsid w:val="00E87752"/>
    <w:rsid w:val="00E8793B"/>
    <w:rsid w:val="00E87B9D"/>
    <w:rsid w:val="00E90F81"/>
    <w:rsid w:val="00E91A6D"/>
    <w:rsid w:val="00E9242D"/>
    <w:rsid w:val="00E94CE9"/>
    <w:rsid w:val="00E94E0C"/>
    <w:rsid w:val="00E95520"/>
    <w:rsid w:val="00EA4A8B"/>
    <w:rsid w:val="00EA5C29"/>
    <w:rsid w:val="00EA5C93"/>
    <w:rsid w:val="00EA604A"/>
    <w:rsid w:val="00EA7CCA"/>
    <w:rsid w:val="00EB041C"/>
    <w:rsid w:val="00EB33A2"/>
    <w:rsid w:val="00EB4C7A"/>
    <w:rsid w:val="00EC217E"/>
    <w:rsid w:val="00EC3D99"/>
    <w:rsid w:val="00EC5175"/>
    <w:rsid w:val="00EC5874"/>
    <w:rsid w:val="00EC65DB"/>
    <w:rsid w:val="00EC6E02"/>
    <w:rsid w:val="00ED0B2B"/>
    <w:rsid w:val="00ED192D"/>
    <w:rsid w:val="00ED2A57"/>
    <w:rsid w:val="00ED30B4"/>
    <w:rsid w:val="00ED31F5"/>
    <w:rsid w:val="00ED3D8B"/>
    <w:rsid w:val="00ED4950"/>
    <w:rsid w:val="00ED7ACB"/>
    <w:rsid w:val="00EE2531"/>
    <w:rsid w:val="00EE40B8"/>
    <w:rsid w:val="00EE42C7"/>
    <w:rsid w:val="00EE52CA"/>
    <w:rsid w:val="00EE5520"/>
    <w:rsid w:val="00EF2759"/>
    <w:rsid w:val="00EF3E5A"/>
    <w:rsid w:val="00EF45EB"/>
    <w:rsid w:val="00EF5099"/>
    <w:rsid w:val="00EF532C"/>
    <w:rsid w:val="00EF5E33"/>
    <w:rsid w:val="00F00075"/>
    <w:rsid w:val="00F06C15"/>
    <w:rsid w:val="00F07822"/>
    <w:rsid w:val="00F105B9"/>
    <w:rsid w:val="00F133BD"/>
    <w:rsid w:val="00F14968"/>
    <w:rsid w:val="00F15C95"/>
    <w:rsid w:val="00F20441"/>
    <w:rsid w:val="00F22273"/>
    <w:rsid w:val="00F22985"/>
    <w:rsid w:val="00F241AB"/>
    <w:rsid w:val="00F30D76"/>
    <w:rsid w:val="00F31382"/>
    <w:rsid w:val="00F35829"/>
    <w:rsid w:val="00F42868"/>
    <w:rsid w:val="00F465A7"/>
    <w:rsid w:val="00F504D2"/>
    <w:rsid w:val="00F50B7C"/>
    <w:rsid w:val="00F51E28"/>
    <w:rsid w:val="00F5202D"/>
    <w:rsid w:val="00F52CF6"/>
    <w:rsid w:val="00F54496"/>
    <w:rsid w:val="00F6059D"/>
    <w:rsid w:val="00F61097"/>
    <w:rsid w:val="00F65D5F"/>
    <w:rsid w:val="00F67C45"/>
    <w:rsid w:val="00F722FB"/>
    <w:rsid w:val="00F74345"/>
    <w:rsid w:val="00F74441"/>
    <w:rsid w:val="00F744B3"/>
    <w:rsid w:val="00F7451F"/>
    <w:rsid w:val="00F74B0F"/>
    <w:rsid w:val="00F75430"/>
    <w:rsid w:val="00F77E55"/>
    <w:rsid w:val="00F77F30"/>
    <w:rsid w:val="00F81480"/>
    <w:rsid w:val="00F82589"/>
    <w:rsid w:val="00F82B19"/>
    <w:rsid w:val="00F90AA7"/>
    <w:rsid w:val="00F917A1"/>
    <w:rsid w:val="00F9212D"/>
    <w:rsid w:val="00F924DC"/>
    <w:rsid w:val="00F936F5"/>
    <w:rsid w:val="00F944E0"/>
    <w:rsid w:val="00FA275B"/>
    <w:rsid w:val="00FA301A"/>
    <w:rsid w:val="00FA406A"/>
    <w:rsid w:val="00FA473C"/>
    <w:rsid w:val="00FA593E"/>
    <w:rsid w:val="00FA5CB6"/>
    <w:rsid w:val="00FB14EC"/>
    <w:rsid w:val="00FB2074"/>
    <w:rsid w:val="00FB251C"/>
    <w:rsid w:val="00FB7F3C"/>
    <w:rsid w:val="00FC1BC0"/>
    <w:rsid w:val="00FC21D9"/>
    <w:rsid w:val="00FC66AC"/>
    <w:rsid w:val="00FD18F4"/>
    <w:rsid w:val="00FD2FE6"/>
    <w:rsid w:val="00FD3EE2"/>
    <w:rsid w:val="00FD74B4"/>
    <w:rsid w:val="00FE21A7"/>
    <w:rsid w:val="00FE4785"/>
    <w:rsid w:val="00FE7FD1"/>
    <w:rsid w:val="00FF228E"/>
    <w:rsid w:val="00FF65CD"/>
    <w:rsid w:val="00FF6AB1"/>
    <w:rsid w:val="00FF6FCE"/>
    <w:rsid w:val="00FF7518"/>
    <w:rsid w:val="00FF7FD8"/>
    <w:rsid w:val="0170525C"/>
    <w:rsid w:val="01D66A1A"/>
    <w:rsid w:val="01DC6F3A"/>
    <w:rsid w:val="020C4B3B"/>
    <w:rsid w:val="021402BF"/>
    <w:rsid w:val="021440A4"/>
    <w:rsid w:val="03F248A9"/>
    <w:rsid w:val="04C609C8"/>
    <w:rsid w:val="05452DFC"/>
    <w:rsid w:val="05742AC8"/>
    <w:rsid w:val="05763297"/>
    <w:rsid w:val="05863EE7"/>
    <w:rsid w:val="059C1CB4"/>
    <w:rsid w:val="05CD4EA0"/>
    <w:rsid w:val="06352F05"/>
    <w:rsid w:val="063E7D85"/>
    <w:rsid w:val="06AC1E40"/>
    <w:rsid w:val="06B83774"/>
    <w:rsid w:val="070875E0"/>
    <w:rsid w:val="07293586"/>
    <w:rsid w:val="07295285"/>
    <w:rsid w:val="074E3E00"/>
    <w:rsid w:val="076369A2"/>
    <w:rsid w:val="07770C56"/>
    <w:rsid w:val="07B53200"/>
    <w:rsid w:val="07F33F03"/>
    <w:rsid w:val="08341E78"/>
    <w:rsid w:val="08C61754"/>
    <w:rsid w:val="08C81E3A"/>
    <w:rsid w:val="092217DD"/>
    <w:rsid w:val="093A7294"/>
    <w:rsid w:val="09590B5D"/>
    <w:rsid w:val="09934DB0"/>
    <w:rsid w:val="09FC19AA"/>
    <w:rsid w:val="0A5C08C2"/>
    <w:rsid w:val="0A6A360A"/>
    <w:rsid w:val="0ADA5575"/>
    <w:rsid w:val="0B5F7CFF"/>
    <w:rsid w:val="0B767BA0"/>
    <w:rsid w:val="0B7827DF"/>
    <w:rsid w:val="0BD27BF6"/>
    <w:rsid w:val="0C3703FE"/>
    <w:rsid w:val="0C720778"/>
    <w:rsid w:val="0DA6728B"/>
    <w:rsid w:val="0DF03ABC"/>
    <w:rsid w:val="0E05424B"/>
    <w:rsid w:val="0E0B2751"/>
    <w:rsid w:val="0E110D06"/>
    <w:rsid w:val="0E2F54FD"/>
    <w:rsid w:val="0E4822B4"/>
    <w:rsid w:val="0E9733D5"/>
    <w:rsid w:val="0EDB722B"/>
    <w:rsid w:val="0EFD37D6"/>
    <w:rsid w:val="0F13775A"/>
    <w:rsid w:val="0F26343A"/>
    <w:rsid w:val="0F9A112B"/>
    <w:rsid w:val="0FB73AE0"/>
    <w:rsid w:val="0FE05BA6"/>
    <w:rsid w:val="102F34BF"/>
    <w:rsid w:val="10450E19"/>
    <w:rsid w:val="106D2F64"/>
    <w:rsid w:val="10B63710"/>
    <w:rsid w:val="10CF3D3B"/>
    <w:rsid w:val="111C2F7A"/>
    <w:rsid w:val="113013DE"/>
    <w:rsid w:val="12006059"/>
    <w:rsid w:val="120A764C"/>
    <w:rsid w:val="120C1B56"/>
    <w:rsid w:val="122B06C2"/>
    <w:rsid w:val="1299771C"/>
    <w:rsid w:val="12BE4B95"/>
    <w:rsid w:val="12D94892"/>
    <w:rsid w:val="12FF7805"/>
    <w:rsid w:val="13594AF0"/>
    <w:rsid w:val="13951726"/>
    <w:rsid w:val="14021808"/>
    <w:rsid w:val="14396509"/>
    <w:rsid w:val="1447165C"/>
    <w:rsid w:val="15417343"/>
    <w:rsid w:val="15A554A7"/>
    <w:rsid w:val="15D36B59"/>
    <w:rsid w:val="15D47FF3"/>
    <w:rsid w:val="15DD2016"/>
    <w:rsid w:val="15F96981"/>
    <w:rsid w:val="166B13D0"/>
    <w:rsid w:val="16BC6B4A"/>
    <w:rsid w:val="16C24EEF"/>
    <w:rsid w:val="16CA4EFD"/>
    <w:rsid w:val="16EC01DE"/>
    <w:rsid w:val="17075B7B"/>
    <w:rsid w:val="17172B57"/>
    <w:rsid w:val="172023F4"/>
    <w:rsid w:val="17735226"/>
    <w:rsid w:val="177C6A85"/>
    <w:rsid w:val="17882D60"/>
    <w:rsid w:val="18663532"/>
    <w:rsid w:val="18664D8B"/>
    <w:rsid w:val="187257FB"/>
    <w:rsid w:val="18FD711F"/>
    <w:rsid w:val="193A68EC"/>
    <w:rsid w:val="1970545F"/>
    <w:rsid w:val="19E67858"/>
    <w:rsid w:val="19F43859"/>
    <w:rsid w:val="1A1C66C0"/>
    <w:rsid w:val="1A383CBF"/>
    <w:rsid w:val="1A42393B"/>
    <w:rsid w:val="1AD9178B"/>
    <w:rsid w:val="1AFA6A9C"/>
    <w:rsid w:val="1B046F80"/>
    <w:rsid w:val="1B1A1457"/>
    <w:rsid w:val="1B3267B5"/>
    <w:rsid w:val="1B7F71D4"/>
    <w:rsid w:val="1B922BFA"/>
    <w:rsid w:val="1BA41993"/>
    <w:rsid w:val="1BC25DC8"/>
    <w:rsid w:val="1BCB2980"/>
    <w:rsid w:val="1BEE259A"/>
    <w:rsid w:val="1C413A7E"/>
    <w:rsid w:val="1C5E7925"/>
    <w:rsid w:val="1C7D5A8A"/>
    <w:rsid w:val="1C887FC8"/>
    <w:rsid w:val="1CD04717"/>
    <w:rsid w:val="1D5F6196"/>
    <w:rsid w:val="1D6132A5"/>
    <w:rsid w:val="1D8E56D5"/>
    <w:rsid w:val="1DE66E5D"/>
    <w:rsid w:val="1E7A43DA"/>
    <w:rsid w:val="1E921B03"/>
    <w:rsid w:val="1EA829C3"/>
    <w:rsid w:val="1EB277FE"/>
    <w:rsid w:val="1F423B9A"/>
    <w:rsid w:val="1F5F1CED"/>
    <w:rsid w:val="1FAB7D03"/>
    <w:rsid w:val="1FE7539E"/>
    <w:rsid w:val="200D2DC3"/>
    <w:rsid w:val="208B0586"/>
    <w:rsid w:val="20963CB8"/>
    <w:rsid w:val="20B07FB6"/>
    <w:rsid w:val="213B74B1"/>
    <w:rsid w:val="215A2310"/>
    <w:rsid w:val="21DE318A"/>
    <w:rsid w:val="21E223CA"/>
    <w:rsid w:val="21EF5B80"/>
    <w:rsid w:val="22576990"/>
    <w:rsid w:val="22680B04"/>
    <w:rsid w:val="2291083F"/>
    <w:rsid w:val="229C4EAB"/>
    <w:rsid w:val="234D2CBD"/>
    <w:rsid w:val="239217DE"/>
    <w:rsid w:val="240D0D30"/>
    <w:rsid w:val="24354FD7"/>
    <w:rsid w:val="24A87C93"/>
    <w:rsid w:val="24AB2C7C"/>
    <w:rsid w:val="24D126D2"/>
    <w:rsid w:val="252D53FE"/>
    <w:rsid w:val="25416FAA"/>
    <w:rsid w:val="25A35452"/>
    <w:rsid w:val="25C97EC1"/>
    <w:rsid w:val="25EC2D81"/>
    <w:rsid w:val="25F50CB6"/>
    <w:rsid w:val="26387369"/>
    <w:rsid w:val="264528BD"/>
    <w:rsid w:val="26C62652"/>
    <w:rsid w:val="26DB0C4F"/>
    <w:rsid w:val="26F92A28"/>
    <w:rsid w:val="270A4FDD"/>
    <w:rsid w:val="27CA5E9E"/>
    <w:rsid w:val="27D15DD1"/>
    <w:rsid w:val="28A76295"/>
    <w:rsid w:val="28A85165"/>
    <w:rsid w:val="28D23530"/>
    <w:rsid w:val="28D977AB"/>
    <w:rsid w:val="28FB37FE"/>
    <w:rsid w:val="28FD75C2"/>
    <w:rsid w:val="29153E8A"/>
    <w:rsid w:val="29206EB8"/>
    <w:rsid w:val="29376FF2"/>
    <w:rsid w:val="293D417C"/>
    <w:rsid w:val="29444BD3"/>
    <w:rsid w:val="29E325E0"/>
    <w:rsid w:val="2A377810"/>
    <w:rsid w:val="2A452503"/>
    <w:rsid w:val="2A846959"/>
    <w:rsid w:val="2ABC1379"/>
    <w:rsid w:val="2ADD4FAA"/>
    <w:rsid w:val="2BA936A8"/>
    <w:rsid w:val="2C163734"/>
    <w:rsid w:val="2C315A5A"/>
    <w:rsid w:val="2CCE21BC"/>
    <w:rsid w:val="2D0B3DCF"/>
    <w:rsid w:val="2D565E2B"/>
    <w:rsid w:val="2D9E56F5"/>
    <w:rsid w:val="2DC3366E"/>
    <w:rsid w:val="2DD30DE8"/>
    <w:rsid w:val="2DD4780A"/>
    <w:rsid w:val="2E667F96"/>
    <w:rsid w:val="2E8226AB"/>
    <w:rsid w:val="2ECA3572"/>
    <w:rsid w:val="2EFD7542"/>
    <w:rsid w:val="2F832C79"/>
    <w:rsid w:val="2FBE2120"/>
    <w:rsid w:val="2FEF2D58"/>
    <w:rsid w:val="30580BC9"/>
    <w:rsid w:val="306058C5"/>
    <w:rsid w:val="30EA6174"/>
    <w:rsid w:val="311E2ED7"/>
    <w:rsid w:val="31440D43"/>
    <w:rsid w:val="31586BEC"/>
    <w:rsid w:val="315C449C"/>
    <w:rsid w:val="31B82709"/>
    <w:rsid w:val="31CA1FD1"/>
    <w:rsid w:val="31D32E02"/>
    <w:rsid w:val="32400B34"/>
    <w:rsid w:val="326014D8"/>
    <w:rsid w:val="32897477"/>
    <w:rsid w:val="329C4E3E"/>
    <w:rsid w:val="329E6876"/>
    <w:rsid w:val="32CD4644"/>
    <w:rsid w:val="32F244F5"/>
    <w:rsid w:val="32F72511"/>
    <w:rsid w:val="338C39C7"/>
    <w:rsid w:val="33D934D4"/>
    <w:rsid w:val="33FE2F6A"/>
    <w:rsid w:val="34EA39B0"/>
    <w:rsid w:val="35321DB9"/>
    <w:rsid w:val="35621980"/>
    <w:rsid w:val="35754554"/>
    <w:rsid w:val="3579773D"/>
    <w:rsid w:val="35EE274A"/>
    <w:rsid w:val="36074A7F"/>
    <w:rsid w:val="363F16CB"/>
    <w:rsid w:val="363F4FB5"/>
    <w:rsid w:val="365371DC"/>
    <w:rsid w:val="36853330"/>
    <w:rsid w:val="36923549"/>
    <w:rsid w:val="36B07B82"/>
    <w:rsid w:val="36B75FBF"/>
    <w:rsid w:val="36E55C49"/>
    <w:rsid w:val="36FB4891"/>
    <w:rsid w:val="37807DAF"/>
    <w:rsid w:val="37D34FF4"/>
    <w:rsid w:val="37F963E3"/>
    <w:rsid w:val="38577F93"/>
    <w:rsid w:val="38A32329"/>
    <w:rsid w:val="38DC4DE4"/>
    <w:rsid w:val="38F12CD3"/>
    <w:rsid w:val="38F94775"/>
    <w:rsid w:val="392971ED"/>
    <w:rsid w:val="394A6053"/>
    <w:rsid w:val="394E50DF"/>
    <w:rsid w:val="39B95717"/>
    <w:rsid w:val="39D97884"/>
    <w:rsid w:val="39F7761C"/>
    <w:rsid w:val="3B170BF4"/>
    <w:rsid w:val="3B351564"/>
    <w:rsid w:val="3B3763D1"/>
    <w:rsid w:val="3BBC428E"/>
    <w:rsid w:val="3C1C295C"/>
    <w:rsid w:val="3CDA245A"/>
    <w:rsid w:val="3CEE0A37"/>
    <w:rsid w:val="3D340D13"/>
    <w:rsid w:val="3DC049D3"/>
    <w:rsid w:val="3E7313B3"/>
    <w:rsid w:val="3EC40A14"/>
    <w:rsid w:val="3F660E74"/>
    <w:rsid w:val="3F7D43BB"/>
    <w:rsid w:val="3FB62E0C"/>
    <w:rsid w:val="3FDA34DD"/>
    <w:rsid w:val="405338C1"/>
    <w:rsid w:val="407A6407"/>
    <w:rsid w:val="409804ED"/>
    <w:rsid w:val="409D3E30"/>
    <w:rsid w:val="412D581E"/>
    <w:rsid w:val="41560390"/>
    <w:rsid w:val="417E204F"/>
    <w:rsid w:val="41E37B0C"/>
    <w:rsid w:val="423A3BCC"/>
    <w:rsid w:val="42696626"/>
    <w:rsid w:val="42901845"/>
    <w:rsid w:val="42964E92"/>
    <w:rsid w:val="42A258CA"/>
    <w:rsid w:val="42B31885"/>
    <w:rsid w:val="43132A9D"/>
    <w:rsid w:val="433A6FE6"/>
    <w:rsid w:val="433D72B6"/>
    <w:rsid w:val="4350713C"/>
    <w:rsid w:val="436653E0"/>
    <w:rsid w:val="43BF4538"/>
    <w:rsid w:val="44CD14E0"/>
    <w:rsid w:val="44CD1DEC"/>
    <w:rsid w:val="456652D4"/>
    <w:rsid w:val="4569581E"/>
    <w:rsid w:val="458946E9"/>
    <w:rsid w:val="45E561F9"/>
    <w:rsid w:val="464F61CA"/>
    <w:rsid w:val="46D955A7"/>
    <w:rsid w:val="47133957"/>
    <w:rsid w:val="472247F8"/>
    <w:rsid w:val="473213D6"/>
    <w:rsid w:val="4779329E"/>
    <w:rsid w:val="479832B5"/>
    <w:rsid w:val="47A07E0C"/>
    <w:rsid w:val="47B75F51"/>
    <w:rsid w:val="47F90E79"/>
    <w:rsid w:val="4844182E"/>
    <w:rsid w:val="4870272E"/>
    <w:rsid w:val="48981C49"/>
    <w:rsid w:val="48B03B41"/>
    <w:rsid w:val="493712C9"/>
    <w:rsid w:val="499F7A2F"/>
    <w:rsid w:val="49DC7715"/>
    <w:rsid w:val="4A023139"/>
    <w:rsid w:val="4A0368A0"/>
    <w:rsid w:val="4A5F1C07"/>
    <w:rsid w:val="4A7B576F"/>
    <w:rsid w:val="4B95246F"/>
    <w:rsid w:val="4BA30F2C"/>
    <w:rsid w:val="4BA851FA"/>
    <w:rsid w:val="4C1710D6"/>
    <w:rsid w:val="4C4A0649"/>
    <w:rsid w:val="4CD15511"/>
    <w:rsid w:val="4CE470D3"/>
    <w:rsid w:val="4D221AE1"/>
    <w:rsid w:val="4DEC4FB0"/>
    <w:rsid w:val="4E0332DE"/>
    <w:rsid w:val="4E075D8A"/>
    <w:rsid w:val="4E3430C1"/>
    <w:rsid w:val="4EA82290"/>
    <w:rsid w:val="4F753DB9"/>
    <w:rsid w:val="4FC03E17"/>
    <w:rsid w:val="4FC62A8C"/>
    <w:rsid w:val="4FE20F0D"/>
    <w:rsid w:val="500E27F0"/>
    <w:rsid w:val="5031093B"/>
    <w:rsid w:val="504C3032"/>
    <w:rsid w:val="50504C4B"/>
    <w:rsid w:val="508A3E96"/>
    <w:rsid w:val="509C6E7C"/>
    <w:rsid w:val="510D7AE9"/>
    <w:rsid w:val="5156127D"/>
    <w:rsid w:val="51591121"/>
    <w:rsid w:val="5162104E"/>
    <w:rsid w:val="51E11F6A"/>
    <w:rsid w:val="52183D3E"/>
    <w:rsid w:val="525459CB"/>
    <w:rsid w:val="526F7AC8"/>
    <w:rsid w:val="53061B45"/>
    <w:rsid w:val="539D61CA"/>
    <w:rsid w:val="53A039CC"/>
    <w:rsid w:val="53A1505A"/>
    <w:rsid w:val="53A73454"/>
    <w:rsid w:val="53D42709"/>
    <w:rsid w:val="54063E08"/>
    <w:rsid w:val="543437E8"/>
    <w:rsid w:val="54A21453"/>
    <w:rsid w:val="54FE29D2"/>
    <w:rsid w:val="550B5550"/>
    <w:rsid w:val="553041D0"/>
    <w:rsid w:val="559B174B"/>
    <w:rsid w:val="55CE0CF4"/>
    <w:rsid w:val="56260894"/>
    <w:rsid w:val="56475AE3"/>
    <w:rsid w:val="567757E1"/>
    <w:rsid w:val="56B22A9C"/>
    <w:rsid w:val="56B31DD0"/>
    <w:rsid w:val="56FA7D4D"/>
    <w:rsid w:val="57014562"/>
    <w:rsid w:val="57376AD1"/>
    <w:rsid w:val="573A5BE4"/>
    <w:rsid w:val="57951B39"/>
    <w:rsid w:val="57976E8C"/>
    <w:rsid w:val="57B72A76"/>
    <w:rsid w:val="57D50354"/>
    <w:rsid w:val="57DC2E04"/>
    <w:rsid w:val="57F77414"/>
    <w:rsid w:val="595250FE"/>
    <w:rsid w:val="596A43BE"/>
    <w:rsid w:val="59D15ED4"/>
    <w:rsid w:val="5A3C747D"/>
    <w:rsid w:val="5A762D88"/>
    <w:rsid w:val="5ABA15AB"/>
    <w:rsid w:val="5ABE2233"/>
    <w:rsid w:val="5AC116C5"/>
    <w:rsid w:val="5B1F5766"/>
    <w:rsid w:val="5B276D18"/>
    <w:rsid w:val="5B977B3E"/>
    <w:rsid w:val="5B990DA7"/>
    <w:rsid w:val="5BDF5D95"/>
    <w:rsid w:val="5C0A2FB7"/>
    <w:rsid w:val="5C44620A"/>
    <w:rsid w:val="5C4C30D9"/>
    <w:rsid w:val="5D6C76CB"/>
    <w:rsid w:val="5D9C38EB"/>
    <w:rsid w:val="5DF87A0F"/>
    <w:rsid w:val="5E3D0934"/>
    <w:rsid w:val="5E962BDC"/>
    <w:rsid w:val="5EBE69A7"/>
    <w:rsid w:val="5F1A2B43"/>
    <w:rsid w:val="5F4D4A35"/>
    <w:rsid w:val="5F5C2F3B"/>
    <w:rsid w:val="5FB837BB"/>
    <w:rsid w:val="5FBE533C"/>
    <w:rsid w:val="5FC87C2F"/>
    <w:rsid w:val="6029703A"/>
    <w:rsid w:val="60634EA3"/>
    <w:rsid w:val="613E517C"/>
    <w:rsid w:val="61C437A3"/>
    <w:rsid w:val="61ED04B8"/>
    <w:rsid w:val="62160761"/>
    <w:rsid w:val="62364782"/>
    <w:rsid w:val="626F1BA8"/>
    <w:rsid w:val="629E24F6"/>
    <w:rsid w:val="62FA4FB1"/>
    <w:rsid w:val="63D40BE9"/>
    <w:rsid w:val="63E0211F"/>
    <w:rsid w:val="63E37F00"/>
    <w:rsid w:val="63F919AB"/>
    <w:rsid w:val="642A59F3"/>
    <w:rsid w:val="650855F5"/>
    <w:rsid w:val="65373578"/>
    <w:rsid w:val="657A4758"/>
    <w:rsid w:val="65815AE7"/>
    <w:rsid w:val="65953A54"/>
    <w:rsid w:val="659F1450"/>
    <w:rsid w:val="65AF3EB4"/>
    <w:rsid w:val="664208CF"/>
    <w:rsid w:val="66712C11"/>
    <w:rsid w:val="66B32C4D"/>
    <w:rsid w:val="66FA2330"/>
    <w:rsid w:val="6732370A"/>
    <w:rsid w:val="6738291F"/>
    <w:rsid w:val="67384054"/>
    <w:rsid w:val="673F2C7A"/>
    <w:rsid w:val="677A5FF1"/>
    <w:rsid w:val="67AE3532"/>
    <w:rsid w:val="681F6961"/>
    <w:rsid w:val="68610A2F"/>
    <w:rsid w:val="68805514"/>
    <w:rsid w:val="68A33FD5"/>
    <w:rsid w:val="694E2071"/>
    <w:rsid w:val="697A3B33"/>
    <w:rsid w:val="699E2456"/>
    <w:rsid w:val="69C66042"/>
    <w:rsid w:val="69FA63E6"/>
    <w:rsid w:val="6A226A83"/>
    <w:rsid w:val="6A227655"/>
    <w:rsid w:val="6A541129"/>
    <w:rsid w:val="6AE35FA2"/>
    <w:rsid w:val="6B322639"/>
    <w:rsid w:val="6B657311"/>
    <w:rsid w:val="6B8F01B7"/>
    <w:rsid w:val="6BC10FDC"/>
    <w:rsid w:val="6BC44BD6"/>
    <w:rsid w:val="6BFB196D"/>
    <w:rsid w:val="6C2A4B84"/>
    <w:rsid w:val="6C3C2767"/>
    <w:rsid w:val="6C636C38"/>
    <w:rsid w:val="6C847828"/>
    <w:rsid w:val="6C9A0567"/>
    <w:rsid w:val="6CF4696F"/>
    <w:rsid w:val="6DB34098"/>
    <w:rsid w:val="6DB545B6"/>
    <w:rsid w:val="6E4375A0"/>
    <w:rsid w:val="6E514CED"/>
    <w:rsid w:val="6E643688"/>
    <w:rsid w:val="6E79491A"/>
    <w:rsid w:val="6E881D2D"/>
    <w:rsid w:val="6EB563D5"/>
    <w:rsid w:val="6EDD3662"/>
    <w:rsid w:val="6F225983"/>
    <w:rsid w:val="6F47485A"/>
    <w:rsid w:val="6F685AA9"/>
    <w:rsid w:val="6F6C2DFF"/>
    <w:rsid w:val="6F774B3A"/>
    <w:rsid w:val="6FFC5590"/>
    <w:rsid w:val="70012B07"/>
    <w:rsid w:val="701516CE"/>
    <w:rsid w:val="70301DA3"/>
    <w:rsid w:val="706D1DD0"/>
    <w:rsid w:val="70856B87"/>
    <w:rsid w:val="70D527EE"/>
    <w:rsid w:val="715B5300"/>
    <w:rsid w:val="715F4BD7"/>
    <w:rsid w:val="716B1A1F"/>
    <w:rsid w:val="71D27F8A"/>
    <w:rsid w:val="71F326B3"/>
    <w:rsid w:val="71F744C6"/>
    <w:rsid w:val="71F960CF"/>
    <w:rsid w:val="722448CD"/>
    <w:rsid w:val="72292A47"/>
    <w:rsid w:val="726B29AB"/>
    <w:rsid w:val="72B619AA"/>
    <w:rsid w:val="730018D1"/>
    <w:rsid w:val="73093A6A"/>
    <w:rsid w:val="731F5D5E"/>
    <w:rsid w:val="73481DDD"/>
    <w:rsid w:val="73A86934"/>
    <w:rsid w:val="73AD43B3"/>
    <w:rsid w:val="73AF5389"/>
    <w:rsid w:val="73C80274"/>
    <w:rsid w:val="73DB3E0D"/>
    <w:rsid w:val="741E793C"/>
    <w:rsid w:val="74552A14"/>
    <w:rsid w:val="7470419A"/>
    <w:rsid w:val="74716D26"/>
    <w:rsid w:val="74BC1454"/>
    <w:rsid w:val="755F3045"/>
    <w:rsid w:val="75812F99"/>
    <w:rsid w:val="758D75E2"/>
    <w:rsid w:val="75BA64AB"/>
    <w:rsid w:val="764D5099"/>
    <w:rsid w:val="76D621C1"/>
    <w:rsid w:val="76E62E8B"/>
    <w:rsid w:val="770F5829"/>
    <w:rsid w:val="77762421"/>
    <w:rsid w:val="780F09F4"/>
    <w:rsid w:val="78225390"/>
    <w:rsid w:val="783969F8"/>
    <w:rsid w:val="789C4F47"/>
    <w:rsid w:val="78A90480"/>
    <w:rsid w:val="78B37CA4"/>
    <w:rsid w:val="78B42F3A"/>
    <w:rsid w:val="79811327"/>
    <w:rsid w:val="799F010F"/>
    <w:rsid w:val="79B86CE8"/>
    <w:rsid w:val="79C50B05"/>
    <w:rsid w:val="79C6591B"/>
    <w:rsid w:val="79ED32F3"/>
    <w:rsid w:val="7A3421DD"/>
    <w:rsid w:val="7A364017"/>
    <w:rsid w:val="7A8265E1"/>
    <w:rsid w:val="7A920F96"/>
    <w:rsid w:val="7B686D42"/>
    <w:rsid w:val="7B7E3E42"/>
    <w:rsid w:val="7B841746"/>
    <w:rsid w:val="7C8E4ECE"/>
    <w:rsid w:val="7D0239FF"/>
    <w:rsid w:val="7D436E98"/>
    <w:rsid w:val="7D5E40CD"/>
    <w:rsid w:val="7D693BED"/>
    <w:rsid w:val="7DC12511"/>
    <w:rsid w:val="7DF605EB"/>
    <w:rsid w:val="7E4554C4"/>
    <w:rsid w:val="7E6048EB"/>
    <w:rsid w:val="7EA33DA7"/>
    <w:rsid w:val="7F052E8D"/>
    <w:rsid w:val="7F78421F"/>
    <w:rsid w:val="7FE47E50"/>
    <w:rsid w:val="7FF25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unhideWhenUsed/>
    <w:qFormat/>
    <w:locked/>
    <w:uiPriority w:val="0"/>
    <w:pPr>
      <w:keepNext/>
      <w:keepLines/>
      <w:spacing w:beforeAutospacing="0" w:afterAutospacing="0" w:line="360" w:lineRule="auto"/>
      <w:outlineLvl w:val="1"/>
    </w:pPr>
    <w:rPr>
      <w:rFonts w:ascii="Arial" w:hAnsi="Arial" w:eastAsia="KaiTi_GB2312"/>
      <w:b/>
      <w:sz w:val="28"/>
    </w:rPr>
  </w:style>
  <w:style w:type="paragraph" w:styleId="4">
    <w:name w:val="heading 4"/>
    <w:basedOn w:val="1"/>
    <w:next w:val="1"/>
    <w:link w:val="68"/>
    <w:autoRedefine/>
    <w:semiHidden/>
    <w:unhideWhenUsed/>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5">
    <w:name w:val="heading 5"/>
    <w:basedOn w:val="1"/>
    <w:next w:val="1"/>
    <w:link w:val="66"/>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style>
  <w:style w:type="paragraph" w:styleId="7">
    <w:name w:val="annotation text"/>
    <w:basedOn w:val="1"/>
    <w:link w:val="36"/>
    <w:autoRedefine/>
    <w:semiHidden/>
    <w:qFormat/>
    <w:uiPriority w:val="0"/>
    <w:pPr>
      <w:jc w:val="left"/>
    </w:pPr>
    <w:rPr>
      <w:kern w:val="0"/>
      <w:sz w:val="20"/>
    </w:rPr>
  </w:style>
  <w:style w:type="paragraph" w:styleId="8">
    <w:name w:val="Body Text 3"/>
    <w:basedOn w:val="1"/>
    <w:autoRedefine/>
    <w:qFormat/>
    <w:uiPriority w:val="0"/>
    <w:pPr>
      <w:spacing w:after="120"/>
    </w:pPr>
    <w:rPr>
      <w:rFonts w:ascii="Calibri" w:hAnsi="Calibri" w:eastAsia="宋体" w:cs="Times New Roman"/>
      <w:sz w:val="16"/>
      <w:szCs w:val="16"/>
    </w:rPr>
  </w:style>
  <w:style w:type="paragraph" w:styleId="9">
    <w:name w:val="Body Text"/>
    <w:basedOn w:val="1"/>
    <w:next w:val="10"/>
    <w:link w:val="37"/>
    <w:autoRedefine/>
    <w:qFormat/>
    <w:uiPriority w:val="0"/>
    <w:pPr>
      <w:widowControl/>
      <w:snapToGrid w:val="0"/>
      <w:spacing w:before="60" w:after="160" w:line="259" w:lineRule="auto"/>
      <w:ind w:right="113"/>
    </w:pPr>
    <w:rPr>
      <w:kern w:val="0"/>
      <w:sz w:val="18"/>
      <w:szCs w:val="18"/>
    </w:rPr>
  </w:style>
  <w:style w:type="paragraph" w:styleId="10">
    <w:name w:val="List Bullet 5"/>
    <w:basedOn w:val="1"/>
    <w:autoRedefine/>
    <w:qFormat/>
    <w:uiPriority w:val="0"/>
    <w:pPr>
      <w:numPr>
        <w:ilvl w:val="0"/>
        <w:numId w:val="1"/>
      </w:numPr>
    </w:pPr>
  </w:style>
  <w:style w:type="paragraph" w:styleId="11">
    <w:name w:val="Body Text Indent"/>
    <w:basedOn w:val="1"/>
    <w:next w:val="12"/>
    <w:link w:val="38"/>
    <w:autoRedefine/>
    <w:semiHidden/>
    <w:qFormat/>
    <w:uiPriority w:val="0"/>
    <w:pPr>
      <w:spacing w:after="120"/>
      <w:ind w:left="420" w:leftChars="200"/>
    </w:pPr>
  </w:style>
  <w:style w:type="paragraph" w:styleId="12">
    <w:name w:val="header"/>
    <w:basedOn w:val="1"/>
    <w:next w:val="13"/>
    <w:link w:val="42"/>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3">
    <w:name w:val="样式5"/>
    <w:basedOn w:val="14"/>
    <w:autoRedefine/>
    <w:qFormat/>
    <w:uiPriority w:val="0"/>
    <w:pPr>
      <w:pBdr>
        <w:top w:val="single" w:color="auto" w:sz="4" w:space="1"/>
      </w:pBdr>
      <w:tabs>
        <w:tab w:val="center" w:pos="4153"/>
        <w:tab w:val="right" w:pos="8306"/>
      </w:tabs>
      <w:spacing w:line="400" w:lineRule="exact"/>
      <w:ind w:firstLine="360" w:firstLineChars="200"/>
    </w:pPr>
  </w:style>
  <w:style w:type="paragraph" w:customStyle="1" w:styleId="14">
    <w:name w:val="样式3"/>
    <w:basedOn w:val="15"/>
    <w:autoRedefine/>
    <w:qFormat/>
    <w:uiPriority w:val="0"/>
    <w:pPr>
      <w:snapToGrid w:val="0"/>
      <w:jc w:val="center"/>
    </w:pPr>
    <w:rPr>
      <w:rFonts w:hAnsi="黑体" w:eastAsia="黑体"/>
      <w:color w:val="000000"/>
    </w:rPr>
  </w:style>
  <w:style w:type="paragraph" w:styleId="15">
    <w:name w:val="List"/>
    <w:basedOn w:val="1"/>
    <w:autoRedefine/>
    <w:qFormat/>
    <w:uiPriority w:val="0"/>
    <w:pPr>
      <w:widowControl/>
      <w:spacing w:line="440" w:lineRule="exact"/>
      <w:ind w:left="200" w:hanging="200"/>
      <w:jc w:val="left"/>
    </w:pPr>
    <w:rPr>
      <w:kern w:val="0"/>
      <w:sz w:val="24"/>
      <w:szCs w:val="20"/>
    </w:rPr>
  </w:style>
  <w:style w:type="paragraph" w:styleId="16">
    <w:name w:val="Block Text"/>
    <w:basedOn w:val="1"/>
    <w:autoRedefine/>
    <w:qFormat/>
    <w:uiPriority w:val="0"/>
    <w:pPr>
      <w:tabs>
        <w:tab w:val="left" w:pos="5985"/>
      </w:tabs>
      <w:adjustRightInd w:val="0"/>
      <w:spacing w:line="360" w:lineRule="auto"/>
      <w:ind w:left="-105" w:leftChars="-50" w:right="168" w:rightChars="80" w:firstLine="630" w:firstLineChars="225"/>
    </w:pPr>
    <w:rPr>
      <w:rFonts w:ascii="宋体" w:hAnsi="宋体"/>
      <w:sz w:val="28"/>
      <w:szCs w:val="28"/>
    </w:rPr>
  </w:style>
  <w:style w:type="paragraph" w:styleId="17">
    <w:name w:val="Plain Text"/>
    <w:basedOn w:val="1"/>
    <w:autoRedefine/>
    <w:qFormat/>
    <w:uiPriority w:val="0"/>
    <w:rPr>
      <w:rFonts w:ascii="宋体" w:hAnsi="Courier New"/>
    </w:rPr>
  </w:style>
  <w:style w:type="paragraph" w:styleId="18">
    <w:name w:val="Date"/>
    <w:basedOn w:val="1"/>
    <w:next w:val="1"/>
    <w:link w:val="39"/>
    <w:autoRedefine/>
    <w:qFormat/>
    <w:uiPriority w:val="0"/>
    <w:pPr>
      <w:ind w:left="100" w:leftChars="2500"/>
    </w:pPr>
    <w:rPr>
      <w:kern w:val="0"/>
      <w:sz w:val="20"/>
    </w:rPr>
  </w:style>
  <w:style w:type="paragraph" w:styleId="19">
    <w:name w:val="Balloon Text"/>
    <w:basedOn w:val="1"/>
    <w:link w:val="40"/>
    <w:autoRedefine/>
    <w:semiHidden/>
    <w:qFormat/>
    <w:uiPriority w:val="0"/>
    <w:rPr>
      <w:sz w:val="18"/>
      <w:szCs w:val="18"/>
    </w:rPr>
  </w:style>
  <w:style w:type="paragraph" w:styleId="20">
    <w:name w:val="footer"/>
    <w:basedOn w:val="1"/>
    <w:link w:val="41"/>
    <w:autoRedefine/>
    <w:qFormat/>
    <w:uiPriority w:val="99"/>
    <w:pPr>
      <w:tabs>
        <w:tab w:val="center" w:pos="4153"/>
        <w:tab w:val="right" w:pos="8306"/>
      </w:tabs>
      <w:snapToGrid w:val="0"/>
      <w:jc w:val="left"/>
    </w:pPr>
    <w:rPr>
      <w:sz w:val="18"/>
      <w:szCs w:val="18"/>
    </w:rPr>
  </w:style>
  <w:style w:type="paragraph" w:styleId="21">
    <w:name w:val="toc 1"/>
    <w:basedOn w:val="1"/>
    <w:next w:val="1"/>
    <w:autoRedefine/>
    <w:unhideWhenUsed/>
    <w:qFormat/>
    <w:locked/>
    <w:uiPriority w:val="39"/>
  </w:style>
  <w:style w:type="paragraph" w:styleId="22">
    <w:name w:val="table of figures"/>
    <w:basedOn w:val="1"/>
    <w:next w:val="1"/>
    <w:autoRedefine/>
    <w:unhideWhenUsed/>
    <w:qFormat/>
    <w:uiPriority w:val="99"/>
  </w:style>
  <w:style w:type="paragraph" w:styleId="23">
    <w:name w:val="Normal (Web)"/>
    <w:basedOn w:val="1"/>
    <w:link w:val="43"/>
    <w:autoRedefine/>
    <w:qFormat/>
    <w:uiPriority w:val="0"/>
    <w:pPr>
      <w:widowControl/>
      <w:spacing w:before="100" w:beforeAutospacing="1" w:after="100" w:afterAutospacing="1"/>
      <w:jc w:val="left"/>
    </w:pPr>
    <w:rPr>
      <w:rFonts w:ascii="宋体" w:hAnsi="宋体"/>
      <w:kern w:val="0"/>
      <w:sz w:val="24"/>
    </w:rPr>
  </w:style>
  <w:style w:type="paragraph" w:styleId="24">
    <w:name w:val="annotation subject"/>
    <w:basedOn w:val="7"/>
    <w:next w:val="7"/>
    <w:link w:val="44"/>
    <w:autoRedefine/>
    <w:semiHidden/>
    <w:qFormat/>
    <w:uiPriority w:val="0"/>
    <w:rPr>
      <w:b/>
      <w:bCs/>
    </w:rPr>
  </w:style>
  <w:style w:type="paragraph" w:styleId="25">
    <w:name w:val="Body Text First Indent"/>
    <w:basedOn w:val="9"/>
    <w:next w:val="22"/>
    <w:autoRedefine/>
    <w:qFormat/>
    <w:uiPriority w:val="0"/>
    <w:pPr>
      <w:ind w:firstLine="420" w:firstLineChars="100"/>
    </w:pPr>
    <w:rPr>
      <w:rFonts w:eastAsia="Times New Roman"/>
      <w:szCs w:val="20"/>
    </w:rPr>
  </w:style>
  <w:style w:type="paragraph" w:styleId="26">
    <w:name w:val="Body Text First Indent 2"/>
    <w:basedOn w:val="11"/>
    <w:next w:val="1"/>
    <w:autoRedefine/>
    <w:qFormat/>
    <w:uiPriority w:val="0"/>
    <w:pPr>
      <w:ind w:firstLine="420" w:firstLineChars="200"/>
    </w:pPr>
    <w:rPr>
      <w:sz w:val="24"/>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autoRedefine/>
    <w:qFormat/>
    <w:uiPriority w:val="0"/>
  </w:style>
  <w:style w:type="character" w:styleId="31">
    <w:name w:val="annotation reference"/>
    <w:autoRedefine/>
    <w:semiHidden/>
    <w:qFormat/>
    <w:uiPriority w:val="0"/>
    <w:rPr>
      <w:sz w:val="21"/>
    </w:rPr>
  </w:style>
  <w:style w:type="paragraph" w:customStyle="1" w:styleId="32">
    <w:name w:val="Default"/>
    <w:basedOn w:val="33"/>
    <w:next w:val="26"/>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4">
    <w:name w:val="Table Paragraph"/>
    <w:basedOn w:val="1"/>
    <w:autoRedefine/>
    <w:qFormat/>
    <w:uiPriority w:val="1"/>
    <w:pPr>
      <w:autoSpaceDE w:val="0"/>
      <w:autoSpaceDN w:val="0"/>
      <w:jc w:val="center"/>
    </w:pPr>
    <w:rPr>
      <w:rFonts w:ascii="宋体" w:hAnsi="宋体" w:cs="宋体"/>
      <w:kern w:val="0"/>
      <w:sz w:val="22"/>
      <w:szCs w:val="22"/>
      <w:lang w:val="zh-CN" w:bidi="zh-CN"/>
    </w:rPr>
  </w:style>
  <w:style w:type="paragraph" w:customStyle="1" w:styleId="35">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6">
    <w:name w:val="批注文字 字符"/>
    <w:link w:val="7"/>
    <w:autoRedefine/>
    <w:qFormat/>
    <w:locked/>
    <w:uiPriority w:val="0"/>
    <w:rPr>
      <w:rFonts w:ascii="Times New Roman" w:hAnsi="Times New Roman" w:eastAsia="宋体"/>
      <w:sz w:val="24"/>
    </w:rPr>
  </w:style>
  <w:style w:type="character" w:customStyle="1" w:styleId="37">
    <w:name w:val="正文文本 字符"/>
    <w:link w:val="9"/>
    <w:autoRedefine/>
    <w:qFormat/>
    <w:locked/>
    <w:uiPriority w:val="0"/>
    <w:rPr>
      <w:sz w:val="18"/>
    </w:rPr>
  </w:style>
  <w:style w:type="character" w:customStyle="1" w:styleId="38">
    <w:name w:val="正文文本缩进 字符"/>
    <w:link w:val="11"/>
    <w:autoRedefine/>
    <w:semiHidden/>
    <w:qFormat/>
    <w:locked/>
    <w:uiPriority w:val="0"/>
    <w:rPr>
      <w:rFonts w:ascii="Times New Roman" w:hAnsi="Times New Roman" w:eastAsia="宋体" w:cs="Times New Roman"/>
      <w:sz w:val="24"/>
      <w:szCs w:val="24"/>
    </w:rPr>
  </w:style>
  <w:style w:type="character" w:customStyle="1" w:styleId="39">
    <w:name w:val="日期 字符1"/>
    <w:link w:val="18"/>
    <w:autoRedefine/>
    <w:qFormat/>
    <w:locked/>
    <w:uiPriority w:val="0"/>
    <w:rPr>
      <w:rFonts w:ascii="Times New Roman" w:hAnsi="Times New Roman" w:eastAsia="宋体"/>
      <w:sz w:val="24"/>
    </w:rPr>
  </w:style>
  <w:style w:type="character" w:customStyle="1" w:styleId="40">
    <w:name w:val="批注框文本 字符"/>
    <w:link w:val="19"/>
    <w:autoRedefine/>
    <w:semiHidden/>
    <w:qFormat/>
    <w:locked/>
    <w:uiPriority w:val="0"/>
    <w:rPr>
      <w:rFonts w:ascii="Times New Roman" w:hAnsi="Times New Roman" w:eastAsia="宋体" w:cs="Times New Roman"/>
      <w:sz w:val="18"/>
      <w:szCs w:val="18"/>
    </w:rPr>
  </w:style>
  <w:style w:type="character" w:customStyle="1" w:styleId="41">
    <w:name w:val="页脚 字符"/>
    <w:link w:val="20"/>
    <w:autoRedefine/>
    <w:qFormat/>
    <w:locked/>
    <w:uiPriority w:val="99"/>
    <w:rPr>
      <w:rFonts w:cs="Times New Roman"/>
      <w:sz w:val="18"/>
      <w:szCs w:val="18"/>
    </w:rPr>
  </w:style>
  <w:style w:type="character" w:customStyle="1" w:styleId="42">
    <w:name w:val="页眉 字符"/>
    <w:link w:val="12"/>
    <w:autoRedefine/>
    <w:qFormat/>
    <w:locked/>
    <w:uiPriority w:val="0"/>
    <w:rPr>
      <w:rFonts w:cs="Times New Roman"/>
      <w:sz w:val="18"/>
      <w:szCs w:val="18"/>
    </w:rPr>
  </w:style>
  <w:style w:type="character" w:customStyle="1" w:styleId="43">
    <w:name w:val="普通(网站) 字符"/>
    <w:link w:val="23"/>
    <w:autoRedefine/>
    <w:qFormat/>
    <w:locked/>
    <w:uiPriority w:val="0"/>
    <w:rPr>
      <w:rFonts w:ascii="宋体" w:hAnsi="宋体" w:eastAsia="宋体"/>
      <w:sz w:val="24"/>
    </w:rPr>
  </w:style>
  <w:style w:type="character" w:customStyle="1" w:styleId="44">
    <w:name w:val="批注主题 字符"/>
    <w:link w:val="24"/>
    <w:autoRedefine/>
    <w:semiHidden/>
    <w:qFormat/>
    <w:locked/>
    <w:uiPriority w:val="0"/>
    <w:rPr>
      <w:rFonts w:cs="Times New Roman"/>
      <w:b/>
      <w:bCs/>
      <w:kern w:val="2"/>
      <w:szCs w:val="24"/>
    </w:rPr>
  </w:style>
  <w:style w:type="character" w:customStyle="1" w:styleId="45">
    <w:name w:val="表格 Char"/>
    <w:link w:val="46"/>
    <w:autoRedefine/>
    <w:qFormat/>
    <w:locked/>
    <w:uiPriority w:val="0"/>
    <w:rPr>
      <w:rFonts w:ascii="宋体"/>
      <w:sz w:val="21"/>
    </w:rPr>
  </w:style>
  <w:style w:type="paragraph" w:customStyle="1" w:styleId="46">
    <w:name w:val="表格"/>
    <w:basedOn w:val="47"/>
    <w:next w:val="1"/>
    <w:link w:val="45"/>
    <w:autoRedefine/>
    <w:qFormat/>
    <w:uiPriority w:val="0"/>
    <w:pPr>
      <w:adjustRightInd w:val="0"/>
      <w:snapToGrid w:val="0"/>
      <w:spacing w:beforeLines="10" w:afterLines="10" w:line="259" w:lineRule="auto"/>
      <w:jc w:val="center"/>
    </w:pPr>
    <w:rPr>
      <w:rFonts w:ascii="宋体"/>
      <w:kern w:val="0"/>
      <w:sz w:val="20"/>
      <w:szCs w:val="21"/>
    </w:rPr>
  </w:style>
  <w:style w:type="paragraph" w:customStyle="1" w:styleId="47">
    <w:name w:val="表头"/>
    <w:basedOn w:val="22"/>
    <w:next w:val="1"/>
    <w:link w:val="63"/>
    <w:autoRedefine/>
    <w:qFormat/>
    <w:uiPriority w:val="0"/>
    <w:pPr>
      <w:spacing w:line="240" w:lineRule="auto"/>
      <w:ind w:firstLine="0" w:firstLineChars="0"/>
      <w:jc w:val="center"/>
    </w:pPr>
    <w:rPr>
      <w:b/>
      <w:sz w:val="21"/>
    </w:rPr>
  </w:style>
  <w:style w:type="character" w:customStyle="1" w:styleId="48">
    <w:name w:val="日期 字符"/>
    <w:autoRedefine/>
    <w:semiHidden/>
    <w:qFormat/>
    <w:uiPriority w:val="0"/>
    <w:rPr>
      <w:rFonts w:ascii="Times New Roman" w:hAnsi="Times New Roman" w:eastAsia="宋体" w:cs="Times New Roman"/>
      <w:sz w:val="24"/>
      <w:szCs w:val="24"/>
    </w:rPr>
  </w:style>
  <w:style w:type="character" w:customStyle="1" w:styleId="49">
    <w:name w:val="正文文本 字符1"/>
    <w:autoRedefine/>
    <w:semiHidden/>
    <w:qFormat/>
    <w:uiPriority w:val="0"/>
    <w:rPr>
      <w:rFonts w:ascii="Times New Roman" w:hAnsi="Times New Roman" w:eastAsia="宋体" w:cs="Times New Roman"/>
      <w:sz w:val="24"/>
      <w:szCs w:val="24"/>
    </w:rPr>
  </w:style>
  <w:style w:type="paragraph" w:customStyle="1" w:styleId="50">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1">
    <w:name w:val="批注文字 字符1"/>
    <w:autoRedefine/>
    <w:semiHidden/>
    <w:qFormat/>
    <w:uiPriority w:val="0"/>
    <w:rPr>
      <w:rFonts w:ascii="Times New Roman" w:hAnsi="Times New Roman" w:eastAsia="宋体" w:cs="Times New Roman"/>
      <w:sz w:val="24"/>
      <w:szCs w:val="24"/>
    </w:rPr>
  </w:style>
  <w:style w:type="character" w:customStyle="1" w:styleId="52">
    <w:name w:val="普通(网站) Char"/>
    <w:autoRedefine/>
    <w:qFormat/>
    <w:locked/>
    <w:uiPriority w:val="0"/>
    <w:rPr>
      <w:rFonts w:ascii="宋体" w:hAnsi="宋体" w:eastAsia="宋体"/>
      <w:sz w:val="24"/>
    </w:rPr>
  </w:style>
  <w:style w:type="paragraph" w:customStyle="1" w:styleId="53">
    <w:name w:val="大标题"/>
    <w:basedOn w:val="23"/>
    <w:link w:val="58"/>
    <w:autoRedefine/>
    <w:qFormat/>
    <w:uiPriority w:val="0"/>
    <w:pPr>
      <w:jc w:val="center"/>
      <w:outlineLvl w:val="0"/>
    </w:pPr>
    <w:rPr>
      <w:rFonts w:ascii="黑体" w:hAnsi="黑体" w:eastAsia="黑体"/>
      <w:snapToGrid w:val="0"/>
      <w:sz w:val="30"/>
      <w:szCs w:val="30"/>
    </w:rPr>
  </w:style>
  <w:style w:type="paragraph" w:customStyle="1" w:styleId="54">
    <w:name w:val="标题1"/>
    <w:basedOn w:val="55"/>
    <w:next w:val="56"/>
    <w:link w:val="60"/>
    <w:autoRedefine/>
    <w:qFormat/>
    <w:uiPriority w:val="0"/>
    <w:pPr>
      <w:adjustRightInd w:val="0"/>
      <w:snapToGrid w:val="0"/>
      <w:spacing w:line="360" w:lineRule="auto"/>
      <w:jc w:val="left"/>
    </w:pPr>
    <w:rPr>
      <w:rFonts w:cs="宋体"/>
      <w:b/>
      <w:kern w:val="0"/>
      <w:sz w:val="24"/>
      <w:szCs w:val="21"/>
    </w:rPr>
  </w:style>
  <w:style w:type="paragraph" w:customStyle="1" w:styleId="55">
    <w:name w:val="图注"/>
    <w:basedOn w:val="47"/>
    <w:next w:val="56"/>
    <w:autoRedefine/>
    <w:qFormat/>
    <w:uiPriority w:val="0"/>
    <w:pPr>
      <w:keepNext w:val="0"/>
      <w:spacing w:before="0" w:beforeLines="0"/>
      <w:jc w:val="left"/>
    </w:pPr>
    <w:rPr>
      <w:b w:val="0"/>
    </w:rPr>
  </w:style>
  <w:style w:type="paragraph" w:customStyle="1" w:styleId="56">
    <w:name w:val="报告正文"/>
    <w:autoRedefine/>
    <w:qFormat/>
    <w:uiPriority w:val="0"/>
    <w:pPr>
      <w:spacing w:line="360" w:lineRule="auto"/>
      <w:ind w:firstLine="480" w:firstLineChars="200"/>
      <w:jc w:val="both"/>
    </w:pPr>
    <w:rPr>
      <w:rFonts w:ascii="Times New Roman" w:hAnsi="Times New Roman" w:eastAsia="宋体" w:cstheme="minorBidi"/>
      <w:kern w:val="2"/>
      <w:sz w:val="24"/>
      <w:szCs w:val="24"/>
      <w:lang w:val="en-US" w:eastAsia="zh-CN" w:bidi="ar-SA"/>
    </w:rPr>
  </w:style>
  <w:style w:type="paragraph" w:customStyle="1" w:styleId="57">
    <w:name w:val="表格正文"/>
    <w:basedOn w:val="56"/>
    <w:autoRedefine/>
    <w:qFormat/>
    <w:uiPriority w:val="0"/>
    <w:pPr>
      <w:spacing w:line="240" w:lineRule="atLeast"/>
      <w:ind w:firstLine="0" w:firstLineChars="0"/>
      <w:jc w:val="center"/>
    </w:pPr>
    <w:rPr>
      <w:sz w:val="21"/>
    </w:rPr>
  </w:style>
  <w:style w:type="character" w:customStyle="1" w:styleId="58">
    <w:name w:val="大标题 字符"/>
    <w:link w:val="53"/>
    <w:autoRedefine/>
    <w:qFormat/>
    <w:uiPriority w:val="0"/>
    <w:rPr>
      <w:rFonts w:ascii="黑体" w:hAnsi="黑体" w:eastAsia="黑体"/>
      <w:snapToGrid w:val="0"/>
      <w:sz w:val="30"/>
      <w:szCs w:val="30"/>
    </w:rPr>
  </w:style>
  <w:style w:type="paragraph" w:customStyle="1" w:styleId="59">
    <w:name w:val="正文1"/>
    <w:basedOn w:val="54"/>
    <w:link w:val="61"/>
    <w:autoRedefine/>
    <w:qFormat/>
    <w:uiPriority w:val="0"/>
    <w:pPr>
      <w:ind w:firstLine="200" w:firstLineChars="200"/>
      <w:jc w:val="both"/>
    </w:pPr>
    <w:rPr>
      <w:b w:val="0"/>
    </w:rPr>
  </w:style>
  <w:style w:type="character" w:customStyle="1" w:styleId="60">
    <w:name w:val="标题1 字符"/>
    <w:link w:val="54"/>
    <w:autoRedefine/>
    <w:qFormat/>
    <w:uiPriority w:val="0"/>
    <w:rPr>
      <w:rFonts w:cs="宋体"/>
      <w:b/>
      <w:sz w:val="24"/>
      <w:szCs w:val="21"/>
    </w:rPr>
  </w:style>
  <w:style w:type="character" w:customStyle="1" w:styleId="61">
    <w:name w:val="正文1 字符"/>
    <w:link w:val="59"/>
    <w:autoRedefine/>
    <w:qFormat/>
    <w:uiPriority w:val="0"/>
    <w:rPr>
      <w:rFonts w:cs="宋体"/>
      <w:sz w:val="24"/>
      <w:szCs w:val="21"/>
    </w:rPr>
  </w:style>
  <w:style w:type="paragraph" w:customStyle="1" w:styleId="62">
    <w:name w:val="表格内容"/>
    <w:basedOn w:val="47"/>
    <w:link w:val="65"/>
    <w:autoRedefine/>
    <w:qFormat/>
    <w:uiPriority w:val="0"/>
    <w:rPr>
      <w:b w:val="0"/>
    </w:rPr>
  </w:style>
  <w:style w:type="character" w:customStyle="1" w:styleId="63">
    <w:name w:val="表头 字符"/>
    <w:link w:val="47"/>
    <w:autoRedefine/>
    <w:qFormat/>
    <w:uiPriority w:val="0"/>
    <w:rPr>
      <w:rFonts w:cs="宋体"/>
      <w:b/>
      <w:sz w:val="21"/>
      <w:szCs w:val="21"/>
    </w:rPr>
  </w:style>
  <w:style w:type="paragraph" w:styleId="64">
    <w:name w:val="List Paragraph"/>
    <w:basedOn w:val="1"/>
    <w:autoRedefine/>
    <w:qFormat/>
    <w:uiPriority w:val="99"/>
    <w:pPr>
      <w:ind w:firstLine="420" w:firstLineChars="200"/>
    </w:pPr>
  </w:style>
  <w:style w:type="character" w:customStyle="1" w:styleId="65">
    <w:name w:val="表格内容 字符"/>
    <w:link w:val="62"/>
    <w:autoRedefine/>
    <w:qFormat/>
    <w:uiPriority w:val="0"/>
    <w:rPr>
      <w:rFonts w:cs="宋体"/>
      <w:sz w:val="21"/>
      <w:szCs w:val="21"/>
    </w:rPr>
  </w:style>
  <w:style w:type="character" w:customStyle="1" w:styleId="66">
    <w:name w:val="标题 5 字符"/>
    <w:link w:val="5"/>
    <w:autoRedefine/>
    <w:semiHidden/>
    <w:qFormat/>
    <w:uiPriority w:val="0"/>
    <w:rPr>
      <w:b/>
      <w:bCs/>
      <w:kern w:val="2"/>
      <w:sz w:val="28"/>
      <w:szCs w:val="28"/>
    </w:rPr>
  </w:style>
  <w:style w:type="table" w:customStyle="1" w:styleId="67">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8">
    <w:name w:val="标题 4 字符"/>
    <w:link w:val="4"/>
    <w:autoRedefine/>
    <w:semiHidden/>
    <w:qFormat/>
    <w:uiPriority w:val="0"/>
    <w:rPr>
      <w:rFonts w:ascii="等线 Light" w:hAnsi="等线 Light" w:eastAsia="等线 Light" w:cs="Times New Roman"/>
      <w:b/>
      <w:bCs/>
      <w:kern w:val="2"/>
      <w:sz w:val="28"/>
      <w:szCs w:val="28"/>
    </w:rPr>
  </w:style>
  <w:style w:type="paragraph" w:customStyle="1" w:styleId="69">
    <w:name w:val="样式6"/>
    <w:basedOn w:val="62"/>
    <w:autoRedefine/>
    <w:qFormat/>
    <w:uiPriority w:val="0"/>
    <w:pPr>
      <w:tabs>
        <w:tab w:val="left" w:pos="2340"/>
      </w:tabs>
    </w:pPr>
    <w:rPr>
      <w:rFonts w:hAnsi="Calibri"/>
      <w:color w:val="0070C0"/>
      <w:kern w:val="0"/>
      <w:sz w:val="20"/>
    </w:rPr>
  </w:style>
  <w:style w:type="paragraph" w:customStyle="1" w:styleId="70">
    <w:name w:val="惠泽正文"/>
    <w:basedOn w:val="1"/>
    <w:autoRedefine/>
    <w:qFormat/>
    <w:uiPriority w:val="0"/>
    <w:pPr>
      <w:widowControl w:val="0"/>
      <w:spacing w:line="480" w:lineRule="exact"/>
      <w:ind w:firstLine="480" w:firstLineChars="200"/>
    </w:pPr>
    <w:rPr>
      <w:rFonts w:ascii="Times New Roman" w:hAnsi="宋体" w:cs="宋体"/>
      <w:sz w:val="24"/>
      <w:szCs w:val="20"/>
    </w:rPr>
  </w:style>
  <w:style w:type="paragraph" w:customStyle="1" w:styleId="71">
    <w:name w:val="题2"/>
    <w:basedOn w:val="72"/>
    <w:autoRedefine/>
    <w:qFormat/>
    <w:uiPriority w:val="0"/>
    <w:pPr>
      <w:tabs>
        <w:tab w:val="left" w:pos="576"/>
      </w:tabs>
      <w:adjustRightInd w:val="0"/>
      <w:snapToGrid w:val="0"/>
      <w:spacing w:beforeLines="0" w:afterLines="0"/>
      <w:ind w:left="0" w:firstLine="200" w:firstLineChars="200"/>
      <w:outlineLvl w:val="2"/>
    </w:pPr>
    <w:rPr>
      <w:rFonts w:ascii="Times New Roman" w:eastAsia="宋体"/>
      <w:b/>
      <w:sz w:val="24"/>
    </w:rPr>
  </w:style>
  <w:style w:type="paragraph" w:customStyle="1" w:styleId="72">
    <w:name w:val="章标题"/>
    <w:next w:val="73"/>
    <w:autoRedefine/>
    <w:qFormat/>
    <w:uiPriority w:val="0"/>
    <w:pPr>
      <w:tabs>
        <w:tab w:val="left" w:pos="576"/>
      </w:tabs>
      <w:spacing w:beforeLines="50" w:afterLines="50" w:line="360" w:lineRule="auto"/>
      <w:ind w:left="576" w:hanging="576"/>
      <w:jc w:val="both"/>
      <w:outlineLvl w:val="1"/>
    </w:pPr>
    <w:rPr>
      <w:rFonts w:ascii="黑体" w:hAnsi="Times New Roman" w:eastAsia="黑体" w:cs="Times New Roman"/>
      <w:sz w:val="21"/>
      <w:lang w:val="en-US" w:eastAsia="zh-CN" w:bidi="ar-SA"/>
    </w:rPr>
  </w:style>
  <w:style w:type="paragraph" w:customStyle="1" w:styleId="73">
    <w:name w:val="段"/>
    <w:autoRedefine/>
    <w:qFormat/>
    <w:uiPriority w:val="0"/>
    <w:pPr>
      <w:autoSpaceDE w:val="0"/>
      <w:autoSpaceDN w:val="0"/>
      <w:spacing w:line="360" w:lineRule="auto"/>
      <w:ind w:firstLine="200" w:firstLineChars="200"/>
      <w:jc w:val="both"/>
    </w:pPr>
    <w:rPr>
      <w:rFonts w:ascii="宋体" w:hAnsi="Times New Roman" w:eastAsia="宋体" w:cs="Times New Roman"/>
      <w:sz w:val="21"/>
      <w:lang w:val="en-US" w:eastAsia="zh-CN" w:bidi="ar-SA"/>
    </w:rPr>
  </w:style>
  <w:style w:type="paragraph" w:customStyle="1" w:styleId="74">
    <w:name w:val="22222"/>
    <w:basedOn w:val="1"/>
    <w:autoRedefine/>
    <w:qFormat/>
    <w:uiPriority w:val="0"/>
    <w:pPr>
      <w:spacing w:line="480" w:lineRule="exact"/>
      <w:ind w:firstLine="480" w:firstLineChars="200"/>
    </w:pPr>
    <w:rPr>
      <w:rFonts w:hAnsi="宋体"/>
      <w:sz w:val="24"/>
    </w:rPr>
  </w:style>
  <w:style w:type="paragraph" w:customStyle="1" w:styleId="75">
    <w:name w:val="标题4"/>
    <w:basedOn w:val="76"/>
    <w:next w:val="56"/>
    <w:autoRedefine/>
    <w:qFormat/>
    <w:uiPriority w:val="0"/>
    <w:pPr>
      <w:ind w:left="0" w:firstLine="482" w:firstLineChars="200"/>
      <w:outlineLvl w:val="3"/>
    </w:pPr>
    <w:rPr>
      <w:rFonts w:eastAsia="宋体"/>
      <w:sz w:val="24"/>
    </w:rPr>
  </w:style>
  <w:style w:type="paragraph" w:customStyle="1" w:styleId="76">
    <w:name w:val="标题3"/>
    <w:basedOn w:val="54"/>
    <w:next w:val="56"/>
    <w:autoRedefine/>
    <w:qFormat/>
    <w:uiPriority w:val="0"/>
    <w:pPr>
      <w:spacing w:line="360" w:lineRule="auto"/>
      <w:ind w:left="0" w:firstLine="0"/>
      <w:outlineLvl w:val="2"/>
    </w:pPr>
    <w:rPr>
      <w:sz w:val="28"/>
      <w:szCs w:val="28"/>
    </w:rPr>
  </w:style>
  <w:style w:type="paragraph" w:customStyle="1" w:styleId="77">
    <w:name w:val="5表标题"/>
    <w:autoRedefine/>
    <w:qFormat/>
    <w:uiPriority w:val="0"/>
    <w:pPr>
      <w:spacing w:beforeLines="50"/>
      <w:jc w:val="center"/>
    </w:pPr>
    <w:rPr>
      <w:rFonts w:ascii="Times New Roman" w:hAnsi="Times New Roman" w:eastAsia="黑体" w:cs="宋体"/>
      <w:bCs/>
      <w:sz w:val="21"/>
      <w:lang w:val="en-US" w:eastAsia="zh-CN" w:bidi="ar-SA"/>
    </w:rPr>
  </w:style>
  <w:style w:type="paragraph" w:customStyle="1" w:styleId="78">
    <w:name w:val="6表内文字 居中"/>
    <w:basedOn w:val="1"/>
    <w:autoRedefine/>
    <w:qFormat/>
    <w:uiPriority w:val="0"/>
    <w:pPr>
      <w:adjustRightInd w:val="0"/>
      <w:snapToGrid w:val="0"/>
      <w:spacing w:line="240" w:lineRule="auto"/>
      <w:ind w:firstLine="0" w:firstLineChars="0"/>
      <w:jc w:val="center"/>
    </w:pPr>
    <w:rPr>
      <w:kern w:val="0"/>
      <w:sz w:val="21"/>
    </w:rPr>
  </w:style>
  <w:style w:type="paragraph" w:customStyle="1" w:styleId="79">
    <w:name w:val="样式5.2.1.1"/>
    <w:basedOn w:val="1"/>
    <w:next w:val="1"/>
    <w:autoRedefine/>
    <w:qFormat/>
    <w:uiPriority w:val="0"/>
    <w:pPr>
      <w:spacing w:line="440" w:lineRule="exact"/>
      <w:outlineLvl w:val="3"/>
    </w:pPr>
    <w:rPr>
      <w:rFonts w:cstheme="minorBidi"/>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D3CAF3-D2BF-4020-BE7E-7E563DC8557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31384</Words>
  <Characters>33835</Characters>
  <Lines>188</Lines>
  <Paragraphs>52</Paragraphs>
  <TotalTime>24</TotalTime>
  <ScaleCrop>false</ScaleCrop>
  <LinksUpToDate>false</LinksUpToDate>
  <CharactersWithSpaces>34076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2021-06-10T02:58:00Z</dcterms:created>
  <dc:creator>lhj</dc:creator>
  <cp:lastModifiedBy>静听花开</cp:lastModifiedBy>
  <cp:lastPrinted>2023-08-17T03:50:00Z</cp:lastPrinted>
  <dcterms:modified xsi:type="dcterms:W3CDTF">2024-01-17T05:42:43Z</dcterms:modified>
  <cp:revision>692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AB6C0D86600A460C8A3DA52B75FB8D5E_13</vt:lpwstr>
  </property>
</Properties>
</file>