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微软雅黑" w:eastAsia="方正小标宋简体" w:cs="宋体"/>
          <w:kern w:val="3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微软雅黑" w:eastAsia="方正小标宋简体" w:cs="宋体"/>
          <w:kern w:val="36"/>
          <w:sz w:val="44"/>
          <w:szCs w:val="44"/>
        </w:rPr>
        <w:t>关于2024年</w:t>
      </w:r>
      <w:r>
        <w:rPr>
          <w:rFonts w:hint="eastAsia" w:ascii="方正小标宋简体" w:hAnsi="微软雅黑" w:eastAsia="方正小标宋简体" w:cs="宋体"/>
          <w:kern w:val="36"/>
          <w:sz w:val="44"/>
          <w:szCs w:val="44"/>
          <w:lang w:eastAsia="zh-CN"/>
        </w:rPr>
        <w:t>泾河新城</w:t>
      </w:r>
      <w:r>
        <w:rPr>
          <w:rFonts w:hint="eastAsia" w:ascii="方正小标宋简体" w:hAnsi="微软雅黑" w:eastAsia="方正小标宋简体" w:cs="宋体"/>
          <w:kern w:val="36"/>
          <w:sz w:val="44"/>
          <w:szCs w:val="44"/>
        </w:rPr>
        <w:t>公租房租金标准的</w:t>
      </w:r>
      <w:r>
        <w:rPr>
          <w:rFonts w:hint="eastAsia" w:ascii="方正小标宋简体" w:hAnsi="微软雅黑" w:eastAsia="方正小标宋简体" w:cs="宋体"/>
          <w:kern w:val="36"/>
          <w:sz w:val="44"/>
          <w:szCs w:val="44"/>
          <w:lang w:eastAsia="zh-CN"/>
        </w:rPr>
        <w:t>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为进一步做好城镇中低收入家庭住房保障工作，助力辖区企业复工复产，2024年度泾河新城公租房租金收费标准仍按照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《泾河新城公共租赁住房管理实施细则（修订》）（陕泾河办发</w:t>
      </w:r>
      <w:r>
        <w:rPr>
          <w:rFonts w:hint="eastAsia" w:ascii="宋体" w:hAnsi="宋体" w:cs="宋体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6号）文件，实行差别化管理、基础租金实行动态管理适时向社会公布。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具体内容摘要如下：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按照“梯度保障、市场定价”的管理原则，泾河新城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租赁型保障房市场租金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（含家具家电）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为建筑面积每月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元/平方米，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家具家电使用费为每月2.53元/平方米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不配备家具家电的精装房源市场租金标准为建筑面积每月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元/平方米。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Batang" w:eastAsia="仿宋_GB2312" w:cs="Batang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二、鉴于租赁型保障房申请轮候期限为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5年，轮候家庭的人口、收入及资产等存在较大变动，租赁型保障房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租金收费办法按照当年公布的市场租金定价实行预收制，于每年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12月开展资格年检工作，已办理入住的家庭可递交年检申请审核资料，按照其对应的准入标准申请返退差额租金，通过终审公示后3个月内转入申请家庭指定账户。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租金年检标准：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每个自然年度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续费需提供家庭夫妻双方的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工资收入流水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、住房证明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、社保缴纳证明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，婚姻状况变更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需提供变更资料。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三、泾河新城公租房梯度租金收费标准一览表：</w:t>
      </w:r>
    </w:p>
    <w:tbl>
      <w:tblPr>
        <w:tblStyle w:val="9"/>
        <w:tblpPr w:leftFromText="180" w:rightFromText="180" w:vertAnchor="text" w:horzAnchor="page" w:tblpX="1187" w:tblpY="175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71"/>
        <w:gridCol w:w="3761"/>
        <w:gridCol w:w="163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0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城镇中低收入住房困难居民及外来务工人员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家庭收入类型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人均月收入标准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租金标准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城镇最低、低收入生活保障家庭；危房改造过渡期内家庭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以人社民政局核定为准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租金标准按照建筑面积每月2.89元/平方米，可申请减免家具家电使用费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家庭收入类型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人均月收入标准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租金标准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退返租金标准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家庭人均收入低于上年度城镇人均可支配收入40%的家庭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单身人员月收入标准1668元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租金标准按照基础租金的40%执行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租金退返标准按照市场租金的64%执行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两人家庭人均月收入标准1529元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三人及三人以上家庭人均月收入标准1390元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家庭人均收入低于上年度城镇人均可支配收入80%的家庭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单身人员月收入标准3336元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租金标准按照基础租金的80%执行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租金退返标准按照市场租金的28%执行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两人家庭人均月收入标准3058元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三人及三人以上家庭人均月收入标准2780元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家庭人均收入低于上年度城镇人均可支配收入的家庭</w:t>
            </w: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单身人员月收入标准4176元</w:t>
            </w:r>
          </w:p>
        </w:tc>
        <w:tc>
          <w:tcPr>
            <w:tcW w:w="16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租金标准按照基础租金执行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租金退返标准按照市场租金的10%执行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两人家庭人均月收入标准3828元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49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7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三人及三人以上家庭人均月收入标准3480元</w:t>
            </w: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0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人才安居租金标准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申请类型</w:t>
            </w:r>
          </w:p>
        </w:tc>
        <w:tc>
          <w:tcPr>
            <w:tcW w:w="758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租金标准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新毕业大学生</w:t>
            </w:r>
          </w:p>
        </w:tc>
        <w:tc>
          <w:tcPr>
            <w:tcW w:w="75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普通高校新毕业大学生1年过渡期内；985、211院校新毕业大学生2年过渡期内；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租金标准：建筑面积每月2.89元/平方米(不含家具家电使用费)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A、B、C类人才</w:t>
            </w:r>
          </w:p>
        </w:tc>
        <w:tc>
          <w:tcPr>
            <w:tcW w:w="758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未享受过陕西省购房补贴及租金补贴的，5年内免收租金及家具家电使用费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D类人才</w:t>
            </w:r>
          </w:p>
        </w:tc>
        <w:tc>
          <w:tcPr>
            <w:tcW w:w="758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未享受过政策补贴的租金标准3年内按照每年市场租金的50%执行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E类人才</w:t>
            </w:r>
          </w:p>
        </w:tc>
        <w:tc>
          <w:tcPr>
            <w:tcW w:w="758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市场租金的72%执行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四、本通知自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2024年1月1日起至2024年12月31日止。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right="210" w:rightChars="100"/>
                  <w:jc w:val="right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ind w:left="210" w:leftChars="100"/>
                </w:pPr>
                <w:r>
                  <w:rPr>
                    <w:rFonts w:hint="eastAsia" w:asciiTheme="minorEastAsia" w:hAnsi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Theme="minorEastAsia" w:hAnsi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3MWNiMGMxYjJkNGZlZmEyODZmZTlkNWYzZTJhZjIifQ=="/>
    <w:docVar w:name="KSO_WPS_MARK_KEY" w:val="33fb4bc9-a064-4c84-b640-b2e3e832924b"/>
  </w:docVars>
  <w:rsids>
    <w:rsidRoot w:val="00B3772E"/>
    <w:rsid w:val="000051FE"/>
    <w:rsid w:val="00006F90"/>
    <w:rsid w:val="000115CF"/>
    <w:rsid w:val="000254A3"/>
    <w:rsid w:val="0007735F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81320"/>
    <w:rsid w:val="00182F16"/>
    <w:rsid w:val="00183DF8"/>
    <w:rsid w:val="00186BA2"/>
    <w:rsid w:val="00197573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53382"/>
    <w:rsid w:val="002652D4"/>
    <w:rsid w:val="00271F0F"/>
    <w:rsid w:val="00283B12"/>
    <w:rsid w:val="002B09FB"/>
    <w:rsid w:val="002C3AE5"/>
    <w:rsid w:val="002C6FF4"/>
    <w:rsid w:val="00301E1A"/>
    <w:rsid w:val="0030432C"/>
    <w:rsid w:val="00312AE3"/>
    <w:rsid w:val="003136A6"/>
    <w:rsid w:val="0031655B"/>
    <w:rsid w:val="00322487"/>
    <w:rsid w:val="00326396"/>
    <w:rsid w:val="0036605B"/>
    <w:rsid w:val="00380CD4"/>
    <w:rsid w:val="00387B2E"/>
    <w:rsid w:val="00390812"/>
    <w:rsid w:val="00392B06"/>
    <w:rsid w:val="00394086"/>
    <w:rsid w:val="003C3B75"/>
    <w:rsid w:val="003C4A40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5794"/>
    <w:rsid w:val="0053651D"/>
    <w:rsid w:val="00555A41"/>
    <w:rsid w:val="005802C2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589E"/>
    <w:rsid w:val="006D2FAE"/>
    <w:rsid w:val="006D6F51"/>
    <w:rsid w:val="006F5513"/>
    <w:rsid w:val="00700418"/>
    <w:rsid w:val="0070666C"/>
    <w:rsid w:val="0071516E"/>
    <w:rsid w:val="007263F3"/>
    <w:rsid w:val="00726AE4"/>
    <w:rsid w:val="00730D85"/>
    <w:rsid w:val="00744096"/>
    <w:rsid w:val="00747461"/>
    <w:rsid w:val="00761BA9"/>
    <w:rsid w:val="00794882"/>
    <w:rsid w:val="007A7AED"/>
    <w:rsid w:val="007B173C"/>
    <w:rsid w:val="007B5A1B"/>
    <w:rsid w:val="007D0FF2"/>
    <w:rsid w:val="007D13C5"/>
    <w:rsid w:val="007D5169"/>
    <w:rsid w:val="007E41E5"/>
    <w:rsid w:val="007F4E80"/>
    <w:rsid w:val="00821893"/>
    <w:rsid w:val="00822097"/>
    <w:rsid w:val="00822F59"/>
    <w:rsid w:val="0084192F"/>
    <w:rsid w:val="008424C3"/>
    <w:rsid w:val="00845B2C"/>
    <w:rsid w:val="008468C6"/>
    <w:rsid w:val="00846DE1"/>
    <w:rsid w:val="00847BA7"/>
    <w:rsid w:val="00851686"/>
    <w:rsid w:val="00853B29"/>
    <w:rsid w:val="00872F85"/>
    <w:rsid w:val="00876B0C"/>
    <w:rsid w:val="00876CA1"/>
    <w:rsid w:val="00894A6C"/>
    <w:rsid w:val="008C6A11"/>
    <w:rsid w:val="008C77F7"/>
    <w:rsid w:val="008D072B"/>
    <w:rsid w:val="008E69A0"/>
    <w:rsid w:val="008E6A1B"/>
    <w:rsid w:val="0092634A"/>
    <w:rsid w:val="009343A4"/>
    <w:rsid w:val="00936C62"/>
    <w:rsid w:val="00947206"/>
    <w:rsid w:val="0094778A"/>
    <w:rsid w:val="0095708D"/>
    <w:rsid w:val="0096754E"/>
    <w:rsid w:val="00976C42"/>
    <w:rsid w:val="00980D79"/>
    <w:rsid w:val="009959A6"/>
    <w:rsid w:val="009C7E60"/>
    <w:rsid w:val="009F1193"/>
    <w:rsid w:val="009F2D35"/>
    <w:rsid w:val="009F4B4E"/>
    <w:rsid w:val="00A01671"/>
    <w:rsid w:val="00A122B1"/>
    <w:rsid w:val="00A12FEA"/>
    <w:rsid w:val="00A1360D"/>
    <w:rsid w:val="00A31F0B"/>
    <w:rsid w:val="00A66220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8788B"/>
    <w:rsid w:val="00B92282"/>
    <w:rsid w:val="00BA2070"/>
    <w:rsid w:val="00BD01EF"/>
    <w:rsid w:val="00BD5EC7"/>
    <w:rsid w:val="00BD6E47"/>
    <w:rsid w:val="00BE209E"/>
    <w:rsid w:val="00BF6C6B"/>
    <w:rsid w:val="00BF7869"/>
    <w:rsid w:val="00C07DA4"/>
    <w:rsid w:val="00C10946"/>
    <w:rsid w:val="00C305B7"/>
    <w:rsid w:val="00C40E9B"/>
    <w:rsid w:val="00C4106A"/>
    <w:rsid w:val="00C50CF0"/>
    <w:rsid w:val="00C66886"/>
    <w:rsid w:val="00C6728A"/>
    <w:rsid w:val="00C72EFD"/>
    <w:rsid w:val="00C748E4"/>
    <w:rsid w:val="00CA02CD"/>
    <w:rsid w:val="00CC1213"/>
    <w:rsid w:val="00CC2095"/>
    <w:rsid w:val="00CC443F"/>
    <w:rsid w:val="00CE7CBD"/>
    <w:rsid w:val="00CF429F"/>
    <w:rsid w:val="00D1472B"/>
    <w:rsid w:val="00D502C9"/>
    <w:rsid w:val="00D6273A"/>
    <w:rsid w:val="00D745F6"/>
    <w:rsid w:val="00DB20DC"/>
    <w:rsid w:val="00DC439F"/>
    <w:rsid w:val="00DF355F"/>
    <w:rsid w:val="00E13E23"/>
    <w:rsid w:val="00E20770"/>
    <w:rsid w:val="00E51685"/>
    <w:rsid w:val="00E56DB4"/>
    <w:rsid w:val="00E86FC6"/>
    <w:rsid w:val="00EB7227"/>
    <w:rsid w:val="00ED29D1"/>
    <w:rsid w:val="00ED733D"/>
    <w:rsid w:val="00EF1F02"/>
    <w:rsid w:val="00F10FA6"/>
    <w:rsid w:val="00F11E17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913A3"/>
    <w:rsid w:val="00FB1CEB"/>
    <w:rsid w:val="00FD26E7"/>
    <w:rsid w:val="00FE61BD"/>
    <w:rsid w:val="01663A2E"/>
    <w:rsid w:val="0297412E"/>
    <w:rsid w:val="03764359"/>
    <w:rsid w:val="062A7420"/>
    <w:rsid w:val="075A7AEE"/>
    <w:rsid w:val="077C35D2"/>
    <w:rsid w:val="07E850E6"/>
    <w:rsid w:val="085C469B"/>
    <w:rsid w:val="089A097F"/>
    <w:rsid w:val="091C23B2"/>
    <w:rsid w:val="092F3106"/>
    <w:rsid w:val="09410BF1"/>
    <w:rsid w:val="0C9D3D0B"/>
    <w:rsid w:val="0D7E134A"/>
    <w:rsid w:val="0D85075C"/>
    <w:rsid w:val="0DF963E9"/>
    <w:rsid w:val="0E7672C5"/>
    <w:rsid w:val="0ED92B75"/>
    <w:rsid w:val="0F7F503D"/>
    <w:rsid w:val="0FAE6C29"/>
    <w:rsid w:val="11191CEE"/>
    <w:rsid w:val="119E779B"/>
    <w:rsid w:val="12687DDE"/>
    <w:rsid w:val="1371112D"/>
    <w:rsid w:val="16913732"/>
    <w:rsid w:val="17960649"/>
    <w:rsid w:val="17F22F1C"/>
    <w:rsid w:val="18983BA2"/>
    <w:rsid w:val="195D5921"/>
    <w:rsid w:val="1A5F549A"/>
    <w:rsid w:val="1B210DE2"/>
    <w:rsid w:val="1B465117"/>
    <w:rsid w:val="1B5E13B5"/>
    <w:rsid w:val="1CDE56B9"/>
    <w:rsid w:val="1F916579"/>
    <w:rsid w:val="1F9424EF"/>
    <w:rsid w:val="1FD125BD"/>
    <w:rsid w:val="1FEF58A9"/>
    <w:rsid w:val="21A24099"/>
    <w:rsid w:val="22E976C6"/>
    <w:rsid w:val="233C2631"/>
    <w:rsid w:val="237D4256"/>
    <w:rsid w:val="26F644A7"/>
    <w:rsid w:val="272555CB"/>
    <w:rsid w:val="27565378"/>
    <w:rsid w:val="286949D5"/>
    <w:rsid w:val="299B31A4"/>
    <w:rsid w:val="2A474F55"/>
    <w:rsid w:val="2AB26F5B"/>
    <w:rsid w:val="2AD417E1"/>
    <w:rsid w:val="2AD84FDE"/>
    <w:rsid w:val="2B384D0C"/>
    <w:rsid w:val="2B507019"/>
    <w:rsid w:val="2C371094"/>
    <w:rsid w:val="2DA53F49"/>
    <w:rsid w:val="2E1B5620"/>
    <w:rsid w:val="30F64BB4"/>
    <w:rsid w:val="31C269CF"/>
    <w:rsid w:val="320C5AC1"/>
    <w:rsid w:val="320F2775"/>
    <w:rsid w:val="34BA1F84"/>
    <w:rsid w:val="34CE75EB"/>
    <w:rsid w:val="355E7591"/>
    <w:rsid w:val="35C345B9"/>
    <w:rsid w:val="363F04CE"/>
    <w:rsid w:val="376B761B"/>
    <w:rsid w:val="37AC6F44"/>
    <w:rsid w:val="380D59F8"/>
    <w:rsid w:val="3859546A"/>
    <w:rsid w:val="38A03BCB"/>
    <w:rsid w:val="38D1691F"/>
    <w:rsid w:val="38ED0CC4"/>
    <w:rsid w:val="39FD42B6"/>
    <w:rsid w:val="39FE599B"/>
    <w:rsid w:val="3A1905ED"/>
    <w:rsid w:val="3AB5320D"/>
    <w:rsid w:val="3C563FE2"/>
    <w:rsid w:val="3C6C5749"/>
    <w:rsid w:val="3D021EF5"/>
    <w:rsid w:val="3D5E4864"/>
    <w:rsid w:val="3E5164F0"/>
    <w:rsid w:val="3EE94128"/>
    <w:rsid w:val="3F8C0FC2"/>
    <w:rsid w:val="3F926B63"/>
    <w:rsid w:val="3FA7432D"/>
    <w:rsid w:val="3FB74917"/>
    <w:rsid w:val="408D1DBF"/>
    <w:rsid w:val="413F49BF"/>
    <w:rsid w:val="4254407F"/>
    <w:rsid w:val="44642B9A"/>
    <w:rsid w:val="446465AC"/>
    <w:rsid w:val="446505FA"/>
    <w:rsid w:val="44A83C7E"/>
    <w:rsid w:val="45176AA7"/>
    <w:rsid w:val="46A90E9B"/>
    <w:rsid w:val="46DB00F5"/>
    <w:rsid w:val="47174E88"/>
    <w:rsid w:val="4763732D"/>
    <w:rsid w:val="47833F1C"/>
    <w:rsid w:val="48C826EF"/>
    <w:rsid w:val="4A9577D3"/>
    <w:rsid w:val="4CB474F5"/>
    <w:rsid w:val="4F7D5596"/>
    <w:rsid w:val="503218B2"/>
    <w:rsid w:val="5061787F"/>
    <w:rsid w:val="51A82891"/>
    <w:rsid w:val="521F0CC0"/>
    <w:rsid w:val="5280236B"/>
    <w:rsid w:val="54002735"/>
    <w:rsid w:val="5454111A"/>
    <w:rsid w:val="545B6D7D"/>
    <w:rsid w:val="54CE0011"/>
    <w:rsid w:val="558E5CFC"/>
    <w:rsid w:val="57CF2865"/>
    <w:rsid w:val="580A7ED6"/>
    <w:rsid w:val="583973ED"/>
    <w:rsid w:val="598E2088"/>
    <w:rsid w:val="5A9E51A2"/>
    <w:rsid w:val="5BE87532"/>
    <w:rsid w:val="5C13462E"/>
    <w:rsid w:val="5DD53F43"/>
    <w:rsid w:val="5E884FCE"/>
    <w:rsid w:val="5F3A3FF1"/>
    <w:rsid w:val="5FED2422"/>
    <w:rsid w:val="609E2E97"/>
    <w:rsid w:val="60E96BD3"/>
    <w:rsid w:val="60EA0710"/>
    <w:rsid w:val="619A238F"/>
    <w:rsid w:val="626420CE"/>
    <w:rsid w:val="65B438AF"/>
    <w:rsid w:val="662A62C0"/>
    <w:rsid w:val="666B3A2F"/>
    <w:rsid w:val="66D413A6"/>
    <w:rsid w:val="67505231"/>
    <w:rsid w:val="67700545"/>
    <w:rsid w:val="68573DA0"/>
    <w:rsid w:val="686D1684"/>
    <w:rsid w:val="69C74112"/>
    <w:rsid w:val="6A7A5FBB"/>
    <w:rsid w:val="6A80342C"/>
    <w:rsid w:val="6BB22A90"/>
    <w:rsid w:val="6CAD71C1"/>
    <w:rsid w:val="6CC15B93"/>
    <w:rsid w:val="6F2A3638"/>
    <w:rsid w:val="71245776"/>
    <w:rsid w:val="72361DE7"/>
    <w:rsid w:val="733534E5"/>
    <w:rsid w:val="74026044"/>
    <w:rsid w:val="751E5983"/>
    <w:rsid w:val="75447AF6"/>
    <w:rsid w:val="75B852EA"/>
    <w:rsid w:val="75EE241A"/>
    <w:rsid w:val="77147612"/>
    <w:rsid w:val="777E2AB0"/>
    <w:rsid w:val="77EF24FB"/>
    <w:rsid w:val="78F06817"/>
    <w:rsid w:val="796D5445"/>
    <w:rsid w:val="7A9E5DDA"/>
    <w:rsid w:val="7AE73A40"/>
    <w:rsid w:val="7B590472"/>
    <w:rsid w:val="7B9C7432"/>
    <w:rsid w:val="7BBE0043"/>
    <w:rsid w:val="7C8A0422"/>
    <w:rsid w:val="7E7876FC"/>
    <w:rsid w:val="7F7635C6"/>
    <w:rsid w:val="7FA0258A"/>
    <w:rsid w:val="7FAE136F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6"/>
      <w:szCs w:val="26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9">
    <w:name w:val="Other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20">
    <w:name w:val="Heading #1|1"/>
    <w:basedOn w:val="1"/>
    <w:qFormat/>
    <w:uiPriority w:val="0"/>
    <w:pPr>
      <w:spacing w:after="180"/>
      <w:jc w:val="center"/>
      <w:outlineLvl w:val="0"/>
    </w:pPr>
    <w:rPr>
      <w:rFonts w:ascii="宋体" w:hAnsi="宋体" w:cs="宋体"/>
      <w:sz w:val="54"/>
      <w:szCs w:val="54"/>
      <w:lang w:val="zh-TW" w:eastAsia="zh-TW" w:bidi="zh-TW"/>
    </w:rPr>
  </w:style>
  <w:style w:type="paragraph" w:customStyle="1" w:styleId="21">
    <w:name w:val="Table caption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22">
    <w:name w:val="Other|2"/>
    <w:basedOn w:val="1"/>
    <w:qFormat/>
    <w:uiPriority w:val="0"/>
    <w:pPr>
      <w:spacing w:before="420"/>
      <w:jc w:val="center"/>
    </w:pPr>
    <w:rPr>
      <w:rFonts w:ascii="宋体" w:hAnsi="宋体" w:cs="宋体"/>
      <w:sz w:val="22"/>
      <w:lang w:val="zh-TW" w:eastAsia="zh-TW" w:bidi="zh-TW"/>
    </w:rPr>
  </w:style>
  <w:style w:type="paragraph" w:customStyle="1" w:styleId="2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5FB11-25CC-402C-BF75-A79E36193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1086</Words>
  <Characters>1172</Characters>
  <Lines>8</Lines>
  <Paragraphs>2</Paragraphs>
  <TotalTime>6</TotalTime>
  <ScaleCrop>false</ScaleCrop>
  <LinksUpToDate>false</LinksUpToDate>
  <CharactersWithSpaces>1172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2020-03-04T01:50:00Z</dcterms:created>
  <dc:creator>pc</dc:creator>
  <cp:lastModifiedBy>Agreed forever</cp:lastModifiedBy>
  <cp:lastPrinted>2024-01-12T02:21:18Z</cp:lastPrinted>
  <dcterms:modified xsi:type="dcterms:W3CDTF">2024-01-12T02:32:05Z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9FF5561C79BB4DC89A9F4DC049101F76_12</vt:lpwstr>
  </property>
</Properties>
</file>