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2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w:t>
      </w:r>
      <w:r>
        <w:rPr>
          <w:rFonts w:hint="eastAsia" w:ascii="黑体" w:hAnsi="黑体" w:eastAsia="黑体" w:cs="黑体"/>
          <w:color w:val="auto"/>
          <w:sz w:val="32"/>
          <w:szCs w:val="32"/>
          <w:lang w:eastAsia="zh-CN"/>
        </w:rPr>
        <w:t>件</w:t>
      </w:r>
      <w:r>
        <w:rPr>
          <w:rFonts w:hint="eastAsia" w:ascii="黑体" w:hAnsi="黑体" w:eastAsia="黑体" w:cs="黑体"/>
          <w:color w:val="auto"/>
          <w:sz w:val="32"/>
          <w:szCs w:val="32"/>
          <w:lang w:val="en-US" w:eastAsia="zh-CN"/>
        </w:rPr>
        <w:t>2</w:t>
      </w:r>
    </w:p>
    <w:p>
      <w:pPr>
        <w:snapToGrid w:val="0"/>
        <w:spacing w:line="600" w:lineRule="exact"/>
        <w:ind w:firstLine="720" w:firstLineChars="200"/>
        <w:jc w:val="center"/>
        <w:rPr>
          <w:rFonts w:hint="default" w:ascii="Times New Roman" w:hAnsi="Times New Roman" w:eastAsia="方正小标宋简体" w:cs="Times New Roman"/>
          <w:bCs/>
          <w:color w:val="auto"/>
          <w:sz w:val="36"/>
          <w:szCs w:val="36"/>
        </w:rPr>
      </w:pPr>
    </w:p>
    <w:p>
      <w:pPr>
        <w:snapToGrid w:val="0"/>
        <w:spacing w:line="600" w:lineRule="exact"/>
        <w:jc w:val="center"/>
        <w:rPr>
          <w:rFonts w:hint="default" w:ascii="Times New Roman" w:hAnsi="Times New Roman" w:eastAsia="方正小标宋简体" w:cs="Times New Roman"/>
          <w:bCs/>
          <w:color w:val="auto"/>
          <w:sz w:val="36"/>
          <w:szCs w:val="36"/>
          <w:lang w:eastAsia="zh-CN"/>
        </w:rPr>
      </w:pPr>
      <w:r>
        <w:rPr>
          <w:rFonts w:hint="default" w:ascii="Times New Roman" w:hAnsi="Times New Roman" w:eastAsia="方正小标宋简体" w:cs="Times New Roman"/>
          <w:bCs/>
          <w:color w:val="auto"/>
          <w:sz w:val="36"/>
          <w:szCs w:val="36"/>
        </w:rPr>
        <w:t>20</w:t>
      </w:r>
      <w:r>
        <w:rPr>
          <w:rFonts w:hint="default" w:ascii="Times New Roman" w:hAnsi="Times New Roman" w:eastAsia="方正小标宋简体" w:cs="Times New Roman"/>
          <w:bCs/>
          <w:color w:val="auto"/>
          <w:sz w:val="36"/>
          <w:szCs w:val="36"/>
          <w:lang w:val="en-US" w:eastAsia="zh-CN"/>
        </w:rPr>
        <w:t>2</w:t>
      </w:r>
      <w:r>
        <w:rPr>
          <w:rFonts w:hint="eastAsia" w:eastAsia="方正小标宋简体" w:cs="Times New Roman"/>
          <w:bCs/>
          <w:color w:val="auto"/>
          <w:sz w:val="36"/>
          <w:szCs w:val="36"/>
          <w:lang w:val="en-US" w:eastAsia="zh-CN"/>
        </w:rPr>
        <w:t>2</w:t>
      </w:r>
      <w:r>
        <w:rPr>
          <w:rFonts w:hint="default" w:ascii="Times New Roman" w:hAnsi="Times New Roman" w:eastAsia="方正小标宋简体" w:cs="Times New Roman"/>
          <w:bCs/>
          <w:color w:val="auto"/>
          <w:sz w:val="36"/>
          <w:szCs w:val="36"/>
        </w:rPr>
        <w:t>年度</w:t>
      </w:r>
      <w:r>
        <w:rPr>
          <w:rFonts w:hint="default" w:ascii="Times New Roman" w:hAnsi="Times New Roman" w:eastAsia="方正小标宋简体" w:cs="Times New Roman"/>
          <w:bCs/>
          <w:color w:val="auto"/>
          <w:sz w:val="36"/>
          <w:szCs w:val="36"/>
          <w:lang w:eastAsia="zh-CN"/>
        </w:rPr>
        <w:t>西安市鼓励企业上市挂牌融资奖励</w:t>
      </w:r>
    </w:p>
    <w:p>
      <w:pPr>
        <w:snapToGrid w:val="0"/>
        <w:spacing w:line="600" w:lineRule="exact"/>
        <w:jc w:val="center"/>
        <w:rPr>
          <w:rFonts w:hint="default" w:ascii="Times New Roman" w:hAnsi="Times New Roman" w:eastAsia="方正小标宋简体" w:cs="Times New Roman"/>
          <w:bCs/>
          <w:color w:val="auto"/>
          <w:sz w:val="36"/>
          <w:szCs w:val="36"/>
        </w:rPr>
      </w:pPr>
      <w:r>
        <w:rPr>
          <w:rFonts w:hint="default" w:ascii="Times New Roman" w:hAnsi="Times New Roman" w:eastAsia="方正小标宋简体" w:cs="Times New Roman"/>
          <w:bCs/>
          <w:color w:val="auto"/>
          <w:sz w:val="36"/>
          <w:szCs w:val="36"/>
        </w:rPr>
        <w:t>申报指南</w:t>
      </w:r>
    </w:p>
    <w:p>
      <w:pPr>
        <w:spacing w:line="600" w:lineRule="exact"/>
        <w:ind w:firstLine="640" w:firstLineChars="200"/>
        <w:rPr>
          <w:rFonts w:hint="default" w:ascii="Times New Roman" w:hAnsi="Times New Roman" w:eastAsia="黑体" w:cs="Times New Roman"/>
          <w:color w:val="auto"/>
          <w:szCs w:val="32"/>
        </w:rPr>
      </w:pPr>
    </w:p>
    <w:p>
      <w:pPr>
        <w:spacing w:line="600" w:lineRule="exact"/>
        <w:ind w:firstLine="640" w:firstLineChars="200"/>
        <w:rPr>
          <w:rFonts w:hint="default" w:ascii="Times New Roman" w:hAnsi="Times New Roman" w:eastAsia="黑体" w:cs="Times New Roman"/>
          <w:color w:val="auto"/>
          <w:szCs w:val="32"/>
        </w:rPr>
      </w:pPr>
      <w:r>
        <w:rPr>
          <w:rFonts w:hint="default" w:ascii="Times New Roman" w:hAnsi="Times New Roman" w:eastAsia="黑体" w:cs="Times New Roman"/>
          <w:color w:val="auto"/>
          <w:szCs w:val="32"/>
        </w:rPr>
        <w:t>一、支持方式及标准</w:t>
      </w:r>
    </w:p>
    <w:p>
      <w:pPr>
        <w:spacing w:line="600" w:lineRule="exact"/>
        <w:ind w:firstLine="640" w:firstLineChars="200"/>
        <w:rPr>
          <w:rFonts w:hint="default" w:ascii="Times New Roman" w:hAnsi="Times New Roman" w:eastAsia="楷体" w:cs="Times New Roman"/>
          <w:color w:val="auto"/>
        </w:rPr>
      </w:pPr>
      <w:r>
        <w:rPr>
          <w:rFonts w:hint="default" w:ascii="Times New Roman" w:hAnsi="Times New Roman" w:eastAsia="楷体" w:cs="Times New Roman"/>
          <w:color w:val="auto"/>
          <w:szCs w:val="32"/>
        </w:rPr>
        <w:t>（一）支持方式：</w:t>
      </w:r>
      <w:r>
        <w:rPr>
          <w:rFonts w:hint="default" w:ascii="Times New Roman" w:hAnsi="Times New Roman" w:eastAsia="楷体" w:cs="Times New Roman"/>
          <w:color w:val="auto"/>
        </w:rPr>
        <w:t>专项资金主要采取事后奖励补助的形式，经审核后，按本办法拨付给企业。</w:t>
      </w:r>
    </w:p>
    <w:p>
      <w:pPr>
        <w:spacing w:line="600" w:lineRule="exact"/>
        <w:ind w:firstLine="640" w:firstLineChars="200"/>
        <w:rPr>
          <w:rFonts w:hint="default" w:ascii="Times New Roman" w:hAnsi="Times New Roman" w:eastAsia="楷体" w:cs="Times New Roman"/>
          <w:color w:val="auto"/>
          <w:szCs w:val="32"/>
        </w:rPr>
      </w:pPr>
      <w:r>
        <w:rPr>
          <w:rFonts w:hint="default" w:ascii="Times New Roman" w:hAnsi="Times New Roman" w:eastAsia="楷体" w:cs="Times New Roman"/>
          <w:color w:val="auto"/>
          <w:szCs w:val="32"/>
        </w:rPr>
        <w:t>（二）支持标准：</w:t>
      </w:r>
    </w:p>
    <w:p>
      <w:pPr>
        <w:numPr>
          <w:ilvl w:val="0"/>
          <w:numId w:val="1"/>
        </w:numPr>
        <w:autoSpaceDN w:val="0"/>
        <w:spacing w:line="600" w:lineRule="exact"/>
        <w:ind w:left="1065" w:leftChars="0" w:hanging="425" w:firstLineChars="0"/>
        <w:rPr>
          <w:rFonts w:hint="default" w:ascii="Times New Roman" w:hAnsi="Times New Roman" w:eastAsia="仿宋_GB2312" w:cs="Times New Roman"/>
          <w:color w:val="auto"/>
        </w:rPr>
      </w:pPr>
      <w:r>
        <w:rPr>
          <w:rFonts w:hint="default" w:ascii="Times New Roman" w:hAnsi="Times New Roman" w:eastAsia="仿宋_GB2312" w:cs="Times New Roman"/>
          <w:color w:val="auto"/>
          <w:lang w:eastAsia="zh-CN"/>
        </w:rPr>
        <w:t>对上市挂牌后备企业的奖励标准</w:t>
      </w:r>
      <w:r>
        <w:rPr>
          <w:rFonts w:hint="default" w:ascii="Times New Roman" w:hAnsi="Times New Roman" w:eastAsia="仿宋_GB2312" w:cs="Times New Roman"/>
          <w:color w:val="auto"/>
        </w:rPr>
        <w:t>:</w:t>
      </w:r>
    </w:p>
    <w:p>
      <w:pPr>
        <w:autoSpaceDN w:val="0"/>
        <w:spacing w:line="600" w:lineRule="exact"/>
        <w:ind w:firstLine="632"/>
        <w:rPr>
          <w:rFonts w:hint="default" w:ascii="Times New Roman" w:hAnsi="Times New Roman" w:eastAsia="仿宋_GB2312" w:cs="Times New Roman"/>
          <w:color w:val="auto"/>
          <w:lang w:eastAsia="zh-CN"/>
        </w:rPr>
      </w:pPr>
      <w:r>
        <w:rPr>
          <w:rFonts w:hint="default" w:ascii="Times New Roman" w:hAnsi="Times New Roman" w:eastAsia="仿宋_GB2312" w:cs="Times New Roman"/>
          <w:color w:val="auto"/>
        </w:rPr>
        <w:t>（1）</w:t>
      </w:r>
      <w:r>
        <w:rPr>
          <w:rFonts w:hint="default" w:ascii="Times New Roman" w:hAnsi="Times New Roman" w:eastAsia="仿宋_GB2312" w:cs="Times New Roman"/>
          <w:color w:val="auto"/>
          <w:lang w:eastAsia="zh-CN"/>
        </w:rPr>
        <w:t>报陕西证监局辅导备案的企业，奖励</w:t>
      </w:r>
      <w:r>
        <w:rPr>
          <w:rFonts w:hint="default" w:ascii="Times New Roman" w:hAnsi="Times New Roman" w:eastAsia="仿宋_GB2312" w:cs="Times New Roman"/>
          <w:color w:val="auto"/>
          <w:lang w:val="en-US" w:eastAsia="zh-CN"/>
        </w:rPr>
        <w:t>20万元</w:t>
      </w:r>
      <w:r>
        <w:rPr>
          <w:rFonts w:hint="default" w:ascii="Times New Roman" w:hAnsi="Times New Roman" w:eastAsia="仿宋_GB2312" w:cs="Times New Roman"/>
          <w:color w:val="auto"/>
          <w:lang w:eastAsia="zh-CN"/>
        </w:rPr>
        <w:t>；</w:t>
      </w:r>
    </w:p>
    <w:p>
      <w:pPr>
        <w:autoSpaceDN w:val="0"/>
        <w:spacing w:line="600" w:lineRule="exact"/>
        <w:ind w:firstLine="632"/>
        <w:rPr>
          <w:rFonts w:hint="default" w:ascii="Times New Roman" w:hAnsi="Times New Roman" w:eastAsia="仿宋_GB2312" w:cs="Times New Roman"/>
          <w:color w:val="auto"/>
          <w:lang w:eastAsia="zh-CN"/>
        </w:rPr>
      </w:pPr>
      <w:r>
        <w:rPr>
          <w:rFonts w:hint="default" w:ascii="Times New Roman" w:hAnsi="Times New Roman" w:eastAsia="仿宋_GB2312" w:cs="Times New Roman"/>
          <w:color w:val="auto"/>
        </w:rPr>
        <w:t>（2）</w:t>
      </w:r>
      <w:r>
        <w:rPr>
          <w:rFonts w:hint="default" w:ascii="Times New Roman" w:hAnsi="Times New Roman" w:eastAsia="仿宋_GB2312" w:cs="Times New Roman"/>
          <w:color w:val="auto"/>
          <w:lang w:eastAsia="zh-CN"/>
        </w:rPr>
        <w:t>通过陕西证监局辅导验收的企业，奖励</w:t>
      </w:r>
      <w:r>
        <w:rPr>
          <w:rFonts w:hint="default" w:ascii="Times New Roman" w:hAnsi="Times New Roman" w:eastAsia="仿宋_GB2312" w:cs="Times New Roman"/>
          <w:color w:val="auto"/>
          <w:lang w:val="en-US" w:eastAsia="zh-CN"/>
        </w:rPr>
        <w:t>30万元</w:t>
      </w:r>
      <w:r>
        <w:rPr>
          <w:rFonts w:hint="default" w:ascii="Times New Roman" w:hAnsi="Times New Roman" w:eastAsia="仿宋_GB2312" w:cs="Times New Roman"/>
          <w:color w:val="auto"/>
          <w:lang w:eastAsia="zh-CN"/>
        </w:rPr>
        <w:t>；</w:t>
      </w:r>
    </w:p>
    <w:p>
      <w:pPr>
        <w:autoSpaceDN w:val="0"/>
        <w:spacing w:line="600" w:lineRule="exact"/>
        <w:ind w:firstLine="634"/>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（3）已在陕西证监局辅导备案的企业，在改制过程中通过未分配利润、盈余公积等留存收益和资本公积转增股本，且已缴纳所得税等相关税费的企业，可按照转增股本金额的5%，给予最高不超过200万元的奖励。</w:t>
      </w:r>
    </w:p>
    <w:p>
      <w:pPr>
        <w:numPr>
          <w:ilvl w:val="0"/>
          <w:numId w:val="1"/>
        </w:numPr>
        <w:autoSpaceDN w:val="0"/>
        <w:spacing w:line="600" w:lineRule="exact"/>
        <w:ind w:left="1065" w:leftChars="0" w:hanging="425" w:firstLineChars="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在境内外首发上市的企业的奖励标准：</w:t>
      </w:r>
    </w:p>
    <w:p>
      <w:pPr>
        <w:autoSpaceDN w:val="0"/>
        <w:spacing w:line="600" w:lineRule="exact"/>
        <w:ind w:firstLine="634"/>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（1）在主板首发上市的，一次性奖励500万元；</w:t>
      </w:r>
    </w:p>
    <w:p>
      <w:pPr>
        <w:autoSpaceDN w:val="0"/>
        <w:spacing w:line="600" w:lineRule="exact"/>
        <w:ind w:firstLine="634"/>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（2）在科创板、创业板首发上市的，一次性奖励400万元；</w:t>
      </w:r>
    </w:p>
    <w:p>
      <w:pPr>
        <w:autoSpaceDN w:val="0"/>
        <w:spacing w:line="600" w:lineRule="exact"/>
        <w:ind w:firstLine="634"/>
        <w:rPr>
          <w:rFonts w:hint="default" w:ascii="Times New Roman" w:hAnsi="Times New Roman" w:eastAsia="仿宋_GB2312" w:cs="Times New Roman"/>
          <w:b w:val="0"/>
          <w:bCs w:val="0"/>
          <w:color w:val="auto"/>
          <w:szCs w:val="32"/>
          <w:lang w:val="en-US" w:eastAsia="zh-CN"/>
        </w:rPr>
      </w:pPr>
      <w:r>
        <w:rPr>
          <w:rFonts w:hint="eastAsia" w:eastAsia="仿宋_GB2312" w:cs="Times New Roman"/>
          <w:b w:val="0"/>
          <w:bCs w:val="0"/>
          <w:color w:val="auto"/>
          <w:szCs w:val="32"/>
          <w:lang w:val="en-US" w:eastAsia="zh-CN"/>
        </w:rPr>
        <w:t>（3）</w:t>
      </w:r>
      <w:r>
        <w:rPr>
          <w:rFonts w:hint="default" w:ascii="Times New Roman" w:hAnsi="Times New Roman" w:eastAsia="仿宋_GB2312" w:cs="Times New Roman"/>
          <w:b w:val="0"/>
          <w:bCs w:val="0"/>
          <w:color w:val="auto"/>
          <w:szCs w:val="32"/>
          <w:lang w:val="en-US" w:eastAsia="zh-CN"/>
        </w:rPr>
        <w:t>在境外主要证券市场首发上市的，一次性奖励300万元。</w:t>
      </w:r>
    </w:p>
    <w:p>
      <w:pPr>
        <w:autoSpaceDN w:val="0"/>
        <w:spacing w:line="600" w:lineRule="exact"/>
        <w:ind w:firstLine="634"/>
        <w:rPr>
          <w:rFonts w:hint="eastAsia" w:eastAsia="仿宋_GB2312" w:cs="Times New Roman"/>
          <w:sz w:val="32"/>
          <w:szCs w:val="32"/>
          <w:lang w:val="en-US" w:eastAsia="zh-CN"/>
        </w:rPr>
      </w:pPr>
      <w:r>
        <w:rPr>
          <w:rFonts w:hint="eastAsia" w:eastAsia="仿宋_GB2312" w:cs="Times New Roman"/>
          <w:b w:val="0"/>
          <w:bCs w:val="0"/>
          <w:color w:val="auto"/>
          <w:szCs w:val="32"/>
          <w:lang w:val="en-US" w:eastAsia="zh-CN"/>
        </w:rPr>
        <w:t>特别说明：</w:t>
      </w:r>
      <w:r>
        <w:rPr>
          <w:rFonts w:hint="eastAsia" w:eastAsia="仿宋_GB2312" w:cs="Times New Roman"/>
          <w:sz w:val="32"/>
          <w:szCs w:val="32"/>
          <w:lang w:val="en-US" w:eastAsia="zh-CN"/>
        </w:rPr>
        <w:t>按照</w:t>
      </w:r>
      <w:r>
        <w:rPr>
          <w:rFonts w:hint="eastAsia" w:ascii="Times New Roman" w:hAnsi="Times New Roman" w:eastAsia="仿宋_GB2312" w:cs="Times New Roman"/>
          <w:sz w:val="32"/>
          <w:szCs w:val="32"/>
          <w:lang w:val="en-US" w:eastAsia="zh-CN"/>
        </w:rPr>
        <w:t>《西安市金融支持经济稳增长工作措施》</w:t>
      </w:r>
      <w:r>
        <w:rPr>
          <w:rFonts w:hint="eastAsia" w:eastAsia="仿宋_GB2312" w:cs="Times New Roman"/>
          <w:sz w:val="32"/>
          <w:szCs w:val="32"/>
          <w:lang w:val="en-US" w:eastAsia="zh-CN"/>
        </w:rPr>
        <w:t>（市政办发〔2022〕25 号，6月15日印发），对在主板、科创板、创业板和北交所上市的企业给予上市奖励，在原有奖励基础上分别再增加 100 万元，有效期至 2022 年 12 月 31 日。</w:t>
      </w:r>
    </w:p>
    <w:p>
      <w:pPr>
        <w:keepNext w:val="0"/>
        <w:keepLines w:val="0"/>
        <w:pageBreakBefore w:val="0"/>
        <w:widowControl w:val="0"/>
        <w:numPr>
          <w:ilvl w:val="0"/>
          <w:numId w:val="1"/>
        </w:numPr>
        <w:kinsoku/>
        <w:wordWrap/>
        <w:overflowPunct/>
        <w:topLinePunct w:val="0"/>
        <w:autoSpaceDE/>
        <w:autoSpaceDN w:val="0"/>
        <w:bidi w:val="0"/>
        <w:adjustRightInd/>
        <w:snapToGrid/>
        <w:spacing w:line="600" w:lineRule="exact"/>
        <w:ind w:left="1065" w:leftChars="0" w:hanging="425" w:firstLineChars="0"/>
        <w:textAlignment w:val="auto"/>
        <w:rPr>
          <w:rFonts w:hint="default" w:ascii="Times New Roman" w:hAnsi="Times New Roman" w:eastAsia="仿宋_GB2312" w:cs="Times New Roman"/>
          <w:b w:val="0"/>
          <w:bCs w:val="0"/>
          <w:color w:val="auto"/>
          <w:szCs w:val="32"/>
          <w:lang w:val="en-US" w:eastAsia="zh-CN"/>
        </w:rPr>
      </w:pPr>
      <w:r>
        <w:rPr>
          <w:rFonts w:hint="eastAsia" w:eastAsia="仿宋_GB2312" w:cs="Times New Roman"/>
          <w:b w:val="0"/>
          <w:bCs w:val="0"/>
          <w:color w:val="auto"/>
          <w:szCs w:val="32"/>
          <w:lang w:val="en-US" w:eastAsia="zh-CN"/>
        </w:rPr>
        <w:t>上市公司迁入的奖励标准：</w:t>
      </w:r>
    </w:p>
    <w:p>
      <w:pPr>
        <w:keepNext w:val="0"/>
        <w:keepLines w:val="0"/>
        <w:pageBreakBefore w:val="0"/>
        <w:widowControl w:val="0"/>
        <w:numPr>
          <w:ilvl w:val="0"/>
          <w:numId w:val="0"/>
        </w:numPr>
        <w:kinsoku/>
        <w:wordWrap/>
        <w:overflowPunct/>
        <w:topLinePunct w:val="0"/>
        <w:autoSpaceDE/>
        <w:autoSpaceDN w:val="0"/>
        <w:bidi w:val="0"/>
        <w:adjustRightInd/>
        <w:snapToGrid/>
        <w:spacing w:line="600" w:lineRule="exact"/>
        <w:ind w:firstLine="640" w:firstLineChars="200"/>
        <w:textAlignment w:val="auto"/>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收购或者控股在上海证券交易所、深圳证券交易所上市的西安市外公司，并将上市公司注册地、纳税地迁入我市的，一次性奖励300万元。</w:t>
      </w:r>
    </w:p>
    <w:p>
      <w:pPr>
        <w:numPr>
          <w:ilvl w:val="0"/>
          <w:numId w:val="1"/>
        </w:numPr>
        <w:autoSpaceDN w:val="0"/>
        <w:spacing w:line="600" w:lineRule="exact"/>
        <w:ind w:left="1065" w:leftChars="0" w:hanging="425" w:firstLineChars="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在新三板挂牌企业的奖励标准：</w:t>
      </w:r>
    </w:p>
    <w:p>
      <w:pPr>
        <w:autoSpaceDN w:val="0"/>
        <w:spacing w:line="600" w:lineRule="exact"/>
        <w:ind w:firstLine="634"/>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在全国中小企业股份转让系统挂牌成功的，奖励100万元；在北京证券交易所上市后，补充奖励 300 万元；转板到主板上市的，再奖励 100 万元。</w:t>
      </w:r>
    </w:p>
    <w:p>
      <w:pPr>
        <w:autoSpaceDN w:val="0"/>
        <w:spacing w:line="600" w:lineRule="exact"/>
        <w:ind w:firstLine="634"/>
        <w:rPr>
          <w:rFonts w:hint="default" w:ascii="Times New Roman" w:hAnsi="Times New Roman" w:eastAsia="仿宋_GB2312" w:cs="Times New Roman"/>
          <w:b w:val="0"/>
          <w:bCs w:val="0"/>
          <w:color w:val="auto"/>
          <w:szCs w:val="32"/>
          <w:lang w:val="en-US" w:eastAsia="zh-CN"/>
        </w:rPr>
      </w:pPr>
      <w:r>
        <w:rPr>
          <w:rFonts w:hint="eastAsia" w:eastAsia="仿宋_GB2312" w:cs="Times New Roman"/>
          <w:b w:val="0"/>
          <w:bCs w:val="0"/>
          <w:color w:val="auto"/>
          <w:szCs w:val="32"/>
          <w:lang w:val="en-US" w:eastAsia="zh-CN"/>
        </w:rPr>
        <w:t>特别说明：</w:t>
      </w:r>
      <w:r>
        <w:rPr>
          <w:rFonts w:hint="eastAsia" w:eastAsia="仿宋_GB2312" w:cs="Times New Roman"/>
          <w:sz w:val="32"/>
          <w:szCs w:val="32"/>
          <w:lang w:val="en-US" w:eastAsia="zh-CN"/>
        </w:rPr>
        <w:t>按照</w:t>
      </w:r>
      <w:r>
        <w:rPr>
          <w:rFonts w:hint="eastAsia" w:ascii="Times New Roman" w:hAnsi="Times New Roman" w:eastAsia="仿宋_GB2312" w:cs="Times New Roman"/>
          <w:sz w:val="32"/>
          <w:szCs w:val="32"/>
          <w:lang w:val="en-US" w:eastAsia="zh-CN"/>
        </w:rPr>
        <w:t>《西安市金融支持经济稳增长工作措施》</w:t>
      </w:r>
      <w:r>
        <w:rPr>
          <w:rFonts w:hint="eastAsia" w:eastAsia="仿宋_GB2312" w:cs="Times New Roman"/>
          <w:sz w:val="32"/>
          <w:szCs w:val="32"/>
          <w:lang w:val="en-US" w:eastAsia="zh-CN"/>
        </w:rPr>
        <w:t>（市政办发〔2022〕25 号，6月15日印发），对在主板、科创板、创业板和北交所上市的企业给予上市奖励，在原有奖励基础上分别再增加 100 万元，有效期至 2022 年 12 月 31 日。</w:t>
      </w:r>
    </w:p>
    <w:p>
      <w:pPr>
        <w:numPr>
          <w:ilvl w:val="0"/>
          <w:numId w:val="1"/>
        </w:numPr>
        <w:autoSpaceDN w:val="0"/>
        <w:spacing w:line="600" w:lineRule="exact"/>
        <w:ind w:left="1065" w:leftChars="0" w:hanging="425" w:firstLineChars="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开展再融资的奖励标准：</w:t>
      </w:r>
    </w:p>
    <w:p>
      <w:pPr>
        <w:autoSpaceDN w:val="0"/>
        <w:spacing w:line="600" w:lineRule="exact"/>
        <w:ind w:firstLine="634"/>
        <w:rPr>
          <w:rFonts w:hint="eastAsia"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在境内外证券市场已上市挂牌企业，开展再融资的，按实际融资额的0.2%予以奖励，最高不超过200万元</w:t>
      </w:r>
      <w:r>
        <w:rPr>
          <w:rFonts w:hint="eastAsia" w:eastAsia="仿宋_GB2312" w:cs="Times New Roman"/>
          <w:b w:val="0"/>
          <w:bCs w:val="0"/>
          <w:color w:val="auto"/>
          <w:szCs w:val="32"/>
          <w:lang w:val="en-US" w:eastAsia="zh-CN"/>
        </w:rPr>
        <w:t>。</w:t>
      </w:r>
    </w:p>
    <w:p>
      <w:pPr>
        <w:autoSpaceDN w:val="0"/>
        <w:spacing w:line="600" w:lineRule="exact"/>
        <w:ind w:firstLine="634"/>
        <w:rPr>
          <w:rFonts w:hint="default" w:eastAsia="仿宋_GB2312" w:cs="Times New Roman"/>
          <w:b w:val="0"/>
          <w:bCs w:val="0"/>
          <w:color w:val="auto"/>
          <w:szCs w:val="32"/>
          <w:lang w:val="en-US" w:eastAsia="zh-CN"/>
        </w:rPr>
      </w:pPr>
      <w:r>
        <w:rPr>
          <w:rFonts w:hint="eastAsia" w:eastAsia="仿宋_GB2312" w:cs="Times New Roman"/>
          <w:b w:val="0"/>
          <w:bCs w:val="0"/>
          <w:color w:val="auto"/>
          <w:szCs w:val="32"/>
          <w:lang w:val="en-US" w:eastAsia="zh-CN"/>
        </w:rPr>
        <w:t>特别说明：</w:t>
      </w:r>
      <w:r>
        <w:rPr>
          <w:rFonts w:hint="eastAsia" w:eastAsia="仿宋_GB2312" w:cs="Times New Roman"/>
          <w:sz w:val="32"/>
          <w:szCs w:val="32"/>
          <w:lang w:val="en-US" w:eastAsia="zh-CN"/>
        </w:rPr>
        <w:t>按照</w:t>
      </w:r>
      <w:r>
        <w:rPr>
          <w:rFonts w:hint="eastAsia" w:ascii="Times New Roman" w:hAnsi="Times New Roman" w:eastAsia="仿宋_GB2312" w:cs="Times New Roman"/>
          <w:sz w:val="32"/>
          <w:szCs w:val="32"/>
          <w:lang w:val="en-US" w:eastAsia="zh-CN"/>
        </w:rPr>
        <w:t>《西安市金融支持经济稳增长工作措施》</w:t>
      </w:r>
      <w:r>
        <w:rPr>
          <w:rFonts w:hint="eastAsia" w:eastAsia="仿宋_GB2312" w:cs="Times New Roman"/>
          <w:sz w:val="32"/>
          <w:szCs w:val="32"/>
          <w:lang w:val="en-US" w:eastAsia="zh-CN"/>
        </w:rPr>
        <w:t>（市政办发〔2022〕25 号，6月15日印发），</w:t>
      </w:r>
      <w:r>
        <w:rPr>
          <w:rFonts w:hint="default" w:eastAsia="仿宋_GB2312" w:cs="Times New Roman"/>
          <w:b w:val="0"/>
          <w:bCs w:val="0"/>
          <w:color w:val="auto"/>
          <w:szCs w:val="32"/>
          <w:lang w:val="en-US" w:eastAsia="zh-CN"/>
        </w:rPr>
        <w:t>上市挂牌企业再融资的，在原有奖励基础上按照融资额再增加 0.3%奖励，最高不超过 200 万元。</w:t>
      </w:r>
    </w:p>
    <w:p>
      <w:pPr>
        <w:autoSpaceDN w:val="0"/>
        <w:spacing w:line="600" w:lineRule="exact"/>
        <w:ind w:firstLine="634"/>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在陕西股权交易中心科技创新专板挂牌企业，首次开展股权融资的，按实际融资额的3%予以奖励，最高不超过50万元。</w:t>
      </w:r>
    </w:p>
    <w:p>
      <w:pPr>
        <w:autoSpaceDN w:val="0"/>
        <w:spacing w:line="600" w:lineRule="exact"/>
        <w:ind w:firstLine="634"/>
        <w:rPr>
          <w:rFonts w:hint="eastAsia" w:ascii="Times New Roman" w:hAnsi="Times New Roman" w:eastAsia="仿宋_GB2312" w:cs="Times New Roman"/>
          <w:b w:val="0"/>
          <w:bCs w:val="0"/>
          <w:color w:val="auto"/>
          <w:szCs w:val="32"/>
          <w:lang w:val="en-US" w:eastAsia="zh-CN"/>
        </w:rPr>
      </w:pPr>
      <w:r>
        <w:rPr>
          <w:rFonts w:hint="eastAsia" w:eastAsia="仿宋_GB2312" w:cs="Times New Roman"/>
          <w:b w:val="0"/>
          <w:bCs w:val="0"/>
          <w:color w:val="auto"/>
          <w:szCs w:val="32"/>
          <w:lang w:val="en-US" w:eastAsia="zh-CN"/>
        </w:rPr>
        <w:t>备注：计算实际</w:t>
      </w:r>
      <w:r>
        <w:rPr>
          <w:rFonts w:hint="default" w:ascii="Times New Roman" w:hAnsi="Times New Roman" w:eastAsia="仿宋_GB2312" w:cs="Times New Roman"/>
          <w:b w:val="0"/>
          <w:bCs w:val="0"/>
          <w:color w:val="auto"/>
          <w:szCs w:val="32"/>
          <w:lang w:val="en-US" w:eastAsia="zh-CN"/>
        </w:rPr>
        <w:t>再融资</w:t>
      </w:r>
      <w:r>
        <w:rPr>
          <w:rFonts w:hint="eastAsia" w:eastAsia="仿宋_GB2312" w:cs="Times New Roman"/>
          <w:b w:val="0"/>
          <w:bCs w:val="0"/>
          <w:color w:val="auto"/>
          <w:szCs w:val="32"/>
          <w:lang w:val="en-US" w:eastAsia="zh-CN"/>
        </w:rPr>
        <w:t>额需要</w:t>
      </w:r>
      <w:r>
        <w:rPr>
          <w:rFonts w:ascii="Times New Roman" w:hAnsi="Times New Roman" w:eastAsia="仿宋_GB2312" w:cs="Times New Roman"/>
          <w:sz w:val="32"/>
        </w:rPr>
        <w:t>需扣除发行费用和实际控制人及公司人员的认购部分</w:t>
      </w:r>
      <w:r>
        <w:rPr>
          <w:rFonts w:hint="eastAsia" w:eastAsia="仿宋_GB2312" w:cs="Times New Roman"/>
          <w:sz w:val="32"/>
          <w:lang w:eastAsia="zh-CN"/>
        </w:rPr>
        <w:t>。</w:t>
      </w:r>
    </w:p>
    <w:p>
      <w:pPr>
        <w:numPr>
          <w:ilvl w:val="0"/>
          <w:numId w:val="1"/>
        </w:numPr>
        <w:autoSpaceDN w:val="0"/>
        <w:spacing w:line="600" w:lineRule="exact"/>
        <w:ind w:left="1065" w:leftChars="0" w:hanging="425" w:firstLineChars="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基础设施领域不动产投资信托基金（REITs）</w:t>
      </w:r>
      <w:r>
        <w:rPr>
          <w:rFonts w:hint="eastAsia" w:eastAsia="仿宋_GB2312" w:cs="Times New Roman"/>
          <w:b w:val="0"/>
          <w:bCs w:val="0"/>
          <w:color w:val="auto"/>
          <w:szCs w:val="32"/>
          <w:lang w:val="en-US" w:eastAsia="zh-CN"/>
        </w:rPr>
        <w:t>的奖励标准</w:t>
      </w:r>
      <w:r>
        <w:rPr>
          <w:rFonts w:hint="default" w:ascii="Times New Roman" w:hAnsi="Times New Roman" w:eastAsia="仿宋_GB2312" w:cs="Times New Roman"/>
          <w:b w:val="0"/>
          <w:bCs w:val="0"/>
          <w:color w:val="auto"/>
          <w:szCs w:val="32"/>
          <w:lang w:val="en-US" w:eastAsia="zh-CN"/>
        </w:rPr>
        <w:t>。</w:t>
      </w:r>
    </w:p>
    <w:p>
      <w:pPr>
        <w:numPr>
          <w:ilvl w:val="0"/>
          <w:numId w:val="0"/>
        </w:numPr>
        <w:autoSpaceDN w:val="0"/>
        <w:spacing w:line="600" w:lineRule="exact"/>
        <w:ind w:firstLine="640" w:firstLineChars="20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对基础设施REITs原始权益人</w:t>
      </w:r>
      <w:r>
        <w:rPr>
          <w:rFonts w:hint="eastAsia" w:eastAsia="仿宋_GB2312" w:cs="Times New Roman"/>
          <w:b w:val="0"/>
          <w:bCs w:val="0"/>
          <w:color w:val="auto"/>
          <w:szCs w:val="32"/>
          <w:lang w:val="en-US" w:eastAsia="zh-CN"/>
        </w:rPr>
        <w:t>，</w:t>
      </w:r>
      <w:r>
        <w:rPr>
          <w:rFonts w:hint="default" w:ascii="Times New Roman" w:hAnsi="Times New Roman" w:eastAsia="仿宋_GB2312" w:cs="Times New Roman"/>
          <w:b w:val="0"/>
          <w:bCs w:val="0"/>
          <w:color w:val="auto"/>
          <w:szCs w:val="32"/>
          <w:lang w:val="en-US" w:eastAsia="zh-CN"/>
        </w:rPr>
        <w:t>项目已纳入国家发改委基础设施REITs储备项目库的，可对前期经费按照实际支出的50%予以一次性奖励补助，最高补助金额不超过300万元。</w:t>
      </w:r>
    </w:p>
    <w:p>
      <w:pPr>
        <w:numPr>
          <w:ilvl w:val="0"/>
          <w:numId w:val="0"/>
        </w:numPr>
        <w:autoSpaceDN w:val="0"/>
        <w:spacing w:line="600" w:lineRule="exact"/>
        <w:ind w:firstLine="640" w:firstLineChars="20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企业成功发行基础设施REITs产品的，可按其发行规模的0.5%给予一次性奖励补助，最高补助金额不超过500万元</w:t>
      </w:r>
      <w:r>
        <w:rPr>
          <w:rFonts w:hint="eastAsia" w:eastAsia="仿宋_GB2312" w:cs="Times New Roman"/>
          <w:b w:val="0"/>
          <w:bCs w:val="0"/>
          <w:color w:val="auto"/>
          <w:szCs w:val="32"/>
          <w:lang w:val="en-US" w:eastAsia="zh-CN"/>
        </w:rPr>
        <w:t>。</w:t>
      </w:r>
    </w:p>
    <w:p>
      <w:pPr>
        <w:numPr>
          <w:ilvl w:val="0"/>
          <w:numId w:val="1"/>
        </w:numPr>
        <w:autoSpaceDN w:val="0"/>
        <w:spacing w:line="600" w:lineRule="exact"/>
        <w:ind w:left="1065" w:leftChars="0" w:hanging="425" w:firstLineChars="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并购重组的奖励标准：</w:t>
      </w:r>
    </w:p>
    <w:p>
      <w:pPr>
        <w:pStyle w:val="3"/>
        <w:keepNext w:val="0"/>
        <w:keepLines w:val="0"/>
        <w:pageBreakBefore w:val="0"/>
        <w:widowControl w:val="0"/>
        <w:kinsoku/>
        <w:overflowPunct/>
        <w:topLinePunct w:val="0"/>
        <w:autoSpaceDE/>
        <w:bidi w:val="0"/>
        <w:spacing w:line="576" w:lineRule="exact"/>
        <w:ind w:firstLine="643"/>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对我市上市企业完成并购重组，并达到证监会关于《上市公司重大资产重组管理办法》规定的重大资产重组标准的，并购金额10亿元以下的奖励100万元；10亿元及以上的奖励200万元。</w:t>
      </w:r>
    </w:p>
    <w:p>
      <w:pPr>
        <w:numPr>
          <w:ilvl w:val="0"/>
          <w:numId w:val="1"/>
        </w:numPr>
        <w:autoSpaceDN w:val="0"/>
        <w:spacing w:line="600" w:lineRule="exact"/>
        <w:ind w:left="1065" w:leftChars="0" w:hanging="425" w:firstLineChars="0"/>
        <w:rPr>
          <w:rFonts w:hint="default" w:ascii="Times New Roman" w:hAnsi="Times New Roman" w:eastAsia="仿宋_GB2312" w:cs="Times New Roman"/>
          <w:b w:val="0"/>
          <w:bCs w:val="0"/>
          <w:color w:val="auto"/>
          <w:szCs w:val="32"/>
          <w:lang w:val="en-US" w:eastAsia="zh-CN"/>
        </w:rPr>
      </w:pPr>
      <w:r>
        <w:rPr>
          <w:rFonts w:hint="default" w:ascii="Times New Roman" w:hAnsi="Times New Roman" w:eastAsia="仿宋_GB2312" w:cs="Times New Roman"/>
          <w:b w:val="0"/>
          <w:bCs w:val="0"/>
          <w:color w:val="auto"/>
          <w:szCs w:val="32"/>
          <w:lang w:val="en-US" w:eastAsia="zh-CN"/>
        </w:rPr>
        <w:t>对主办券商的奖励标准：</w:t>
      </w:r>
    </w:p>
    <w:p>
      <w:pPr>
        <w:keepNext w:val="0"/>
        <w:keepLines w:val="0"/>
        <w:pageBreakBefore w:val="0"/>
        <w:widowControl w:val="0"/>
        <w:kinsoku/>
        <w:overflowPunct/>
        <w:topLinePunct w:val="0"/>
        <w:autoSpaceDE/>
        <w:autoSpaceDN w:val="0"/>
        <w:bidi w:val="0"/>
        <w:spacing w:line="576" w:lineRule="exact"/>
        <w:ind w:firstLine="640" w:firstLineChars="200"/>
        <w:textAlignment w:val="auto"/>
        <w:rPr>
          <w:rFonts w:hint="default" w:ascii="Times New Roman" w:hAnsi="Times New Roman" w:eastAsia="仿宋_GB2312" w:cs="Times New Roman"/>
          <w:color w:val="auto"/>
          <w:szCs w:val="32"/>
          <w:u w:val="single"/>
        </w:rPr>
      </w:pPr>
      <w:r>
        <w:rPr>
          <w:rFonts w:hint="default" w:ascii="Times New Roman" w:hAnsi="Times New Roman" w:eastAsia="仿宋_GB2312" w:cs="Times New Roman"/>
          <w:color w:val="auto"/>
          <w:szCs w:val="32"/>
        </w:rPr>
        <w:t>企业在上海证券交易所、深圳证券交易所</w:t>
      </w:r>
      <w:r>
        <w:rPr>
          <w:rFonts w:hint="eastAsia" w:eastAsia="仿宋_GB2312" w:cs="Times New Roman"/>
          <w:color w:val="auto"/>
          <w:szCs w:val="32"/>
          <w:lang w:eastAsia="zh-CN"/>
        </w:rPr>
        <w:t>、北京</w:t>
      </w:r>
      <w:r>
        <w:rPr>
          <w:rFonts w:hint="default" w:ascii="Times New Roman" w:hAnsi="Times New Roman" w:eastAsia="仿宋_GB2312" w:cs="Times New Roman"/>
          <w:color w:val="auto"/>
          <w:szCs w:val="32"/>
        </w:rPr>
        <w:t>证券交易所首发上市</w:t>
      </w:r>
      <w:r>
        <w:rPr>
          <w:rFonts w:hint="eastAsia" w:eastAsia="仿宋_GB2312" w:cs="Times New Roman"/>
          <w:color w:val="auto"/>
          <w:szCs w:val="32"/>
          <w:lang w:eastAsia="zh-CN"/>
        </w:rPr>
        <w:t>后</w:t>
      </w:r>
      <w:r>
        <w:rPr>
          <w:rFonts w:hint="default" w:ascii="Times New Roman" w:hAnsi="Times New Roman" w:eastAsia="仿宋_GB2312" w:cs="Times New Roman"/>
          <w:color w:val="auto"/>
          <w:szCs w:val="32"/>
          <w:lang w:eastAsia="zh-CN"/>
        </w:rPr>
        <w:t>，给予其保荐机构奖励。</w:t>
      </w:r>
      <w:r>
        <w:rPr>
          <w:rFonts w:hint="default" w:ascii="Times New Roman" w:hAnsi="Times New Roman" w:eastAsia="仿宋_GB2312" w:cs="Times New Roman"/>
          <w:color w:val="auto"/>
          <w:szCs w:val="32"/>
        </w:rPr>
        <w:t>上市审核过程中，经过一轮问询即通过审核的，奖励</w:t>
      </w:r>
      <w:r>
        <w:rPr>
          <w:rFonts w:hint="default" w:ascii="Times New Roman" w:hAnsi="Times New Roman" w:eastAsia="仿宋_GB2312" w:cs="Times New Roman"/>
          <w:color w:val="auto"/>
          <w:szCs w:val="32"/>
          <w:lang w:eastAsia="zh-CN"/>
        </w:rPr>
        <w:t>保荐机构</w:t>
      </w:r>
      <w:r>
        <w:rPr>
          <w:rFonts w:hint="eastAsia" w:eastAsia="仿宋_GB2312" w:cs="Times New Roman"/>
          <w:color w:val="auto"/>
          <w:szCs w:val="32"/>
          <w:lang w:val="en-US" w:eastAsia="zh-CN"/>
        </w:rPr>
        <w:t>5</w:t>
      </w:r>
      <w:r>
        <w:rPr>
          <w:rFonts w:hint="default" w:ascii="Times New Roman" w:hAnsi="Times New Roman" w:eastAsia="仿宋_GB2312" w:cs="Times New Roman"/>
          <w:color w:val="auto"/>
          <w:szCs w:val="32"/>
        </w:rPr>
        <w:t>0万元；经过二轮问询通过的，奖励30万元；三轮通过的，奖励10万元。</w:t>
      </w:r>
    </w:p>
    <w:p>
      <w:pPr>
        <w:spacing w:line="600" w:lineRule="exact"/>
        <w:ind w:firstLine="640" w:firstLineChars="200"/>
        <w:rPr>
          <w:rFonts w:hint="default" w:ascii="Times New Roman" w:hAnsi="Times New Roman" w:eastAsia="黑体" w:cs="Times New Roman"/>
          <w:color w:val="auto"/>
          <w:szCs w:val="32"/>
        </w:rPr>
      </w:pPr>
      <w:r>
        <w:rPr>
          <w:rFonts w:hint="default" w:ascii="Times New Roman" w:hAnsi="Times New Roman" w:eastAsia="黑体" w:cs="Times New Roman"/>
          <w:color w:val="auto"/>
          <w:szCs w:val="32"/>
          <w:lang w:eastAsia="zh-CN"/>
        </w:rPr>
        <w:t>二、</w:t>
      </w:r>
      <w:r>
        <w:rPr>
          <w:rFonts w:hint="default" w:ascii="Times New Roman" w:hAnsi="Times New Roman" w:eastAsia="黑体" w:cs="Times New Roman"/>
          <w:color w:val="auto"/>
          <w:szCs w:val="32"/>
        </w:rPr>
        <w:t>申报企业的基本条件</w:t>
      </w:r>
    </w:p>
    <w:p>
      <w:pPr>
        <w:spacing w:line="60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（一）申请专项资金奖励的企业，需在西安市辖区内依法注册设立合规经营。</w:t>
      </w:r>
    </w:p>
    <w:p>
      <w:pPr>
        <w:spacing w:line="60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（二）申请专项资金的企业，需按要求参加西安市上市挂牌后备企业资源库征集遴选，成为我入库市重点上市挂牌后备企业。</w:t>
      </w:r>
    </w:p>
    <w:p>
      <w:pPr>
        <w:spacing w:line="60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（三）上述各个支持标准的行为完成在202</w:t>
      </w:r>
      <w:r>
        <w:rPr>
          <w:rFonts w:hint="eastAsia" w:ascii="Times New Roman" w:hAnsi="Times New Roman" w:eastAsia="仿宋_GB2312" w:cs="Times New Roman"/>
          <w:color w:val="auto"/>
          <w:kern w:val="2"/>
          <w:sz w:val="32"/>
          <w:szCs w:val="32"/>
          <w:lang w:val="en-US" w:eastAsia="zh-CN" w:bidi="ar-SA"/>
        </w:rPr>
        <w:t>1</w:t>
      </w:r>
      <w:r>
        <w:rPr>
          <w:rFonts w:hint="default" w:ascii="Times New Roman" w:hAnsi="Times New Roman" w:eastAsia="仿宋_GB2312" w:cs="Times New Roman"/>
          <w:color w:val="auto"/>
          <w:kern w:val="2"/>
          <w:sz w:val="32"/>
          <w:szCs w:val="32"/>
          <w:lang w:val="en-US" w:eastAsia="zh-CN" w:bidi="ar-SA"/>
        </w:rPr>
        <w:t>年</w:t>
      </w:r>
      <w:r>
        <w:rPr>
          <w:rFonts w:hint="eastAsia" w:ascii="Times New Roman" w:hAnsi="Times New Roman" w:eastAsia="仿宋_GB2312" w:cs="Times New Roman"/>
          <w:color w:val="auto"/>
          <w:kern w:val="2"/>
          <w:sz w:val="32"/>
          <w:szCs w:val="32"/>
          <w:lang w:val="en-US" w:eastAsia="zh-CN" w:bidi="ar-SA"/>
        </w:rPr>
        <w:t>10</w:t>
      </w:r>
      <w:r>
        <w:rPr>
          <w:rFonts w:hint="default" w:ascii="Times New Roman" w:hAnsi="Times New Roman" w:eastAsia="仿宋_GB2312" w:cs="Times New Roman"/>
          <w:color w:val="auto"/>
          <w:kern w:val="2"/>
          <w:sz w:val="32"/>
          <w:szCs w:val="32"/>
          <w:lang w:val="en-US" w:eastAsia="zh-CN" w:bidi="ar-SA"/>
        </w:rPr>
        <w:t>月1日以后。</w:t>
      </w:r>
    </w:p>
    <w:p>
      <w:pPr>
        <w:autoSpaceDN w:val="0"/>
        <w:spacing w:line="600" w:lineRule="exact"/>
        <w:ind w:firstLine="634"/>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三、申报材料</w:t>
      </w:r>
    </w:p>
    <w:p>
      <w:pPr>
        <w:autoSpaceDN w:val="0"/>
        <w:spacing w:line="600" w:lineRule="exact"/>
        <w:ind w:firstLine="634"/>
        <w:rPr>
          <w:rFonts w:hint="default" w:ascii="Times New Roman" w:hAnsi="Times New Roman" w:eastAsia="楷体" w:cs="Times New Roman"/>
          <w:color w:val="auto"/>
          <w:szCs w:val="32"/>
          <w:lang w:val="en-US" w:eastAsia="zh-CN"/>
        </w:rPr>
      </w:pPr>
      <w:r>
        <w:rPr>
          <w:rFonts w:hint="default" w:ascii="Times New Roman" w:hAnsi="Times New Roman" w:eastAsia="楷体" w:cs="Times New Roman"/>
          <w:color w:val="auto"/>
          <w:szCs w:val="32"/>
          <w:lang w:val="en-US" w:eastAsia="zh-CN"/>
        </w:rPr>
        <w:t>（一）上市挂牌后备企业奖励申请所需材料。</w:t>
      </w:r>
    </w:p>
    <w:p>
      <w:pPr>
        <w:autoSpaceDN w:val="0"/>
        <w:spacing w:line="600" w:lineRule="exact"/>
        <w:ind w:firstLine="634"/>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已进入上市辅导并报陕西证监局辅导备案的：</w:t>
      </w:r>
    </w:p>
    <w:p>
      <w:pPr>
        <w:numPr>
          <w:ilvl w:val="0"/>
          <w:numId w:val="2"/>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p>
    <w:p>
      <w:pPr>
        <w:numPr>
          <w:ilvl w:val="0"/>
          <w:numId w:val="2"/>
        </w:numPr>
        <w:autoSpaceDN w:val="0"/>
        <w:spacing w:line="600" w:lineRule="exact"/>
        <w:ind w:left="1065" w:leftChars="0" w:hanging="425" w:firstLineChars="0"/>
        <w:rPr>
          <w:rFonts w:hint="default" w:ascii="Times New Roman" w:hAnsi="Times New Roman" w:eastAsia="仿宋_GB2312" w:cs="Times New Roman"/>
          <w:color w:val="auto"/>
        </w:rPr>
      </w:pPr>
      <w:r>
        <w:rPr>
          <w:rFonts w:hint="default" w:ascii="Times New Roman" w:hAnsi="Times New Roman" w:eastAsia="仿宋_GB2312" w:cs="Times New Roman"/>
          <w:color w:val="auto"/>
        </w:rPr>
        <w:t>企业营业执照复印件（验原件）；</w:t>
      </w:r>
    </w:p>
    <w:p>
      <w:pPr>
        <w:numPr>
          <w:ilvl w:val="0"/>
          <w:numId w:val="2"/>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rPr>
        <w:t>进入证监局辅导备案的证明材料；</w:t>
      </w:r>
    </w:p>
    <w:p>
      <w:pPr>
        <w:numPr>
          <w:ilvl w:val="0"/>
          <w:numId w:val="2"/>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rPr>
        <w:t>保荐券商向证监局提供的相关材料</w:t>
      </w:r>
      <w:r>
        <w:rPr>
          <w:rFonts w:hint="eastAsia" w:eastAsia="仿宋_GB2312" w:cs="Times New Roman"/>
          <w:color w:val="auto"/>
          <w:szCs w:val="32"/>
          <w:lang w:eastAsia="zh-CN"/>
        </w:rPr>
        <w:t>；</w:t>
      </w:r>
    </w:p>
    <w:p>
      <w:pPr>
        <w:numPr>
          <w:ilvl w:val="0"/>
          <w:numId w:val="2"/>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eastAsia" w:eastAsia="仿宋_GB2312" w:cs="Times New Roman"/>
          <w:color w:val="auto"/>
          <w:szCs w:val="32"/>
          <w:lang w:eastAsia="zh-CN"/>
        </w:rPr>
        <w:t>企业账户信息表。</w:t>
      </w:r>
      <w:r>
        <w:rPr>
          <w:rFonts w:hint="eastAsia" w:eastAsia="仿宋_GB2312" w:cs="Times New Roman"/>
          <w:color w:val="auto"/>
          <w:szCs w:val="32"/>
          <w:lang w:val="en-US" w:eastAsia="zh-CN"/>
        </w:rPr>
        <w:t xml:space="preserve"> </w:t>
      </w:r>
    </w:p>
    <w:p>
      <w:pPr>
        <w:autoSpaceDN w:val="0"/>
        <w:spacing w:line="600" w:lineRule="exact"/>
        <w:ind w:firstLine="634"/>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已</w:t>
      </w:r>
      <w:r>
        <w:rPr>
          <w:rFonts w:hint="default" w:ascii="Times New Roman" w:hAnsi="Times New Roman" w:eastAsia="仿宋_GB2312" w:cs="Times New Roman"/>
          <w:color w:val="auto"/>
          <w:szCs w:val="32"/>
          <w:lang w:eastAsia="zh-CN"/>
        </w:rPr>
        <w:t>通过陕西证监局辅导验收，并</w:t>
      </w:r>
      <w:r>
        <w:rPr>
          <w:rFonts w:hint="default" w:ascii="Times New Roman" w:hAnsi="Times New Roman" w:eastAsia="仿宋_GB2312" w:cs="Times New Roman"/>
          <w:color w:val="auto"/>
          <w:szCs w:val="32"/>
        </w:rPr>
        <w:t>向</w:t>
      </w:r>
      <w:r>
        <w:rPr>
          <w:rFonts w:hint="default" w:ascii="Times New Roman" w:hAnsi="Times New Roman" w:eastAsia="仿宋_GB2312" w:cs="Times New Roman"/>
          <w:color w:val="auto"/>
          <w:szCs w:val="32"/>
          <w:lang w:eastAsia="zh-CN"/>
        </w:rPr>
        <w:t>证监会或交易所</w:t>
      </w:r>
      <w:r>
        <w:rPr>
          <w:rFonts w:hint="default" w:ascii="Times New Roman" w:hAnsi="Times New Roman" w:eastAsia="仿宋_GB2312" w:cs="Times New Roman"/>
          <w:color w:val="auto"/>
          <w:szCs w:val="32"/>
        </w:rPr>
        <w:t>提交上市申请材料的：</w:t>
      </w:r>
    </w:p>
    <w:p>
      <w:pPr>
        <w:numPr>
          <w:ilvl w:val="0"/>
          <w:numId w:val="3"/>
        </w:numPr>
        <w:autoSpaceDN w:val="0"/>
        <w:spacing w:line="600" w:lineRule="exact"/>
        <w:ind w:left="1065" w:leftChars="0" w:hanging="425" w:firstLineChars="0"/>
        <w:rPr>
          <w:rFonts w:hint="default" w:ascii="Times New Roman" w:hAnsi="Times New Roman" w:eastAsia="仿宋_GB2312" w:cs="Times New Roman"/>
          <w:color w:val="auto"/>
          <w:szCs w:val="32"/>
          <w:lang w:val="en-US" w:eastAsia="zh-CN"/>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p>
    <w:p>
      <w:pPr>
        <w:numPr>
          <w:ilvl w:val="0"/>
          <w:numId w:val="3"/>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rPr>
        <w:t>企业营业执照复印件（验原件）；</w:t>
      </w:r>
    </w:p>
    <w:p>
      <w:pPr>
        <w:numPr>
          <w:ilvl w:val="0"/>
          <w:numId w:val="3"/>
        </w:numPr>
        <w:autoSpaceDN w:val="0"/>
        <w:spacing w:line="600" w:lineRule="exact"/>
        <w:ind w:left="1065" w:leftChars="0" w:hanging="425" w:firstLineChars="0"/>
        <w:rPr>
          <w:rFonts w:hint="default" w:ascii="Times New Roman" w:hAnsi="Times New Roman" w:eastAsia="仿宋_GB2312" w:cs="Times New Roman"/>
          <w:color w:val="auto"/>
          <w:szCs w:val="32"/>
          <w:lang w:val="en-US" w:eastAsia="zh-CN"/>
        </w:rPr>
      </w:pPr>
      <w:r>
        <w:rPr>
          <w:rFonts w:hint="default" w:ascii="Times New Roman" w:hAnsi="Times New Roman" w:eastAsia="仿宋_GB2312" w:cs="Times New Roman"/>
          <w:color w:val="auto"/>
          <w:szCs w:val="32"/>
          <w:lang w:val="en-US" w:eastAsia="zh-CN"/>
        </w:rPr>
        <w:t>证监会或交易所出具的受理函</w:t>
      </w:r>
      <w:r>
        <w:rPr>
          <w:rFonts w:hint="eastAsia" w:eastAsia="仿宋_GB2312" w:cs="Times New Roman"/>
          <w:color w:val="auto"/>
          <w:szCs w:val="32"/>
          <w:lang w:val="en-US" w:eastAsia="zh-CN"/>
        </w:rPr>
        <w:t>；</w:t>
      </w:r>
    </w:p>
    <w:p>
      <w:pPr>
        <w:numPr>
          <w:ilvl w:val="0"/>
          <w:numId w:val="3"/>
        </w:numPr>
        <w:autoSpaceDN w:val="0"/>
        <w:spacing w:line="600" w:lineRule="exact"/>
        <w:ind w:left="1065" w:leftChars="0" w:hanging="425" w:firstLineChars="0"/>
        <w:rPr>
          <w:rFonts w:hint="default" w:ascii="Times New Roman" w:hAnsi="Times New Roman" w:eastAsia="仿宋_GB2312" w:cs="Times New Roman"/>
          <w:color w:val="auto"/>
          <w:szCs w:val="32"/>
          <w:lang w:val="en-US" w:eastAsia="zh-CN"/>
        </w:rPr>
      </w:pPr>
      <w:r>
        <w:rPr>
          <w:rFonts w:hint="eastAsia" w:eastAsia="仿宋_GB2312" w:cs="Times New Roman"/>
          <w:color w:val="auto"/>
          <w:szCs w:val="32"/>
          <w:lang w:eastAsia="zh-CN"/>
        </w:rPr>
        <w:t>企业账户信息表。</w:t>
      </w:r>
    </w:p>
    <w:p>
      <w:pPr>
        <w:autoSpaceDN w:val="0"/>
        <w:spacing w:line="600" w:lineRule="exact"/>
        <w:ind w:firstLine="634"/>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lang w:eastAsia="zh-CN"/>
        </w:rPr>
        <w:t>已在陕西证监局辅导备案的企业，申请转增股本奖励的：</w:t>
      </w:r>
    </w:p>
    <w:p>
      <w:pPr>
        <w:numPr>
          <w:ilvl w:val="0"/>
          <w:numId w:val="4"/>
        </w:numPr>
        <w:autoSpaceDN w:val="0"/>
        <w:spacing w:line="600" w:lineRule="exact"/>
        <w:ind w:left="1065" w:leftChars="0" w:hanging="425" w:firstLineChars="0"/>
        <w:rPr>
          <w:rFonts w:hint="default" w:ascii="Times New Roman" w:hAnsi="Times New Roman" w:eastAsia="仿宋_GB2312" w:cs="Times New Roman"/>
          <w:color w:val="auto"/>
          <w:szCs w:val="32"/>
          <w:lang w:val="en-US" w:eastAsia="zh-CN"/>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p>
    <w:p>
      <w:pPr>
        <w:numPr>
          <w:ilvl w:val="0"/>
          <w:numId w:val="4"/>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rPr>
        <w:t>企业营业执照复印件（验原件）；</w:t>
      </w:r>
    </w:p>
    <w:p>
      <w:pPr>
        <w:numPr>
          <w:ilvl w:val="0"/>
          <w:numId w:val="4"/>
        </w:numPr>
        <w:spacing w:line="600" w:lineRule="exact"/>
        <w:ind w:left="1065" w:leftChars="0" w:hanging="425" w:firstLineChars="0"/>
        <w:rPr>
          <w:rFonts w:hint="default" w:ascii="Times New Roman" w:hAnsi="Times New Roman" w:eastAsia="仿宋_GB2312" w:cs="Times New Roman"/>
          <w:color w:val="auto"/>
          <w:lang w:eastAsia="zh-CN"/>
        </w:rPr>
      </w:pPr>
      <w:r>
        <w:rPr>
          <w:rFonts w:hint="default" w:ascii="Times New Roman" w:hAnsi="Times New Roman" w:eastAsia="仿宋_GB2312" w:cs="Times New Roman"/>
          <w:color w:val="auto"/>
          <w:lang w:eastAsia="zh-CN"/>
        </w:rPr>
        <w:t>税务主管部门出具的确认所得税已缴纳的凭证（验原件）；</w:t>
      </w:r>
    </w:p>
    <w:p>
      <w:pPr>
        <w:numPr>
          <w:ilvl w:val="0"/>
          <w:numId w:val="4"/>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eastAsia" w:eastAsia="仿宋_GB2312" w:cs="Times New Roman"/>
          <w:color w:val="auto"/>
          <w:lang w:eastAsia="zh-CN"/>
        </w:rPr>
        <w:t>验资报告；</w:t>
      </w:r>
    </w:p>
    <w:p>
      <w:pPr>
        <w:numPr>
          <w:ilvl w:val="0"/>
          <w:numId w:val="4"/>
        </w:numPr>
        <w:autoSpaceDN w:val="0"/>
        <w:spacing w:line="600" w:lineRule="exact"/>
        <w:ind w:left="1065" w:leftChars="0" w:hanging="425" w:firstLineChars="0"/>
        <w:rPr>
          <w:rFonts w:hint="default" w:ascii="Times New Roman" w:hAnsi="Times New Roman" w:eastAsia="仿宋_GB2312" w:cs="Times New Roman"/>
          <w:color w:val="auto"/>
          <w:szCs w:val="32"/>
          <w:lang w:eastAsia="zh-CN"/>
        </w:rPr>
      </w:pPr>
      <w:r>
        <w:rPr>
          <w:rFonts w:hint="eastAsia" w:eastAsia="仿宋_GB2312" w:cs="Times New Roman"/>
          <w:color w:val="auto"/>
          <w:szCs w:val="32"/>
          <w:lang w:eastAsia="zh-CN"/>
        </w:rPr>
        <w:t>企业账户信息表。</w:t>
      </w:r>
    </w:p>
    <w:p>
      <w:pPr>
        <w:autoSpaceDN w:val="0"/>
        <w:spacing w:line="600" w:lineRule="exact"/>
        <w:ind w:firstLine="634"/>
        <w:rPr>
          <w:rFonts w:hint="default" w:ascii="Times New Roman" w:hAnsi="Times New Roman" w:eastAsia="楷体" w:cs="Times New Roman"/>
          <w:color w:val="auto"/>
          <w:szCs w:val="32"/>
          <w:lang w:val="en-US" w:eastAsia="zh-CN"/>
        </w:rPr>
      </w:pPr>
      <w:r>
        <w:rPr>
          <w:rFonts w:hint="default" w:ascii="Times New Roman" w:hAnsi="Times New Roman" w:eastAsia="楷体" w:cs="Times New Roman"/>
          <w:color w:val="auto"/>
          <w:szCs w:val="32"/>
          <w:lang w:val="en-US" w:eastAsia="zh-CN"/>
        </w:rPr>
        <w:t>（二）在境内外首发上市的企业奖励申请所需材料。</w:t>
      </w:r>
    </w:p>
    <w:p>
      <w:pPr>
        <w:numPr>
          <w:ilvl w:val="0"/>
          <w:numId w:val="5"/>
        </w:numPr>
        <w:autoSpaceDN w:val="0"/>
        <w:spacing w:line="600" w:lineRule="exact"/>
        <w:ind w:left="1065" w:leftChars="0" w:hanging="425" w:firstLineChars="0"/>
        <w:rPr>
          <w:rFonts w:hint="default" w:ascii="Times New Roman" w:hAnsi="Times New Roman" w:eastAsia="楷体" w:cs="Times New Roman"/>
          <w:color w:val="auto"/>
          <w:szCs w:val="32"/>
          <w:lang w:val="en-US" w:eastAsia="zh-CN"/>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p>
    <w:p>
      <w:pPr>
        <w:numPr>
          <w:ilvl w:val="0"/>
          <w:numId w:val="5"/>
        </w:numPr>
        <w:autoSpaceDN w:val="0"/>
        <w:spacing w:line="600" w:lineRule="exact"/>
        <w:ind w:left="1065" w:leftChars="0" w:hanging="425" w:firstLineChars="0"/>
        <w:rPr>
          <w:rFonts w:hint="default" w:ascii="Times New Roman" w:hAnsi="Times New Roman" w:eastAsia="仿宋_GB2312" w:cs="Times New Roman"/>
          <w:color w:val="auto"/>
          <w:szCs w:val="32"/>
          <w:lang w:val="en-US" w:eastAsia="zh-CN"/>
        </w:rPr>
      </w:pPr>
      <w:r>
        <w:rPr>
          <w:rFonts w:hint="eastAsia" w:ascii="Times New Roman" w:hAnsi="Times New Roman" w:eastAsia="仿宋_GB2312" w:cs="Times New Roman"/>
          <w:color w:val="auto"/>
          <w:szCs w:val="32"/>
          <w:lang w:val="en-US" w:eastAsia="zh-CN"/>
        </w:rPr>
        <w:t>证监会出具的核准首次公开发行股票的批复或同意首次公开发行股票注册的批复；</w:t>
      </w:r>
    </w:p>
    <w:p>
      <w:pPr>
        <w:numPr>
          <w:ilvl w:val="0"/>
          <w:numId w:val="5"/>
        </w:numPr>
        <w:autoSpaceDN w:val="0"/>
        <w:spacing w:line="600" w:lineRule="exact"/>
        <w:ind w:left="1065" w:leftChars="0" w:hanging="425" w:firstLineChars="0"/>
        <w:rPr>
          <w:rFonts w:hint="default" w:ascii="Times New Roman" w:hAnsi="Times New Roman" w:eastAsia="楷体" w:cs="Times New Roman"/>
          <w:color w:val="auto"/>
          <w:szCs w:val="32"/>
          <w:lang w:val="en-US" w:eastAsia="zh-CN"/>
        </w:rPr>
      </w:pPr>
      <w:r>
        <w:rPr>
          <w:rFonts w:hint="default" w:ascii="Times New Roman" w:hAnsi="Times New Roman" w:eastAsia="仿宋_GB2312" w:cs="Times New Roman"/>
          <w:color w:val="auto"/>
          <w:szCs w:val="32"/>
          <w:lang w:val="en-US" w:eastAsia="zh-CN"/>
        </w:rPr>
        <w:t>相应</w:t>
      </w:r>
      <w:r>
        <w:rPr>
          <w:rFonts w:hint="default" w:ascii="Times New Roman" w:hAnsi="Times New Roman" w:eastAsia="仿宋_GB2312" w:cs="Times New Roman"/>
          <w:color w:val="auto"/>
          <w:szCs w:val="32"/>
        </w:rPr>
        <w:t>证券交易市场出具的</w:t>
      </w:r>
      <w:r>
        <w:rPr>
          <w:rFonts w:hint="eastAsia" w:ascii="Times New Roman" w:hAnsi="Times New Roman" w:eastAsia="仿宋_GB2312" w:cs="Times New Roman"/>
          <w:color w:val="auto"/>
          <w:szCs w:val="32"/>
          <w:lang w:eastAsia="zh-CN"/>
        </w:rPr>
        <w:t>上</w:t>
      </w:r>
      <w:r>
        <w:rPr>
          <w:rFonts w:hint="eastAsia" w:eastAsia="仿宋_GB2312" w:cs="Times New Roman"/>
          <w:color w:val="auto"/>
          <w:lang w:eastAsia="zh-CN"/>
        </w:rPr>
        <w:t>市通知</w:t>
      </w:r>
      <w:r>
        <w:rPr>
          <w:rFonts w:hint="default" w:ascii="Times New Roman" w:hAnsi="Times New Roman" w:eastAsia="仿宋_GB2312" w:cs="Times New Roman"/>
          <w:color w:val="auto"/>
          <w:lang w:eastAsia="zh-CN"/>
        </w:rPr>
        <w:t>；</w:t>
      </w:r>
    </w:p>
    <w:p>
      <w:pPr>
        <w:numPr>
          <w:ilvl w:val="0"/>
          <w:numId w:val="5"/>
        </w:numPr>
        <w:autoSpaceDN w:val="0"/>
        <w:spacing w:line="600" w:lineRule="exact"/>
        <w:ind w:left="1065" w:leftChars="0" w:hanging="425" w:firstLineChars="0"/>
        <w:rPr>
          <w:rFonts w:hint="default" w:ascii="Times New Roman" w:hAnsi="Times New Roman" w:eastAsia="仿宋_GB2312" w:cs="Times New Roman"/>
          <w:color w:val="auto"/>
        </w:rPr>
      </w:pPr>
      <w:r>
        <w:rPr>
          <w:rFonts w:hint="default" w:ascii="Times New Roman" w:hAnsi="Times New Roman" w:eastAsia="仿宋_GB2312" w:cs="Times New Roman"/>
          <w:color w:val="auto"/>
          <w:szCs w:val="32"/>
          <w:lang w:val="en-US" w:eastAsia="zh-CN"/>
        </w:rPr>
        <w:t>在境外首发上市的，</w:t>
      </w:r>
      <w:r>
        <w:rPr>
          <w:rFonts w:hint="default" w:ascii="Times New Roman" w:hAnsi="Times New Roman" w:eastAsia="仿宋_GB2312" w:cs="Times New Roman"/>
          <w:color w:val="auto"/>
          <w:szCs w:val="32"/>
          <w:lang w:eastAsia="zh-CN"/>
        </w:rPr>
        <w:t>需提供</w:t>
      </w:r>
      <w:r>
        <w:rPr>
          <w:rFonts w:hint="default" w:ascii="Times New Roman" w:hAnsi="Times New Roman" w:eastAsia="仿宋_GB2312" w:cs="Times New Roman"/>
          <w:color w:val="auto"/>
        </w:rPr>
        <w:t>由外汇监管部门出具的证明文件或由银行出具的相应外资进帐单，同时提供公司内外名称法律关系的法律文书及境外上市场所的准许文件等材料；</w:t>
      </w:r>
    </w:p>
    <w:p>
      <w:pPr>
        <w:numPr>
          <w:ilvl w:val="0"/>
          <w:numId w:val="5"/>
        </w:numPr>
        <w:spacing w:line="600" w:lineRule="exact"/>
        <w:ind w:left="1065" w:leftChars="0" w:hanging="425" w:firstLineChars="0"/>
        <w:rPr>
          <w:rFonts w:hint="default" w:ascii="Times New Roman" w:hAnsi="Times New Roman" w:eastAsia="仿宋_GB2312" w:cs="Times New Roman"/>
          <w:color w:val="auto"/>
          <w:szCs w:val="32"/>
        </w:rPr>
      </w:pPr>
      <w:r>
        <w:rPr>
          <w:rFonts w:hint="eastAsia" w:eastAsia="仿宋_GB2312" w:cs="Times New Roman"/>
          <w:color w:val="auto"/>
          <w:szCs w:val="32"/>
          <w:lang w:eastAsia="zh-CN"/>
        </w:rPr>
        <w:t>企业账户信息表</w:t>
      </w:r>
      <w:r>
        <w:rPr>
          <w:rFonts w:hint="default" w:ascii="Times New Roman" w:hAnsi="Times New Roman" w:eastAsia="仿宋_GB2312" w:cs="Times New Roman"/>
          <w:color w:val="auto"/>
        </w:rPr>
        <w:t>。</w:t>
      </w:r>
    </w:p>
    <w:p>
      <w:pPr>
        <w:autoSpaceDN w:val="0"/>
        <w:spacing w:line="600" w:lineRule="exact"/>
        <w:ind w:firstLine="634"/>
        <w:rPr>
          <w:rFonts w:hint="default" w:ascii="Times New Roman" w:hAnsi="Times New Roman" w:eastAsia="楷体" w:cs="Times New Roman"/>
          <w:color w:val="auto"/>
          <w:szCs w:val="32"/>
          <w:lang w:val="en-US" w:eastAsia="zh-CN"/>
        </w:rPr>
      </w:pPr>
      <w:r>
        <w:rPr>
          <w:rFonts w:hint="default" w:ascii="Times New Roman" w:hAnsi="Times New Roman" w:eastAsia="楷体" w:cs="Times New Roman"/>
          <w:color w:val="auto"/>
          <w:szCs w:val="32"/>
          <w:lang w:val="en-US" w:eastAsia="zh-CN"/>
        </w:rPr>
        <w:t>（三）迁入西安市的上市公司奖励申请所需材料。</w:t>
      </w:r>
    </w:p>
    <w:p>
      <w:pPr>
        <w:keepNext w:val="0"/>
        <w:keepLines w:val="0"/>
        <w:pageBreakBefore w:val="0"/>
        <w:widowControl w:val="0"/>
        <w:numPr>
          <w:ilvl w:val="0"/>
          <w:numId w:val="6"/>
        </w:numPr>
        <w:kinsoku/>
        <w:wordWrap/>
        <w:overflowPunct/>
        <w:topLinePunct w:val="0"/>
        <w:autoSpaceDE/>
        <w:autoSpaceDN w:val="0"/>
        <w:bidi w:val="0"/>
        <w:adjustRightInd/>
        <w:snapToGrid/>
        <w:spacing w:line="576" w:lineRule="exact"/>
        <w:ind w:left="1065" w:leftChars="0" w:hanging="425" w:firstLineChars="0"/>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专项资金申请报告(包含</w:t>
      </w:r>
      <w:r>
        <w:rPr>
          <w:rFonts w:hint="eastAsia" w:eastAsia="仿宋_GB2312" w:cs="Times New Roman"/>
          <w:color w:val="auto"/>
          <w:lang w:eastAsia="zh-CN"/>
        </w:rPr>
        <w:t>上市公司</w:t>
      </w:r>
      <w:r>
        <w:rPr>
          <w:rFonts w:hint="default" w:ascii="Times New Roman" w:hAnsi="Times New Roman" w:eastAsia="仿宋_GB2312" w:cs="Times New Roman"/>
          <w:color w:val="auto"/>
        </w:rPr>
        <w:t>基本情况，经营状况，</w:t>
      </w:r>
      <w:r>
        <w:rPr>
          <w:rFonts w:hint="default" w:ascii="Times New Roman" w:hAnsi="Times New Roman" w:eastAsia="仿宋_GB2312" w:cs="Times New Roman"/>
          <w:color w:val="auto"/>
          <w:lang w:eastAsia="zh-CN"/>
        </w:rPr>
        <w:t>迁址安排情况等</w:t>
      </w:r>
      <w:r>
        <w:rPr>
          <w:rFonts w:hint="default" w:ascii="Times New Roman" w:hAnsi="Times New Roman" w:eastAsia="仿宋_GB2312" w:cs="Times New Roman"/>
          <w:color w:val="auto"/>
        </w:rPr>
        <w:t>);</w:t>
      </w:r>
    </w:p>
    <w:p>
      <w:pPr>
        <w:keepNext w:val="0"/>
        <w:keepLines w:val="0"/>
        <w:pageBreakBefore w:val="0"/>
        <w:widowControl w:val="0"/>
        <w:numPr>
          <w:ilvl w:val="0"/>
          <w:numId w:val="6"/>
        </w:numPr>
        <w:kinsoku/>
        <w:wordWrap/>
        <w:overflowPunct/>
        <w:topLinePunct w:val="0"/>
        <w:autoSpaceDE/>
        <w:bidi w:val="0"/>
        <w:adjustRightInd/>
        <w:snapToGrid/>
        <w:spacing w:line="576" w:lineRule="exact"/>
        <w:ind w:left="1065" w:leftChars="0" w:hanging="425" w:firstLineChars="0"/>
        <w:textAlignment w:val="auto"/>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p>
    <w:p>
      <w:pPr>
        <w:keepNext w:val="0"/>
        <w:keepLines w:val="0"/>
        <w:pageBreakBefore w:val="0"/>
        <w:widowControl w:val="0"/>
        <w:numPr>
          <w:ilvl w:val="0"/>
          <w:numId w:val="6"/>
        </w:numPr>
        <w:kinsoku/>
        <w:wordWrap/>
        <w:overflowPunct/>
        <w:topLinePunct w:val="0"/>
        <w:autoSpaceDE/>
        <w:bidi w:val="0"/>
        <w:adjustRightInd/>
        <w:snapToGrid/>
        <w:spacing w:line="576" w:lineRule="exact"/>
        <w:ind w:left="1065" w:leftChars="0" w:hanging="425" w:firstLineChars="0"/>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企业营业执照复印件（验原件）；</w:t>
      </w:r>
    </w:p>
    <w:p>
      <w:pPr>
        <w:keepNext w:val="0"/>
        <w:keepLines w:val="0"/>
        <w:pageBreakBefore w:val="0"/>
        <w:widowControl w:val="0"/>
        <w:numPr>
          <w:ilvl w:val="0"/>
          <w:numId w:val="6"/>
        </w:numPr>
        <w:kinsoku/>
        <w:wordWrap/>
        <w:overflowPunct/>
        <w:topLinePunct w:val="0"/>
        <w:autoSpaceDE/>
        <w:bidi w:val="0"/>
        <w:adjustRightInd/>
        <w:snapToGrid/>
        <w:spacing w:line="576" w:lineRule="exact"/>
        <w:ind w:left="1065" w:leftChars="0" w:hanging="425" w:firstLineChars="0"/>
        <w:textAlignment w:val="auto"/>
        <w:rPr>
          <w:rFonts w:hint="default" w:ascii="Times New Roman" w:hAnsi="Times New Roman" w:eastAsia="仿宋_GB2312" w:cs="Times New Roman"/>
          <w:color w:val="auto"/>
        </w:rPr>
      </w:pPr>
      <w:r>
        <w:rPr>
          <w:rFonts w:hint="eastAsia" w:eastAsia="仿宋_GB2312" w:cs="Times New Roman"/>
          <w:color w:val="auto"/>
          <w:szCs w:val="32"/>
          <w:lang w:eastAsia="zh-CN"/>
        </w:rPr>
        <w:t>企业账户信息表（</w:t>
      </w:r>
      <w:r>
        <w:rPr>
          <w:rFonts w:hint="eastAsia" w:eastAsia="仿宋_GB2312" w:cs="Times New Roman"/>
          <w:color w:val="auto"/>
          <w:lang w:eastAsia="zh-CN"/>
        </w:rPr>
        <w:t>上市公司</w:t>
      </w:r>
      <w:r>
        <w:rPr>
          <w:rFonts w:hint="eastAsia" w:eastAsia="仿宋_GB2312" w:cs="Times New Roman"/>
          <w:color w:val="auto"/>
          <w:szCs w:val="32"/>
          <w:lang w:eastAsia="zh-CN"/>
        </w:rPr>
        <w:t>）</w:t>
      </w:r>
      <w:r>
        <w:rPr>
          <w:rFonts w:hint="default" w:ascii="Times New Roman" w:hAnsi="Times New Roman" w:eastAsia="仿宋_GB2312" w:cs="Times New Roman"/>
          <w:color w:val="auto"/>
        </w:rPr>
        <w:t>。</w:t>
      </w:r>
    </w:p>
    <w:p>
      <w:pPr>
        <w:autoSpaceDN w:val="0"/>
        <w:spacing w:line="600" w:lineRule="exact"/>
        <w:ind w:firstLine="634"/>
        <w:rPr>
          <w:rFonts w:hint="default" w:ascii="Times New Roman" w:hAnsi="Times New Roman" w:eastAsia="楷体" w:cs="Times New Roman"/>
          <w:color w:val="auto"/>
          <w:szCs w:val="32"/>
          <w:lang w:val="en-US" w:eastAsia="zh-CN"/>
        </w:rPr>
      </w:pPr>
      <w:r>
        <w:rPr>
          <w:rFonts w:hint="default" w:ascii="Times New Roman" w:hAnsi="Times New Roman" w:eastAsia="楷体" w:cs="Times New Roman"/>
          <w:color w:val="auto"/>
          <w:szCs w:val="32"/>
          <w:lang w:val="en-US" w:eastAsia="zh-CN"/>
        </w:rPr>
        <w:t>（四）新三板挂牌企业奖励申请所需材料。</w:t>
      </w:r>
    </w:p>
    <w:p>
      <w:pPr>
        <w:keepNext w:val="0"/>
        <w:keepLines w:val="0"/>
        <w:pageBreakBefore w:val="0"/>
        <w:widowControl w:val="0"/>
        <w:numPr>
          <w:ilvl w:val="0"/>
          <w:numId w:val="7"/>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r>
        <w:rPr>
          <w:rFonts w:hint="default" w:ascii="Times New Roman" w:hAnsi="Times New Roman" w:eastAsia="仿宋_GB2312" w:cs="Times New Roman"/>
          <w:color w:val="auto"/>
          <w:sz w:val="30"/>
          <w:szCs w:val="30"/>
        </w:rPr>
        <w:t>；</w:t>
      </w:r>
    </w:p>
    <w:p>
      <w:pPr>
        <w:keepNext w:val="0"/>
        <w:keepLines w:val="0"/>
        <w:pageBreakBefore w:val="0"/>
        <w:widowControl w:val="0"/>
        <w:numPr>
          <w:ilvl w:val="0"/>
          <w:numId w:val="7"/>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企业营业执照复印件（验原件）；</w:t>
      </w:r>
    </w:p>
    <w:p>
      <w:pPr>
        <w:keepNext w:val="0"/>
        <w:keepLines w:val="0"/>
        <w:pageBreakBefore w:val="0"/>
        <w:widowControl w:val="0"/>
        <w:numPr>
          <w:ilvl w:val="0"/>
          <w:numId w:val="7"/>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全国中小企业股份转让系统有限公司关于同意企业股票在全国中小企业股份转让系统挂牌的函</w:t>
      </w:r>
      <w:r>
        <w:rPr>
          <w:rFonts w:hint="eastAsia" w:eastAsia="仿宋_GB2312" w:cs="Times New Roman"/>
          <w:color w:val="auto"/>
          <w:lang w:eastAsia="zh-CN"/>
        </w:rPr>
        <w:t>；</w:t>
      </w:r>
    </w:p>
    <w:p>
      <w:pPr>
        <w:keepNext w:val="0"/>
        <w:keepLines w:val="0"/>
        <w:pageBreakBefore w:val="0"/>
        <w:widowControl w:val="0"/>
        <w:numPr>
          <w:ilvl w:val="0"/>
          <w:numId w:val="7"/>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eastAsia" w:eastAsia="仿宋_GB2312" w:cs="Times New Roman"/>
          <w:color w:val="auto"/>
          <w:szCs w:val="32"/>
          <w:lang w:eastAsia="zh-CN"/>
        </w:rPr>
        <w:t>企业账户信息表。</w:t>
      </w:r>
    </w:p>
    <w:p>
      <w:pPr>
        <w:numPr>
          <w:ilvl w:val="0"/>
          <w:numId w:val="8"/>
        </w:numPr>
        <w:autoSpaceDN w:val="0"/>
        <w:spacing w:line="600" w:lineRule="exact"/>
        <w:ind w:firstLine="634"/>
        <w:rPr>
          <w:rFonts w:hint="eastAsia" w:eastAsia="楷体" w:cs="Times New Roman"/>
          <w:color w:val="auto"/>
          <w:szCs w:val="32"/>
          <w:lang w:val="en-US" w:eastAsia="zh-CN"/>
        </w:rPr>
      </w:pPr>
      <w:r>
        <w:rPr>
          <w:rFonts w:hint="eastAsia" w:eastAsia="楷体" w:cs="Times New Roman"/>
          <w:color w:val="auto"/>
          <w:szCs w:val="32"/>
          <w:lang w:val="en-US" w:eastAsia="zh-CN"/>
        </w:rPr>
        <w:t>北交所上市企业奖励申请所需材料。</w:t>
      </w:r>
    </w:p>
    <w:p>
      <w:pPr>
        <w:keepNext w:val="0"/>
        <w:keepLines w:val="0"/>
        <w:pageBreakBefore w:val="0"/>
        <w:widowControl w:val="0"/>
        <w:numPr>
          <w:ilvl w:val="0"/>
          <w:numId w:val="9"/>
        </w:numPr>
        <w:kinsoku/>
        <w:wordWrap/>
        <w:overflowPunct/>
        <w:topLinePunct w:val="0"/>
        <w:autoSpaceDE/>
        <w:autoSpaceDN w:val="0"/>
        <w:bidi w:val="0"/>
        <w:adjustRightInd/>
        <w:snapToGrid/>
        <w:spacing w:line="576" w:lineRule="exact"/>
        <w:ind w:left="640" w:leftChars="0"/>
        <w:jc w:val="both"/>
        <w:textAlignment w:val="auto"/>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r>
        <w:rPr>
          <w:rFonts w:hint="default" w:ascii="Times New Roman" w:hAnsi="Times New Roman" w:eastAsia="仿宋_GB2312" w:cs="Times New Roman"/>
          <w:color w:val="auto"/>
          <w:sz w:val="30"/>
          <w:szCs w:val="30"/>
        </w:rPr>
        <w:t>；</w:t>
      </w:r>
    </w:p>
    <w:p>
      <w:pPr>
        <w:keepNext w:val="0"/>
        <w:keepLines w:val="0"/>
        <w:pageBreakBefore w:val="0"/>
        <w:widowControl w:val="0"/>
        <w:numPr>
          <w:ilvl w:val="0"/>
          <w:numId w:val="9"/>
        </w:numPr>
        <w:kinsoku/>
        <w:wordWrap/>
        <w:overflowPunct/>
        <w:topLinePunct w:val="0"/>
        <w:autoSpaceDE/>
        <w:autoSpaceDN w:val="0"/>
        <w:bidi w:val="0"/>
        <w:adjustRightInd/>
        <w:snapToGrid/>
        <w:spacing w:line="576" w:lineRule="exact"/>
        <w:ind w:left="640" w:leftChars="0" w:firstLine="0"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企业营业执照复印件（验原件）；</w:t>
      </w:r>
    </w:p>
    <w:p>
      <w:pPr>
        <w:keepNext w:val="0"/>
        <w:keepLines w:val="0"/>
        <w:pageBreakBefore w:val="0"/>
        <w:widowControl w:val="0"/>
        <w:numPr>
          <w:ilvl w:val="0"/>
          <w:numId w:val="9"/>
        </w:numPr>
        <w:kinsoku/>
        <w:wordWrap/>
        <w:overflowPunct/>
        <w:topLinePunct w:val="0"/>
        <w:autoSpaceDE/>
        <w:autoSpaceDN w:val="0"/>
        <w:bidi w:val="0"/>
        <w:adjustRightInd/>
        <w:snapToGrid/>
        <w:spacing w:line="576" w:lineRule="exact"/>
        <w:ind w:left="640" w:leftChars="0" w:firstLine="0" w:firstLineChars="0"/>
        <w:jc w:val="both"/>
        <w:textAlignment w:val="auto"/>
        <w:rPr>
          <w:rFonts w:hint="default" w:ascii="Times New Roman" w:hAnsi="Times New Roman" w:eastAsia="仿宋_GB2312" w:cs="Times New Roman"/>
          <w:color w:val="auto"/>
        </w:rPr>
      </w:pPr>
      <w:r>
        <w:rPr>
          <w:rFonts w:hint="eastAsia" w:eastAsia="仿宋_GB2312" w:cs="Times New Roman"/>
          <w:color w:val="auto"/>
          <w:lang w:eastAsia="zh-CN"/>
        </w:rPr>
        <w:t>北交所</w:t>
      </w:r>
      <w:r>
        <w:rPr>
          <w:rFonts w:hint="default" w:ascii="Times New Roman" w:hAnsi="Times New Roman" w:eastAsia="仿宋_GB2312" w:cs="Times New Roman"/>
          <w:color w:val="auto"/>
        </w:rPr>
        <w:t>关于同意企业股票在</w:t>
      </w:r>
      <w:r>
        <w:rPr>
          <w:rFonts w:hint="eastAsia" w:eastAsia="仿宋_GB2312" w:cs="Times New Roman"/>
          <w:color w:val="auto"/>
          <w:lang w:eastAsia="zh-CN"/>
        </w:rPr>
        <w:t>北交所上市</w:t>
      </w:r>
      <w:r>
        <w:rPr>
          <w:rFonts w:hint="default" w:ascii="Times New Roman" w:hAnsi="Times New Roman" w:eastAsia="仿宋_GB2312" w:cs="Times New Roman"/>
          <w:color w:val="auto"/>
        </w:rPr>
        <w:t>的函</w:t>
      </w:r>
      <w:r>
        <w:rPr>
          <w:rFonts w:hint="eastAsia" w:eastAsia="仿宋_GB2312" w:cs="Times New Roman"/>
          <w:color w:val="auto"/>
          <w:lang w:eastAsia="zh-CN"/>
        </w:rPr>
        <w:t>；</w:t>
      </w:r>
    </w:p>
    <w:p>
      <w:pPr>
        <w:keepNext w:val="0"/>
        <w:keepLines w:val="0"/>
        <w:pageBreakBefore w:val="0"/>
        <w:widowControl w:val="0"/>
        <w:numPr>
          <w:ilvl w:val="0"/>
          <w:numId w:val="9"/>
        </w:numPr>
        <w:kinsoku/>
        <w:wordWrap/>
        <w:overflowPunct/>
        <w:topLinePunct w:val="0"/>
        <w:autoSpaceDE/>
        <w:autoSpaceDN w:val="0"/>
        <w:bidi w:val="0"/>
        <w:adjustRightInd/>
        <w:snapToGrid/>
        <w:spacing w:line="576" w:lineRule="exact"/>
        <w:ind w:left="640" w:leftChars="0" w:firstLine="0" w:firstLineChars="0"/>
        <w:jc w:val="both"/>
        <w:textAlignment w:val="auto"/>
        <w:rPr>
          <w:rFonts w:hint="default" w:ascii="Times New Roman" w:hAnsi="Times New Roman" w:eastAsia="仿宋_GB2312" w:cs="Times New Roman"/>
          <w:color w:val="auto"/>
        </w:rPr>
      </w:pPr>
      <w:r>
        <w:rPr>
          <w:rFonts w:hint="eastAsia" w:eastAsia="仿宋_GB2312" w:cs="Times New Roman"/>
          <w:color w:val="auto"/>
          <w:szCs w:val="32"/>
          <w:lang w:eastAsia="zh-CN"/>
        </w:rPr>
        <w:t>企业账户信息表。</w:t>
      </w:r>
    </w:p>
    <w:p>
      <w:pPr>
        <w:autoSpaceDN w:val="0"/>
        <w:spacing w:line="600" w:lineRule="exact"/>
        <w:ind w:firstLine="634"/>
        <w:rPr>
          <w:rFonts w:hint="default" w:ascii="Times New Roman" w:hAnsi="Times New Roman" w:eastAsia="楷体" w:cs="Times New Roman"/>
          <w:color w:val="auto"/>
          <w:szCs w:val="32"/>
          <w:lang w:val="en-US" w:eastAsia="zh-CN"/>
        </w:rPr>
      </w:pPr>
      <w:r>
        <w:rPr>
          <w:rFonts w:hint="eastAsia" w:eastAsia="楷体" w:cs="Times New Roman"/>
          <w:color w:val="auto"/>
          <w:szCs w:val="32"/>
          <w:lang w:val="en-US" w:eastAsia="zh-CN"/>
        </w:rPr>
        <w:t>（六）</w:t>
      </w:r>
      <w:r>
        <w:rPr>
          <w:rFonts w:hint="default" w:ascii="Times New Roman" w:hAnsi="Times New Roman" w:eastAsia="楷体" w:cs="Times New Roman"/>
          <w:color w:val="auto"/>
          <w:szCs w:val="32"/>
          <w:lang w:val="en-US" w:eastAsia="zh-CN"/>
        </w:rPr>
        <w:t>开展再融资的企业奖励申请所需材料。</w:t>
      </w:r>
    </w:p>
    <w:p>
      <w:pPr>
        <w:keepNext w:val="0"/>
        <w:keepLines w:val="0"/>
        <w:pageBreakBefore w:val="0"/>
        <w:widowControl w:val="0"/>
        <w:numPr>
          <w:ilvl w:val="0"/>
          <w:numId w:val="10"/>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专项资金申请报告(包含企业基本情况，经营状况，通过境内</w:t>
      </w:r>
      <w:r>
        <w:rPr>
          <w:rFonts w:hint="default" w:ascii="Times New Roman" w:hAnsi="Times New Roman" w:eastAsia="仿宋_GB2312" w:cs="Times New Roman"/>
          <w:color w:val="auto"/>
          <w:lang w:eastAsia="zh-CN"/>
        </w:rPr>
        <w:t>外</w:t>
      </w:r>
      <w:r>
        <w:rPr>
          <w:rFonts w:hint="default" w:ascii="Times New Roman" w:hAnsi="Times New Roman" w:eastAsia="仿宋_GB2312" w:cs="Times New Roman"/>
          <w:color w:val="auto"/>
        </w:rPr>
        <w:t>证券市场融资进展情况</w:t>
      </w:r>
      <w:r>
        <w:rPr>
          <w:rFonts w:hint="eastAsia" w:eastAsia="仿宋_GB2312" w:cs="Times New Roman"/>
          <w:color w:val="auto"/>
          <w:lang w:eastAsia="zh-CN"/>
        </w:rPr>
        <w:t>，再融资费用，实际融资额</w:t>
      </w:r>
      <w:r>
        <w:rPr>
          <w:rFonts w:hint="default" w:ascii="Times New Roman" w:hAnsi="Times New Roman" w:eastAsia="仿宋_GB2312" w:cs="Times New Roman"/>
          <w:color w:val="auto"/>
        </w:rPr>
        <w:t>);</w:t>
      </w:r>
    </w:p>
    <w:p>
      <w:pPr>
        <w:keepNext w:val="0"/>
        <w:keepLines w:val="0"/>
        <w:pageBreakBefore w:val="0"/>
        <w:widowControl w:val="0"/>
        <w:numPr>
          <w:ilvl w:val="0"/>
          <w:numId w:val="10"/>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r>
        <w:rPr>
          <w:rFonts w:hint="default" w:ascii="Times New Roman" w:hAnsi="Times New Roman" w:eastAsia="仿宋_GB2312" w:cs="Times New Roman"/>
          <w:color w:val="auto"/>
          <w:szCs w:val="32"/>
        </w:rPr>
        <w:t>；</w:t>
      </w:r>
    </w:p>
    <w:p>
      <w:pPr>
        <w:keepNext w:val="0"/>
        <w:keepLines w:val="0"/>
        <w:pageBreakBefore w:val="0"/>
        <w:widowControl w:val="0"/>
        <w:numPr>
          <w:ilvl w:val="0"/>
          <w:numId w:val="10"/>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rPr>
        <w:t>企业营业执照复印件（验原件）；</w:t>
      </w:r>
    </w:p>
    <w:p>
      <w:pPr>
        <w:keepNext w:val="0"/>
        <w:keepLines w:val="0"/>
        <w:pageBreakBefore w:val="0"/>
        <w:widowControl w:val="0"/>
        <w:numPr>
          <w:ilvl w:val="0"/>
          <w:numId w:val="10"/>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募集资金方案及相关批准文件，资金到位财务凭证等材料</w:t>
      </w:r>
      <w:r>
        <w:rPr>
          <w:rFonts w:hint="default" w:ascii="Times New Roman" w:hAnsi="Times New Roman" w:eastAsia="仿宋_GB2312" w:cs="Times New Roman"/>
          <w:color w:val="auto"/>
          <w:lang w:eastAsia="zh-CN"/>
        </w:rPr>
        <w:t>（境内再融资）</w:t>
      </w:r>
      <w:r>
        <w:rPr>
          <w:rFonts w:hint="default" w:ascii="Times New Roman" w:hAnsi="Times New Roman" w:eastAsia="仿宋_GB2312" w:cs="Times New Roman"/>
          <w:color w:val="auto"/>
        </w:rPr>
        <w:t>；</w:t>
      </w:r>
    </w:p>
    <w:p>
      <w:pPr>
        <w:keepNext w:val="0"/>
        <w:keepLines w:val="0"/>
        <w:pageBreakBefore w:val="0"/>
        <w:widowControl w:val="0"/>
        <w:numPr>
          <w:ilvl w:val="0"/>
          <w:numId w:val="10"/>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由外汇监管部门出具的证明文件或由银行出具的相应外资进</w:t>
      </w:r>
      <w:r>
        <w:rPr>
          <w:rFonts w:hint="default" w:ascii="Times New Roman" w:hAnsi="Times New Roman" w:eastAsia="仿宋_GB2312" w:cs="Times New Roman"/>
          <w:color w:val="auto"/>
          <w:szCs w:val="32"/>
          <w:lang w:eastAsia="zh-CN"/>
        </w:rPr>
        <w:t>账</w:t>
      </w:r>
      <w:r>
        <w:rPr>
          <w:rFonts w:hint="default" w:ascii="Times New Roman" w:hAnsi="Times New Roman" w:eastAsia="仿宋_GB2312" w:cs="Times New Roman"/>
          <w:color w:val="auto"/>
          <w:szCs w:val="32"/>
        </w:rPr>
        <w:t>单，同时提供公司内外名称法律关系的法律文书及境外上市场所的准许文件等材料</w:t>
      </w:r>
      <w:r>
        <w:rPr>
          <w:rFonts w:hint="default" w:ascii="Times New Roman" w:hAnsi="Times New Roman" w:eastAsia="仿宋_GB2312" w:cs="Times New Roman"/>
          <w:color w:val="auto"/>
          <w:szCs w:val="32"/>
          <w:lang w:eastAsia="zh-CN"/>
        </w:rPr>
        <w:t>（境外再融资）</w:t>
      </w:r>
      <w:r>
        <w:rPr>
          <w:rFonts w:hint="eastAsia" w:eastAsia="仿宋_GB2312" w:cs="Times New Roman"/>
          <w:color w:val="auto"/>
          <w:szCs w:val="32"/>
          <w:lang w:eastAsia="zh-Hans"/>
        </w:rPr>
        <w:t>。</w:t>
      </w:r>
    </w:p>
    <w:p>
      <w:pPr>
        <w:keepNext w:val="0"/>
        <w:keepLines w:val="0"/>
        <w:pageBreakBefore w:val="0"/>
        <w:widowControl w:val="0"/>
        <w:numPr>
          <w:ilvl w:val="0"/>
          <w:numId w:val="10"/>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rPr>
      </w:pPr>
      <w:r>
        <w:rPr>
          <w:rFonts w:hint="eastAsia" w:eastAsia="仿宋_GB2312" w:cs="Times New Roman"/>
          <w:color w:val="auto"/>
          <w:szCs w:val="32"/>
          <w:lang w:eastAsia="zh-CN"/>
        </w:rPr>
        <w:t>企业账户信息表。</w:t>
      </w:r>
    </w:p>
    <w:p>
      <w:pPr>
        <w:autoSpaceDN w:val="0"/>
        <w:spacing w:line="600" w:lineRule="exact"/>
        <w:ind w:firstLine="634"/>
        <w:rPr>
          <w:rFonts w:hint="default" w:ascii="Times New Roman" w:hAnsi="Times New Roman" w:eastAsia="楷体" w:cs="Times New Roman"/>
          <w:color w:val="auto"/>
          <w:szCs w:val="32"/>
          <w:lang w:val="en-US" w:eastAsia="zh-CN"/>
        </w:rPr>
      </w:pPr>
      <w:r>
        <w:rPr>
          <w:rFonts w:hint="default" w:ascii="Times New Roman" w:hAnsi="Times New Roman" w:eastAsia="楷体" w:cs="Times New Roman"/>
          <w:b w:val="0"/>
          <w:bCs w:val="0"/>
          <w:color w:val="auto"/>
          <w:szCs w:val="32"/>
          <w:lang w:val="en-US" w:eastAsia="zh-CN"/>
        </w:rPr>
        <w:t>（</w:t>
      </w:r>
      <w:r>
        <w:rPr>
          <w:rFonts w:hint="eastAsia" w:eastAsia="楷体" w:cs="Times New Roman"/>
          <w:b w:val="0"/>
          <w:bCs w:val="0"/>
          <w:color w:val="auto"/>
          <w:szCs w:val="32"/>
          <w:lang w:val="en-US" w:eastAsia="zh-CN"/>
        </w:rPr>
        <w:t>七</w:t>
      </w:r>
      <w:r>
        <w:rPr>
          <w:rFonts w:hint="default" w:ascii="Times New Roman" w:hAnsi="Times New Roman" w:eastAsia="楷体" w:cs="Times New Roman"/>
          <w:b w:val="0"/>
          <w:bCs w:val="0"/>
          <w:color w:val="auto"/>
          <w:szCs w:val="32"/>
          <w:lang w:val="en-US" w:eastAsia="zh-CN"/>
        </w:rPr>
        <w:t>）在陕西股权交易中心开展股权融资的企业奖励申请所需材料。</w:t>
      </w:r>
    </w:p>
    <w:p>
      <w:pPr>
        <w:keepNext w:val="0"/>
        <w:keepLines w:val="0"/>
        <w:pageBreakBefore w:val="0"/>
        <w:widowControl w:val="0"/>
        <w:numPr>
          <w:ilvl w:val="0"/>
          <w:numId w:val="11"/>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专项资金申请报告(包含企业基本情况，经营状况，</w:t>
      </w:r>
      <w:r>
        <w:rPr>
          <w:rFonts w:hint="default" w:ascii="Times New Roman" w:hAnsi="Times New Roman" w:eastAsia="仿宋_GB2312" w:cs="Times New Roman"/>
          <w:color w:val="auto"/>
          <w:lang w:eastAsia="zh-CN"/>
        </w:rPr>
        <w:t>在陕股交挂牌</w:t>
      </w:r>
      <w:r>
        <w:rPr>
          <w:rFonts w:hint="default" w:ascii="Times New Roman" w:hAnsi="Times New Roman" w:eastAsia="仿宋_GB2312" w:cs="Times New Roman"/>
          <w:color w:val="auto"/>
        </w:rPr>
        <w:t>融资进展情况);</w:t>
      </w:r>
    </w:p>
    <w:p>
      <w:pPr>
        <w:keepNext w:val="0"/>
        <w:keepLines w:val="0"/>
        <w:pageBreakBefore w:val="0"/>
        <w:widowControl w:val="0"/>
        <w:numPr>
          <w:ilvl w:val="0"/>
          <w:numId w:val="11"/>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r>
        <w:rPr>
          <w:rFonts w:hint="default" w:ascii="Times New Roman" w:hAnsi="Times New Roman" w:eastAsia="仿宋_GB2312" w:cs="Times New Roman"/>
          <w:color w:val="auto"/>
          <w:szCs w:val="32"/>
        </w:rPr>
        <w:t>；</w:t>
      </w:r>
    </w:p>
    <w:p>
      <w:pPr>
        <w:keepNext w:val="0"/>
        <w:keepLines w:val="0"/>
        <w:pageBreakBefore w:val="0"/>
        <w:widowControl w:val="0"/>
        <w:numPr>
          <w:ilvl w:val="0"/>
          <w:numId w:val="11"/>
        </w:numPr>
        <w:kinsoku/>
        <w:wordWrap/>
        <w:overflowPunct/>
        <w:topLinePunct w:val="0"/>
        <w:autoSpaceDE/>
        <w:autoSpaceDN w:val="0"/>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企业营业执照复印件（验原件）；</w:t>
      </w:r>
    </w:p>
    <w:p>
      <w:pPr>
        <w:keepNext w:val="0"/>
        <w:keepLines w:val="0"/>
        <w:pageBreakBefore w:val="0"/>
        <w:widowControl w:val="0"/>
        <w:numPr>
          <w:ilvl w:val="0"/>
          <w:numId w:val="11"/>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lang w:eastAsia="zh-CN"/>
        </w:rPr>
        <w:t>陕西股权交易中心出具的科技创新专板挂牌同意函；</w:t>
      </w:r>
    </w:p>
    <w:p>
      <w:pPr>
        <w:keepNext w:val="0"/>
        <w:keepLines w:val="0"/>
        <w:pageBreakBefore w:val="0"/>
        <w:widowControl w:val="0"/>
        <w:numPr>
          <w:ilvl w:val="0"/>
          <w:numId w:val="11"/>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lang w:eastAsia="zh-CN"/>
        </w:rPr>
      </w:pPr>
      <w:r>
        <w:rPr>
          <w:rFonts w:hint="default" w:ascii="Times New Roman" w:hAnsi="Times New Roman" w:eastAsia="仿宋_GB2312" w:cs="Times New Roman"/>
          <w:color w:val="auto"/>
          <w:szCs w:val="32"/>
        </w:rPr>
        <w:t>募集资金方案及相关批准文件，资金到位财务凭证</w:t>
      </w:r>
      <w:r>
        <w:rPr>
          <w:rFonts w:hint="default" w:ascii="Times New Roman" w:hAnsi="Times New Roman" w:eastAsia="仿宋_GB2312" w:cs="Times New Roman"/>
          <w:color w:val="auto"/>
          <w:szCs w:val="32"/>
          <w:lang w:eastAsia="zh-CN"/>
        </w:rPr>
        <w:t>和股权变更证明</w:t>
      </w:r>
      <w:r>
        <w:rPr>
          <w:rFonts w:hint="default" w:ascii="Times New Roman" w:hAnsi="Times New Roman" w:eastAsia="仿宋_GB2312" w:cs="Times New Roman"/>
          <w:color w:val="auto"/>
          <w:szCs w:val="32"/>
        </w:rPr>
        <w:t>等材料</w:t>
      </w:r>
      <w:r>
        <w:rPr>
          <w:rFonts w:hint="eastAsia" w:eastAsia="仿宋_GB2312" w:cs="Times New Roman"/>
          <w:color w:val="auto"/>
          <w:szCs w:val="32"/>
          <w:lang w:eastAsia="zh-CN"/>
        </w:rPr>
        <w:t>；</w:t>
      </w:r>
    </w:p>
    <w:p>
      <w:pPr>
        <w:keepNext w:val="0"/>
        <w:keepLines w:val="0"/>
        <w:pageBreakBefore w:val="0"/>
        <w:widowControl w:val="0"/>
        <w:numPr>
          <w:ilvl w:val="0"/>
          <w:numId w:val="11"/>
        </w:numPr>
        <w:kinsoku/>
        <w:wordWrap/>
        <w:overflowPunct/>
        <w:topLinePunct w:val="0"/>
        <w:autoSpaceDE/>
        <w:bidi w:val="0"/>
        <w:adjustRightInd/>
        <w:snapToGrid/>
        <w:spacing w:line="576" w:lineRule="exact"/>
        <w:ind w:left="1065" w:leftChars="0" w:hanging="425" w:firstLineChars="0"/>
        <w:jc w:val="both"/>
        <w:textAlignment w:val="auto"/>
        <w:rPr>
          <w:rFonts w:hint="default" w:ascii="Times New Roman" w:hAnsi="Times New Roman" w:eastAsia="仿宋_GB2312" w:cs="Times New Roman"/>
          <w:color w:val="auto"/>
          <w:szCs w:val="32"/>
          <w:lang w:eastAsia="zh-CN"/>
        </w:rPr>
      </w:pPr>
      <w:r>
        <w:rPr>
          <w:rFonts w:hint="eastAsia" w:eastAsia="仿宋_GB2312" w:cs="Times New Roman"/>
          <w:color w:val="auto"/>
          <w:szCs w:val="32"/>
          <w:lang w:eastAsia="zh-CN"/>
        </w:rPr>
        <w:t>企业账户信息表。</w:t>
      </w:r>
    </w:p>
    <w:p>
      <w:pPr>
        <w:autoSpaceDN w:val="0"/>
        <w:spacing w:line="600" w:lineRule="exact"/>
        <w:ind w:firstLine="634"/>
        <w:rPr>
          <w:rFonts w:hint="default" w:ascii="Times New Roman" w:hAnsi="Times New Roman" w:eastAsia="楷体" w:cs="Times New Roman"/>
          <w:b w:val="0"/>
          <w:bCs w:val="0"/>
          <w:color w:val="auto"/>
          <w:szCs w:val="32"/>
          <w:lang w:val="en-US" w:eastAsia="zh-CN"/>
        </w:rPr>
      </w:pPr>
      <w:r>
        <w:rPr>
          <w:rFonts w:hint="eastAsia" w:ascii="Times New Roman" w:hAnsi="Times New Roman" w:eastAsia="楷体" w:cs="Times New Roman"/>
          <w:b w:val="0"/>
          <w:bCs w:val="0"/>
          <w:color w:val="auto"/>
          <w:szCs w:val="32"/>
          <w:lang w:val="en-US" w:eastAsia="zh-CN"/>
        </w:rPr>
        <w:t>（八）</w:t>
      </w:r>
      <w:r>
        <w:rPr>
          <w:rFonts w:hint="default" w:ascii="Times New Roman" w:hAnsi="Times New Roman" w:eastAsia="楷体" w:cs="Times New Roman"/>
          <w:b w:val="0"/>
          <w:bCs w:val="0"/>
          <w:color w:val="auto"/>
          <w:szCs w:val="32"/>
          <w:lang w:val="en-US" w:eastAsia="zh-CN"/>
        </w:rPr>
        <w:t>基础设施领域不动产投资信托基金（REITs）</w:t>
      </w:r>
      <w:r>
        <w:rPr>
          <w:rFonts w:hint="eastAsia" w:ascii="Times New Roman" w:hAnsi="Times New Roman" w:eastAsia="楷体" w:cs="Times New Roman"/>
          <w:b w:val="0"/>
          <w:bCs w:val="0"/>
          <w:color w:val="auto"/>
          <w:szCs w:val="32"/>
          <w:lang w:val="en-US" w:eastAsia="zh-CN"/>
        </w:rPr>
        <w:t>的企业奖励申请所需材料</w:t>
      </w:r>
      <w:r>
        <w:rPr>
          <w:rFonts w:hint="default" w:ascii="Times New Roman" w:hAnsi="Times New Roman" w:eastAsia="楷体" w:cs="Times New Roman"/>
          <w:b w:val="0"/>
          <w:bCs w:val="0"/>
          <w:color w:val="auto"/>
          <w:szCs w:val="32"/>
          <w:lang w:val="en-US" w:eastAsia="zh-CN"/>
        </w:rPr>
        <w:t>。</w:t>
      </w:r>
    </w:p>
    <w:p>
      <w:pPr>
        <w:keepNext w:val="0"/>
        <w:keepLines w:val="0"/>
        <w:pageBreakBefore w:val="0"/>
        <w:widowControl w:val="0"/>
        <w:numPr>
          <w:ilvl w:val="0"/>
          <w:numId w:val="12"/>
        </w:numPr>
        <w:kinsoku/>
        <w:wordWrap/>
        <w:overflowPunct/>
        <w:topLinePunct w:val="0"/>
        <w:autoSpaceDE/>
        <w:autoSpaceDN w:val="0"/>
        <w:bidi w:val="0"/>
        <w:adjustRightInd/>
        <w:snapToGrid/>
        <w:spacing w:line="576" w:lineRule="exact"/>
        <w:ind w:left="0" w:leftChars="0" w:firstLine="640" w:firstLineChars="20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专项资金申请报告(包含企业基本情况，经营状况，</w:t>
      </w:r>
      <w:r>
        <w:rPr>
          <w:rFonts w:hint="default" w:ascii="Times New Roman" w:hAnsi="Times New Roman" w:eastAsia="仿宋_GB2312" w:cs="Times New Roman"/>
          <w:color w:val="auto"/>
          <w:lang w:eastAsia="zh-CN"/>
        </w:rPr>
        <w:t>REITs</w:t>
      </w:r>
      <w:r>
        <w:rPr>
          <w:rFonts w:hint="eastAsia" w:eastAsia="仿宋_GB2312" w:cs="Times New Roman"/>
          <w:color w:val="auto"/>
          <w:lang w:eastAsia="zh-CN"/>
        </w:rPr>
        <w:t>项目基本情况，</w:t>
      </w:r>
      <w:r>
        <w:rPr>
          <w:rFonts w:hint="default" w:ascii="Times New Roman" w:hAnsi="Times New Roman" w:eastAsia="仿宋_GB2312" w:cs="Times New Roman"/>
          <w:color w:val="auto"/>
        </w:rPr>
        <w:t>进展情况);</w:t>
      </w:r>
    </w:p>
    <w:p>
      <w:pPr>
        <w:keepNext w:val="0"/>
        <w:keepLines w:val="0"/>
        <w:pageBreakBefore w:val="0"/>
        <w:widowControl w:val="0"/>
        <w:numPr>
          <w:ilvl w:val="0"/>
          <w:numId w:val="12"/>
        </w:numPr>
        <w:kinsoku/>
        <w:wordWrap/>
        <w:overflowPunct/>
        <w:topLinePunct w:val="0"/>
        <w:autoSpaceDE/>
        <w:bidi w:val="0"/>
        <w:adjustRightInd/>
        <w:snapToGrid/>
        <w:spacing w:line="576" w:lineRule="exact"/>
        <w:ind w:left="0" w:leftChars="0" w:firstLine="640" w:firstLineChars="200"/>
        <w:jc w:val="both"/>
        <w:textAlignment w:val="auto"/>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（附件</w:t>
      </w:r>
      <w:r>
        <w:rPr>
          <w:rFonts w:hint="default" w:ascii="Times New Roman" w:hAnsi="Times New Roman" w:eastAsia="仿宋_GB2312" w:cs="Times New Roman"/>
          <w:color w:val="auto"/>
          <w:szCs w:val="32"/>
          <w:lang w:val="en-US" w:eastAsia="zh-CN"/>
        </w:rPr>
        <w:t>2</w:t>
      </w:r>
      <w:r>
        <w:rPr>
          <w:rFonts w:hint="default" w:ascii="Times New Roman" w:hAnsi="Times New Roman" w:eastAsia="仿宋_GB2312" w:cs="Times New Roman"/>
          <w:color w:val="auto"/>
          <w:szCs w:val="32"/>
          <w:lang w:eastAsia="zh-CN"/>
        </w:rPr>
        <w:t>）</w:t>
      </w:r>
      <w:r>
        <w:rPr>
          <w:rFonts w:hint="default" w:ascii="Times New Roman" w:hAnsi="Times New Roman" w:eastAsia="仿宋_GB2312" w:cs="Times New Roman"/>
          <w:color w:val="auto"/>
          <w:szCs w:val="32"/>
        </w:rPr>
        <w:t>；</w:t>
      </w:r>
    </w:p>
    <w:p>
      <w:pPr>
        <w:keepNext w:val="0"/>
        <w:keepLines w:val="0"/>
        <w:pageBreakBefore w:val="0"/>
        <w:widowControl w:val="0"/>
        <w:numPr>
          <w:ilvl w:val="0"/>
          <w:numId w:val="12"/>
        </w:numPr>
        <w:kinsoku/>
        <w:wordWrap/>
        <w:overflowPunct/>
        <w:topLinePunct w:val="0"/>
        <w:autoSpaceDE/>
        <w:autoSpaceDN w:val="0"/>
        <w:bidi w:val="0"/>
        <w:adjustRightInd/>
        <w:snapToGrid/>
        <w:spacing w:line="576" w:lineRule="exact"/>
        <w:ind w:left="0" w:leftChars="0" w:firstLine="640" w:firstLineChars="20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企业营业执照复印件（验原件）；</w:t>
      </w:r>
    </w:p>
    <w:p>
      <w:pPr>
        <w:keepNext w:val="0"/>
        <w:keepLines w:val="0"/>
        <w:pageBreakBefore w:val="0"/>
        <w:widowControl w:val="0"/>
        <w:numPr>
          <w:ilvl w:val="0"/>
          <w:numId w:val="12"/>
        </w:numPr>
        <w:kinsoku/>
        <w:wordWrap/>
        <w:overflowPunct/>
        <w:topLinePunct w:val="0"/>
        <w:autoSpaceDE/>
        <w:bidi w:val="0"/>
        <w:adjustRightInd/>
        <w:snapToGrid/>
        <w:spacing w:line="600" w:lineRule="exact"/>
        <w:ind w:left="0" w:leftChars="0" w:firstLine="640" w:firstLineChars="200"/>
        <w:textAlignment w:val="auto"/>
        <w:rPr>
          <w:rFonts w:hint="default" w:ascii="Times New Roman" w:hAnsi="Times New Roman" w:eastAsia="楷体" w:cs="Times New Roman"/>
          <w:color w:val="auto"/>
          <w:szCs w:val="32"/>
          <w:lang w:val="en-US" w:eastAsia="zh-CN"/>
        </w:rPr>
      </w:pPr>
      <w:r>
        <w:rPr>
          <w:rFonts w:hint="default" w:ascii="Times New Roman" w:hAnsi="Times New Roman" w:eastAsia="仿宋_GB2312" w:cs="Times New Roman"/>
          <w:b w:val="0"/>
          <w:bCs w:val="0"/>
          <w:color w:val="auto"/>
          <w:szCs w:val="32"/>
          <w:lang w:val="en-US" w:eastAsia="zh-CN"/>
        </w:rPr>
        <w:t>项目已纳入国家发改委基础设施REITs储备项目库的</w:t>
      </w:r>
      <w:r>
        <w:rPr>
          <w:rFonts w:hint="eastAsia" w:eastAsia="仿宋_GB2312" w:cs="Times New Roman"/>
          <w:b w:val="0"/>
          <w:bCs w:val="0"/>
          <w:color w:val="auto"/>
          <w:szCs w:val="32"/>
          <w:lang w:val="en-US" w:eastAsia="zh-CN"/>
        </w:rPr>
        <w:t>证明材料；</w:t>
      </w:r>
    </w:p>
    <w:p>
      <w:pPr>
        <w:keepNext w:val="0"/>
        <w:keepLines w:val="0"/>
        <w:pageBreakBefore w:val="0"/>
        <w:widowControl w:val="0"/>
        <w:numPr>
          <w:ilvl w:val="0"/>
          <w:numId w:val="12"/>
        </w:numPr>
        <w:kinsoku/>
        <w:wordWrap/>
        <w:overflowPunct/>
        <w:topLinePunct w:val="0"/>
        <w:autoSpaceDE/>
        <w:bidi w:val="0"/>
        <w:adjustRightInd/>
        <w:snapToGrid/>
        <w:spacing w:line="600" w:lineRule="exact"/>
        <w:ind w:left="0" w:leftChars="0" w:firstLine="640" w:firstLineChars="200"/>
        <w:textAlignment w:val="auto"/>
        <w:rPr>
          <w:rFonts w:hint="default" w:ascii="Times New Roman" w:hAnsi="Times New Roman" w:eastAsia="楷体" w:cs="Times New Roman"/>
          <w:color w:val="auto"/>
          <w:szCs w:val="32"/>
          <w:lang w:val="en-US" w:eastAsia="zh-CN"/>
        </w:rPr>
      </w:pPr>
      <w:r>
        <w:rPr>
          <w:rFonts w:hint="default" w:ascii="Times New Roman" w:hAnsi="Times New Roman" w:eastAsia="仿宋_GB2312" w:cs="Times New Roman"/>
          <w:b w:val="0"/>
          <w:bCs w:val="0"/>
          <w:color w:val="auto"/>
          <w:szCs w:val="32"/>
          <w:lang w:val="en-US" w:eastAsia="zh-CN"/>
        </w:rPr>
        <w:t>REITs</w:t>
      </w:r>
      <w:r>
        <w:rPr>
          <w:rFonts w:hint="eastAsia" w:eastAsia="仿宋_GB2312" w:cs="Times New Roman"/>
          <w:b w:val="0"/>
          <w:bCs w:val="0"/>
          <w:color w:val="auto"/>
          <w:szCs w:val="32"/>
          <w:lang w:val="en-US" w:eastAsia="zh-CN"/>
        </w:rPr>
        <w:t>项目经费支出的相关合同及发票；</w:t>
      </w:r>
    </w:p>
    <w:p>
      <w:pPr>
        <w:keepNext w:val="0"/>
        <w:keepLines w:val="0"/>
        <w:pageBreakBefore w:val="0"/>
        <w:widowControl w:val="0"/>
        <w:numPr>
          <w:ilvl w:val="0"/>
          <w:numId w:val="12"/>
        </w:numPr>
        <w:kinsoku/>
        <w:wordWrap/>
        <w:overflowPunct/>
        <w:topLinePunct w:val="0"/>
        <w:autoSpaceDE/>
        <w:bidi w:val="0"/>
        <w:adjustRightInd/>
        <w:snapToGrid/>
        <w:spacing w:line="600" w:lineRule="exact"/>
        <w:ind w:left="0" w:leftChars="0" w:firstLine="640" w:firstLineChars="200"/>
        <w:textAlignment w:val="auto"/>
        <w:rPr>
          <w:rFonts w:hint="default" w:ascii="Times New Roman" w:hAnsi="Times New Roman" w:eastAsia="楷体" w:cs="Times New Roman"/>
          <w:color w:val="auto"/>
          <w:szCs w:val="32"/>
          <w:lang w:val="en-US" w:eastAsia="zh-CN"/>
        </w:rPr>
      </w:pPr>
      <w:r>
        <w:rPr>
          <w:rFonts w:hint="default" w:ascii="Times New Roman" w:hAnsi="Times New Roman" w:eastAsia="仿宋_GB2312" w:cs="Times New Roman"/>
          <w:b w:val="0"/>
          <w:bCs w:val="0"/>
          <w:color w:val="auto"/>
          <w:szCs w:val="32"/>
          <w:lang w:val="en-US" w:eastAsia="zh-CN"/>
        </w:rPr>
        <w:t>成功发行基础设施REITs产品的</w:t>
      </w:r>
      <w:r>
        <w:rPr>
          <w:rFonts w:hint="eastAsia" w:eastAsia="仿宋_GB2312" w:cs="Times New Roman"/>
          <w:b w:val="0"/>
          <w:bCs w:val="0"/>
          <w:color w:val="auto"/>
          <w:szCs w:val="32"/>
          <w:lang w:val="en-US" w:eastAsia="zh-CN"/>
        </w:rPr>
        <w:t>证明文件，发行材料；</w:t>
      </w:r>
    </w:p>
    <w:p>
      <w:pPr>
        <w:keepNext w:val="0"/>
        <w:keepLines w:val="0"/>
        <w:pageBreakBefore w:val="0"/>
        <w:widowControl w:val="0"/>
        <w:numPr>
          <w:ilvl w:val="0"/>
          <w:numId w:val="12"/>
        </w:numPr>
        <w:kinsoku/>
        <w:wordWrap/>
        <w:overflowPunct/>
        <w:topLinePunct w:val="0"/>
        <w:autoSpaceDE/>
        <w:bidi w:val="0"/>
        <w:adjustRightInd/>
        <w:snapToGrid/>
        <w:spacing w:line="600" w:lineRule="exact"/>
        <w:ind w:left="0" w:leftChars="0" w:firstLine="640" w:firstLineChars="200"/>
        <w:textAlignment w:val="auto"/>
        <w:rPr>
          <w:rFonts w:hint="default" w:ascii="Times New Roman" w:hAnsi="Times New Roman" w:eastAsia="楷体" w:cs="Times New Roman"/>
          <w:color w:val="auto"/>
          <w:szCs w:val="32"/>
          <w:lang w:val="en-US" w:eastAsia="zh-CN"/>
        </w:rPr>
      </w:pPr>
      <w:r>
        <w:rPr>
          <w:rFonts w:hint="eastAsia" w:eastAsia="仿宋_GB2312" w:cs="Times New Roman"/>
          <w:color w:val="auto"/>
          <w:szCs w:val="32"/>
          <w:lang w:eastAsia="zh-CN"/>
        </w:rPr>
        <w:t>企业账户信息表</w:t>
      </w:r>
      <w:r>
        <w:rPr>
          <w:rFonts w:hint="eastAsia" w:eastAsia="仿宋_GB2312" w:cs="Times New Roman"/>
          <w:color w:val="auto"/>
          <w:lang w:eastAsia="zh-CN"/>
        </w:rPr>
        <w:t>。</w:t>
      </w:r>
    </w:p>
    <w:p>
      <w:pPr>
        <w:spacing w:line="600" w:lineRule="exact"/>
        <w:ind w:firstLine="640" w:firstLineChars="200"/>
        <w:rPr>
          <w:rFonts w:hint="default" w:ascii="Times New Roman" w:hAnsi="Times New Roman" w:eastAsia="楷体" w:cs="Times New Roman"/>
          <w:color w:val="auto"/>
          <w:szCs w:val="32"/>
          <w:lang w:val="en-US" w:eastAsia="zh-CN"/>
        </w:rPr>
      </w:pPr>
      <w:r>
        <w:rPr>
          <w:rFonts w:hint="default" w:ascii="Times New Roman" w:hAnsi="Times New Roman" w:eastAsia="楷体" w:cs="Times New Roman"/>
          <w:color w:val="auto"/>
          <w:szCs w:val="32"/>
          <w:lang w:val="en-US" w:eastAsia="zh-CN"/>
        </w:rPr>
        <w:t>（</w:t>
      </w:r>
      <w:r>
        <w:rPr>
          <w:rFonts w:hint="eastAsia" w:eastAsia="楷体" w:cs="Times New Roman"/>
          <w:color w:val="auto"/>
          <w:szCs w:val="32"/>
          <w:lang w:val="en-US" w:eastAsia="zh-CN"/>
        </w:rPr>
        <w:t>九</w:t>
      </w:r>
      <w:r>
        <w:rPr>
          <w:rFonts w:hint="default" w:ascii="Times New Roman" w:hAnsi="Times New Roman" w:eastAsia="楷体" w:cs="Times New Roman"/>
          <w:color w:val="auto"/>
          <w:szCs w:val="32"/>
          <w:lang w:val="en-US" w:eastAsia="zh-CN"/>
        </w:rPr>
        <w:t>）主办券商奖励申请所需资料。</w:t>
      </w:r>
    </w:p>
    <w:p>
      <w:pPr>
        <w:numPr>
          <w:ilvl w:val="0"/>
          <w:numId w:val="13"/>
        </w:numPr>
        <w:autoSpaceDN w:val="0"/>
        <w:spacing w:line="600" w:lineRule="exact"/>
        <w:ind w:left="1065" w:leftChars="0" w:hanging="425" w:firstLineChars="0"/>
        <w:rPr>
          <w:rFonts w:hint="default" w:ascii="Times New Roman" w:hAnsi="Times New Roman" w:eastAsia="仿宋_GB2312" w:cs="Times New Roman"/>
          <w:color w:val="auto"/>
        </w:rPr>
      </w:pPr>
      <w:r>
        <w:rPr>
          <w:rFonts w:hint="default" w:ascii="Times New Roman" w:hAnsi="Times New Roman" w:eastAsia="仿宋_GB2312" w:cs="Times New Roman"/>
          <w:color w:val="auto"/>
          <w:szCs w:val="32"/>
        </w:rPr>
        <w:t>西安市鼓励企业上市发展专项资金申报表</w:t>
      </w:r>
      <w:r>
        <w:rPr>
          <w:rFonts w:hint="default" w:ascii="Times New Roman" w:hAnsi="Times New Roman" w:eastAsia="仿宋_GB2312" w:cs="Times New Roman"/>
          <w:color w:val="auto"/>
          <w:szCs w:val="32"/>
          <w:lang w:eastAsia="zh-CN"/>
        </w:rPr>
        <w:t>（主办券商）（附件</w:t>
      </w:r>
      <w:r>
        <w:rPr>
          <w:rFonts w:hint="default" w:ascii="Times New Roman" w:hAnsi="Times New Roman" w:eastAsia="仿宋_GB2312" w:cs="Times New Roman"/>
          <w:color w:val="auto"/>
          <w:szCs w:val="32"/>
          <w:lang w:val="en-US" w:eastAsia="zh-CN"/>
        </w:rPr>
        <w:t>3</w:t>
      </w:r>
      <w:r>
        <w:rPr>
          <w:rFonts w:hint="default" w:ascii="Times New Roman" w:hAnsi="Times New Roman" w:eastAsia="仿宋_GB2312" w:cs="Times New Roman"/>
          <w:color w:val="auto"/>
          <w:szCs w:val="32"/>
          <w:lang w:eastAsia="zh-CN"/>
        </w:rPr>
        <w:t>）</w:t>
      </w:r>
      <w:r>
        <w:rPr>
          <w:rFonts w:hint="default" w:ascii="Times New Roman" w:hAnsi="Times New Roman" w:eastAsia="仿宋_GB2312" w:cs="Times New Roman"/>
          <w:color w:val="auto"/>
        </w:rPr>
        <w:t>；</w:t>
      </w:r>
    </w:p>
    <w:p>
      <w:pPr>
        <w:numPr>
          <w:ilvl w:val="0"/>
          <w:numId w:val="13"/>
        </w:numPr>
        <w:spacing w:line="600" w:lineRule="exact"/>
        <w:ind w:left="1065" w:leftChars="0" w:hanging="425" w:firstLineChars="0"/>
        <w:rPr>
          <w:rFonts w:hint="default" w:ascii="Times New Roman" w:hAnsi="Times New Roman" w:eastAsia="仿宋_GB2312" w:cs="Times New Roman"/>
          <w:color w:val="auto"/>
          <w:lang w:eastAsia="zh-CN"/>
        </w:rPr>
      </w:pPr>
      <w:r>
        <w:rPr>
          <w:rFonts w:hint="default" w:ascii="Times New Roman" w:hAnsi="Times New Roman" w:eastAsia="仿宋_GB2312" w:cs="Times New Roman"/>
          <w:color w:val="auto"/>
          <w:lang w:eastAsia="zh-CN"/>
        </w:rPr>
        <w:t>与企业签订的相关协议；</w:t>
      </w:r>
    </w:p>
    <w:p>
      <w:pPr>
        <w:numPr>
          <w:ilvl w:val="0"/>
          <w:numId w:val="13"/>
        </w:numPr>
        <w:spacing w:line="600" w:lineRule="exact"/>
        <w:ind w:left="1065" w:leftChars="0" w:hanging="425" w:firstLineChars="0"/>
        <w:rPr>
          <w:rFonts w:hint="default" w:ascii="Times New Roman" w:hAnsi="Times New Roman" w:eastAsia="仿宋_GB2312" w:cs="Times New Roman"/>
          <w:color w:val="auto"/>
        </w:rPr>
      </w:pPr>
      <w:r>
        <w:rPr>
          <w:rFonts w:hint="eastAsia" w:eastAsia="仿宋_GB2312" w:cs="Times New Roman"/>
          <w:color w:val="auto"/>
          <w:lang w:eastAsia="zh-CN"/>
        </w:rPr>
        <w:t>企业问询反馈文件（复印件）；</w:t>
      </w:r>
    </w:p>
    <w:p>
      <w:pPr>
        <w:numPr>
          <w:ilvl w:val="0"/>
          <w:numId w:val="13"/>
        </w:numPr>
        <w:spacing w:line="600" w:lineRule="exact"/>
        <w:ind w:left="1065" w:leftChars="0" w:hanging="425" w:firstLineChars="0"/>
        <w:rPr>
          <w:rFonts w:hint="default" w:ascii="Times New Roman" w:hAnsi="Times New Roman" w:eastAsia="仿宋_GB2312" w:cs="Times New Roman"/>
          <w:color w:val="auto"/>
        </w:rPr>
      </w:pPr>
      <w:r>
        <w:rPr>
          <w:rFonts w:hint="eastAsia" w:eastAsia="仿宋_GB2312" w:cs="Times New Roman"/>
          <w:color w:val="auto"/>
          <w:szCs w:val="32"/>
          <w:lang w:eastAsia="zh-CN"/>
        </w:rPr>
        <w:t>企业账户信息表。</w:t>
      </w:r>
    </w:p>
    <w:p>
      <w:pPr>
        <w:ind w:firstLine="640" w:firstLineChars="200"/>
        <w:rPr>
          <w:rFonts w:hint="eastAsia" w:ascii="黑体" w:hAnsi="黑体" w:eastAsia="黑体" w:cs="黑体"/>
          <w:color w:val="auto"/>
        </w:rPr>
      </w:pPr>
      <w:r>
        <w:rPr>
          <w:rFonts w:hint="eastAsia" w:ascii="黑体" w:hAnsi="黑体" w:eastAsia="黑体" w:cs="黑体"/>
          <w:szCs w:val="32"/>
        </w:rPr>
        <w:t>申报企业需提供</w:t>
      </w:r>
      <w:r>
        <w:rPr>
          <w:rFonts w:hint="eastAsia" w:ascii="黑体" w:hAnsi="黑体" w:eastAsia="黑体" w:cs="黑体"/>
          <w:color w:val="auto"/>
          <w:szCs w:val="32"/>
        </w:rPr>
        <w:t>一式两份</w:t>
      </w:r>
      <w:r>
        <w:rPr>
          <w:rFonts w:hint="eastAsia" w:ascii="黑体" w:hAnsi="黑体" w:eastAsia="黑体" w:cs="黑体"/>
          <w:szCs w:val="32"/>
        </w:rPr>
        <w:t>完整资料（word格式，A4页面），</w:t>
      </w:r>
      <w:r>
        <w:rPr>
          <w:rFonts w:hint="eastAsia" w:ascii="黑体" w:hAnsi="黑体" w:eastAsia="黑体" w:cs="黑体"/>
          <w:szCs w:val="32"/>
          <w:lang w:eastAsia="zh-CN"/>
        </w:rPr>
        <w:t>加盖公章，浅蓝色封面注明企业名称及申报项目，按照指南中列明的所需材料顺序添加目录，胶装，</w:t>
      </w:r>
      <w:r>
        <w:rPr>
          <w:rFonts w:hint="eastAsia" w:ascii="黑体" w:hAnsi="黑体" w:eastAsia="黑体" w:cs="黑体"/>
          <w:szCs w:val="32"/>
        </w:rPr>
        <w:t>并附电子文档一份。</w:t>
      </w:r>
      <w:r>
        <w:rPr>
          <w:rFonts w:hint="eastAsia" w:ascii="黑体" w:hAnsi="黑体" w:eastAsia="黑体" w:cs="黑体"/>
          <w:szCs w:val="32"/>
          <w:lang w:eastAsia="zh-CN"/>
        </w:rPr>
        <w:t>于</w:t>
      </w:r>
      <w:r>
        <w:rPr>
          <w:rFonts w:hint="eastAsia" w:ascii="黑体" w:hAnsi="黑体" w:eastAsia="黑体" w:cs="黑体"/>
          <w:szCs w:val="32"/>
          <w:lang w:val="en-US" w:eastAsia="zh-CN"/>
        </w:rPr>
        <w:t>9月16日前，</w:t>
      </w:r>
      <w:r>
        <w:rPr>
          <w:rFonts w:hint="eastAsia" w:ascii="黑体" w:hAnsi="黑体" w:eastAsia="黑体" w:cs="黑体"/>
          <w:szCs w:val="32"/>
        </w:rPr>
        <w:t>报送至市</w:t>
      </w:r>
      <w:r>
        <w:rPr>
          <w:rFonts w:hint="eastAsia" w:ascii="黑体" w:hAnsi="黑体" w:eastAsia="黑体" w:cs="黑体"/>
          <w:szCs w:val="32"/>
          <w:lang w:eastAsia="zh-CN"/>
        </w:rPr>
        <w:t>金融工作局</w:t>
      </w:r>
      <w:r>
        <w:rPr>
          <w:rFonts w:hint="eastAsia" w:ascii="黑体" w:hAnsi="黑体" w:eastAsia="黑体" w:cs="黑体"/>
          <w:szCs w:val="32"/>
        </w:rPr>
        <w:t>资本市场处。</w:t>
      </w: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tbl>
      <w:tblPr>
        <w:tblStyle w:val="6"/>
        <w:tblW w:w="9064" w:type="dxa"/>
        <w:jc w:val="center"/>
        <w:tblLayout w:type="fixed"/>
        <w:tblCellMar>
          <w:top w:w="0" w:type="dxa"/>
          <w:left w:w="108" w:type="dxa"/>
          <w:bottom w:w="0" w:type="dxa"/>
          <w:right w:w="108" w:type="dxa"/>
        </w:tblCellMar>
      </w:tblPr>
      <w:tblGrid>
        <w:gridCol w:w="1413"/>
        <w:gridCol w:w="600"/>
        <w:gridCol w:w="450"/>
        <w:gridCol w:w="450"/>
        <w:gridCol w:w="293"/>
        <w:gridCol w:w="40"/>
        <w:gridCol w:w="499"/>
        <w:gridCol w:w="131"/>
        <w:gridCol w:w="503"/>
        <w:gridCol w:w="408"/>
        <w:gridCol w:w="213"/>
        <w:gridCol w:w="263"/>
        <w:gridCol w:w="465"/>
        <w:gridCol w:w="15"/>
        <w:gridCol w:w="774"/>
        <w:gridCol w:w="346"/>
        <w:gridCol w:w="169"/>
        <w:gridCol w:w="870"/>
        <w:gridCol w:w="1162"/>
      </w:tblGrid>
      <w:tr>
        <w:tblPrEx>
          <w:tblCellMar>
            <w:top w:w="0" w:type="dxa"/>
            <w:left w:w="108" w:type="dxa"/>
            <w:bottom w:w="0" w:type="dxa"/>
            <w:right w:w="108" w:type="dxa"/>
          </w:tblCellMar>
        </w:tblPrEx>
        <w:trPr>
          <w:trHeight w:val="630" w:hRule="atLeast"/>
          <w:jc w:val="center"/>
        </w:trPr>
        <w:tc>
          <w:tcPr>
            <w:tcW w:w="9064" w:type="dxa"/>
            <w:gridSpan w:val="19"/>
            <w:tcBorders>
              <w:top w:val="nil"/>
              <w:left w:val="nil"/>
              <w:bottom w:val="nil"/>
              <w:right w:val="nil"/>
            </w:tcBorders>
            <w:vAlign w:val="center"/>
          </w:tcPr>
          <w:p>
            <w:pPr>
              <w:widowControl/>
              <w:jc w:val="both"/>
              <w:rPr>
                <w:rFonts w:hint="default" w:ascii="Times New Roman" w:hAnsi="Times New Roman" w:eastAsia="黑体" w:cs="Times New Roman"/>
                <w:bCs/>
                <w:color w:val="auto"/>
                <w:kern w:val="0"/>
                <w:sz w:val="32"/>
                <w:szCs w:val="32"/>
                <w:lang w:val="en-US" w:eastAsia="zh-CN"/>
              </w:rPr>
            </w:pPr>
            <w:r>
              <w:rPr>
                <w:rFonts w:hint="default" w:ascii="Times New Roman" w:hAnsi="Times New Roman" w:eastAsia="黑体" w:cs="Times New Roman"/>
                <w:bCs/>
                <w:color w:val="auto"/>
                <w:kern w:val="0"/>
                <w:sz w:val="32"/>
                <w:szCs w:val="32"/>
                <w:lang w:eastAsia="zh-CN"/>
              </w:rPr>
              <w:t>附</w:t>
            </w:r>
            <w:r>
              <w:rPr>
                <w:rFonts w:hint="eastAsia" w:ascii="黑体" w:hAnsi="黑体" w:eastAsia="黑体" w:cs="黑体"/>
                <w:bCs/>
                <w:color w:val="auto"/>
                <w:kern w:val="0"/>
                <w:sz w:val="32"/>
                <w:szCs w:val="32"/>
                <w:lang w:eastAsia="zh-CN"/>
              </w:rPr>
              <w:t>件</w:t>
            </w:r>
            <w:r>
              <w:rPr>
                <w:rFonts w:hint="eastAsia" w:ascii="黑体" w:hAnsi="黑体" w:eastAsia="黑体" w:cs="黑体"/>
                <w:bCs/>
                <w:color w:val="auto"/>
                <w:kern w:val="0"/>
                <w:sz w:val="32"/>
                <w:szCs w:val="32"/>
                <w:lang w:val="en-US" w:eastAsia="zh-CN"/>
              </w:rPr>
              <w:t>3</w:t>
            </w:r>
          </w:p>
          <w:p>
            <w:pPr>
              <w:widowControl/>
              <w:jc w:val="center"/>
              <w:rPr>
                <w:rFonts w:hint="default" w:ascii="Times New Roman" w:hAnsi="Times New Roman" w:eastAsia="方正小标宋简体" w:cs="Times New Roman"/>
                <w:bCs/>
                <w:color w:val="auto"/>
                <w:kern w:val="0"/>
                <w:sz w:val="36"/>
                <w:szCs w:val="36"/>
              </w:rPr>
            </w:pPr>
            <w:r>
              <w:rPr>
                <w:rFonts w:hint="default" w:ascii="Times New Roman" w:hAnsi="Times New Roman" w:eastAsia="方正小标宋简体" w:cs="Times New Roman"/>
                <w:bCs/>
                <w:color w:val="auto"/>
                <w:kern w:val="0"/>
                <w:sz w:val="36"/>
                <w:szCs w:val="36"/>
              </w:rPr>
              <w:t>西安市鼓励企业上市发展专项资金申报表</w:t>
            </w:r>
          </w:p>
        </w:tc>
      </w:tr>
      <w:tr>
        <w:tblPrEx>
          <w:tblCellMar>
            <w:top w:w="0" w:type="dxa"/>
            <w:left w:w="108" w:type="dxa"/>
            <w:bottom w:w="0" w:type="dxa"/>
            <w:right w:w="108" w:type="dxa"/>
          </w:tblCellMar>
        </w:tblPrEx>
        <w:trPr>
          <w:trHeight w:val="547"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企业名称</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525"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所属行业</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55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企业地址</w:t>
            </w:r>
          </w:p>
        </w:tc>
        <w:tc>
          <w:tcPr>
            <w:tcW w:w="7651" w:type="dxa"/>
            <w:gridSpan w:val="18"/>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53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企业负责人</w:t>
            </w:r>
          </w:p>
        </w:tc>
        <w:tc>
          <w:tcPr>
            <w:tcW w:w="6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姓名</w:t>
            </w:r>
          </w:p>
        </w:tc>
        <w:tc>
          <w:tcPr>
            <w:tcW w:w="2366" w:type="dxa"/>
            <w:gridSpan w:val="7"/>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1364" w:type="dxa"/>
            <w:gridSpan w:val="5"/>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电话</w:t>
            </w:r>
          </w:p>
        </w:tc>
        <w:tc>
          <w:tcPr>
            <w:tcW w:w="3321"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r>
      <w:tr>
        <w:tblPrEx>
          <w:tblCellMar>
            <w:top w:w="0" w:type="dxa"/>
            <w:left w:w="108" w:type="dxa"/>
            <w:bottom w:w="0" w:type="dxa"/>
            <w:right w:w="108" w:type="dxa"/>
          </w:tblCellMar>
        </w:tblPrEx>
        <w:trPr>
          <w:trHeight w:val="63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企业联系人</w:t>
            </w:r>
          </w:p>
        </w:tc>
        <w:tc>
          <w:tcPr>
            <w:tcW w:w="6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姓名</w:t>
            </w:r>
          </w:p>
        </w:tc>
        <w:tc>
          <w:tcPr>
            <w:tcW w:w="2366" w:type="dxa"/>
            <w:gridSpan w:val="7"/>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1364" w:type="dxa"/>
            <w:gridSpan w:val="5"/>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电话</w:t>
            </w:r>
          </w:p>
        </w:tc>
        <w:tc>
          <w:tcPr>
            <w:tcW w:w="3321"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r>
      <w:tr>
        <w:tblPrEx>
          <w:tblCellMar>
            <w:top w:w="0" w:type="dxa"/>
            <w:left w:w="108" w:type="dxa"/>
            <w:bottom w:w="0" w:type="dxa"/>
            <w:right w:w="108" w:type="dxa"/>
          </w:tblCellMar>
        </w:tblPrEx>
        <w:trPr>
          <w:trHeight w:val="52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企业性质</w:t>
            </w:r>
          </w:p>
        </w:tc>
        <w:tc>
          <w:tcPr>
            <w:tcW w:w="600" w:type="dxa"/>
            <w:tcBorders>
              <w:top w:val="nil"/>
              <w:left w:val="nil"/>
              <w:bottom w:val="nil"/>
              <w:right w:val="nil"/>
            </w:tcBorders>
            <w:vAlign w:val="center"/>
          </w:tcPr>
          <w:p>
            <w:pPr>
              <w:widowControl/>
              <w:jc w:val="right"/>
              <w:rPr>
                <w:rFonts w:hint="default" w:ascii="Times New Roman" w:hAnsi="Times New Roman" w:cs="Times New Roman"/>
                <w:color w:val="auto"/>
                <w:kern w:val="0"/>
                <w:sz w:val="24"/>
              </w:rPr>
            </w:pPr>
            <w:r>
              <w:rPr>
                <w:rFonts w:hint="default" w:ascii="Times New Roman" w:hAnsi="Times New Roman" w:cs="Times New Roman"/>
                <w:color w:val="auto"/>
                <w:kern w:val="0"/>
                <w:sz w:val="24"/>
              </w:rPr>
              <w:sym w:font="Wingdings 2" w:char="00A3"/>
            </w:r>
          </w:p>
        </w:tc>
        <w:tc>
          <w:tcPr>
            <w:tcW w:w="450" w:type="dxa"/>
            <w:tcBorders>
              <w:top w:val="nil"/>
              <w:left w:val="nil"/>
              <w:bottom w:val="nil"/>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国有</w:t>
            </w:r>
          </w:p>
        </w:tc>
        <w:tc>
          <w:tcPr>
            <w:tcW w:w="450" w:type="dxa"/>
            <w:tcBorders>
              <w:top w:val="nil"/>
              <w:left w:val="nil"/>
              <w:bottom w:val="nil"/>
              <w:right w:val="nil"/>
            </w:tcBorders>
            <w:vAlign w:val="center"/>
          </w:tcPr>
          <w:p>
            <w:pPr>
              <w:widowControl/>
              <w:jc w:val="right"/>
              <w:rPr>
                <w:rFonts w:hint="default" w:ascii="Times New Roman" w:hAnsi="Times New Roman" w:cs="Times New Roman"/>
                <w:color w:val="auto"/>
                <w:kern w:val="0"/>
                <w:sz w:val="24"/>
              </w:rPr>
            </w:pPr>
            <w:r>
              <w:rPr>
                <w:rFonts w:hint="default" w:ascii="Times New Roman" w:hAnsi="Times New Roman" w:cs="Times New Roman"/>
                <w:color w:val="auto"/>
                <w:kern w:val="0"/>
                <w:sz w:val="24"/>
              </w:rPr>
              <w:sym w:font="Wingdings 2" w:char="00A3"/>
            </w:r>
          </w:p>
        </w:tc>
        <w:tc>
          <w:tcPr>
            <w:tcW w:w="333" w:type="dxa"/>
            <w:gridSpan w:val="2"/>
            <w:tcBorders>
              <w:top w:val="nil"/>
              <w:left w:val="nil"/>
              <w:bottom w:val="nil"/>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民营</w:t>
            </w:r>
          </w:p>
        </w:tc>
        <w:tc>
          <w:tcPr>
            <w:tcW w:w="630" w:type="dxa"/>
            <w:gridSpan w:val="2"/>
            <w:tcBorders>
              <w:top w:val="nil"/>
              <w:left w:val="nil"/>
              <w:bottom w:val="nil"/>
              <w:right w:val="nil"/>
            </w:tcBorders>
            <w:vAlign w:val="center"/>
          </w:tcPr>
          <w:p>
            <w:pPr>
              <w:widowControl/>
              <w:jc w:val="right"/>
              <w:rPr>
                <w:rFonts w:hint="default" w:ascii="Times New Roman" w:hAnsi="Times New Roman" w:cs="Times New Roman"/>
                <w:color w:val="auto"/>
                <w:kern w:val="0"/>
                <w:sz w:val="24"/>
              </w:rPr>
            </w:pPr>
            <w:r>
              <w:rPr>
                <w:rFonts w:hint="default" w:ascii="Times New Roman" w:hAnsi="Times New Roman" w:cs="Times New Roman"/>
                <w:color w:val="auto"/>
                <w:kern w:val="0"/>
                <w:sz w:val="24"/>
              </w:rPr>
              <w:t>□</w:t>
            </w:r>
          </w:p>
        </w:tc>
        <w:tc>
          <w:tcPr>
            <w:tcW w:w="503" w:type="dxa"/>
            <w:tcBorders>
              <w:top w:val="nil"/>
              <w:left w:val="nil"/>
              <w:bottom w:val="nil"/>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集体</w:t>
            </w:r>
          </w:p>
        </w:tc>
        <w:tc>
          <w:tcPr>
            <w:tcW w:w="884" w:type="dxa"/>
            <w:gridSpan w:val="3"/>
            <w:tcBorders>
              <w:top w:val="nil"/>
              <w:left w:val="nil"/>
              <w:bottom w:val="nil"/>
              <w:right w:val="nil"/>
            </w:tcBorders>
            <w:vAlign w:val="center"/>
          </w:tcPr>
          <w:p>
            <w:pPr>
              <w:widowControl/>
              <w:jc w:val="right"/>
              <w:rPr>
                <w:rFonts w:hint="default" w:ascii="Times New Roman" w:hAnsi="Times New Roman" w:cs="Times New Roman"/>
                <w:color w:val="auto"/>
                <w:kern w:val="0"/>
                <w:sz w:val="24"/>
              </w:rPr>
            </w:pPr>
            <w:r>
              <w:rPr>
                <w:rFonts w:hint="default" w:ascii="Times New Roman" w:hAnsi="Times New Roman" w:cs="Times New Roman"/>
                <w:color w:val="auto"/>
                <w:kern w:val="0"/>
                <w:sz w:val="24"/>
              </w:rPr>
              <w:t>□</w:t>
            </w:r>
          </w:p>
        </w:tc>
        <w:tc>
          <w:tcPr>
            <w:tcW w:w="1254" w:type="dxa"/>
            <w:gridSpan w:val="3"/>
            <w:tcBorders>
              <w:top w:val="nil"/>
              <w:left w:val="nil"/>
              <w:bottom w:val="nil"/>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外商投资</w:t>
            </w:r>
          </w:p>
        </w:tc>
        <w:tc>
          <w:tcPr>
            <w:tcW w:w="346" w:type="dxa"/>
            <w:tcBorders>
              <w:top w:val="nil"/>
              <w:left w:val="nil"/>
              <w:bottom w:val="nil"/>
              <w:right w:val="nil"/>
            </w:tcBorders>
            <w:vAlign w:val="center"/>
          </w:tcPr>
          <w:p>
            <w:pPr>
              <w:widowControl/>
              <w:jc w:val="right"/>
              <w:rPr>
                <w:rFonts w:hint="default" w:ascii="Times New Roman" w:hAnsi="Times New Roman" w:cs="Times New Roman"/>
                <w:color w:val="auto"/>
                <w:kern w:val="0"/>
                <w:sz w:val="24"/>
              </w:rPr>
            </w:pPr>
            <w:r>
              <w:rPr>
                <w:rFonts w:hint="default" w:ascii="Times New Roman" w:hAnsi="Times New Roman" w:cs="Times New Roman"/>
                <w:color w:val="auto"/>
                <w:kern w:val="0"/>
                <w:sz w:val="24"/>
              </w:rPr>
              <w:t>□</w:t>
            </w:r>
          </w:p>
        </w:tc>
        <w:tc>
          <w:tcPr>
            <w:tcW w:w="1039" w:type="dxa"/>
            <w:gridSpan w:val="2"/>
            <w:tcBorders>
              <w:top w:val="nil"/>
              <w:left w:val="nil"/>
              <w:bottom w:val="nil"/>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xml:space="preserve">  其他</w:t>
            </w:r>
          </w:p>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(请注明)</w:t>
            </w:r>
          </w:p>
        </w:tc>
        <w:tc>
          <w:tcPr>
            <w:tcW w:w="1162" w:type="dxa"/>
            <w:tcBorders>
              <w:top w:val="nil"/>
              <w:left w:val="nil"/>
              <w:bottom w:val="nil"/>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r>
      <w:tr>
        <w:tblPrEx>
          <w:tblCellMar>
            <w:top w:w="0" w:type="dxa"/>
            <w:left w:w="108" w:type="dxa"/>
            <w:bottom w:w="0" w:type="dxa"/>
            <w:right w:w="108" w:type="dxa"/>
          </w:tblCellMar>
        </w:tblPrEx>
        <w:trPr>
          <w:trHeight w:val="613"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申请奖励项目</w:t>
            </w:r>
          </w:p>
        </w:tc>
        <w:tc>
          <w:tcPr>
            <w:tcW w:w="7651" w:type="dxa"/>
            <w:gridSpan w:val="18"/>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50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辅导开始时间</w:t>
            </w:r>
          </w:p>
        </w:tc>
        <w:tc>
          <w:tcPr>
            <w:tcW w:w="1833"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1133" w:type="dxa"/>
            <w:gridSpan w:val="3"/>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辅导券商名称</w:t>
            </w:r>
          </w:p>
        </w:tc>
        <w:tc>
          <w:tcPr>
            <w:tcW w:w="4685" w:type="dxa"/>
            <w:gridSpan w:val="10"/>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r>
      <w:tr>
        <w:tblPrEx>
          <w:tblCellMar>
            <w:top w:w="0" w:type="dxa"/>
            <w:left w:w="108" w:type="dxa"/>
            <w:bottom w:w="0" w:type="dxa"/>
            <w:right w:w="108" w:type="dxa"/>
          </w:tblCellMar>
        </w:tblPrEx>
        <w:trPr>
          <w:trHeight w:val="460" w:hRule="atLeast"/>
          <w:jc w:val="center"/>
        </w:trPr>
        <w:tc>
          <w:tcPr>
            <w:tcW w:w="141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财务状况</w:t>
            </w:r>
          </w:p>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（万元）</w:t>
            </w:r>
          </w:p>
        </w:tc>
        <w:tc>
          <w:tcPr>
            <w:tcW w:w="1833" w:type="dxa"/>
            <w:gridSpan w:val="5"/>
            <w:tcBorders>
              <w:top w:val="single" w:color="auto" w:sz="4" w:space="0"/>
              <w:left w:val="nil"/>
              <w:bottom w:val="single" w:color="auto" w:sz="4" w:space="0"/>
              <w:right w:val="single" w:color="auto" w:sz="4" w:space="0"/>
              <w:tl2br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3271" w:type="dxa"/>
            <w:gridSpan w:val="9"/>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20</w:t>
            </w:r>
            <w:r>
              <w:rPr>
                <w:rFonts w:hint="default" w:eastAsia="仿宋_GB2312" w:cs="Times New Roman"/>
                <w:color w:val="auto"/>
                <w:kern w:val="0"/>
                <w:sz w:val="18"/>
                <w:szCs w:val="18"/>
                <w:lang w:val="en"/>
              </w:rPr>
              <w:t>20</w:t>
            </w:r>
            <w:r>
              <w:rPr>
                <w:rFonts w:hint="default" w:ascii="Times New Roman" w:hAnsi="Times New Roman" w:eastAsia="仿宋_GB2312" w:cs="Times New Roman"/>
                <w:color w:val="auto"/>
                <w:kern w:val="0"/>
                <w:sz w:val="18"/>
                <w:szCs w:val="18"/>
              </w:rPr>
              <w:t>年</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20</w:t>
            </w:r>
            <w:r>
              <w:rPr>
                <w:rFonts w:hint="default" w:ascii="Times New Roman" w:hAnsi="Times New Roman" w:eastAsia="仿宋_GB2312" w:cs="Times New Roman"/>
                <w:color w:val="auto"/>
                <w:kern w:val="0"/>
                <w:sz w:val="18"/>
                <w:szCs w:val="18"/>
                <w:lang w:val="en-US" w:eastAsia="zh-CN"/>
              </w:rPr>
              <w:t>2</w:t>
            </w:r>
            <w:r>
              <w:rPr>
                <w:rFonts w:hint="default" w:eastAsia="仿宋_GB2312" w:cs="Times New Roman"/>
                <w:color w:val="auto"/>
                <w:kern w:val="0"/>
                <w:sz w:val="18"/>
                <w:szCs w:val="18"/>
                <w:lang w:val="en" w:eastAsia="zh-CN"/>
              </w:rPr>
              <w:t>1</w:t>
            </w:r>
            <w:r>
              <w:rPr>
                <w:rFonts w:hint="default" w:ascii="Times New Roman" w:hAnsi="Times New Roman" w:eastAsia="仿宋_GB2312" w:cs="Times New Roman"/>
                <w:color w:val="auto"/>
                <w:kern w:val="0"/>
                <w:sz w:val="18"/>
                <w:szCs w:val="18"/>
              </w:rPr>
              <w:t>年</w:t>
            </w:r>
          </w:p>
        </w:tc>
      </w:tr>
      <w:tr>
        <w:tblPrEx>
          <w:tblCellMar>
            <w:top w:w="0" w:type="dxa"/>
            <w:left w:w="108" w:type="dxa"/>
            <w:bottom w:w="0" w:type="dxa"/>
            <w:right w:w="108" w:type="dxa"/>
          </w:tblCellMar>
        </w:tblPrEx>
        <w:trPr>
          <w:trHeight w:val="510" w:hRule="atLeast"/>
          <w:jc w:val="center"/>
        </w:trPr>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1833"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总资产</w:t>
            </w:r>
          </w:p>
        </w:tc>
        <w:tc>
          <w:tcPr>
            <w:tcW w:w="3271" w:type="dxa"/>
            <w:gridSpan w:val="9"/>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r>
      <w:tr>
        <w:tblPrEx>
          <w:tblCellMar>
            <w:top w:w="0" w:type="dxa"/>
            <w:left w:w="108" w:type="dxa"/>
            <w:bottom w:w="0" w:type="dxa"/>
            <w:right w:w="108" w:type="dxa"/>
          </w:tblCellMar>
        </w:tblPrEx>
        <w:trPr>
          <w:trHeight w:val="530" w:hRule="atLeast"/>
          <w:jc w:val="center"/>
        </w:trPr>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1833"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净资产</w:t>
            </w:r>
          </w:p>
        </w:tc>
        <w:tc>
          <w:tcPr>
            <w:tcW w:w="3271" w:type="dxa"/>
            <w:gridSpan w:val="9"/>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r>
      <w:tr>
        <w:tblPrEx>
          <w:tblCellMar>
            <w:top w:w="0" w:type="dxa"/>
            <w:left w:w="108" w:type="dxa"/>
            <w:bottom w:w="0" w:type="dxa"/>
            <w:right w:w="108" w:type="dxa"/>
          </w:tblCellMar>
        </w:tblPrEx>
        <w:trPr>
          <w:trHeight w:val="530" w:hRule="atLeast"/>
          <w:jc w:val="center"/>
        </w:trPr>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1833"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主营业务收入</w:t>
            </w:r>
          </w:p>
        </w:tc>
        <w:tc>
          <w:tcPr>
            <w:tcW w:w="3271" w:type="dxa"/>
            <w:gridSpan w:val="9"/>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r>
      <w:tr>
        <w:tblPrEx>
          <w:tblCellMar>
            <w:top w:w="0" w:type="dxa"/>
            <w:left w:w="108" w:type="dxa"/>
            <w:bottom w:w="0" w:type="dxa"/>
            <w:right w:w="108" w:type="dxa"/>
          </w:tblCellMar>
        </w:tblPrEx>
        <w:trPr>
          <w:trHeight w:val="550" w:hRule="atLeast"/>
          <w:jc w:val="center"/>
        </w:trPr>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1833"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利润总额</w:t>
            </w:r>
          </w:p>
        </w:tc>
        <w:tc>
          <w:tcPr>
            <w:tcW w:w="3271" w:type="dxa"/>
            <w:gridSpan w:val="9"/>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r>
      <w:tr>
        <w:tblPrEx>
          <w:tblCellMar>
            <w:top w:w="0" w:type="dxa"/>
            <w:left w:w="108" w:type="dxa"/>
            <w:bottom w:w="0" w:type="dxa"/>
            <w:right w:w="108" w:type="dxa"/>
          </w:tblCellMar>
        </w:tblPrEx>
        <w:trPr>
          <w:trHeight w:val="540" w:hRule="atLeast"/>
          <w:jc w:val="center"/>
        </w:trPr>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1833" w:type="dxa"/>
            <w:gridSpan w:val="5"/>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净利润</w:t>
            </w:r>
          </w:p>
        </w:tc>
        <w:tc>
          <w:tcPr>
            <w:tcW w:w="3271" w:type="dxa"/>
            <w:gridSpan w:val="9"/>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r>
      <w:tr>
        <w:tblPrEx>
          <w:tblCellMar>
            <w:top w:w="0" w:type="dxa"/>
            <w:left w:w="108" w:type="dxa"/>
            <w:bottom w:w="0" w:type="dxa"/>
            <w:right w:w="108" w:type="dxa"/>
          </w:tblCellMar>
        </w:tblPrEx>
        <w:trPr>
          <w:trHeight w:val="630" w:hRule="atLeast"/>
          <w:jc w:val="center"/>
        </w:trPr>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1833" w:type="dxa"/>
            <w:gridSpan w:val="5"/>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纳税金额</w:t>
            </w:r>
          </w:p>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（可附表分税种填列）</w:t>
            </w:r>
          </w:p>
        </w:tc>
        <w:tc>
          <w:tcPr>
            <w:tcW w:w="3271" w:type="dxa"/>
            <w:gridSpan w:val="9"/>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c>
          <w:tcPr>
            <w:tcW w:w="2547"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w:t>
            </w:r>
          </w:p>
        </w:tc>
      </w:tr>
      <w:tr>
        <w:tblPrEx>
          <w:tblCellMar>
            <w:top w:w="0" w:type="dxa"/>
            <w:left w:w="108" w:type="dxa"/>
            <w:bottom w:w="0" w:type="dxa"/>
            <w:right w:w="108" w:type="dxa"/>
          </w:tblCellMar>
        </w:tblPrEx>
        <w:trPr>
          <w:trHeight w:val="312" w:hRule="atLeast"/>
          <w:jc w:val="center"/>
        </w:trPr>
        <w:tc>
          <w:tcPr>
            <w:tcW w:w="3246" w:type="dxa"/>
            <w:gridSpan w:val="6"/>
            <w:vMerge w:val="restart"/>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融资或再融资投资计划及实施情况</w:t>
            </w:r>
          </w:p>
        </w:tc>
        <w:tc>
          <w:tcPr>
            <w:tcW w:w="5818" w:type="dxa"/>
            <w:gridSpan w:val="1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r>
      <w:tr>
        <w:tblPrEx>
          <w:tblCellMar>
            <w:top w:w="0" w:type="dxa"/>
            <w:left w:w="108" w:type="dxa"/>
            <w:bottom w:w="0" w:type="dxa"/>
            <w:right w:w="108" w:type="dxa"/>
          </w:tblCellMar>
        </w:tblPrEx>
        <w:trPr>
          <w:trHeight w:val="2217" w:hRule="atLeast"/>
          <w:jc w:val="center"/>
        </w:trPr>
        <w:tc>
          <w:tcPr>
            <w:tcW w:w="3246" w:type="dxa"/>
            <w:gridSpan w:val="6"/>
            <w:vMerge w:val="continue"/>
            <w:tcBorders>
              <w:top w:val="single" w:color="auto" w:sz="4" w:space="0"/>
              <w:left w:val="single" w:color="auto" w:sz="4" w:space="0"/>
              <w:bottom w:val="single" w:color="auto" w:sz="4" w:space="0"/>
              <w:right w:val="single" w:color="000000"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5818" w:type="dxa"/>
            <w:gridSpan w:val="1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2217" w:hRule="atLeast"/>
          <w:jc w:val="center"/>
        </w:trPr>
        <w:tc>
          <w:tcPr>
            <w:tcW w:w="3246"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hint="eastAsia" w:ascii="Times New Roman" w:hAnsi="Times New Roman" w:eastAsia="仿宋_GB2312" w:cs="Times New Roman"/>
                <w:color w:val="auto"/>
                <w:kern w:val="0"/>
                <w:sz w:val="18"/>
                <w:szCs w:val="18"/>
                <w:lang w:eastAsia="zh-CN"/>
              </w:rPr>
            </w:pPr>
            <w:r>
              <w:rPr>
                <w:rFonts w:hint="eastAsia" w:eastAsia="仿宋_GB2312" w:cs="Times New Roman"/>
                <w:color w:val="auto"/>
                <w:kern w:val="0"/>
                <w:sz w:val="18"/>
                <w:szCs w:val="18"/>
                <w:lang w:eastAsia="zh-CN"/>
              </w:rPr>
              <w:t>奖励资金使用计划</w:t>
            </w:r>
          </w:p>
        </w:tc>
        <w:tc>
          <w:tcPr>
            <w:tcW w:w="5818" w:type="dxa"/>
            <w:gridSpan w:val="13"/>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2431" w:hRule="atLeast"/>
          <w:jc w:val="center"/>
        </w:trPr>
        <w:tc>
          <w:tcPr>
            <w:tcW w:w="3246"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企业对所报资料真实性</w:t>
            </w:r>
          </w:p>
          <w:p>
            <w:pPr>
              <w:widowControl/>
              <w:jc w:val="center"/>
              <w:rPr>
                <w:rFonts w:hint="default" w:ascii="Times New Roman" w:hAnsi="Times New Roman" w:eastAsia="仿宋_GB2312" w:cs="Times New Roman"/>
                <w:color w:val="auto"/>
                <w:kern w:val="0"/>
                <w:sz w:val="18"/>
                <w:szCs w:val="18"/>
              </w:rPr>
            </w:pPr>
            <w:r>
              <w:rPr>
                <w:rFonts w:hint="eastAsia" w:eastAsia="仿宋_GB2312" w:cs="Times New Roman"/>
                <w:color w:val="auto"/>
                <w:kern w:val="0"/>
                <w:sz w:val="18"/>
                <w:szCs w:val="18"/>
                <w:lang w:eastAsia="zh-CN"/>
              </w:rPr>
              <w:t>及奖励资金使用计划</w:t>
            </w:r>
            <w:r>
              <w:rPr>
                <w:rFonts w:hint="default" w:ascii="Times New Roman" w:hAnsi="Times New Roman" w:eastAsia="仿宋_GB2312" w:cs="Times New Roman"/>
                <w:color w:val="auto"/>
                <w:kern w:val="0"/>
                <w:sz w:val="18"/>
                <w:szCs w:val="18"/>
              </w:rPr>
              <w:t>的承诺</w:t>
            </w:r>
          </w:p>
        </w:tc>
        <w:tc>
          <w:tcPr>
            <w:tcW w:w="5818" w:type="dxa"/>
            <w:gridSpan w:val="13"/>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xml:space="preserve">                              </w:t>
            </w:r>
          </w:p>
          <w:p>
            <w:pPr>
              <w:widowControl/>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xml:space="preserve">  法定代表人签字：                 （公章）</w:t>
            </w:r>
          </w:p>
          <w:p>
            <w:pPr>
              <w:widowControl/>
              <w:jc w:val="center"/>
              <w:rPr>
                <w:rFonts w:hint="default" w:ascii="Times New Roman" w:hAnsi="Times New Roman" w:cs="Times New Roman"/>
                <w:color w:val="auto"/>
                <w:kern w:val="0"/>
                <w:sz w:val="24"/>
              </w:rPr>
            </w:pPr>
            <w:r>
              <w:rPr>
                <w:rFonts w:hint="default" w:ascii="Times New Roman" w:hAnsi="Times New Roman" w:eastAsia="仿宋_GB2312" w:cs="Times New Roman"/>
                <w:color w:val="auto"/>
                <w:kern w:val="0"/>
                <w:sz w:val="18"/>
                <w:szCs w:val="18"/>
              </w:rPr>
              <w:t xml:space="preserve">                 年 月 日</w:t>
            </w:r>
          </w:p>
        </w:tc>
      </w:tr>
      <w:tr>
        <w:tblPrEx>
          <w:tblCellMar>
            <w:top w:w="0" w:type="dxa"/>
            <w:left w:w="108" w:type="dxa"/>
            <w:bottom w:w="0" w:type="dxa"/>
            <w:right w:w="108" w:type="dxa"/>
          </w:tblCellMar>
        </w:tblPrEx>
        <w:trPr>
          <w:trHeight w:val="921" w:hRule="atLeast"/>
          <w:jc w:val="center"/>
        </w:trPr>
        <w:tc>
          <w:tcPr>
            <w:tcW w:w="9064" w:type="dxa"/>
            <w:gridSpan w:val="19"/>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Cs/>
                <w:color w:val="auto"/>
                <w:kern w:val="0"/>
                <w:sz w:val="32"/>
                <w:szCs w:val="32"/>
                <w:lang w:val="en-US" w:eastAsia="zh-CN"/>
              </w:rPr>
            </w:pPr>
            <w:r>
              <w:rPr>
                <w:rFonts w:hint="default" w:ascii="Times New Roman" w:hAnsi="Times New Roman" w:eastAsia="黑体" w:cs="Times New Roman"/>
                <w:bCs/>
                <w:color w:val="auto"/>
                <w:kern w:val="0"/>
                <w:sz w:val="32"/>
                <w:szCs w:val="32"/>
                <w:lang w:eastAsia="zh-CN"/>
              </w:rPr>
              <w:t>附</w:t>
            </w:r>
            <w:r>
              <w:rPr>
                <w:rFonts w:hint="eastAsia" w:ascii="黑体" w:hAnsi="黑体" w:eastAsia="黑体" w:cs="黑体"/>
                <w:bCs/>
                <w:color w:val="auto"/>
                <w:kern w:val="0"/>
                <w:sz w:val="32"/>
                <w:szCs w:val="32"/>
                <w:lang w:eastAsia="zh-CN"/>
              </w:rPr>
              <w:t>件</w:t>
            </w:r>
            <w:r>
              <w:rPr>
                <w:rFonts w:hint="eastAsia" w:ascii="黑体" w:hAnsi="黑体" w:eastAsia="黑体" w:cs="黑体"/>
                <w:bCs/>
                <w:color w:val="auto"/>
                <w:kern w:val="0"/>
                <w:sz w:val="32"/>
                <w:szCs w:val="32"/>
                <w:lang w:val="en-US" w:eastAsia="zh-CN"/>
              </w:rPr>
              <w:t>4</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auto"/>
                <w:kern w:val="0"/>
                <w:sz w:val="36"/>
                <w:szCs w:val="36"/>
              </w:rPr>
            </w:pPr>
            <w:r>
              <w:rPr>
                <w:rFonts w:hint="default" w:ascii="Times New Roman" w:hAnsi="Times New Roman" w:eastAsia="方正小标宋简体" w:cs="Times New Roman"/>
                <w:bCs/>
                <w:color w:val="auto"/>
                <w:kern w:val="0"/>
                <w:sz w:val="36"/>
                <w:szCs w:val="36"/>
              </w:rPr>
              <w:t>西安市鼓励企业</w:t>
            </w:r>
            <w:r>
              <w:rPr>
                <w:rFonts w:hint="default" w:ascii="Times New Roman" w:hAnsi="Times New Roman" w:eastAsia="方正小标宋简体" w:cs="Times New Roman"/>
                <w:bCs/>
                <w:color w:val="auto"/>
                <w:kern w:val="0"/>
                <w:sz w:val="36"/>
                <w:szCs w:val="36"/>
                <w:lang w:eastAsia="zh-CN"/>
              </w:rPr>
              <w:t>上市</w:t>
            </w:r>
            <w:r>
              <w:rPr>
                <w:rFonts w:hint="default" w:ascii="Times New Roman" w:hAnsi="Times New Roman" w:eastAsia="方正小标宋简体" w:cs="Times New Roman"/>
                <w:bCs/>
                <w:color w:val="auto"/>
                <w:kern w:val="0"/>
                <w:sz w:val="36"/>
                <w:szCs w:val="36"/>
              </w:rPr>
              <w:t>发展专项资金申报表</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auto"/>
                <w:kern w:val="0"/>
                <w:sz w:val="36"/>
                <w:szCs w:val="36"/>
              </w:rPr>
            </w:pPr>
            <w:r>
              <w:rPr>
                <w:rFonts w:hint="default" w:ascii="Times New Roman" w:hAnsi="Times New Roman" w:eastAsia="楷体" w:cs="Times New Roman"/>
                <w:color w:val="auto"/>
                <w:sz w:val="30"/>
                <w:szCs w:val="30"/>
              </w:rPr>
              <w:t>（</w:t>
            </w:r>
            <w:r>
              <w:rPr>
                <w:rFonts w:hint="eastAsia" w:eastAsia="楷体" w:cs="Times New Roman"/>
                <w:color w:val="auto"/>
                <w:sz w:val="30"/>
                <w:szCs w:val="30"/>
                <w:lang w:eastAsia="zh-CN"/>
              </w:rPr>
              <w:t>保荐</w:t>
            </w:r>
            <w:r>
              <w:rPr>
                <w:rFonts w:hint="default" w:ascii="Times New Roman" w:hAnsi="Times New Roman" w:eastAsia="楷体" w:cs="Times New Roman"/>
                <w:color w:val="auto"/>
                <w:sz w:val="30"/>
                <w:szCs w:val="30"/>
              </w:rPr>
              <w:t>券商）</w:t>
            </w:r>
          </w:p>
        </w:tc>
      </w:tr>
      <w:tr>
        <w:tblPrEx>
          <w:tblCellMar>
            <w:top w:w="0" w:type="dxa"/>
            <w:left w:w="108" w:type="dxa"/>
            <w:bottom w:w="0" w:type="dxa"/>
            <w:right w:w="108" w:type="dxa"/>
          </w:tblCellMar>
        </w:tblPrEx>
        <w:trPr>
          <w:trHeight w:val="52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企业名称</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51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企业地址</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63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上市挂牌业务负责人</w:t>
            </w:r>
          </w:p>
        </w:tc>
        <w:tc>
          <w:tcPr>
            <w:tcW w:w="6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姓名</w:t>
            </w:r>
          </w:p>
        </w:tc>
        <w:tc>
          <w:tcPr>
            <w:tcW w:w="2774" w:type="dxa"/>
            <w:gridSpan w:val="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c>
          <w:tcPr>
            <w:tcW w:w="941" w:type="dxa"/>
            <w:gridSpan w:val="3"/>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lang w:val="en-US" w:eastAsia="zh-CN"/>
              </w:rPr>
            </w:pPr>
            <w:r>
              <w:rPr>
                <w:rFonts w:hint="default" w:ascii="Times New Roman" w:hAnsi="Times New Roman" w:eastAsia="仿宋_GB2312" w:cs="Times New Roman"/>
                <w:color w:val="auto"/>
                <w:kern w:val="0"/>
                <w:sz w:val="18"/>
                <w:szCs w:val="18"/>
                <w:lang w:val="en-US" w:eastAsia="zh-CN"/>
              </w:rPr>
              <w:t>电话</w:t>
            </w:r>
          </w:p>
        </w:tc>
        <w:tc>
          <w:tcPr>
            <w:tcW w:w="3336"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63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上市挂牌业务联系人</w:t>
            </w:r>
          </w:p>
        </w:tc>
        <w:tc>
          <w:tcPr>
            <w:tcW w:w="6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姓名</w:t>
            </w:r>
          </w:p>
        </w:tc>
        <w:tc>
          <w:tcPr>
            <w:tcW w:w="2774" w:type="dxa"/>
            <w:gridSpan w:val="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c>
          <w:tcPr>
            <w:tcW w:w="941" w:type="dxa"/>
            <w:gridSpan w:val="3"/>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电话</w:t>
            </w:r>
          </w:p>
        </w:tc>
        <w:tc>
          <w:tcPr>
            <w:tcW w:w="3336"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93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在上交所、深交所、全国股份转让系统从事的业务种类</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611"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受证监会及证券交易所自律监管处置</w:t>
            </w:r>
            <w:r>
              <w:rPr>
                <w:rFonts w:hint="default" w:ascii="Times New Roman" w:hAnsi="Times New Roman" w:eastAsia="仿宋_GB2312" w:cs="Times New Roman"/>
                <w:color w:val="auto"/>
                <w:kern w:val="0"/>
                <w:sz w:val="18"/>
                <w:szCs w:val="18"/>
                <w:lang w:eastAsia="zh-CN"/>
              </w:rPr>
              <w:t>情况</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590" w:hRule="atLeast"/>
          <w:jc w:val="center"/>
        </w:trPr>
        <w:tc>
          <w:tcPr>
            <w:tcW w:w="1413"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申请奖励项目</w:t>
            </w:r>
          </w:p>
        </w:tc>
        <w:tc>
          <w:tcPr>
            <w:tcW w:w="7651" w:type="dxa"/>
            <w:gridSpan w:val="18"/>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630" w:hRule="atLeast"/>
          <w:jc w:val="center"/>
        </w:trPr>
        <w:tc>
          <w:tcPr>
            <w:tcW w:w="1413"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在全国范围内</w:t>
            </w:r>
            <w:r>
              <w:rPr>
                <w:rFonts w:hint="default" w:ascii="Times New Roman" w:hAnsi="Times New Roman" w:eastAsia="仿宋_GB2312" w:cs="Times New Roman"/>
                <w:color w:val="auto"/>
                <w:kern w:val="0"/>
                <w:sz w:val="18"/>
                <w:szCs w:val="18"/>
              </w:rPr>
              <w:t>辅导推荐上市、挂牌</w:t>
            </w:r>
            <w:r>
              <w:rPr>
                <w:rFonts w:hint="default" w:ascii="Times New Roman" w:hAnsi="Times New Roman" w:eastAsia="仿宋_GB2312" w:cs="Times New Roman"/>
                <w:color w:val="auto"/>
                <w:kern w:val="0"/>
                <w:sz w:val="18"/>
                <w:szCs w:val="18"/>
                <w:lang w:eastAsia="zh-CN"/>
              </w:rPr>
              <w:t>企业简称</w:t>
            </w:r>
          </w:p>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w:t>
            </w:r>
            <w:r>
              <w:rPr>
                <w:rFonts w:hint="default" w:ascii="Times New Roman" w:hAnsi="Times New Roman" w:eastAsia="仿宋_GB2312" w:cs="Times New Roman"/>
                <w:color w:val="auto"/>
                <w:kern w:val="0"/>
                <w:sz w:val="18"/>
                <w:szCs w:val="18"/>
                <w:lang w:val="en-US" w:eastAsia="zh-CN"/>
              </w:rPr>
              <w:t>2021年</w:t>
            </w:r>
            <w:r>
              <w:rPr>
                <w:rFonts w:hint="default" w:ascii="Times New Roman" w:hAnsi="Times New Roman" w:eastAsia="仿宋_GB2312" w:cs="Times New Roman"/>
                <w:color w:val="auto"/>
                <w:kern w:val="0"/>
                <w:sz w:val="18"/>
                <w:szCs w:val="18"/>
                <w:lang w:eastAsia="zh-CN"/>
              </w:rPr>
              <w:t>）</w:t>
            </w:r>
          </w:p>
        </w:tc>
        <w:tc>
          <w:tcPr>
            <w:tcW w:w="2332" w:type="dxa"/>
            <w:gridSpan w:val="6"/>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已辅导、推荐上市挂牌公司</w:t>
            </w:r>
          </w:p>
        </w:tc>
        <w:tc>
          <w:tcPr>
            <w:tcW w:w="5319" w:type="dxa"/>
            <w:gridSpan w:val="12"/>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r>
      <w:tr>
        <w:tblPrEx>
          <w:tblCellMar>
            <w:top w:w="0" w:type="dxa"/>
            <w:left w:w="108" w:type="dxa"/>
            <w:bottom w:w="0" w:type="dxa"/>
            <w:right w:w="108" w:type="dxa"/>
          </w:tblCellMar>
        </w:tblPrEx>
        <w:trPr>
          <w:trHeight w:val="630" w:hRule="atLeast"/>
          <w:jc w:val="center"/>
        </w:trPr>
        <w:tc>
          <w:tcPr>
            <w:tcW w:w="1413"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2332"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已被终止上市、挂牌公司</w:t>
            </w:r>
          </w:p>
        </w:tc>
        <w:tc>
          <w:tcPr>
            <w:tcW w:w="5319" w:type="dxa"/>
            <w:gridSpan w:val="1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r>
      <w:tr>
        <w:tblPrEx>
          <w:tblCellMar>
            <w:top w:w="0" w:type="dxa"/>
            <w:left w:w="108" w:type="dxa"/>
            <w:bottom w:w="0" w:type="dxa"/>
            <w:right w:w="108" w:type="dxa"/>
          </w:tblCellMar>
        </w:tblPrEx>
        <w:trPr>
          <w:trHeight w:val="630" w:hRule="atLeast"/>
          <w:jc w:val="center"/>
        </w:trPr>
        <w:tc>
          <w:tcPr>
            <w:tcW w:w="1413"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auto"/>
                <w:kern w:val="0"/>
                <w:sz w:val="18"/>
                <w:szCs w:val="18"/>
              </w:rPr>
            </w:pPr>
          </w:p>
        </w:tc>
        <w:tc>
          <w:tcPr>
            <w:tcW w:w="2332"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撤回材料或申请被否公司</w:t>
            </w:r>
          </w:p>
        </w:tc>
        <w:tc>
          <w:tcPr>
            <w:tcW w:w="5319" w:type="dxa"/>
            <w:gridSpan w:val="1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r>
      <w:tr>
        <w:tblPrEx>
          <w:tblCellMar>
            <w:top w:w="0" w:type="dxa"/>
            <w:left w:w="108" w:type="dxa"/>
            <w:bottom w:w="0" w:type="dxa"/>
            <w:right w:w="108" w:type="dxa"/>
          </w:tblCellMar>
        </w:tblPrEx>
        <w:trPr>
          <w:trHeight w:val="630" w:hRule="atLeast"/>
          <w:jc w:val="center"/>
        </w:trPr>
        <w:tc>
          <w:tcPr>
            <w:tcW w:w="1413" w:type="dxa"/>
            <w:vMerge w:val="restart"/>
            <w:tcBorders>
              <w:top w:val="single" w:color="auto" w:sz="4" w:space="0"/>
              <w:left w:val="single" w:color="auto" w:sz="4" w:space="0"/>
              <w:right w:val="nil"/>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西安市业务</w:t>
            </w:r>
          </w:p>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开展情况</w:t>
            </w:r>
          </w:p>
        </w:tc>
        <w:tc>
          <w:tcPr>
            <w:tcW w:w="1793" w:type="dxa"/>
            <w:gridSpan w:val="4"/>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辅导推荐（拟）上市挂牌企业</w:t>
            </w:r>
          </w:p>
        </w:tc>
        <w:tc>
          <w:tcPr>
            <w:tcW w:w="1794"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项目负责人</w:t>
            </w:r>
          </w:p>
        </w:tc>
        <w:tc>
          <w:tcPr>
            <w:tcW w:w="2032"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上市挂牌辅导开始时间</w:t>
            </w:r>
          </w:p>
        </w:tc>
        <w:tc>
          <w:tcPr>
            <w:tcW w:w="2032"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上市挂牌工作进度</w:t>
            </w:r>
          </w:p>
          <w:p>
            <w:pPr>
              <w:widowControl/>
              <w:jc w:val="center"/>
              <w:rPr>
                <w:rFonts w:hint="default" w:ascii="Times New Roman" w:hAnsi="Times New Roman" w:eastAsia="仿宋_GB2312" w:cs="Times New Roman"/>
                <w:color w:val="auto"/>
                <w:kern w:val="0"/>
                <w:sz w:val="18"/>
                <w:szCs w:val="18"/>
                <w:lang w:eastAsia="zh-CN"/>
              </w:rPr>
            </w:pPr>
            <w:r>
              <w:rPr>
                <w:rFonts w:hint="default" w:ascii="Times New Roman" w:hAnsi="Times New Roman" w:eastAsia="仿宋_GB2312" w:cs="Times New Roman"/>
                <w:color w:val="auto"/>
                <w:kern w:val="0"/>
                <w:sz w:val="18"/>
                <w:szCs w:val="18"/>
                <w:lang w:eastAsia="zh-CN"/>
              </w:rPr>
              <w:t>（包括已辅导上市公司的总问询轮次）</w:t>
            </w:r>
          </w:p>
        </w:tc>
      </w:tr>
      <w:tr>
        <w:tblPrEx>
          <w:tblCellMar>
            <w:top w:w="0" w:type="dxa"/>
            <w:left w:w="108" w:type="dxa"/>
            <w:bottom w:w="0" w:type="dxa"/>
            <w:right w:w="108" w:type="dxa"/>
          </w:tblCellMar>
        </w:tblPrEx>
        <w:trPr>
          <w:trHeight w:val="574" w:hRule="atLeast"/>
          <w:jc w:val="center"/>
        </w:trPr>
        <w:tc>
          <w:tcPr>
            <w:tcW w:w="1413" w:type="dxa"/>
            <w:vMerge w:val="continue"/>
            <w:tcBorders>
              <w:left w:val="single" w:color="auto" w:sz="4" w:space="0"/>
              <w:right w:val="nil"/>
            </w:tcBorders>
            <w:vAlign w:val="center"/>
          </w:tcPr>
          <w:p>
            <w:pPr>
              <w:widowControl/>
              <w:jc w:val="center"/>
              <w:rPr>
                <w:rFonts w:hint="default" w:ascii="Times New Roman" w:hAnsi="Times New Roman" w:eastAsia="仿宋_GB2312" w:cs="Times New Roman"/>
                <w:color w:val="auto"/>
                <w:kern w:val="0"/>
                <w:sz w:val="18"/>
                <w:szCs w:val="18"/>
              </w:rPr>
            </w:pPr>
          </w:p>
        </w:tc>
        <w:tc>
          <w:tcPr>
            <w:tcW w:w="1793" w:type="dxa"/>
            <w:gridSpan w:val="4"/>
            <w:tcBorders>
              <w:top w:val="single" w:color="auto" w:sz="4" w:space="0"/>
              <w:left w:val="single" w:color="auto" w:sz="4" w:space="0"/>
              <w:bottom w:val="single" w:color="auto" w:sz="4" w:space="0"/>
              <w:right w:val="single" w:color="000000" w:sz="4" w:space="0"/>
            </w:tcBorders>
            <w:vAlign w:val="center"/>
          </w:tcPr>
          <w:p>
            <w:pPr>
              <w:widowControl/>
              <w:tabs>
                <w:tab w:val="left" w:pos="568"/>
              </w:tabs>
              <w:jc w:val="center"/>
              <w:rPr>
                <w:rFonts w:hint="default" w:ascii="Times New Roman" w:hAnsi="Times New Roman" w:eastAsia="方正仿宋简体" w:cs="Times New Roman"/>
                <w:color w:val="auto"/>
                <w:kern w:val="0"/>
                <w:sz w:val="24"/>
                <w:lang w:val="en-US" w:eastAsia="zh-CN"/>
              </w:rPr>
            </w:pPr>
            <w:r>
              <w:rPr>
                <w:rFonts w:hint="default" w:ascii="Times New Roman" w:hAnsi="Times New Roman" w:cs="Times New Roman"/>
                <w:color w:val="auto"/>
                <w:kern w:val="0"/>
                <w:sz w:val="24"/>
                <w:lang w:eastAsia="zh-CN"/>
              </w:rPr>
              <w:t>企业</w:t>
            </w:r>
            <w:r>
              <w:rPr>
                <w:rFonts w:hint="default" w:ascii="Times New Roman" w:hAnsi="Times New Roman" w:cs="Times New Roman"/>
                <w:color w:val="auto"/>
                <w:kern w:val="0"/>
                <w:sz w:val="24"/>
                <w:lang w:val="en-US" w:eastAsia="zh-CN"/>
              </w:rPr>
              <w:t>1</w:t>
            </w:r>
          </w:p>
        </w:tc>
        <w:tc>
          <w:tcPr>
            <w:tcW w:w="1794"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cs="Times New Roman"/>
                <w:color w:val="auto"/>
                <w:kern w:val="0"/>
                <w:sz w:val="24"/>
              </w:rPr>
            </w:pPr>
          </w:p>
        </w:tc>
        <w:tc>
          <w:tcPr>
            <w:tcW w:w="2032"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c>
          <w:tcPr>
            <w:tcW w:w="2032"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r>
      <w:tr>
        <w:tblPrEx>
          <w:tblCellMar>
            <w:top w:w="0" w:type="dxa"/>
            <w:left w:w="108" w:type="dxa"/>
            <w:bottom w:w="0" w:type="dxa"/>
            <w:right w:w="108" w:type="dxa"/>
          </w:tblCellMar>
        </w:tblPrEx>
        <w:trPr>
          <w:trHeight w:val="554" w:hRule="atLeast"/>
          <w:jc w:val="center"/>
        </w:trPr>
        <w:tc>
          <w:tcPr>
            <w:tcW w:w="1413" w:type="dxa"/>
            <w:vMerge w:val="continue"/>
            <w:tcBorders>
              <w:left w:val="single" w:color="auto" w:sz="4" w:space="0"/>
              <w:right w:val="nil"/>
            </w:tcBorders>
            <w:vAlign w:val="center"/>
          </w:tcPr>
          <w:p>
            <w:pPr>
              <w:widowControl/>
              <w:jc w:val="center"/>
              <w:rPr>
                <w:rFonts w:hint="default" w:ascii="Times New Roman" w:hAnsi="Times New Roman" w:eastAsia="仿宋_GB2312" w:cs="Times New Roman"/>
                <w:color w:val="auto"/>
                <w:kern w:val="0"/>
                <w:sz w:val="18"/>
                <w:szCs w:val="18"/>
              </w:rPr>
            </w:pPr>
          </w:p>
        </w:tc>
        <w:tc>
          <w:tcPr>
            <w:tcW w:w="1793" w:type="dxa"/>
            <w:gridSpan w:val="4"/>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方正仿宋简体" w:cs="Times New Roman"/>
                <w:color w:val="auto"/>
                <w:kern w:val="0"/>
                <w:sz w:val="24"/>
                <w:lang w:val="en-US" w:eastAsia="zh-CN"/>
              </w:rPr>
            </w:pPr>
            <w:r>
              <w:rPr>
                <w:rFonts w:hint="default" w:ascii="Times New Roman" w:hAnsi="Times New Roman" w:cs="Times New Roman"/>
                <w:color w:val="auto"/>
                <w:kern w:val="0"/>
                <w:sz w:val="24"/>
                <w:lang w:eastAsia="zh-CN"/>
              </w:rPr>
              <w:t>企业</w:t>
            </w:r>
            <w:r>
              <w:rPr>
                <w:rFonts w:hint="default" w:ascii="Times New Roman" w:hAnsi="Times New Roman" w:cs="Times New Roman"/>
                <w:color w:val="auto"/>
                <w:kern w:val="0"/>
                <w:sz w:val="24"/>
                <w:lang w:val="en-US" w:eastAsia="zh-CN"/>
              </w:rPr>
              <w:t>2</w:t>
            </w:r>
          </w:p>
        </w:tc>
        <w:tc>
          <w:tcPr>
            <w:tcW w:w="1794"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cs="Times New Roman"/>
                <w:color w:val="auto"/>
                <w:kern w:val="0"/>
                <w:sz w:val="24"/>
              </w:rPr>
            </w:pPr>
          </w:p>
        </w:tc>
        <w:tc>
          <w:tcPr>
            <w:tcW w:w="2032"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c>
          <w:tcPr>
            <w:tcW w:w="2032"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r>
      <w:tr>
        <w:tblPrEx>
          <w:tblCellMar>
            <w:top w:w="0" w:type="dxa"/>
            <w:left w:w="108" w:type="dxa"/>
            <w:bottom w:w="0" w:type="dxa"/>
            <w:right w:w="108" w:type="dxa"/>
          </w:tblCellMar>
        </w:tblPrEx>
        <w:trPr>
          <w:trHeight w:val="549" w:hRule="atLeast"/>
          <w:jc w:val="center"/>
        </w:trPr>
        <w:tc>
          <w:tcPr>
            <w:tcW w:w="1413" w:type="dxa"/>
            <w:vMerge w:val="continue"/>
            <w:tcBorders>
              <w:left w:val="single" w:color="auto" w:sz="4" w:space="0"/>
              <w:right w:val="nil"/>
            </w:tcBorders>
            <w:vAlign w:val="center"/>
          </w:tcPr>
          <w:p>
            <w:pPr>
              <w:widowControl/>
              <w:jc w:val="center"/>
              <w:rPr>
                <w:rFonts w:hint="default" w:ascii="Times New Roman" w:hAnsi="Times New Roman" w:eastAsia="仿宋_GB2312" w:cs="Times New Roman"/>
                <w:color w:val="auto"/>
                <w:kern w:val="0"/>
                <w:sz w:val="18"/>
                <w:szCs w:val="18"/>
              </w:rPr>
            </w:pPr>
          </w:p>
        </w:tc>
        <w:tc>
          <w:tcPr>
            <w:tcW w:w="1793" w:type="dxa"/>
            <w:gridSpan w:val="4"/>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方正仿宋简体" w:cs="Times New Roman"/>
                <w:color w:val="auto"/>
                <w:kern w:val="0"/>
                <w:sz w:val="24"/>
                <w:lang w:val="en-US" w:eastAsia="zh-CN"/>
              </w:rPr>
            </w:pPr>
            <w:r>
              <w:rPr>
                <w:rFonts w:hint="default" w:ascii="Times New Roman" w:hAnsi="Times New Roman" w:cs="Times New Roman"/>
                <w:color w:val="auto"/>
                <w:kern w:val="0"/>
                <w:sz w:val="24"/>
                <w:lang w:val="en-US" w:eastAsia="zh-CN"/>
              </w:rPr>
              <w:t>...</w:t>
            </w:r>
          </w:p>
        </w:tc>
        <w:tc>
          <w:tcPr>
            <w:tcW w:w="1794"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cs="Times New Roman"/>
                <w:color w:val="auto"/>
                <w:kern w:val="0"/>
                <w:sz w:val="24"/>
              </w:rPr>
            </w:pPr>
          </w:p>
        </w:tc>
        <w:tc>
          <w:tcPr>
            <w:tcW w:w="2032" w:type="dxa"/>
            <w:gridSpan w:val="6"/>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c>
          <w:tcPr>
            <w:tcW w:w="2032"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color w:val="auto"/>
                <w:kern w:val="0"/>
                <w:sz w:val="18"/>
                <w:szCs w:val="18"/>
              </w:rPr>
            </w:pPr>
          </w:p>
        </w:tc>
      </w:tr>
      <w:tr>
        <w:tblPrEx>
          <w:tblCellMar>
            <w:top w:w="0" w:type="dxa"/>
            <w:left w:w="108" w:type="dxa"/>
            <w:bottom w:w="0" w:type="dxa"/>
            <w:right w:w="108" w:type="dxa"/>
          </w:tblCellMar>
        </w:tblPrEx>
        <w:trPr>
          <w:trHeight w:val="1210" w:hRule="atLeast"/>
          <w:jc w:val="center"/>
        </w:trPr>
        <w:tc>
          <w:tcPr>
            <w:tcW w:w="3745" w:type="dxa"/>
            <w:gridSpan w:val="7"/>
            <w:tcBorders>
              <w:top w:val="single" w:color="auto" w:sz="4" w:space="0"/>
              <w:left w:val="single" w:color="auto" w:sz="4" w:space="0"/>
              <w:bottom w:val="single" w:color="auto" w:sz="4" w:space="0"/>
              <w:right w:val="single" w:color="000000" w:sz="4" w:space="0"/>
            </w:tcBorders>
            <w:vAlign w:val="center"/>
          </w:tcPr>
          <w:p>
            <w:pPr>
              <w:widowControl/>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企业对所报资料真实性的承诺</w:t>
            </w:r>
          </w:p>
        </w:tc>
        <w:tc>
          <w:tcPr>
            <w:tcW w:w="5319" w:type="dxa"/>
            <w:gridSpan w:val="12"/>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 xml:space="preserve">  法定代表人签字：                     （公章）</w:t>
            </w:r>
          </w:p>
          <w:p>
            <w:pPr>
              <w:widowControl/>
              <w:jc w:val="left"/>
              <w:rPr>
                <w:rFonts w:hint="default" w:ascii="Times New Roman" w:hAnsi="Times New Roman" w:cs="Times New Roman"/>
                <w:color w:val="auto"/>
                <w:kern w:val="0"/>
                <w:sz w:val="24"/>
              </w:rPr>
            </w:pPr>
            <w:r>
              <w:rPr>
                <w:rFonts w:hint="default" w:ascii="Times New Roman" w:hAnsi="Times New Roman" w:eastAsia="仿宋_GB2312" w:cs="Times New Roman"/>
                <w:color w:val="auto"/>
                <w:kern w:val="0"/>
                <w:sz w:val="18"/>
                <w:szCs w:val="18"/>
              </w:rPr>
              <w:t xml:space="preserve">                             年 月 日</w:t>
            </w:r>
          </w:p>
        </w:tc>
      </w:tr>
    </w:tbl>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西安市鼓励企业上市</w:t>
      </w:r>
      <w:r>
        <w:rPr>
          <w:rFonts w:hint="eastAsia" w:eastAsia="方正小标宋简体" w:cs="Times New Roman"/>
          <w:color w:val="auto"/>
          <w:sz w:val="44"/>
          <w:szCs w:val="44"/>
          <w:lang w:val="en-US" w:eastAsia="zh-CN"/>
        </w:rPr>
        <w:t>挂牌融资奖励</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企业账户信息表</w:t>
      </w:r>
    </w:p>
    <w:tbl>
      <w:tblPr>
        <w:tblStyle w:val="7"/>
        <w:tblpPr w:leftFromText="180" w:rightFromText="180" w:vertAnchor="text" w:horzAnchor="page" w:tblpX="2745" w:tblpY="53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5"/>
        <w:gridCol w:w="4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191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仿宋_GB2312" w:cs="Times New Roman"/>
                <w:b w:val="0"/>
                <w:bCs w:val="0"/>
                <w:color w:val="auto"/>
                <w:sz w:val="32"/>
                <w:szCs w:val="32"/>
                <w:vertAlign w:val="baseline"/>
                <w:lang w:val="en-US" w:eastAsia="zh-CN"/>
              </w:rPr>
              <w:t>企业名称</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楷体" w:cs="Times New Roman"/>
                <w:b w:val="0"/>
                <w:bCs w:val="0"/>
                <w:color w:val="auto"/>
                <w:sz w:val="28"/>
                <w:szCs w:val="28"/>
                <w:vertAlign w:val="baseline"/>
                <w:lang w:val="en-US" w:eastAsia="zh-CN"/>
              </w:rPr>
              <w:t>（盖公章）</w:t>
            </w:r>
          </w:p>
        </w:tc>
        <w:tc>
          <w:tcPr>
            <w:tcW w:w="486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1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仿宋_GB2312" w:cs="Times New Roman"/>
                <w:b w:val="0"/>
                <w:bCs w:val="0"/>
                <w:color w:val="auto"/>
                <w:sz w:val="32"/>
                <w:szCs w:val="32"/>
                <w:vertAlign w:val="baseline"/>
                <w:lang w:val="en-US" w:eastAsia="zh-CN"/>
              </w:rPr>
              <w:t>开户行</w:t>
            </w:r>
          </w:p>
        </w:tc>
        <w:tc>
          <w:tcPr>
            <w:tcW w:w="486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1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仿宋_GB2312" w:cs="Times New Roman"/>
                <w:b w:val="0"/>
                <w:bCs w:val="0"/>
                <w:color w:val="auto"/>
                <w:sz w:val="32"/>
                <w:szCs w:val="32"/>
                <w:vertAlign w:val="baseline"/>
                <w:lang w:val="en-US" w:eastAsia="zh-CN"/>
              </w:rPr>
              <w:t>银行账号</w:t>
            </w:r>
          </w:p>
        </w:tc>
        <w:tc>
          <w:tcPr>
            <w:tcW w:w="486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1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仿宋_GB2312" w:cs="Times New Roman"/>
                <w:b w:val="0"/>
                <w:bCs w:val="0"/>
                <w:color w:val="auto"/>
                <w:sz w:val="32"/>
                <w:szCs w:val="32"/>
                <w:vertAlign w:val="baseline"/>
                <w:lang w:val="en-US" w:eastAsia="zh-CN"/>
              </w:rPr>
              <w:t>联系人</w:t>
            </w:r>
          </w:p>
        </w:tc>
        <w:tc>
          <w:tcPr>
            <w:tcW w:w="486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1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仿宋_GB2312" w:cs="Times New Roman"/>
                <w:b w:val="0"/>
                <w:bCs w:val="0"/>
                <w:color w:val="auto"/>
                <w:sz w:val="32"/>
                <w:szCs w:val="32"/>
                <w:vertAlign w:val="baseline"/>
                <w:lang w:val="en-US" w:eastAsia="zh-CN"/>
              </w:rPr>
              <w:t>联系电话</w:t>
            </w:r>
          </w:p>
        </w:tc>
        <w:tc>
          <w:tcPr>
            <w:tcW w:w="486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91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r>
              <w:rPr>
                <w:rFonts w:hint="default" w:ascii="Times New Roman" w:hAnsi="Times New Roman" w:eastAsia="仿宋_GB2312" w:cs="Times New Roman"/>
                <w:b w:val="0"/>
                <w:bCs w:val="0"/>
                <w:color w:val="auto"/>
                <w:sz w:val="32"/>
                <w:szCs w:val="32"/>
                <w:vertAlign w:val="baseline"/>
                <w:lang w:val="en-US" w:eastAsia="zh-CN"/>
              </w:rPr>
              <w:t>所属区县</w:t>
            </w:r>
          </w:p>
        </w:tc>
        <w:tc>
          <w:tcPr>
            <w:tcW w:w="486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val="0"/>
                <w:color w:val="auto"/>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楷体" w:cs="Times New Roman"/>
          <w:b/>
          <w:bCs/>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楷体" w:cs="Times New Roman"/>
          <w:b/>
          <w:bCs/>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楷体" w:cs="Times New Roman"/>
          <w:color w:val="auto"/>
          <w:sz w:val="30"/>
          <w:szCs w:val="30"/>
          <w:lang w:val="en-US" w:eastAsia="zh-CN"/>
        </w:rPr>
      </w:pPr>
      <w:r>
        <w:rPr>
          <w:rFonts w:hint="default" w:ascii="Times New Roman" w:hAnsi="Times New Roman" w:eastAsia="楷体" w:cs="Times New Roman"/>
          <w:b/>
          <w:bCs/>
          <w:color w:val="auto"/>
          <w:sz w:val="30"/>
          <w:szCs w:val="30"/>
          <w:lang w:val="en-US" w:eastAsia="zh-CN"/>
        </w:rPr>
        <w:t>备注：</w:t>
      </w:r>
      <w:r>
        <w:rPr>
          <w:rFonts w:hint="default" w:ascii="Times New Roman" w:hAnsi="Times New Roman" w:eastAsia="楷体" w:cs="Times New Roman"/>
          <w:color w:val="auto"/>
          <w:sz w:val="30"/>
          <w:szCs w:val="30"/>
          <w:lang w:val="en-US" w:eastAsia="zh-CN"/>
        </w:rPr>
        <w:t>1.此表以企业开户许可证中规范信息表述为准。</w:t>
      </w:r>
    </w:p>
    <w:p>
      <w:pPr>
        <w:keepNext w:val="0"/>
        <w:keepLines w:val="0"/>
        <w:pageBreakBefore w:val="0"/>
        <w:widowControl w:val="0"/>
        <w:kinsoku/>
        <w:wordWrap/>
        <w:overflowPunct/>
        <w:topLinePunct w:val="0"/>
        <w:autoSpaceDE/>
        <w:autoSpaceDN/>
        <w:bidi w:val="0"/>
        <w:adjustRightInd/>
        <w:snapToGrid/>
        <w:spacing w:line="560" w:lineRule="exact"/>
        <w:ind w:left="1264" w:hanging="1200" w:hangingChars="400"/>
        <w:jc w:val="both"/>
        <w:textAlignment w:val="auto"/>
        <w:rPr>
          <w:rFonts w:hint="default" w:ascii="Times New Roman" w:hAnsi="Times New Roman" w:eastAsia="楷体" w:cs="Times New Roman"/>
          <w:color w:val="auto"/>
          <w:sz w:val="30"/>
          <w:szCs w:val="30"/>
          <w:lang w:val="en-US" w:eastAsia="zh-CN"/>
        </w:rPr>
      </w:pPr>
      <w:r>
        <w:rPr>
          <w:rFonts w:hint="default" w:ascii="Times New Roman" w:hAnsi="Times New Roman" w:eastAsia="楷体" w:cs="Times New Roman"/>
          <w:color w:val="auto"/>
          <w:sz w:val="30"/>
          <w:szCs w:val="30"/>
          <w:lang w:val="en-US" w:eastAsia="zh-CN"/>
        </w:rPr>
        <w:t xml:space="preserve">      2.所属区县是指公司纳税隶属关系所在地，券商不填此项。</w:t>
      </w:r>
    </w:p>
    <w:p>
      <w:pPr>
        <w:rPr>
          <w:rFonts w:hint="default" w:ascii="Times New Roman" w:hAnsi="Times New Roman" w:cs="Times New Roman"/>
          <w:color w:val="auto"/>
        </w:rPr>
      </w:pPr>
    </w:p>
    <w:p>
      <w:pPr>
        <w:rPr>
          <w:rFonts w:hint="default" w:ascii="Times New Roman" w:hAnsi="Times New Roman" w:eastAsia="仿宋_GB2312" w:cs="Times New Roman"/>
          <w:color w:val="auto"/>
          <w:szCs w:val="32"/>
        </w:rPr>
      </w:pPr>
    </w:p>
    <w:p>
      <w:pPr>
        <w:tabs>
          <w:tab w:val="left" w:pos="5949"/>
        </w:tabs>
        <w:spacing w:line="576" w:lineRule="exact"/>
        <w:ind w:right="246" w:rightChars="77" w:firstLine="320" w:firstLineChars="100"/>
        <w:jc w:val="left"/>
        <w:rPr>
          <w:rFonts w:hint="default" w:ascii="Times New Roman" w:hAnsi="Times New Roman" w:eastAsia="方正仿宋简体" w:cs="Times New Roman"/>
          <w:kern w:val="2"/>
          <w:sz w:val="32"/>
          <w:lang w:val="en-US" w:eastAsia="zh-CN" w:bidi="ar-SA"/>
        </w:rPr>
      </w:pPr>
    </w:p>
    <w:sectPr>
      <w:footerReference r:id="rId3" w:type="default"/>
      <w:pgSz w:w="11906" w:h="16838"/>
      <w:pgMar w:top="2098" w:right="1531" w:bottom="1984" w:left="1531" w:header="851" w:footer="1304"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B9BB40"/>
    <w:multiLevelType w:val="singleLevel"/>
    <w:tmpl w:val="8EB9BB40"/>
    <w:lvl w:ilvl="0" w:tentative="0">
      <w:start w:val="1"/>
      <w:numFmt w:val="decimal"/>
      <w:lvlText w:val="%1."/>
      <w:lvlJc w:val="left"/>
      <w:pPr>
        <w:ind w:left="1065" w:hanging="425"/>
      </w:pPr>
      <w:rPr>
        <w:rFonts w:hint="default"/>
      </w:rPr>
    </w:lvl>
  </w:abstractNum>
  <w:abstractNum w:abstractNumId="1">
    <w:nsid w:val="B8116CB9"/>
    <w:multiLevelType w:val="singleLevel"/>
    <w:tmpl w:val="B8116CB9"/>
    <w:lvl w:ilvl="0" w:tentative="0">
      <w:start w:val="1"/>
      <w:numFmt w:val="decimal"/>
      <w:lvlText w:val="%1."/>
      <w:lvlJc w:val="left"/>
      <w:pPr>
        <w:ind w:left="1065" w:hanging="425"/>
      </w:pPr>
      <w:rPr>
        <w:rFonts w:hint="default"/>
      </w:rPr>
    </w:lvl>
  </w:abstractNum>
  <w:abstractNum w:abstractNumId="2">
    <w:nsid w:val="D6622153"/>
    <w:multiLevelType w:val="singleLevel"/>
    <w:tmpl w:val="D6622153"/>
    <w:lvl w:ilvl="0" w:tentative="0">
      <w:start w:val="1"/>
      <w:numFmt w:val="decimal"/>
      <w:lvlText w:val="%1."/>
      <w:lvlJc w:val="left"/>
      <w:pPr>
        <w:ind w:left="1065" w:hanging="425"/>
      </w:pPr>
      <w:rPr>
        <w:rFonts w:hint="default"/>
      </w:rPr>
    </w:lvl>
  </w:abstractNum>
  <w:abstractNum w:abstractNumId="3">
    <w:nsid w:val="F0B80D36"/>
    <w:multiLevelType w:val="singleLevel"/>
    <w:tmpl w:val="F0B80D36"/>
    <w:lvl w:ilvl="0" w:tentative="0">
      <w:start w:val="1"/>
      <w:numFmt w:val="decimal"/>
      <w:suff w:val="space"/>
      <w:lvlText w:val="%1."/>
      <w:lvlJc w:val="left"/>
    </w:lvl>
  </w:abstractNum>
  <w:abstractNum w:abstractNumId="4">
    <w:nsid w:val="F5DE059D"/>
    <w:multiLevelType w:val="singleLevel"/>
    <w:tmpl w:val="F5DE059D"/>
    <w:lvl w:ilvl="0" w:tentative="0">
      <w:start w:val="1"/>
      <w:numFmt w:val="decimal"/>
      <w:suff w:val="space"/>
      <w:lvlText w:val="%1."/>
      <w:lvlJc w:val="left"/>
    </w:lvl>
  </w:abstractNum>
  <w:abstractNum w:abstractNumId="5">
    <w:nsid w:val="FFC85E36"/>
    <w:multiLevelType w:val="singleLevel"/>
    <w:tmpl w:val="FFC85E36"/>
    <w:lvl w:ilvl="0" w:tentative="0">
      <w:start w:val="1"/>
      <w:numFmt w:val="decimal"/>
      <w:lvlText w:val="%1."/>
      <w:lvlJc w:val="left"/>
      <w:pPr>
        <w:ind w:left="1065" w:hanging="425"/>
      </w:pPr>
      <w:rPr>
        <w:rFonts w:hint="default"/>
      </w:rPr>
    </w:lvl>
  </w:abstractNum>
  <w:abstractNum w:abstractNumId="6">
    <w:nsid w:val="0931556A"/>
    <w:multiLevelType w:val="singleLevel"/>
    <w:tmpl w:val="0931556A"/>
    <w:lvl w:ilvl="0" w:tentative="0">
      <w:start w:val="1"/>
      <w:numFmt w:val="decimal"/>
      <w:lvlText w:val="%1."/>
      <w:lvlJc w:val="left"/>
      <w:pPr>
        <w:ind w:left="1065" w:hanging="425"/>
      </w:pPr>
      <w:rPr>
        <w:rFonts w:hint="default"/>
      </w:rPr>
    </w:lvl>
  </w:abstractNum>
  <w:abstractNum w:abstractNumId="7">
    <w:nsid w:val="4B4D639B"/>
    <w:multiLevelType w:val="singleLevel"/>
    <w:tmpl w:val="4B4D639B"/>
    <w:lvl w:ilvl="0" w:tentative="0">
      <w:start w:val="1"/>
      <w:numFmt w:val="decimal"/>
      <w:lvlText w:val="%1."/>
      <w:lvlJc w:val="left"/>
      <w:pPr>
        <w:ind w:left="1065" w:hanging="425"/>
      </w:pPr>
      <w:rPr>
        <w:rFonts w:hint="default"/>
      </w:rPr>
    </w:lvl>
  </w:abstractNum>
  <w:abstractNum w:abstractNumId="8">
    <w:nsid w:val="4FD2A912"/>
    <w:multiLevelType w:val="singleLevel"/>
    <w:tmpl w:val="4FD2A912"/>
    <w:lvl w:ilvl="0" w:tentative="0">
      <w:start w:val="1"/>
      <w:numFmt w:val="decimal"/>
      <w:lvlText w:val="%1."/>
      <w:lvlJc w:val="left"/>
      <w:pPr>
        <w:ind w:left="1065" w:hanging="425"/>
      </w:pPr>
      <w:rPr>
        <w:rFonts w:hint="default"/>
      </w:rPr>
    </w:lvl>
  </w:abstractNum>
  <w:abstractNum w:abstractNumId="9">
    <w:nsid w:val="56DCB996"/>
    <w:multiLevelType w:val="singleLevel"/>
    <w:tmpl w:val="56DCB996"/>
    <w:lvl w:ilvl="0" w:tentative="0">
      <w:start w:val="1"/>
      <w:numFmt w:val="decimal"/>
      <w:lvlText w:val="%1."/>
      <w:lvlJc w:val="left"/>
      <w:pPr>
        <w:ind w:left="1065" w:hanging="425"/>
      </w:pPr>
      <w:rPr>
        <w:rFonts w:hint="default"/>
      </w:rPr>
    </w:lvl>
  </w:abstractNum>
  <w:abstractNum w:abstractNumId="10">
    <w:nsid w:val="5ADBC06E"/>
    <w:multiLevelType w:val="singleLevel"/>
    <w:tmpl w:val="5ADBC06E"/>
    <w:lvl w:ilvl="0" w:tentative="0">
      <w:start w:val="1"/>
      <w:numFmt w:val="decimal"/>
      <w:lvlText w:val="%1."/>
      <w:lvlJc w:val="left"/>
      <w:pPr>
        <w:ind w:left="1065" w:hanging="425"/>
      </w:pPr>
      <w:rPr>
        <w:rFonts w:hint="default"/>
      </w:rPr>
    </w:lvl>
  </w:abstractNum>
  <w:abstractNum w:abstractNumId="11">
    <w:nsid w:val="6A42ED53"/>
    <w:multiLevelType w:val="singleLevel"/>
    <w:tmpl w:val="6A42ED53"/>
    <w:lvl w:ilvl="0" w:tentative="0">
      <w:start w:val="1"/>
      <w:numFmt w:val="decimal"/>
      <w:lvlText w:val="%1."/>
      <w:lvlJc w:val="left"/>
      <w:pPr>
        <w:ind w:left="1065" w:hanging="425"/>
      </w:pPr>
      <w:rPr>
        <w:rFonts w:hint="default"/>
      </w:rPr>
    </w:lvl>
  </w:abstractNum>
  <w:abstractNum w:abstractNumId="12">
    <w:nsid w:val="7BCDB59A"/>
    <w:multiLevelType w:val="singleLevel"/>
    <w:tmpl w:val="7BCDB59A"/>
    <w:lvl w:ilvl="0" w:tentative="0">
      <w:start w:val="5"/>
      <w:numFmt w:val="chineseCounting"/>
      <w:suff w:val="nothing"/>
      <w:lvlText w:val="（%1）"/>
      <w:lvlJc w:val="left"/>
      <w:rPr>
        <w:rFonts w:hint="eastAsia"/>
      </w:rPr>
    </w:lvl>
  </w:abstractNum>
  <w:num w:numId="1">
    <w:abstractNumId w:val="0"/>
  </w:num>
  <w:num w:numId="2">
    <w:abstractNumId w:val="8"/>
  </w:num>
  <w:num w:numId="3">
    <w:abstractNumId w:val="11"/>
  </w:num>
  <w:num w:numId="4">
    <w:abstractNumId w:val="1"/>
  </w:num>
  <w:num w:numId="5">
    <w:abstractNumId w:val="6"/>
  </w:num>
  <w:num w:numId="6">
    <w:abstractNumId w:val="7"/>
  </w:num>
  <w:num w:numId="7">
    <w:abstractNumId w:val="5"/>
  </w:num>
  <w:num w:numId="8">
    <w:abstractNumId w:val="12"/>
  </w:num>
  <w:num w:numId="9">
    <w:abstractNumId w:val="4"/>
  </w:num>
  <w:num w:numId="10">
    <w:abstractNumId w:val="9"/>
  </w:num>
  <w:num w:numId="11">
    <w:abstractNumId w:val="10"/>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NzdhMWExNGZiNjQ1YzlmMWY5NmZiZWYzN2U2OTcifQ=="/>
  </w:docVars>
  <w:rsids>
    <w:rsidRoot w:val="1FD45691"/>
    <w:rsid w:val="0C11027F"/>
    <w:rsid w:val="14A765B1"/>
    <w:rsid w:val="177D19AF"/>
    <w:rsid w:val="1B255C70"/>
    <w:rsid w:val="1FD45691"/>
    <w:rsid w:val="1FDF03D7"/>
    <w:rsid w:val="24C84261"/>
    <w:rsid w:val="35EF4C67"/>
    <w:rsid w:val="360249AD"/>
    <w:rsid w:val="3C6C6213"/>
    <w:rsid w:val="47BF2DA2"/>
    <w:rsid w:val="498C7C36"/>
    <w:rsid w:val="5BFBD698"/>
    <w:rsid w:val="5DEF48BA"/>
    <w:rsid w:val="5F137F4D"/>
    <w:rsid w:val="6A3A7F23"/>
    <w:rsid w:val="6B517AA4"/>
    <w:rsid w:val="6F6000F2"/>
    <w:rsid w:val="6FF7DD07"/>
    <w:rsid w:val="74F7B0A9"/>
    <w:rsid w:val="76E992BF"/>
    <w:rsid w:val="777E15B2"/>
    <w:rsid w:val="778F10FD"/>
    <w:rsid w:val="79FFD49C"/>
    <w:rsid w:val="7A3959AA"/>
    <w:rsid w:val="7BD928F5"/>
    <w:rsid w:val="7F369532"/>
    <w:rsid w:val="AFFD8D63"/>
    <w:rsid w:val="BABFEE7E"/>
    <w:rsid w:val="BBFE351B"/>
    <w:rsid w:val="C95BC492"/>
    <w:rsid w:val="CDAD61F5"/>
    <w:rsid w:val="DFB435FE"/>
    <w:rsid w:val="E0E7AA94"/>
    <w:rsid w:val="F378CBB7"/>
    <w:rsid w:val="F57FDCEA"/>
    <w:rsid w:val="F5FFCBE3"/>
    <w:rsid w:val="FB7E56CD"/>
    <w:rsid w:val="FBF9DD9D"/>
    <w:rsid w:val="FDF70939"/>
    <w:rsid w:val="FFFF5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eastAsia="宋体"/>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3492</Words>
  <Characters>3635</Characters>
  <Lines>0</Lines>
  <Paragraphs>0</Paragraphs>
  <TotalTime>3</TotalTime>
  <ScaleCrop>false</ScaleCrop>
  <LinksUpToDate>false</LinksUpToDate>
  <CharactersWithSpaces>3813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2021-09-26T11:29:00Z</dcterms:created>
  <dc:creator>TURNER</dc:creator>
  <cp:lastModifiedBy>W</cp:lastModifiedBy>
  <cp:lastPrinted>2022-09-07T01:08:00Z</cp:lastPrinted>
  <dcterms:modified xsi:type="dcterms:W3CDTF">2022-09-07T08:09:47Z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CFE27670CA6F65A7326E14631C3566F4</vt:lpwstr>
  </property>
</Properties>
</file>