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 xml:space="preserve">泾阳县崇文塔文物管理所 </w:t>
      </w:r>
    </w:p>
    <w:p>
      <w:pPr>
        <w:spacing w:line="560" w:lineRule="exact"/>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20</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单位</w:t>
      </w:r>
      <w:r>
        <w:rPr>
          <w:rFonts w:hint="eastAsia" w:ascii="方正小标宋简体" w:hAnsi="方正小标宋简体" w:eastAsia="方正小标宋简体" w:cs="方正小标宋简体"/>
          <w:b w:val="0"/>
          <w:bCs w:val="0"/>
          <w:sz w:val="44"/>
          <w:szCs w:val="44"/>
        </w:rPr>
        <w:t>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lang w:eastAsia="zh-CN"/>
        </w:rPr>
        <w:t>单位</w:t>
      </w:r>
      <w:r>
        <w:rPr>
          <w:rFonts w:hint="eastAsia" w:ascii="宋体" w:hAnsi="宋体" w:cs="宋体"/>
          <w:b/>
          <w:bCs/>
          <w:sz w:val="32"/>
          <w:szCs w:val="32"/>
        </w:rPr>
        <w:t>主要负责人审签情况：</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 xml:space="preserve">第一部分  </w:t>
      </w:r>
      <w:r>
        <w:rPr>
          <w:rFonts w:hint="eastAsia" w:ascii="方正小标宋简体" w:hAnsi="方正小标宋简体" w:eastAsia="方正小标宋简体" w:cs="方正小标宋简体"/>
          <w:color w:val="000000"/>
          <w:kern w:val="0"/>
          <w:sz w:val="32"/>
          <w:szCs w:val="32"/>
          <w:lang w:eastAsia="zh-CN" w:bidi="ar"/>
        </w:rPr>
        <w:t>单位</w:t>
      </w:r>
      <w:r>
        <w:rPr>
          <w:rFonts w:hint="eastAsia" w:ascii="方正小标宋简体" w:hAnsi="方正小标宋简体" w:eastAsia="方正小标宋简体" w:cs="方正小标宋简体"/>
          <w:color w:val="000000"/>
          <w:kern w:val="0"/>
          <w:sz w:val="32"/>
          <w:szCs w:val="32"/>
          <w:lang w:bidi="ar"/>
        </w:rPr>
        <w:t>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w:t>
      </w:r>
      <w:r>
        <w:rPr>
          <w:rFonts w:hint="eastAsia" w:ascii="仿宋" w:hAnsi="仿宋" w:eastAsia="仿宋" w:cs="楷体"/>
          <w:color w:val="000000"/>
          <w:kern w:val="0"/>
          <w:sz w:val="32"/>
          <w:szCs w:val="32"/>
          <w:lang w:eastAsia="zh-CN" w:bidi="ar"/>
        </w:rPr>
        <w:t>单位</w:t>
      </w:r>
      <w:r>
        <w:rPr>
          <w:rFonts w:hint="eastAsia" w:ascii="仿宋" w:hAnsi="仿宋" w:eastAsia="仿宋" w:cs="楷体"/>
          <w:color w:val="000000"/>
          <w:kern w:val="0"/>
          <w:sz w:val="32"/>
          <w:szCs w:val="32"/>
          <w:lang w:bidi="ar"/>
        </w:rPr>
        <w:t>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w:t>
      </w:r>
      <w:r>
        <w:rPr>
          <w:rFonts w:hint="eastAsia" w:ascii="仿宋" w:hAnsi="仿宋" w:eastAsia="仿宋" w:cs="楷体"/>
          <w:color w:val="000000"/>
          <w:kern w:val="0"/>
          <w:sz w:val="32"/>
          <w:szCs w:val="32"/>
          <w:lang w:eastAsia="zh-CN" w:bidi="ar"/>
        </w:rPr>
        <w:t>单位</w:t>
      </w:r>
      <w:r>
        <w:rPr>
          <w:rFonts w:hint="eastAsia" w:ascii="仿宋" w:hAnsi="仿宋" w:eastAsia="仿宋" w:cs="楷体"/>
          <w:color w:val="000000"/>
          <w:kern w:val="0"/>
          <w:sz w:val="32"/>
          <w:szCs w:val="32"/>
          <w:lang w:bidi="ar"/>
        </w:rPr>
        <w:t>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w:t>
      </w:r>
      <w:r>
        <w:rPr>
          <w:rFonts w:hint="eastAsia" w:ascii="仿宋" w:hAnsi="仿宋" w:eastAsia="仿宋" w:cs="楷体"/>
          <w:color w:val="000000"/>
          <w:kern w:val="0"/>
          <w:sz w:val="32"/>
          <w:szCs w:val="32"/>
          <w:lang w:eastAsia="zh-CN" w:bidi="ar"/>
        </w:rPr>
        <w:t>单位</w:t>
      </w:r>
      <w:r>
        <w:rPr>
          <w:rFonts w:hint="eastAsia" w:ascii="仿宋" w:hAnsi="仿宋" w:eastAsia="仿宋" w:cs="楷体"/>
          <w:color w:val="000000"/>
          <w:kern w:val="0"/>
          <w:sz w:val="32"/>
          <w:szCs w:val="32"/>
          <w:lang w:bidi="ar"/>
        </w:rPr>
        <w:t>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w:t>
      </w:r>
      <w:r>
        <w:rPr>
          <w:rFonts w:hint="eastAsia" w:ascii="方正小标宋简体" w:hAnsi="方正小标宋简体" w:eastAsia="方正小标宋简体" w:cs="方正小标宋简体"/>
          <w:color w:val="000000"/>
          <w:kern w:val="0"/>
          <w:sz w:val="32"/>
          <w:szCs w:val="32"/>
          <w:lang w:eastAsia="zh-CN" w:bidi="ar"/>
        </w:rPr>
        <w:t>单位</w:t>
      </w:r>
      <w:r>
        <w:rPr>
          <w:rFonts w:hint="eastAsia" w:ascii="方正小标宋简体" w:hAnsi="方正小标宋简体" w:eastAsia="方正小标宋简体" w:cs="方正小标宋简体"/>
          <w:color w:val="000000"/>
          <w:kern w:val="0"/>
          <w:sz w:val="32"/>
          <w:szCs w:val="32"/>
          <w:lang w:bidi="ar"/>
        </w:rPr>
        <w:t>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第一部分 </w:t>
      </w:r>
      <w:r>
        <w:rPr>
          <w:rFonts w:hint="eastAsia" w:ascii="方正小标宋简体" w:hAnsi="方正小标宋简体" w:eastAsia="方正小标宋简体" w:cs="方正小标宋简体"/>
          <w:color w:val="000000"/>
          <w:kern w:val="0"/>
          <w:sz w:val="44"/>
          <w:szCs w:val="44"/>
          <w:lang w:eastAsia="zh-CN" w:bidi="ar"/>
        </w:rPr>
        <w:t>单位</w:t>
      </w:r>
      <w:r>
        <w:rPr>
          <w:rFonts w:hint="eastAsia" w:ascii="方正小标宋简体" w:hAnsi="方正小标宋简体" w:eastAsia="方正小标宋简体" w:cs="方正小标宋简体"/>
          <w:color w:val="000000"/>
          <w:kern w:val="0"/>
          <w:sz w:val="44"/>
          <w:szCs w:val="44"/>
          <w:lang w:bidi="ar"/>
        </w:rPr>
        <w:t>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w:t>
      </w:r>
      <w:r>
        <w:rPr>
          <w:rFonts w:hint="eastAsia" w:ascii="黑体" w:hAnsi="宋体" w:eastAsia="黑体"/>
          <w:color w:val="000000"/>
          <w:kern w:val="0"/>
          <w:sz w:val="32"/>
          <w:szCs w:val="32"/>
          <w:lang w:eastAsia="zh-CN" w:bidi="ar"/>
        </w:rPr>
        <w:t>单位</w:t>
      </w:r>
      <w:r>
        <w:rPr>
          <w:rFonts w:hint="eastAsia" w:ascii="黑体" w:hAnsi="宋体" w:eastAsia="黑体"/>
          <w:color w:val="000000"/>
          <w:kern w:val="0"/>
          <w:sz w:val="32"/>
          <w:szCs w:val="32"/>
          <w:lang w:bidi="ar"/>
        </w:rPr>
        <w:t>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ind w:left="0" w:leftChars="0" w:firstLine="729" w:firstLineChars="228"/>
        <w:rPr>
          <w:rFonts w:hint="eastAsia" w:ascii="楷体" w:hAnsi="楷体" w:eastAsia="楷体" w:cs="楷体"/>
          <w:b/>
          <w:bCs/>
          <w:color w:val="000000"/>
          <w:kern w:val="0"/>
          <w:sz w:val="32"/>
          <w:szCs w:val="32"/>
          <w:lang w:bidi="ar"/>
        </w:rPr>
      </w:pPr>
      <w:r>
        <w:rPr>
          <w:rFonts w:hint="eastAsia" w:ascii="仿宋_GB2312" w:hAnsi="仿宋_GB2312" w:eastAsia="仿宋_GB2312" w:cs="仿宋_GB2312"/>
          <w:sz w:val="32"/>
          <w:szCs w:val="32"/>
          <w:lang w:val="en-US" w:eastAsia="zh-CN"/>
        </w:rPr>
        <w:t>泾阳县崇文塔文物管理所（以下简称文管所）为泾河新城住房和城乡建设局下属二级单位。文管所主要职责:保护文物，弘扬民族文化，文物展览，文物复制与修复，文物及相关研究，文物宣传出版，完成上级交办的其他工作任务。</w:t>
      </w:r>
    </w:p>
    <w:p>
      <w:pPr>
        <w:numPr>
          <w:ilvl w:val="0"/>
          <w:numId w:val="1"/>
        </w:numPr>
        <w:ind w:firstLine="640"/>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内设机构</w:t>
      </w:r>
      <w:r>
        <w:rPr>
          <w:rFonts w:hint="eastAsia" w:ascii="楷体" w:hAnsi="楷体" w:eastAsia="楷体" w:cs="楷体"/>
          <w:b/>
          <w:bCs/>
          <w:color w:val="000000"/>
          <w:kern w:val="0"/>
          <w:sz w:val="32"/>
          <w:szCs w:val="32"/>
          <w:lang w:eastAsia="zh-CN" w:bidi="ar"/>
        </w:rPr>
        <w:t>。</w:t>
      </w:r>
    </w:p>
    <w:p>
      <w:pPr>
        <w:numPr>
          <w:ilvl w:val="0"/>
          <w:numId w:val="0"/>
        </w:numPr>
        <w:ind w:firstLine="640" w:firstLineChars="200"/>
        <w:rPr>
          <w:rFonts w:hint="eastAsia" w:ascii="楷体" w:hAnsi="楷体" w:eastAsia="楷体" w:cs="楷体"/>
          <w:b/>
          <w:bCs/>
          <w:color w:val="000000"/>
          <w:kern w:val="0"/>
          <w:sz w:val="32"/>
          <w:szCs w:val="32"/>
          <w:lang w:val="en-US" w:eastAsia="zh-CN" w:bidi="ar"/>
        </w:rPr>
      </w:pPr>
      <w:r>
        <w:rPr>
          <w:rFonts w:hint="eastAsia" w:ascii="仿宋_GB2312" w:hAnsi="仿宋_GB2312" w:eastAsia="仿宋_GB2312" w:cs="仿宋_GB2312"/>
          <w:sz w:val="32"/>
          <w:szCs w:val="32"/>
        </w:rPr>
        <w:t>单位性质为财政补助事业单位；我单位设立有办公室、保卫室、票务室、财务室等4个科室。</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b w:val="0"/>
          <w:bCs w:val="0"/>
          <w:color w:val="000000"/>
          <w:kern w:val="0"/>
          <w:sz w:val="32"/>
          <w:szCs w:val="32"/>
          <w:lang w:eastAsia="zh-CN" w:bidi="ar"/>
        </w:rPr>
        <w:t>单位</w:t>
      </w:r>
      <w:r>
        <w:rPr>
          <w:rFonts w:hint="eastAsia" w:ascii="黑体" w:hAnsi="宋体" w:eastAsia="黑体"/>
          <w:b w:val="0"/>
          <w:bCs w:val="0"/>
          <w:color w:val="000000"/>
          <w:kern w:val="0"/>
          <w:sz w:val="32"/>
          <w:szCs w:val="32"/>
          <w:lang w:bidi="ar"/>
        </w:rPr>
        <w:t>决算单位构成</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个，属二级预算单位：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泾阳县崇文塔文物管理所</w:t>
            </w:r>
            <w:r>
              <w:rPr>
                <w:rFonts w:hint="eastAsia" w:ascii="仿宋_GB2312" w:hAnsi="仿宋_GB2312" w:eastAsia="仿宋_GB2312" w:cs="仿宋_GB2312"/>
                <w:sz w:val="32"/>
                <w:szCs w:val="32"/>
              </w:rPr>
              <w:t xml:space="preserve">  </w:t>
            </w:r>
          </w:p>
        </w:tc>
      </w:tr>
    </w:tbl>
    <w:p>
      <w:pPr>
        <w:ind w:firstLine="640"/>
        <w:rPr>
          <w:rFonts w:hint="eastAsia" w:ascii="黑体" w:hAnsi="黑体" w:eastAsia="黑体"/>
          <w:b/>
          <w:bCs/>
          <w:sz w:val="32"/>
          <w:szCs w:val="32"/>
        </w:rPr>
      </w:pPr>
    </w:p>
    <w:p>
      <w:pPr>
        <w:ind w:firstLine="640"/>
        <w:rPr>
          <w:rFonts w:hint="eastAsia" w:ascii="黑体" w:hAnsi="黑体" w:eastAsia="黑体"/>
          <w:b/>
          <w:bCs/>
          <w:sz w:val="32"/>
          <w:szCs w:val="32"/>
        </w:rPr>
      </w:pPr>
    </w:p>
    <w:p>
      <w:pPr>
        <w:ind w:firstLine="640"/>
        <w:rPr>
          <w:rFonts w:hint="eastAsia" w:ascii="黑体" w:hAnsi="黑体" w:eastAsia="黑体"/>
          <w:b/>
          <w:bCs/>
          <w:sz w:val="32"/>
          <w:szCs w:val="32"/>
        </w:rPr>
      </w:pPr>
    </w:p>
    <w:p>
      <w:pPr>
        <w:ind w:firstLine="640"/>
        <w:rPr>
          <w:rFonts w:hint="eastAsia" w:ascii="黑体" w:hAnsi="黑体" w:eastAsia="黑体"/>
          <w:b/>
          <w:bCs/>
          <w:sz w:val="32"/>
          <w:szCs w:val="32"/>
        </w:rPr>
      </w:pPr>
    </w:p>
    <w:p>
      <w:pPr>
        <w:ind w:firstLine="640"/>
        <w:rPr>
          <w:rFonts w:ascii="黑体" w:hAnsi="黑体" w:eastAsia="黑体"/>
          <w:b/>
          <w:bCs/>
          <w:sz w:val="32"/>
          <w:szCs w:val="32"/>
        </w:rPr>
      </w:pPr>
      <w:r>
        <w:rPr>
          <w:rFonts w:hint="eastAsia" w:ascii="黑体" w:hAnsi="黑体" w:eastAsia="黑体"/>
          <w:b/>
          <w:bCs/>
          <w:sz w:val="32"/>
          <w:szCs w:val="32"/>
        </w:rPr>
        <w:t>三、</w:t>
      </w:r>
      <w:r>
        <w:rPr>
          <w:rFonts w:hint="eastAsia" w:ascii="黑体" w:hAnsi="宋体" w:eastAsia="黑体"/>
          <w:b w:val="0"/>
          <w:bCs w:val="0"/>
          <w:color w:val="000000"/>
          <w:kern w:val="0"/>
          <w:sz w:val="32"/>
          <w:szCs w:val="32"/>
          <w:lang w:eastAsia="zh-CN" w:bidi="ar"/>
        </w:rPr>
        <w:t>单位</w:t>
      </w:r>
      <w:r>
        <w:rPr>
          <w:rFonts w:hint="eastAsia" w:ascii="黑体" w:hAnsi="黑体" w:eastAsia="黑体"/>
          <w:b w:val="0"/>
          <w:bCs w:val="0"/>
          <w:sz w:val="32"/>
          <w:szCs w:val="32"/>
        </w:rPr>
        <w:t>人员情况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年底，本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均属</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实有人员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p>
    <w:p>
      <w:pPr>
        <w:pStyle w:val="2"/>
        <w:rPr>
          <w:rFonts w:hint="eastAsia" w:ascii="仿宋_GB2312" w:hAnsi="仿宋_GB2312" w:eastAsia="仿宋_GB2312" w:cs="仿宋_GB2312"/>
          <w:sz w:val="32"/>
          <w:szCs w:val="32"/>
        </w:rPr>
      </w:pPr>
    </w:p>
    <w:p>
      <w:pPr>
        <w:pStyle w:val="2"/>
        <w:rPr>
          <w:rFonts w:hint="default" w:ascii="仿宋_GB2312" w:hAnsi="仿宋_GB2312" w:eastAsia="宋体" w:cs="仿宋_GB2312"/>
          <w:sz w:val="32"/>
          <w:szCs w:val="32"/>
          <w:lang w:val="en-US" w:eastAsia="zh-CN"/>
        </w:rPr>
      </w:pPr>
      <w:r>
        <w:rPr>
          <w:rFonts w:hint="eastAsia"/>
          <w:lang w:val="en-US" w:eastAsia="zh-CN"/>
        </w:rPr>
        <w:t xml:space="preserve">    </w:t>
      </w:r>
      <w:r>
        <w:drawing>
          <wp:inline distT="0" distB="0" distL="114300" distR="114300">
            <wp:extent cx="4257675" cy="2658110"/>
            <wp:effectExtent l="4445" t="4445" r="5080" b="2349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lang w:val="en-US" w:eastAsia="zh-CN"/>
        </w:rPr>
        <w:t xml:space="preserve">  </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w:t>
      </w:r>
      <w:r>
        <w:rPr>
          <w:rFonts w:hint="eastAsia" w:ascii="方正小标宋简体" w:hAnsi="方正小标宋简体" w:eastAsia="方正小标宋简体" w:cs="方正小标宋简体"/>
          <w:color w:val="000000"/>
          <w:kern w:val="0"/>
          <w:sz w:val="44"/>
          <w:szCs w:val="44"/>
          <w:lang w:eastAsia="zh-CN" w:bidi="ar"/>
        </w:rPr>
        <w:t>单位</w:t>
      </w:r>
      <w:r>
        <w:rPr>
          <w:rFonts w:hint="eastAsia" w:ascii="方正小标宋简体" w:hAnsi="方正小标宋简体" w:eastAsia="方正小标宋简体" w:cs="方正小标宋简体"/>
          <w:color w:val="000000"/>
          <w:kern w:val="0"/>
          <w:sz w:val="44"/>
          <w:szCs w:val="44"/>
          <w:lang w:bidi="ar"/>
        </w:rPr>
        <w:t>决算表</w:t>
      </w:r>
    </w:p>
    <w:tbl>
      <w:tblPr>
        <w:tblStyle w:val="8"/>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4"/>
                <w:lang w:val="en-US" w:eastAsia="zh-CN"/>
              </w:rPr>
            </w:pPr>
            <w:r>
              <w:rPr>
                <w:rFonts w:hint="eastAsia" w:ascii="宋体" w:hAnsi="宋体" w:cs="宋体"/>
                <w:color w:val="000000"/>
                <w:sz w:val="24"/>
                <w:lang w:val="en-US" w:eastAsia="zh-CN"/>
              </w:rPr>
              <w:t>本单位无</w:t>
            </w:r>
            <w:r>
              <w:rPr>
                <w:rFonts w:hint="eastAsia" w:ascii="宋体" w:hAnsi="宋体" w:cs="宋体"/>
                <w:color w:val="000000"/>
                <w:kern w:val="0"/>
                <w:sz w:val="24"/>
                <w:lang w:bidi="ar"/>
              </w:rPr>
              <w:t>一般公共预算财政拨款“三公”经费及会议费、培训费支出</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sz w:val="24"/>
                <w:lang w:val="en-US" w:eastAsia="zh-CN"/>
              </w:rPr>
              <w:t>本单位</w:t>
            </w:r>
            <w:r>
              <w:rPr>
                <w:rFonts w:hint="eastAsia" w:ascii="宋体" w:hAnsi="宋体" w:cs="宋体"/>
                <w:color w:val="000000"/>
                <w:kern w:val="0"/>
                <w:sz w:val="24"/>
                <w:lang w:bidi="ar"/>
              </w:rPr>
              <w:t>政府性基金预算财政拨款收入支出</w:t>
            </w:r>
          </w:p>
          <w:p>
            <w:pPr>
              <w:jc w:val="center"/>
              <w:rPr>
                <w:rFonts w:hint="eastAsia" w:ascii="宋体" w:hAnsi="宋体" w:eastAsia="宋体" w:cs="宋体"/>
                <w:color w:val="000000"/>
                <w:sz w:val="24"/>
                <w:lang w:val="en-US" w:eastAsia="zh-CN"/>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4"/>
                <w:lang w:val="en-US" w:eastAsia="zh-CN"/>
              </w:rPr>
            </w:pPr>
            <w:r>
              <w:rPr>
                <w:rFonts w:hint="eastAsia" w:ascii="宋体" w:hAnsi="宋体" w:cs="宋体"/>
                <w:color w:val="000000"/>
                <w:sz w:val="24"/>
                <w:lang w:val="en-US" w:eastAsia="zh-CN"/>
              </w:rPr>
              <w:t>本单位无</w:t>
            </w:r>
            <w:r>
              <w:rPr>
                <w:rFonts w:hint="eastAsia" w:ascii="宋体" w:hAnsi="宋体" w:cs="宋体"/>
                <w:color w:val="000000"/>
                <w:kern w:val="0"/>
                <w:sz w:val="24"/>
                <w:lang w:eastAsia="zh-CN" w:bidi="ar"/>
              </w:rPr>
              <w:t>有资本经营预算财政拨款支出</w:t>
            </w:r>
          </w:p>
        </w:tc>
      </w:tr>
    </w:tbl>
    <w:p>
      <w:pPr>
        <w:jc w:val="center"/>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 xml:space="preserve">：  </w:t>
      </w:r>
      <w:r>
        <w:rPr>
          <w:rFonts w:hint="eastAsia" w:ascii="宋体" w:hAnsi="宋体" w:cs="宋体"/>
          <w:b/>
          <w:bCs/>
          <w:szCs w:val="21"/>
          <w:lang w:eastAsia="zh-CN"/>
        </w:rPr>
        <w:t>泾阳县崇文塔文物管理所</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8"/>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jc w:val="left"/>
        <w:rPr>
          <w:rFonts w:ascii="宋体" w:hAnsi="宋体" w:cs="宋体"/>
          <w:b/>
          <w:bCs/>
          <w:sz w:val="48"/>
          <w:szCs w:val="48"/>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金额单位：万元                               </w:t>
      </w:r>
    </w:p>
    <w:tbl>
      <w:tblPr>
        <w:tblStyle w:val="8"/>
        <w:tblW w:w="8591" w:type="dxa"/>
        <w:tblInd w:w="0" w:type="dxa"/>
        <w:tblLayout w:type="fixed"/>
        <w:tblCellMar>
          <w:top w:w="15" w:type="dxa"/>
          <w:left w:w="15" w:type="dxa"/>
          <w:bottom w:w="15" w:type="dxa"/>
          <w:right w:w="15" w:type="dxa"/>
        </w:tblCellMar>
      </w:tblPr>
      <w:tblGrid>
        <w:gridCol w:w="903"/>
        <w:gridCol w:w="2096"/>
        <w:gridCol w:w="881"/>
        <w:gridCol w:w="926"/>
        <w:gridCol w:w="705"/>
        <w:gridCol w:w="269"/>
        <w:gridCol w:w="861"/>
        <w:gridCol w:w="573"/>
        <w:gridCol w:w="4"/>
        <w:gridCol w:w="673"/>
        <w:gridCol w:w="1"/>
        <w:gridCol w:w="1"/>
        <w:gridCol w:w="698"/>
      </w:tblGrid>
      <w:tr>
        <w:tblPrEx>
          <w:tblCellMar>
            <w:top w:w="15" w:type="dxa"/>
            <w:left w:w="15" w:type="dxa"/>
            <w:bottom w:w="15" w:type="dxa"/>
            <w:right w:w="15" w:type="dxa"/>
          </w:tblCellMar>
        </w:tblPrEx>
        <w:trPr>
          <w:trHeight w:val="889" w:hRule="exact"/>
        </w:trPr>
        <w:tc>
          <w:tcPr>
            <w:tcW w:w="29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1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6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574" w:hRule="exact"/>
        </w:trPr>
        <w:tc>
          <w:tcPr>
            <w:tcW w:w="903"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09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81" w:type="dxa"/>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926" w:type="dxa"/>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705" w:type="dxa"/>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86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Cs w:val="21"/>
                <w:lang w:eastAsia="zh-CN"/>
              </w:rPr>
            </w:pPr>
            <w:r>
              <w:rPr>
                <w:rFonts w:hint="eastAsia" w:ascii="宋体" w:hAnsi="宋体" w:cs="宋体"/>
                <w:b/>
                <w:color w:val="000000"/>
                <w:szCs w:val="21"/>
                <w:lang w:eastAsia="zh-CN"/>
              </w:rPr>
              <w:t>其中：教育收费</w:t>
            </w:r>
          </w:p>
        </w:tc>
        <w:tc>
          <w:tcPr>
            <w:tcW w:w="577"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674"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699"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9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9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207</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20702</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文物</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2070204</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文物保护</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208</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20805</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2080505</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2080506</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20899</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2089901</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44"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21011</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2101102</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事业单位医疗</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221</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22102</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2210201</w:t>
            </w:r>
          </w:p>
        </w:tc>
        <w:tc>
          <w:tcPr>
            <w:tcW w:w="2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6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7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jc w:val="left"/>
        <w:rPr>
          <w:rFonts w:ascii="宋体" w:hAnsi="宋体" w:cs="宋体"/>
          <w:b/>
          <w:bCs/>
          <w:sz w:val="48"/>
          <w:szCs w:val="48"/>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                                                    </w:t>
      </w:r>
    </w:p>
    <w:tbl>
      <w:tblPr>
        <w:tblStyle w:val="8"/>
        <w:tblW w:w="8722" w:type="dxa"/>
        <w:tblInd w:w="0" w:type="dxa"/>
        <w:tblLayout w:type="fixed"/>
        <w:tblCellMar>
          <w:top w:w="15" w:type="dxa"/>
          <w:left w:w="15" w:type="dxa"/>
          <w:bottom w:w="15" w:type="dxa"/>
          <w:right w:w="15" w:type="dxa"/>
        </w:tblCellMar>
      </w:tblPr>
      <w:tblGrid>
        <w:gridCol w:w="914"/>
        <w:gridCol w:w="2520"/>
        <w:gridCol w:w="842"/>
        <w:gridCol w:w="2"/>
        <w:gridCol w:w="878"/>
        <w:gridCol w:w="3"/>
        <w:gridCol w:w="895"/>
        <w:gridCol w:w="5"/>
        <w:gridCol w:w="858"/>
        <w:gridCol w:w="6"/>
        <w:gridCol w:w="873"/>
        <w:gridCol w:w="7"/>
        <w:gridCol w:w="919"/>
      </w:tblGrid>
      <w:tr>
        <w:tblPrEx>
          <w:tblCellMar>
            <w:top w:w="15" w:type="dxa"/>
            <w:left w:w="15" w:type="dxa"/>
            <w:bottom w:w="15" w:type="dxa"/>
            <w:right w:w="15" w:type="dxa"/>
          </w:tblCellMar>
        </w:tblPrEx>
        <w:trPr>
          <w:trHeight w:val="372" w:hRule="atLeast"/>
        </w:trPr>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w:t>
            </w:r>
            <w:r>
              <w:rPr>
                <w:rFonts w:hint="eastAsia" w:ascii="宋体" w:hAnsi="宋体" w:cs="宋体"/>
                <w:b/>
                <w:color w:val="000000"/>
                <w:kern w:val="0"/>
                <w:szCs w:val="21"/>
                <w:lang w:val="en-US" w:eastAsia="zh-CN"/>
              </w:rPr>
              <w:t>支</w:t>
            </w:r>
            <w:r>
              <w:rPr>
                <w:rFonts w:hint="eastAsia" w:ascii="宋体" w:hAnsi="宋体" w:cs="宋体"/>
                <w:b/>
                <w:color w:val="000000"/>
                <w:kern w:val="0"/>
                <w:szCs w:val="21"/>
              </w:rPr>
              <w:t>出</w:t>
            </w:r>
          </w:p>
        </w:tc>
      </w:tr>
      <w:tr>
        <w:tblPrEx>
          <w:tblCellMar>
            <w:top w:w="15" w:type="dxa"/>
            <w:left w:w="15" w:type="dxa"/>
            <w:bottom w:w="15" w:type="dxa"/>
            <w:right w:w="15" w:type="dxa"/>
          </w:tblCellMar>
        </w:tblPrEx>
        <w:trPr>
          <w:trHeight w:val="70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842" w:type="dxa"/>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880"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898"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863"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879"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926"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91.97</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207</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63.89</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20702</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文物</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63.89</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2070204</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文物保护</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63.89</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20805</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2080505</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2080506</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20899</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2089901</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210</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21011</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2101102</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事业单位医疗</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221</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2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22102</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2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2210201</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2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52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2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金额单位：万元                                </w:t>
      </w:r>
    </w:p>
    <w:tbl>
      <w:tblPr>
        <w:tblStyle w:val="8"/>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center"/>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金额单位：万元                              </w:t>
      </w:r>
    </w:p>
    <w:tbl>
      <w:tblPr>
        <w:tblStyle w:val="8"/>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8"/>
        <w:tblW w:w="8628" w:type="dxa"/>
        <w:tblInd w:w="0" w:type="dxa"/>
        <w:tblLayout w:type="fixed"/>
        <w:tblCellMar>
          <w:top w:w="15" w:type="dxa"/>
          <w:left w:w="15" w:type="dxa"/>
          <w:bottom w:w="15" w:type="dxa"/>
          <w:right w:w="15" w:type="dxa"/>
        </w:tblCellMar>
      </w:tblPr>
      <w:tblGrid>
        <w:gridCol w:w="1170"/>
        <w:gridCol w:w="1758"/>
        <w:gridCol w:w="966"/>
        <w:gridCol w:w="980"/>
        <w:gridCol w:w="898"/>
        <w:gridCol w:w="998"/>
        <w:gridCol w:w="1"/>
        <w:gridCol w:w="979"/>
        <w:gridCol w:w="1"/>
        <w:gridCol w:w="877"/>
      </w:tblGrid>
      <w:tr>
        <w:tblPrEx>
          <w:tblCellMar>
            <w:top w:w="15" w:type="dxa"/>
            <w:left w:w="15" w:type="dxa"/>
            <w:bottom w:w="15" w:type="dxa"/>
            <w:right w:w="15" w:type="dxa"/>
          </w:tblCellMar>
        </w:tblPrEx>
        <w:trPr>
          <w:trHeight w:val="414" w:hRule="atLeast"/>
        </w:trPr>
        <w:tc>
          <w:tcPr>
            <w:tcW w:w="29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877"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539"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980"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878"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9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122.51</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91.97</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90.99</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207</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63.89</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62.91</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eastAsia="宋体" w:cs="宋体"/>
                <w:i w:val="0"/>
                <w:iCs w:val="0"/>
                <w:color w:val="000000"/>
                <w:kern w:val="0"/>
                <w:sz w:val="22"/>
                <w:szCs w:val="22"/>
                <w:u w:val="none"/>
                <w:lang w:val="en-US" w:eastAsia="zh-CN" w:bidi="ar"/>
              </w:rPr>
              <w:t>30.54</w:t>
            </w: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20702</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文物</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63.89</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62.91</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2070204</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文物保护</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94.43</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63.89</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62.91</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30.54</w:t>
            </w: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17.06</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20805</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17.02</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2080505</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2080506</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20899</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2089901</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210</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21011</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2101102</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事业单位医疗</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221</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22102</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2210201</w:t>
            </w:r>
          </w:p>
        </w:tc>
        <w:tc>
          <w:tcPr>
            <w:tcW w:w="17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金额单位：万元                                </w:t>
      </w:r>
    </w:p>
    <w:tbl>
      <w:tblPr>
        <w:tblStyle w:val="8"/>
        <w:tblW w:w="8572" w:type="dxa"/>
        <w:tblInd w:w="0" w:type="dxa"/>
        <w:tblLayout w:type="fixed"/>
        <w:tblCellMar>
          <w:top w:w="15" w:type="dxa"/>
          <w:left w:w="15" w:type="dxa"/>
          <w:bottom w:w="15" w:type="dxa"/>
          <w:right w:w="15" w:type="dxa"/>
        </w:tblCellMar>
      </w:tblPr>
      <w:tblGrid>
        <w:gridCol w:w="1166"/>
        <w:gridCol w:w="2625"/>
        <w:gridCol w:w="1292"/>
        <w:gridCol w:w="1347"/>
        <w:gridCol w:w="1"/>
        <w:gridCol w:w="1277"/>
        <w:gridCol w:w="3"/>
        <w:gridCol w:w="861"/>
      </w:tblGrid>
      <w:tr>
        <w:tblPrEx>
          <w:tblCellMar>
            <w:top w:w="15" w:type="dxa"/>
            <w:left w:w="15" w:type="dxa"/>
            <w:bottom w:w="15" w:type="dxa"/>
            <w:right w:w="15" w:type="dxa"/>
          </w:tblCellMar>
        </w:tblPrEx>
        <w:trPr>
          <w:trHeight w:val="304" w:hRule="exact"/>
        </w:trPr>
        <w:tc>
          <w:tcPr>
            <w:tcW w:w="37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2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554" w:hRule="exac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92" w:type="dxa"/>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1347" w:type="dxa"/>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1278"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c>
          <w:tcPr>
            <w:tcW w:w="864" w:type="dxa"/>
            <w:gridSpan w:val="2"/>
            <w:tcBorders>
              <w:top w:val="single" w:color="000000" w:sz="4" w:space="0"/>
              <w:left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296" w:hRule="exact"/>
        </w:trPr>
        <w:tc>
          <w:tcPr>
            <w:tcW w:w="37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92"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91.97</w:t>
            </w:r>
          </w:p>
        </w:tc>
        <w:tc>
          <w:tcPr>
            <w:tcW w:w="1348"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90.99</w:t>
            </w:r>
          </w:p>
        </w:tc>
        <w:tc>
          <w:tcPr>
            <w:tcW w:w="1280"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861"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工资福利支出</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83.05</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30101</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基本工资</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30102</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津贴补贴</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5.26</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30103</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奖金</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8.59</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30107</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绩效工资</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16.75</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30108</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15.38</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30109</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职业年金缴费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30110</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4.53</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30112</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其他社会保障缴费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0.04</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30113</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6.50</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379" w:hRule="exact"/>
        </w:trPr>
        <w:tc>
          <w:tcPr>
            <w:tcW w:w="116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30199</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3.36</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302</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商品和服务支出</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30201</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办公费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0.57</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30204</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手续费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0.01</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30207</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邮电费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0.13</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30211</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差旅费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0.09</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30226</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劳务费</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0.18</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303</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7.95</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30307</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医疗费补助</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0.75</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30309</w:t>
            </w:r>
          </w:p>
        </w:tc>
        <w:tc>
          <w:tcPr>
            <w:tcW w:w="2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奖励金</w:t>
            </w: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7.20</w:t>
            </w: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金额单位：万元                               </w:t>
      </w:r>
    </w:p>
    <w:tbl>
      <w:tblPr>
        <w:tblStyle w:val="8"/>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jc w:val="left"/>
        <w:rPr>
          <w:rFonts w:ascii="宋体" w:hAnsi="宋体" w:cs="宋体"/>
          <w:b/>
          <w:bCs/>
          <w:szCs w:val="21"/>
        </w:rPr>
      </w:pPr>
      <w:r>
        <w:rPr>
          <w:rFonts w:hint="eastAsia" w:ascii="宋体" w:hAnsi="宋体" w:cs="宋体"/>
          <w:b/>
          <w:bCs/>
          <w:szCs w:val="21"/>
        </w:rPr>
        <w:t>编制</w:t>
      </w:r>
      <w:r>
        <w:rPr>
          <w:rFonts w:hint="eastAsia" w:ascii="宋体" w:hAnsi="宋体" w:cs="宋体"/>
          <w:b/>
          <w:bCs/>
          <w:szCs w:val="21"/>
          <w:lang w:eastAsia="zh-CN"/>
        </w:rPr>
        <w:t>单位</w:t>
      </w:r>
      <w:r>
        <w:rPr>
          <w:rFonts w:hint="eastAsia" w:ascii="宋体" w:hAnsi="宋体" w:cs="宋体"/>
          <w:b/>
          <w:bCs/>
          <w:szCs w:val="21"/>
        </w:rPr>
        <w:t>：</w:t>
      </w:r>
      <w:r>
        <w:rPr>
          <w:rFonts w:hint="eastAsia" w:ascii="宋体" w:hAnsi="宋体" w:cs="宋体"/>
          <w:b/>
          <w:bCs/>
          <w:szCs w:val="21"/>
          <w:lang w:eastAsia="zh-CN"/>
        </w:rPr>
        <w:t>泾阳县崇文塔文物管理所</w:t>
      </w:r>
      <w:r>
        <w:rPr>
          <w:rFonts w:hint="eastAsia" w:ascii="宋体" w:hAnsi="宋体" w:cs="宋体"/>
          <w:b/>
          <w:bCs/>
          <w:szCs w:val="21"/>
        </w:rPr>
        <w:t xml:space="preserve">                            金额单位：万元                                 </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w:t>
      </w:r>
      <w:r>
        <w:rPr>
          <w:rFonts w:hint="eastAsia" w:ascii="方正小标宋简体" w:hAnsi="方正小标宋简体" w:eastAsia="方正小标宋简体" w:cs="方正小标宋简体"/>
          <w:color w:val="000000"/>
          <w:kern w:val="0"/>
          <w:sz w:val="44"/>
          <w:szCs w:val="44"/>
          <w:lang w:eastAsia="zh-CN" w:bidi="ar"/>
        </w:rPr>
        <w:t>单位</w:t>
      </w:r>
      <w:r>
        <w:rPr>
          <w:rFonts w:hint="eastAsia" w:ascii="方正小标宋简体" w:hAnsi="方正小标宋简体" w:eastAsia="方正小标宋简体" w:cs="方正小标宋简体"/>
          <w:color w:val="000000"/>
          <w:kern w:val="0"/>
          <w:sz w:val="44"/>
          <w:szCs w:val="44"/>
          <w:lang w:bidi="ar"/>
        </w:rPr>
        <w:t>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年收入122.51</w:t>
      </w:r>
      <w:r>
        <w:rPr>
          <w:rFonts w:hint="eastAsia" w:ascii="仿宋_GB2312" w:hAnsi="仿宋" w:eastAsia="仿宋_GB2312"/>
          <w:sz w:val="32"/>
          <w:szCs w:val="32"/>
          <w:lang w:val="en-US" w:eastAsia="zh-CN"/>
        </w:rPr>
        <w:t>万元，</w:t>
      </w:r>
      <w:r>
        <w:rPr>
          <w:rFonts w:hint="eastAsia" w:ascii="仿宋_GB2312" w:hAnsi="仿宋" w:eastAsia="仿宋_GB2312"/>
          <w:sz w:val="32"/>
          <w:szCs w:val="32"/>
        </w:rPr>
        <w:t>比上年增长</w:t>
      </w:r>
      <w:r>
        <w:rPr>
          <w:rFonts w:hint="eastAsia" w:ascii="仿宋_GB2312" w:hAnsi="仿宋" w:eastAsia="仿宋_GB2312"/>
          <w:sz w:val="32"/>
          <w:szCs w:val="32"/>
          <w:lang w:val="en-US" w:eastAsia="zh-CN"/>
        </w:rPr>
        <w:t>9%</w:t>
      </w:r>
      <w:r>
        <w:rPr>
          <w:rFonts w:hint="eastAsia" w:ascii="仿宋_GB2312" w:hAnsi="仿宋" w:eastAsia="仿宋_GB2312"/>
          <w:sz w:val="32"/>
          <w:szCs w:val="32"/>
        </w:rPr>
        <w:t>，主要原因</w:t>
      </w:r>
      <w:r>
        <w:rPr>
          <w:rFonts w:hint="eastAsia" w:ascii="仿宋_GB2312" w:hAnsi="仿宋" w:eastAsia="仿宋_GB2312"/>
          <w:sz w:val="32"/>
          <w:szCs w:val="32"/>
          <w:lang w:val="en-US" w:eastAsia="zh-CN"/>
        </w:rPr>
        <w:t>增加了崇文塔文物保护管理规划项目支出</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年支出122.51</w:t>
      </w:r>
      <w:r>
        <w:rPr>
          <w:rFonts w:hint="eastAsia" w:ascii="仿宋_GB2312" w:hAnsi="仿宋" w:eastAsia="仿宋_GB2312"/>
          <w:sz w:val="32"/>
          <w:szCs w:val="32"/>
          <w:lang w:val="en-US" w:eastAsia="zh-CN"/>
        </w:rPr>
        <w:t>万元，比</w:t>
      </w:r>
      <w:r>
        <w:rPr>
          <w:rFonts w:hint="eastAsia" w:ascii="仿宋_GB2312" w:hAnsi="仿宋" w:eastAsia="仿宋_GB2312"/>
          <w:sz w:val="32"/>
          <w:szCs w:val="32"/>
        </w:rPr>
        <w:t>上年增长</w:t>
      </w:r>
      <w:r>
        <w:rPr>
          <w:rFonts w:hint="eastAsia" w:ascii="仿宋_GB2312" w:hAnsi="仿宋" w:eastAsia="仿宋_GB2312"/>
          <w:sz w:val="32"/>
          <w:szCs w:val="32"/>
          <w:lang w:val="en-US" w:eastAsia="zh-CN"/>
        </w:rPr>
        <w:t>9%</w:t>
      </w:r>
      <w:r>
        <w:rPr>
          <w:rFonts w:hint="eastAsia" w:ascii="仿宋_GB2312" w:hAnsi="仿宋" w:eastAsia="仿宋_GB2312"/>
          <w:sz w:val="32"/>
          <w:szCs w:val="32"/>
        </w:rPr>
        <w:t>，主要原因</w:t>
      </w:r>
      <w:r>
        <w:rPr>
          <w:rFonts w:hint="eastAsia" w:ascii="仿宋_GB2312" w:hAnsi="仿宋" w:eastAsia="仿宋_GB2312"/>
          <w:sz w:val="32"/>
          <w:szCs w:val="32"/>
          <w:lang w:val="en-US" w:eastAsia="zh-CN"/>
        </w:rPr>
        <w:t>增加了崇文塔文物保护管理规划项目支出</w:t>
      </w:r>
      <w:r>
        <w:rPr>
          <w:rFonts w:hint="eastAsia" w:ascii="仿宋_GB2312" w:hAnsi="仿宋" w:eastAsia="仿宋_GB2312"/>
          <w:sz w:val="32"/>
          <w:szCs w:val="32"/>
        </w:rPr>
        <w:t>。</w:t>
      </w:r>
    </w:p>
    <w:p>
      <w:pPr>
        <w:pStyle w:val="2"/>
        <w:rPr>
          <w:rFonts w:hint="eastAsia" w:ascii="仿宋_GB2312" w:hAnsi="仿宋" w:eastAsia="仿宋_GB2312"/>
          <w:sz w:val="32"/>
          <w:szCs w:val="32"/>
          <w:lang w:eastAsia="zh-CN"/>
        </w:rPr>
      </w:pPr>
    </w:p>
    <w:p>
      <w:pPr>
        <w:pStyle w:val="2"/>
        <w:rPr>
          <w:rFonts w:hint="default" w:ascii="仿宋_GB2312" w:hAnsi="仿宋" w:eastAsia="宋体"/>
          <w:sz w:val="32"/>
          <w:szCs w:val="32"/>
          <w:lang w:val="en-US" w:eastAsia="zh-CN"/>
        </w:rPr>
      </w:pPr>
      <w:r>
        <w:rPr>
          <w:rFonts w:hint="eastAsia"/>
          <w:lang w:val="en-US" w:eastAsia="zh-CN"/>
        </w:rPr>
        <w:t xml:space="preserve">    </w:t>
      </w:r>
      <w:r>
        <w:drawing>
          <wp:inline distT="0" distB="0" distL="114300" distR="114300">
            <wp:extent cx="4476115" cy="2771140"/>
            <wp:effectExtent l="4445" t="5080" r="15240" b="508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年收入合计</w:t>
      </w:r>
      <w:r>
        <w:rPr>
          <w:rFonts w:hint="eastAsia" w:ascii="仿宋_GB2312" w:hAnsi="仿宋" w:eastAsia="仿宋_GB2312"/>
          <w:sz w:val="32"/>
          <w:szCs w:val="32"/>
        </w:rPr>
        <w:t>122.51</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val="en-US" w:eastAsia="zh-CN" w:bidi="ar"/>
        </w:rPr>
        <w:t>均为</w:t>
      </w:r>
      <w:r>
        <w:rPr>
          <w:rFonts w:ascii="仿宋_GB2312" w:hAnsi="宋体" w:eastAsia="仿宋_GB2312" w:cs="仿宋_GB2312"/>
          <w:color w:val="000000"/>
          <w:kern w:val="0"/>
          <w:sz w:val="32"/>
          <w:szCs w:val="32"/>
          <w:lang w:bidi="ar"/>
        </w:rPr>
        <w:t>财政拨款收入</w:t>
      </w:r>
      <w:r>
        <w:rPr>
          <w:rFonts w:hint="eastAsia" w:ascii="仿宋_GB2312" w:hAnsi="仿宋" w:eastAsia="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年支出合计</w:t>
      </w:r>
      <w:r>
        <w:rPr>
          <w:rFonts w:hint="eastAsia" w:ascii="仿宋_GB2312" w:hAnsi="仿宋" w:eastAsia="仿宋_GB2312"/>
          <w:sz w:val="32"/>
          <w:szCs w:val="32"/>
        </w:rPr>
        <w:t>122.51</w:t>
      </w:r>
      <w:r>
        <w:rPr>
          <w:rFonts w:ascii="仿宋_GB2312" w:hAnsi="宋体" w:eastAsia="仿宋_GB2312" w:cs="仿宋_GB2312"/>
          <w:color w:val="000000"/>
          <w:kern w:val="0"/>
          <w:sz w:val="32"/>
          <w:szCs w:val="32"/>
          <w:lang w:bidi="ar"/>
        </w:rPr>
        <w:t>万元，其中：基本支出</w:t>
      </w:r>
      <w:r>
        <w:rPr>
          <w:rFonts w:hint="eastAsia" w:ascii="仿宋_GB2312" w:hAnsi="宋体" w:eastAsia="仿宋_GB2312" w:cs="仿宋_GB2312"/>
          <w:color w:val="000000"/>
          <w:kern w:val="0"/>
          <w:sz w:val="32"/>
          <w:szCs w:val="32"/>
          <w:lang w:eastAsia="zh-CN" w:bidi="ar"/>
        </w:rPr>
        <w:t>91.97</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75</w:t>
      </w:r>
      <w:r>
        <w:rPr>
          <w:rFonts w:ascii="仿宋_GB2312" w:hAnsi="宋体" w:eastAsia="仿宋_GB2312" w:cs="仿宋_GB2312"/>
          <w:color w:val="000000"/>
          <w:kern w:val="0"/>
          <w:sz w:val="32"/>
          <w:szCs w:val="32"/>
          <w:lang w:bidi="ar"/>
        </w:rPr>
        <w:t>%；项目支出</w:t>
      </w:r>
      <w:r>
        <w:rPr>
          <w:rFonts w:hint="eastAsia" w:ascii="仿宋_GB2312" w:hAnsi="宋体" w:eastAsia="仿宋_GB2312" w:cs="仿宋_GB2312"/>
          <w:color w:val="000000"/>
          <w:kern w:val="0"/>
          <w:sz w:val="32"/>
          <w:szCs w:val="32"/>
          <w:lang w:eastAsia="zh-CN" w:bidi="ar"/>
        </w:rPr>
        <w:t>30.54</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25</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w:t>
      </w:r>
    </w:p>
    <w:p>
      <w:pPr>
        <w:pStyle w:val="2"/>
        <w:rPr>
          <w:rFonts w:hint="default" w:ascii="仿宋_GB2312" w:hAnsi="宋体" w:eastAsia="宋体" w:cs="仿宋_GB2312"/>
          <w:color w:val="000000"/>
          <w:kern w:val="0"/>
          <w:sz w:val="32"/>
          <w:szCs w:val="32"/>
          <w:lang w:val="en-US" w:eastAsia="zh-CN" w:bidi="ar"/>
        </w:rPr>
      </w:pPr>
      <w:r>
        <w:rPr>
          <w:rFonts w:hint="eastAsia"/>
          <w:lang w:val="en-US" w:eastAsia="zh-CN"/>
        </w:rPr>
        <w:t xml:space="preserve">     </w:t>
      </w:r>
      <w:r>
        <w:drawing>
          <wp:inline distT="0" distB="0" distL="114300" distR="114300">
            <wp:extent cx="4366260" cy="2840990"/>
            <wp:effectExtent l="4445" t="4445" r="10795" b="1206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lang w:val="en-US" w:eastAsia="zh-CN"/>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收入122.51</w:t>
      </w:r>
      <w:r>
        <w:rPr>
          <w:rFonts w:hint="eastAsia" w:ascii="仿宋_GB2312" w:hAnsi="仿宋" w:eastAsia="仿宋_GB2312"/>
          <w:sz w:val="32"/>
          <w:szCs w:val="32"/>
          <w:lang w:val="en-US" w:eastAsia="zh-CN"/>
        </w:rPr>
        <w:t>万元，</w:t>
      </w:r>
      <w:r>
        <w:rPr>
          <w:rFonts w:hint="eastAsia" w:ascii="仿宋_GB2312" w:hAnsi="仿宋" w:eastAsia="仿宋_GB2312"/>
          <w:sz w:val="32"/>
          <w:szCs w:val="32"/>
        </w:rPr>
        <w:t>比上年增长</w:t>
      </w:r>
      <w:r>
        <w:rPr>
          <w:rFonts w:hint="eastAsia" w:ascii="仿宋_GB2312" w:hAnsi="仿宋" w:eastAsia="仿宋_GB2312"/>
          <w:sz w:val="32"/>
          <w:szCs w:val="32"/>
          <w:lang w:val="en-US" w:eastAsia="zh-CN"/>
        </w:rPr>
        <w:t>9%</w:t>
      </w:r>
      <w:r>
        <w:rPr>
          <w:rFonts w:hint="eastAsia" w:ascii="仿宋_GB2312" w:hAnsi="仿宋" w:eastAsia="仿宋_GB2312"/>
          <w:sz w:val="32"/>
          <w:szCs w:val="32"/>
        </w:rPr>
        <w:t>，主要原因</w:t>
      </w:r>
      <w:r>
        <w:rPr>
          <w:rFonts w:hint="eastAsia" w:ascii="仿宋_GB2312" w:hAnsi="仿宋" w:eastAsia="仿宋_GB2312"/>
          <w:sz w:val="32"/>
          <w:szCs w:val="32"/>
          <w:lang w:val="en-US" w:eastAsia="zh-CN"/>
        </w:rPr>
        <w:t>增加崇文塔文物保护管理规划项目支出</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支出122.51</w:t>
      </w:r>
      <w:r>
        <w:rPr>
          <w:rFonts w:hint="eastAsia" w:ascii="仿宋_GB2312" w:hAnsi="仿宋" w:eastAsia="仿宋_GB2312"/>
          <w:sz w:val="32"/>
          <w:szCs w:val="32"/>
          <w:lang w:val="en-US" w:eastAsia="zh-CN"/>
        </w:rPr>
        <w:t>万元，</w:t>
      </w:r>
      <w:r>
        <w:rPr>
          <w:rFonts w:hint="eastAsia" w:ascii="仿宋_GB2312" w:hAnsi="仿宋" w:eastAsia="仿宋_GB2312"/>
          <w:sz w:val="32"/>
          <w:szCs w:val="32"/>
        </w:rPr>
        <w:t>比上年增长</w:t>
      </w:r>
      <w:r>
        <w:rPr>
          <w:rFonts w:hint="eastAsia" w:ascii="仿宋_GB2312" w:hAnsi="仿宋" w:eastAsia="仿宋_GB2312"/>
          <w:sz w:val="32"/>
          <w:szCs w:val="32"/>
          <w:lang w:val="en-US" w:eastAsia="zh-CN"/>
        </w:rPr>
        <w:t>9%，</w:t>
      </w:r>
      <w:r>
        <w:rPr>
          <w:rFonts w:hint="eastAsia" w:ascii="仿宋_GB2312" w:hAnsi="仿宋" w:eastAsia="仿宋_GB2312"/>
          <w:sz w:val="32"/>
          <w:szCs w:val="32"/>
        </w:rPr>
        <w:t>主要原因</w:t>
      </w:r>
      <w:r>
        <w:rPr>
          <w:rFonts w:hint="eastAsia" w:ascii="仿宋_GB2312" w:hAnsi="仿宋" w:eastAsia="仿宋_GB2312"/>
          <w:sz w:val="32"/>
          <w:szCs w:val="32"/>
          <w:lang w:val="en-US" w:eastAsia="zh-CN"/>
        </w:rPr>
        <w:t>增加崇文塔文物保护管理规划项目支出</w:t>
      </w:r>
      <w:r>
        <w:rPr>
          <w:rFonts w:hint="eastAsia" w:ascii="仿宋_GB2312" w:hAnsi="仿宋" w:eastAsia="仿宋_GB2312"/>
          <w:sz w:val="32"/>
          <w:szCs w:val="32"/>
        </w:rPr>
        <w:t>。</w:t>
      </w:r>
    </w:p>
    <w:p>
      <w:pPr>
        <w:pStyle w:val="2"/>
        <w:rPr>
          <w:rFonts w:hint="eastAsia" w:ascii="仿宋_GB2312" w:hAnsi="仿宋" w:eastAsia="仿宋_GB2312"/>
          <w:sz w:val="32"/>
          <w:szCs w:val="32"/>
        </w:rPr>
      </w:pPr>
      <w:r>
        <w:drawing>
          <wp:inline distT="0" distB="0" distL="114300" distR="114300">
            <wp:extent cx="4904740" cy="2778125"/>
            <wp:effectExtent l="4445" t="4445" r="5715" b="1778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仿宋" w:eastAsia="仿宋_GB2312"/>
          <w:sz w:val="32"/>
          <w:szCs w:val="32"/>
        </w:rPr>
        <w:t>122.51</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相比，财政拨款支出增加</w:t>
      </w:r>
      <w:r>
        <w:rPr>
          <w:rFonts w:hint="eastAsia" w:ascii="仿宋_GB2312" w:hAnsi="宋体" w:eastAsia="仿宋_GB2312" w:cs="仿宋_GB2312"/>
          <w:color w:val="000000"/>
          <w:kern w:val="0"/>
          <w:sz w:val="32"/>
          <w:szCs w:val="32"/>
          <w:lang w:val="en-US" w:eastAsia="zh-CN" w:bidi="ar"/>
        </w:rPr>
        <w:t>10.51</w:t>
      </w:r>
      <w:r>
        <w:rPr>
          <w:rFonts w:ascii="仿宋_GB2312" w:hAnsi="宋体" w:eastAsia="仿宋_GB2312" w:cs="仿宋_GB2312"/>
          <w:color w:val="000000"/>
          <w:kern w:val="0"/>
          <w:sz w:val="32"/>
          <w:szCs w:val="32"/>
          <w:lang w:bidi="ar"/>
        </w:rPr>
        <w:t>万元，增长</w:t>
      </w:r>
      <w:r>
        <w:rPr>
          <w:rFonts w:hint="eastAsia" w:ascii="仿宋_GB2312" w:hAnsi="宋体" w:eastAsia="仿宋_GB2312" w:cs="仿宋_GB2312"/>
          <w:color w:val="000000"/>
          <w:kern w:val="0"/>
          <w:sz w:val="32"/>
          <w:szCs w:val="32"/>
          <w:lang w:val="en-US" w:eastAsia="zh-CN" w:bidi="ar"/>
        </w:rPr>
        <w:t>9</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原因是</w:t>
      </w:r>
      <w:r>
        <w:rPr>
          <w:rFonts w:hint="eastAsia" w:ascii="仿宋_GB2312" w:hAnsi="仿宋" w:eastAsia="仿宋_GB2312"/>
          <w:sz w:val="32"/>
          <w:szCs w:val="32"/>
          <w:lang w:val="en-US" w:eastAsia="zh-CN"/>
        </w:rPr>
        <w:t>增加崇文塔文物保护管理规划项目支出</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年财政拨款支出预算为</w:t>
      </w:r>
      <w:r>
        <w:rPr>
          <w:rFonts w:hint="eastAsia" w:ascii="仿宋_GB2312" w:hAnsi="宋体" w:eastAsia="仿宋_GB2312" w:cs="仿宋_GB2312"/>
          <w:color w:val="000000"/>
          <w:kern w:val="0"/>
          <w:sz w:val="32"/>
          <w:szCs w:val="32"/>
          <w:lang w:val="en-US" w:eastAsia="zh-CN" w:bidi="ar"/>
        </w:rPr>
        <w:t>89.82</w:t>
      </w:r>
      <w:r>
        <w:rPr>
          <w:rFonts w:ascii="仿宋_GB2312" w:hAnsi="宋体" w:eastAsia="仿宋_GB2312" w:cs="仿宋_GB2312"/>
          <w:color w:val="000000"/>
          <w:kern w:val="0"/>
          <w:sz w:val="32"/>
          <w:szCs w:val="32"/>
          <w:lang w:bidi="ar"/>
        </w:rPr>
        <w:t>万元，支出决算为</w:t>
      </w:r>
      <w:r>
        <w:rPr>
          <w:rFonts w:hint="eastAsia" w:ascii="仿宋_GB2312" w:hAnsi="仿宋" w:eastAsia="仿宋_GB2312"/>
          <w:sz w:val="32"/>
          <w:szCs w:val="32"/>
        </w:rPr>
        <w:t>122.51</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136</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仿宋_GB2312" w:hAnsi="宋体" w:eastAsia="仿宋_GB2312" w:cs="仿宋_GB2312"/>
          <w:b/>
          <w:color w:val="000000"/>
          <w:kern w:val="0"/>
          <w:sz w:val="32"/>
          <w:szCs w:val="32"/>
          <w:lang w:bidi="ar"/>
        </w:rPr>
        <w:t>1.</w:t>
      </w:r>
      <w:r>
        <w:rPr>
          <w:rFonts w:hint="eastAsia" w:ascii="仿宋_GB2312" w:hAnsi="宋体" w:eastAsia="仿宋_GB2312" w:cs="仿宋_GB2312"/>
          <w:b/>
          <w:color w:val="000000"/>
          <w:kern w:val="0"/>
          <w:sz w:val="32"/>
          <w:szCs w:val="32"/>
          <w:lang w:bidi="ar"/>
        </w:rPr>
        <w:t>文化旅游体育与传媒支出</w:t>
      </w:r>
      <w:r>
        <w:rPr>
          <w:rFonts w:ascii="仿宋_GB2312" w:hAnsi="宋体" w:eastAsia="仿宋_GB2312" w:cs="仿宋_GB2312"/>
          <w:b/>
          <w:color w:val="000000"/>
          <w:kern w:val="0"/>
          <w:sz w:val="32"/>
          <w:szCs w:val="32"/>
          <w:lang w:bidi="ar"/>
        </w:rPr>
        <w:t>（类）</w:t>
      </w:r>
      <w:r>
        <w:rPr>
          <w:rFonts w:hint="eastAsia" w:ascii="仿宋_GB2312" w:hAnsi="宋体" w:eastAsia="仿宋_GB2312" w:cs="仿宋_GB2312"/>
          <w:b/>
          <w:color w:val="000000"/>
          <w:kern w:val="0"/>
          <w:sz w:val="32"/>
          <w:szCs w:val="32"/>
          <w:lang w:bidi="ar"/>
        </w:rPr>
        <w:t>文物</w:t>
      </w:r>
      <w:r>
        <w:rPr>
          <w:rFonts w:ascii="仿宋_GB2312" w:hAnsi="宋体" w:eastAsia="仿宋_GB2312" w:cs="仿宋_GB2312"/>
          <w:b/>
          <w:color w:val="000000"/>
          <w:kern w:val="0"/>
          <w:sz w:val="32"/>
          <w:szCs w:val="32"/>
          <w:lang w:bidi="ar"/>
        </w:rPr>
        <w:t>（款）</w:t>
      </w:r>
      <w:r>
        <w:rPr>
          <w:rFonts w:hint="eastAsia" w:ascii="仿宋_GB2312" w:hAnsi="宋体" w:eastAsia="仿宋_GB2312" w:cs="仿宋_GB2312"/>
          <w:b/>
          <w:color w:val="000000"/>
          <w:kern w:val="0"/>
          <w:sz w:val="32"/>
          <w:szCs w:val="32"/>
          <w:lang w:val="en-US" w:eastAsia="zh-CN" w:bidi="ar"/>
        </w:rPr>
        <w:t>文物保护</w:t>
      </w:r>
      <w:r>
        <w:rPr>
          <w:rFonts w:ascii="仿宋_GB2312" w:hAnsi="宋体" w:eastAsia="仿宋_GB2312" w:cs="仿宋_GB2312"/>
          <w:b/>
          <w:color w:val="000000"/>
          <w:kern w:val="0"/>
          <w:sz w:val="32"/>
          <w:szCs w:val="32"/>
          <w:lang w:bidi="ar"/>
        </w:rPr>
        <w:t xml:space="preserve">（项）。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eastAsia="zh-CN" w:bidi="ar"/>
        </w:rPr>
        <w:t>72.80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eastAsia="zh-CN" w:bidi="ar"/>
        </w:rPr>
        <w:t>94.43</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130</w:t>
      </w:r>
      <w:r>
        <w:rPr>
          <w:rFonts w:ascii="仿宋_GB2312" w:hAnsi="宋体" w:eastAsia="仿宋_GB2312" w:cs="仿宋_GB2312"/>
          <w:color w:val="000000"/>
          <w:kern w:val="0"/>
          <w:sz w:val="32"/>
          <w:szCs w:val="32"/>
          <w:lang w:bidi="ar"/>
        </w:rPr>
        <w:t>%。决算数大于预算数的主要原因是</w:t>
      </w:r>
      <w:r>
        <w:rPr>
          <w:rFonts w:hint="eastAsia" w:ascii="仿宋_GB2312" w:hAnsi="仿宋" w:eastAsia="仿宋_GB2312"/>
          <w:sz w:val="32"/>
          <w:szCs w:val="32"/>
          <w:lang w:val="en-US" w:eastAsia="zh-CN"/>
        </w:rPr>
        <w:t>增加崇文塔文物保护管理规划项目支出</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仿宋_GB2312" w:hAnsi="宋体" w:eastAsia="仿宋_GB2312" w:cs="仿宋_GB2312"/>
          <w:b/>
          <w:bCs/>
          <w:color w:val="000000"/>
          <w:kern w:val="0"/>
          <w:sz w:val="32"/>
          <w:szCs w:val="32"/>
          <w:lang w:bidi="ar"/>
        </w:rPr>
        <w:t>2.</w:t>
      </w:r>
      <w:r>
        <w:rPr>
          <w:rFonts w:hint="eastAsia" w:ascii="仿宋_GB2312" w:hAnsi="宋体" w:eastAsia="仿宋_GB2312" w:cs="仿宋_GB2312"/>
          <w:b/>
          <w:color w:val="000000"/>
          <w:kern w:val="0"/>
          <w:sz w:val="32"/>
          <w:szCs w:val="32"/>
          <w:lang w:bidi="ar"/>
        </w:rPr>
        <w:t>社会保障和就业支出</w:t>
      </w:r>
      <w:r>
        <w:rPr>
          <w:rFonts w:ascii="仿宋_GB2312" w:hAnsi="宋体" w:eastAsia="仿宋_GB2312" w:cs="仿宋_GB2312"/>
          <w:b/>
          <w:color w:val="000000"/>
          <w:kern w:val="0"/>
          <w:sz w:val="32"/>
          <w:szCs w:val="32"/>
          <w:lang w:bidi="ar"/>
        </w:rPr>
        <w:t>（类）</w:t>
      </w:r>
      <w:r>
        <w:rPr>
          <w:rFonts w:hint="eastAsia" w:ascii="仿宋_GB2312" w:hAnsi="宋体" w:eastAsia="仿宋_GB2312" w:cs="仿宋_GB2312"/>
          <w:b/>
          <w:color w:val="000000"/>
          <w:kern w:val="0"/>
          <w:sz w:val="32"/>
          <w:szCs w:val="32"/>
          <w:lang w:bidi="ar"/>
        </w:rPr>
        <w:t>行政事业单位养老支出</w:t>
      </w:r>
      <w:r>
        <w:rPr>
          <w:rFonts w:ascii="仿宋_GB2312" w:hAnsi="宋体" w:eastAsia="仿宋_GB2312" w:cs="仿宋_GB2312"/>
          <w:b/>
          <w:color w:val="000000"/>
          <w:kern w:val="0"/>
          <w:sz w:val="32"/>
          <w:szCs w:val="32"/>
          <w:lang w:bidi="ar"/>
        </w:rPr>
        <w:t>（款）</w:t>
      </w:r>
      <w:r>
        <w:rPr>
          <w:rFonts w:hint="eastAsia" w:ascii="仿宋_GB2312" w:hAnsi="宋体" w:eastAsia="仿宋_GB2312" w:cs="仿宋_GB2312"/>
          <w:b/>
          <w:color w:val="000000"/>
          <w:kern w:val="0"/>
          <w:sz w:val="32"/>
          <w:szCs w:val="32"/>
          <w:lang w:val="en-US" w:eastAsia="zh-CN" w:bidi="ar"/>
        </w:rPr>
        <w:t>机关事业单位基本养老保险缴费支出</w:t>
      </w:r>
      <w:r>
        <w:rPr>
          <w:rFonts w:ascii="仿宋_GB2312" w:hAnsi="宋体" w:eastAsia="仿宋_GB2312" w:cs="仿宋_GB2312"/>
          <w:b/>
          <w:color w:val="000000"/>
          <w:kern w:val="0"/>
          <w:sz w:val="32"/>
          <w:szCs w:val="32"/>
          <w:lang w:bidi="ar"/>
        </w:rPr>
        <w:t xml:space="preserve">（项）。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eastAsia="zh-CN" w:bidi="ar"/>
        </w:rPr>
        <w:t>7.23</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eastAsia="zh-CN" w:bidi="ar"/>
        </w:rPr>
        <w:t>17.06</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236</w:t>
      </w:r>
      <w:r>
        <w:rPr>
          <w:rFonts w:ascii="仿宋_GB2312" w:hAnsi="宋体" w:eastAsia="仿宋_GB2312" w:cs="仿宋_GB2312"/>
          <w:color w:val="000000"/>
          <w:kern w:val="0"/>
          <w:sz w:val="32"/>
          <w:szCs w:val="32"/>
          <w:lang w:bidi="ar"/>
        </w:rPr>
        <w:t>%。决算数大于预算数的主要原因是</w:t>
      </w:r>
      <w:r>
        <w:rPr>
          <w:rFonts w:hint="eastAsia" w:ascii="仿宋_GB2312" w:hAnsi="宋体" w:eastAsia="仿宋_GB2312" w:cs="仿宋_GB2312"/>
          <w:color w:val="000000"/>
          <w:kern w:val="0"/>
          <w:sz w:val="32"/>
          <w:szCs w:val="32"/>
          <w:lang w:val="en-US" w:eastAsia="zh-CN" w:bidi="ar"/>
        </w:rPr>
        <w:t>补缴以前年度养老保险</w:t>
      </w:r>
      <w:r>
        <w:rPr>
          <w:rFonts w:hint="eastAsia" w:ascii="仿宋_GB2312" w:hAnsi="宋体" w:eastAsia="仿宋_GB2312" w:cs="仿宋_GB2312"/>
          <w:color w:val="000000"/>
          <w:kern w:val="0"/>
          <w:sz w:val="32"/>
          <w:szCs w:val="32"/>
          <w:lang w:bidi="ar"/>
        </w:rPr>
        <w:t>。</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left"/>
        <w:textAlignment w:val="auto"/>
        <w:rPr>
          <w:rFonts w:ascii="仿宋_GB2312" w:hAnsi="宋体" w:eastAsia="仿宋_GB2312" w:cs="仿宋_GB2312"/>
          <w:b/>
          <w:color w:val="000000"/>
          <w:kern w:val="0"/>
          <w:sz w:val="32"/>
          <w:szCs w:val="32"/>
          <w:lang w:bidi="ar"/>
        </w:rPr>
      </w:pPr>
      <w:r>
        <w:rPr>
          <w:rFonts w:hint="eastAsia" w:ascii="仿宋_GB2312" w:hAnsi="宋体" w:eastAsia="仿宋_GB2312" w:cs="仿宋_GB2312"/>
          <w:b/>
          <w:color w:val="000000"/>
          <w:kern w:val="0"/>
          <w:sz w:val="32"/>
          <w:szCs w:val="32"/>
          <w:lang w:val="en-US" w:eastAsia="zh-CN" w:bidi="ar"/>
        </w:rPr>
        <w:t>5.</w:t>
      </w:r>
      <w:r>
        <w:rPr>
          <w:rFonts w:hint="eastAsia" w:ascii="仿宋_GB2312" w:hAnsi="宋体" w:eastAsia="仿宋_GB2312" w:cs="仿宋_GB2312"/>
          <w:b/>
          <w:color w:val="000000"/>
          <w:kern w:val="0"/>
          <w:sz w:val="32"/>
          <w:szCs w:val="32"/>
          <w:lang w:bidi="ar"/>
        </w:rPr>
        <w:t>卫生健康支出</w:t>
      </w:r>
      <w:r>
        <w:rPr>
          <w:rFonts w:ascii="仿宋_GB2312" w:hAnsi="宋体" w:eastAsia="仿宋_GB2312" w:cs="仿宋_GB2312"/>
          <w:b/>
          <w:color w:val="000000"/>
          <w:kern w:val="0"/>
          <w:sz w:val="32"/>
          <w:szCs w:val="32"/>
          <w:lang w:bidi="ar"/>
        </w:rPr>
        <w:t>（类）</w:t>
      </w:r>
      <w:r>
        <w:rPr>
          <w:rFonts w:hint="eastAsia" w:ascii="仿宋_GB2312" w:hAnsi="宋体" w:eastAsia="仿宋_GB2312" w:cs="仿宋_GB2312"/>
          <w:b/>
          <w:color w:val="000000"/>
          <w:kern w:val="0"/>
          <w:sz w:val="32"/>
          <w:szCs w:val="32"/>
          <w:lang w:bidi="ar"/>
        </w:rPr>
        <w:t>行政事业单位医疗</w:t>
      </w:r>
      <w:r>
        <w:rPr>
          <w:rFonts w:ascii="仿宋_GB2312" w:hAnsi="宋体" w:eastAsia="仿宋_GB2312" w:cs="仿宋_GB2312"/>
          <w:b/>
          <w:color w:val="000000"/>
          <w:kern w:val="0"/>
          <w:sz w:val="32"/>
          <w:szCs w:val="32"/>
          <w:lang w:bidi="ar"/>
        </w:rPr>
        <w:t>（款）</w:t>
      </w:r>
      <w:r>
        <w:rPr>
          <w:rFonts w:hint="eastAsia" w:ascii="仿宋_GB2312" w:hAnsi="宋体" w:eastAsia="仿宋_GB2312" w:cs="仿宋_GB2312"/>
          <w:b/>
          <w:color w:val="000000"/>
          <w:kern w:val="0"/>
          <w:sz w:val="32"/>
          <w:szCs w:val="32"/>
          <w:lang w:val="en-US" w:eastAsia="zh-CN" w:bidi="ar"/>
        </w:rPr>
        <w:t>事业单位医疗</w:t>
      </w:r>
      <w:r>
        <w:rPr>
          <w:rFonts w:ascii="仿宋_GB2312" w:hAnsi="宋体" w:eastAsia="仿宋_GB2312" w:cs="仿宋_GB2312"/>
          <w:b/>
          <w:color w:val="000000"/>
          <w:kern w:val="0"/>
          <w:sz w:val="32"/>
          <w:szCs w:val="32"/>
          <w:lang w:bidi="ar"/>
        </w:rPr>
        <w:t xml:space="preserve">（项）。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4.56</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4.53</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99</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val="en-US" w:eastAsia="zh-CN" w:bidi="ar"/>
        </w:rPr>
        <w:t>小</w:t>
      </w:r>
      <w:r>
        <w:rPr>
          <w:rFonts w:ascii="仿宋_GB2312" w:hAnsi="宋体" w:eastAsia="仿宋_GB2312" w:cs="仿宋_GB2312"/>
          <w:color w:val="000000"/>
          <w:kern w:val="0"/>
          <w:sz w:val="32"/>
          <w:szCs w:val="32"/>
          <w:lang w:bidi="ar"/>
        </w:rPr>
        <w:t>于预算数的主要原因是</w:t>
      </w:r>
      <w:r>
        <w:rPr>
          <w:rFonts w:hint="eastAsia" w:ascii="仿宋_GB2312" w:hAnsi="宋体" w:eastAsia="仿宋_GB2312" w:cs="仿宋_GB2312"/>
          <w:color w:val="000000"/>
          <w:kern w:val="0"/>
          <w:sz w:val="32"/>
          <w:szCs w:val="32"/>
          <w:lang w:val="en-US" w:eastAsia="zh-CN" w:bidi="ar"/>
        </w:rPr>
        <w:t>根据实际支出填报</w:t>
      </w:r>
      <w:r>
        <w:rPr>
          <w:rFonts w:hint="eastAsia" w:ascii="仿宋_GB2312" w:hAnsi="宋体" w:eastAsia="仿宋_GB2312" w:cs="仿宋_GB2312"/>
          <w:color w:val="000000"/>
          <w:kern w:val="0"/>
          <w:sz w:val="32"/>
          <w:szCs w:val="32"/>
          <w:lang w:bidi="ar"/>
        </w:rPr>
        <w:t>。</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left"/>
        <w:textAlignment w:val="auto"/>
        <w:rPr>
          <w:rFonts w:ascii="仿宋_GB2312" w:hAnsi="宋体" w:eastAsia="仿宋_GB2312" w:cs="仿宋_GB2312"/>
          <w:b/>
          <w:color w:val="000000"/>
          <w:kern w:val="0"/>
          <w:sz w:val="32"/>
          <w:szCs w:val="32"/>
          <w:lang w:bidi="ar"/>
        </w:rPr>
      </w:pPr>
      <w:r>
        <w:rPr>
          <w:rFonts w:hint="eastAsia" w:ascii="仿宋_GB2312" w:hAnsi="宋体" w:eastAsia="仿宋_GB2312" w:cs="仿宋_GB2312"/>
          <w:b/>
          <w:color w:val="000000"/>
          <w:kern w:val="0"/>
          <w:sz w:val="32"/>
          <w:szCs w:val="32"/>
          <w:lang w:val="en-US" w:eastAsia="zh-CN" w:bidi="ar"/>
        </w:rPr>
        <w:t>6.</w:t>
      </w:r>
      <w:r>
        <w:rPr>
          <w:rFonts w:hint="eastAsia" w:ascii="仿宋_GB2312" w:hAnsi="宋体" w:eastAsia="仿宋_GB2312" w:cs="仿宋_GB2312"/>
          <w:b/>
          <w:color w:val="000000"/>
          <w:kern w:val="0"/>
          <w:sz w:val="32"/>
          <w:szCs w:val="32"/>
          <w:lang w:bidi="ar"/>
        </w:rPr>
        <w:t>住房保障支出</w:t>
      </w:r>
      <w:r>
        <w:rPr>
          <w:rFonts w:ascii="仿宋_GB2312" w:hAnsi="宋体" w:eastAsia="仿宋_GB2312" w:cs="仿宋_GB2312"/>
          <w:b/>
          <w:color w:val="000000"/>
          <w:kern w:val="0"/>
          <w:sz w:val="32"/>
          <w:szCs w:val="32"/>
          <w:lang w:bidi="ar"/>
        </w:rPr>
        <w:t>（类）</w:t>
      </w:r>
      <w:r>
        <w:rPr>
          <w:rFonts w:hint="eastAsia" w:ascii="仿宋_GB2312" w:hAnsi="宋体" w:eastAsia="仿宋_GB2312" w:cs="仿宋_GB2312"/>
          <w:b/>
          <w:color w:val="000000"/>
          <w:kern w:val="0"/>
          <w:sz w:val="32"/>
          <w:szCs w:val="32"/>
          <w:lang w:bidi="ar"/>
        </w:rPr>
        <w:t>住房改革支出</w:t>
      </w:r>
      <w:r>
        <w:rPr>
          <w:rFonts w:ascii="仿宋_GB2312" w:hAnsi="宋体" w:eastAsia="仿宋_GB2312" w:cs="仿宋_GB2312"/>
          <w:b/>
          <w:color w:val="000000"/>
          <w:kern w:val="0"/>
          <w:sz w:val="32"/>
          <w:szCs w:val="32"/>
          <w:lang w:bidi="ar"/>
        </w:rPr>
        <w:t>（款）</w:t>
      </w:r>
      <w:r>
        <w:rPr>
          <w:rFonts w:hint="eastAsia" w:ascii="仿宋_GB2312" w:hAnsi="宋体" w:eastAsia="仿宋_GB2312" w:cs="仿宋_GB2312"/>
          <w:b/>
          <w:color w:val="000000"/>
          <w:kern w:val="0"/>
          <w:sz w:val="32"/>
          <w:szCs w:val="32"/>
          <w:lang w:val="en-US" w:eastAsia="zh-CN" w:bidi="ar"/>
        </w:rPr>
        <w:t>住房公积金</w:t>
      </w:r>
      <w:r>
        <w:rPr>
          <w:rFonts w:ascii="仿宋_GB2312" w:hAnsi="宋体" w:eastAsia="仿宋_GB2312" w:cs="仿宋_GB2312"/>
          <w:b/>
          <w:color w:val="000000"/>
          <w:kern w:val="0"/>
          <w:sz w:val="32"/>
          <w:szCs w:val="32"/>
          <w:lang w:bidi="ar"/>
        </w:rPr>
        <w:t xml:space="preserve">（项）。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5.23</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6.5</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124</w:t>
      </w:r>
      <w:r>
        <w:rPr>
          <w:rFonts w:ascii="仿宋_GB2312" w:hAnsi="宋体" w:eastAsia="仿宋_GB2312" w:cs="仿宋_GB2312"/>
          <w:color w:val="000000"/>
          <w:kern w:val="0"/>
          <w:sz w:val="32"/>
          <w:szCs w:val="32"/>
          <w:lang w:bidi="ar"/>
        </w:rPr>
        <w:t>%。决算数大于预算数的主要原因是</w:t>
      </w:r>
      <w:r>
        <w:rPr>
          <w:rFonts w:hint="eastAsia" w:ascii="仿宋_GB2312" w:hAnsi="宋体" w:eastAsia="仿宋_GB2312" w:cs="仿宋_GB2312"/>
          <w:color w:val="000000"/>
          <w:kern w:val="0"/>
          <w:sz w:val="32"/>
          <w:szCs w:val="32"/>
          <w:lang w:val="en-US" w:eastAsia="zh-CN" w:bidi="ar"/>
        </w:rPr>
        <w:t>根据实际支出填报</w:t>
      </w:r>
      <w:r>
        <w:rPr>
          <w:rFonts w:hint="eastAsia" w:ascii="仿宋_GB2312" w:hAnsi="宋体" w:eastAsia="仿宋_GB2312" w:cs="仿宋_GB2312"/>
          <w:color w:val="000000"/>
          <w:kern w:val="0"/>
          <w:sz w:val="32"/>
          <w:szCs w:val="32"/>
          <w:lang w:bidi="ar"/>
        </w:rPr>
        <w:t>。</w:t>
      </w:r>
    </w:p>
    <w:p>
      <w:pPr>
        <w:pStyle w:val="2"/>
        <w:numPr>
          <w:ilvl w:val="0"/>
          <w:numId w:val="0"/>
        </w:numPr>
        <w:rPr>
          <w:rFonts w:hint="default"/>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年一般公共预算财政拨款基本支出</w:t>
      </w:r>
      <w:r>
        <w:rPr>
          <w:rFonts w:hint="eastAsia" w:ascii="仿宋_GB2312" w:hAnsi="仿宋_GB2312" w:eastAsia="仿宋_GB2312" w:cs="仿宋_GB2312"/>
          <w:color w:val="000000"/>
          <w:kern w:val="0"/>
          <w:sz w:val="31"/>
          <w:szCs w:val="31"/>
          <w:lang w:eastAsia="zh-CN" w:bidi="ar"/>
        </w:rPr>
        <w:t>91.97</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eastAsia="zh-CN" w:bidi="ar"/>
        </w:rPr>
        <w:t>90.99</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eastAsia="zh-CN" w:bidi="ar"/>
        </w:rPr>
        <w:t>0.98</w:t>
      </w:r>
      <w:r>
        <w:rPr>
          <w:rFonts w:ascii="仿宋_GB2312" w:hAnsi="仿宋_GB2312" w:eastAsia="仿宋_GB2312" w:cs="仿宋_GB2312"/>
          <w:color w:val="000000"/>
          <w:kern w:val="0"/>
          <w:sz w:val="31"/>
          <w:szCs w:val="31"/>
          <w:lang w:bidi="ar"/>
        </w:rPr>
        <w:t>万元。</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ascii="仿宋_GB2312" w:hAnsi="宋体" w:eastAsia="仿宋_GB2312" w:cs="仿宋_GB2312"/>
          <w:b/>
          <w:bCs/>
          <w:color w:val="000000"/>
          <w:kern w:val="0"/>
          <w:sz w:val="32"/>
          <w:szCs w:val="32"/>
          <w:lang w:bidi="ar"/>
        </w:rPr>
        <w:t>人员经费</w:t>
      </w:r>
      <w:r>
        <w:rPr>
          <w:rFonts w:hint="eastAsia" w:ascii="仿宋_GB2312" w:hAnsi="仿宋_GB2312" w:eastAsia="仿宋_GB2312" w:cs="仿宋_GB2312"/>
          <w:color w:val="000000"/>
          <w:kern w:val="0"/>
          <w:sz w:val="31"/>
          <w:szCs w:val="31"/>
          <w:lang w:eastAsia="zh-CN" w:bidi="ar"/>
        </w:rPr>
        <w:t>90.99</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val="en-US" w:eastAsia="zh-CN" w:bidi="ar"/>
        </w:rPr>
        <w:t>:基本工资21.00万元； 津贴补贴5.26万元；奖金8.59万元；绩效工资16.75万元；机关事业单位基本养老保险缴费15.38万元； 职业年金缴费1.64万元等。</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default" w:eastAsia="仿宋_GB2312"/>
          <w:lang w:val="en-US" w:eastAsia="zh-CN"/>
        </w:rPr>
      </w:pPr>
      <w:r>
        <w:rPr>
          <w:rFonts w:ascii="仿宋_GB2312" w:hAnsi="宋体" w:eastAsia="仿宋_GB2312" w:cs="仿宋_GB2312"/>
          <w:b/>
          <w:bCs/>
          <w:color w:val="000000"/>
          <w:kern w:val="0"/>
          <w:sz w:val="32"/>
          <w:szCs w:val="32"/>
          <w:lang w:bidi="ar"/>
        </w:rPr>
        <w:t>公用经费</w:t>
      </w:r>
      <w:r>
        <w:rPr>
          <w:rFonts w:hint="eastAsia" w:ascii="仿宋_GB2312" w:hAnsi="仿宋_GB2312" w:eastAsia="仿宋_GB2312" w:cs="仿宋_GB2312"/>
          <w:color w:val="000000"/>
          <w:kern w:val="0"/>
          <w:sz w:val="31"/>
          <w:szCs w:val="31"/>
          <w:lang w:eastAsia="zh-CN" w:bidi="ar"/>
        </w:rPr>
        <w:t>0.98</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eastAsia="zh-CN" w:bidi="ar"/>
        </w:rPr>
        <w:t>： 办公费</w:t>
      </w:r>
      <w:r>
        <w:rPr>
          <w:rFonts w:hint="eastAsia" w:ascii="仿宋_GB2312" w:hAnsi="宋体" w:eastAsia="仿宋_GB2312" w:cs="仿宋_GB2312"/>
          <w:color w:val="000000"/>
          <w:kern w:val="0"/>
          <w:sz w:val="32"/>
          <w:szCs w:val="32"/>
          <w:lang w:val="en-US" w:eastAsia="zh-CN" w:bidi="ar"/>
        </w:rPr>
        <w:t>0.57万元；手续费0.01万元；邮电费0.13万元；差旅费0.09万元；劳务费0.18万元。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本单位2020年无“三公”经费财政拨款支出。</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年“三公”经费财政拨款支出决算中，因公出国（境）费支出决算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万元；公务用车购置</w:t>
      </w:r>
      <w:r>
        <w:rPr>
          <w:rFonts w:hint="eastAsia" w:ascii="仿宋_GB2312" w:hAnsi="宋体" w:eastAsia="仿宋_GB2312" w:cs="仿宋_GB2312"/>
          <w:color w:val="000000"/>
          <w:kern w:val="0"/>
          <w:sz w:val="32"/>
          <w:szCs w:val="32"/>
          <w:lang w:bidi="ar"/>
        </w:rPr>
        <w:t>费支出</w:t>
      </w:r>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w:t>
      </w:r>
      <w:r>
        <w:rPr>
          <w:rFonts w:ascii="仿宋_GB2312" w:hAnsi="宋体" w:eastAsia="仿宋_GB2312" w:cs="仿宋_GB2312"/>
          <w:color w:val="000000"/>
          <w:kern w:val="0"/>
          <w:sz w:val="32"/>
          <w:szCs w:val="32"/>
          <w:lang w:bidi="ar"/>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lang w:bidi="ar"/>
        </w:rPr>
        <w:t>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万元；公务接待费支出决算</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仿宋" w:eastAsia="仿宋_GB2312"/>
          <w:sz w:val="32"/>
          <w:szCs w:val="32"/>
          <w:lang w:val="en-US" w:eastAsia="zh-CN"/>
        </w:rPr>
        <w:t>本单位</w:t>
      </w: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无培训费支出。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本单位2020年无会议费支出。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本单位</w:t>
      </w: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w:t>
      </w:r>
      <w:r>
        <w:rPr>
          <w:rFonts w:hint="eastAsia" w:ascii="仿宋_GB2312" w:hAnsi="仿宋_GB2312" w:eastAsia="仿宋_GB2312" w:cs="仿宋_GB2312"/>
          <w:color w:val="000000"/>
          <w:kern w:val="0"/>
          <w:sz w:val="31"/>
          <w:szCs w:val="31"/>
          <w:lang w:val="en-US" w:eastAsia="zh-CN" w:bidi="ar"/>
        </w:rPr>
        <w:t>无</w:t>
      </w:r>
      <w:r>
        <w:rPr>
          <w:rFonts w:ascii="仿宋_GB2312" w:hAnsi="仿宋_GB2312" w:eastAsia="仿宋_GB2312" w:cs="仿宋_GB2312"/>
          <w:color w:val="000000"/>
          <w:kern w:val="0"/>
          <w:sz w:val="31"/>
          <w:szCs w:val="31"/>
          <w:lang w:bidi="ar"/>
        </w:rPr>
        <w:t>机关运行经费</w:t>
      </w:r>
      <w:r>
        <w:rPr>
          <w:rFonts w:hint="eastAsia" w:ascii="仿宋_GB2312" w:hAnsi="仿宋_GB2312" w:eastAsia="仿宋_GB2312" w:cs="仿宋_GB2312"/>
          <w:color w:val="000000"/>
          <w:kern w:val="0"/>
          <w:sz w:val="31"/>
          <w:szCs w:val="31"/>
          <w:lang w:val="en-US" w:eastAsia="zh-CN" w:bidi="ar"/>
        </w:rPr>
        <w:t>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年无政府采购支出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十二、</w:t>
      </w: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widowControl/>
        <w:ind w:left="1281" w:leftChars="304" w:hanging="643" w:hanging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年一般公共预算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个项目支出开展了绩效自评</w:t>
      </w:r>
      <w:r>
        <w:rPr>
          <w:rFonts w:ascii="仿宋_GB2312" w:hAnsi="仿宋_GB2312" w:eastAsia="仿宋_GB2312" w:cs="仿宋_GB2312"/>
          <w:sz w:val="32"/>
          <w:szCs w:val="32"/>
        </w:rPr>
        <w:t>，其中，一级项目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30.54</w:t>
      </w:r>
      <w:r>
        <w:rPr>
          <w:rFonts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ind w:firstLine="64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部门整体进行了绩效自评，涉及资金</w:t>
      </w:r>
      <w:r>
        <w:rPr>
          <w:rFonts w:hint="eastAsia" w:ascii="仿宋_GB2312" w:hAnsi="仿宋_GB2312" w:eastAsia="仿宋_GB2312" w:cs="仿宋_GB2312"/>
          <w:color w:val="000000"/>
          <w:kern w:val="0"/>
          <w:sz w:val="31"/>
          <w:szCs w:val="31"/>
          <w:lang w:val="en-US" w:eastAsia="zh-CN" w:bidi="ar"/>
        </w:rPr>
        <w:t>122.51</w:t>
      </w:r>
      <w:r>
        <w:rPr>
          <w:rFonts w:hint="eastAsia"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hint="eastAsia" w:ascii="楷体_GB2312" w:hAnsi="宋体" w:eastAsia="楷体_GB2312" w:cs="楷体_GB2312"/>
          <w:b/>
          <w:color w:val="000000"/>
          <w:kern w:val="0"/>
          <w:sz w:val="32"/>
          <w:szCs w:val="32"/>
          <w:lang w:eastAsia="zh-CN" w:bidi="ar"/>
        </w:rPr>
        <w:t>单位</w:t>
      </w:r>
      <w:r>
        <w:rPr>
          <w:rFonts w:ascii="楷体_GB2312" w:hAnsi="宋体" w:eastAsia="楷体_GB2312" w:cs="楷体_GB2312"/>
          <w:b/>
          <w:color w:val="000000"/>
          <w:kern w:val="0"/>
          <w:sz w:val="32"/>
          <w:szCs w:val="32"/>
          <w:lang w:bidi="ar"/>
        </w:rPr>
        <w:t>决算中项目绩效自评结果。</w:t>
      </w:r>
    </w:p>
    <w:p>
      <w:pPr>
        <w:ind w:left="0" w:leftChars="0" w:firstLine="706" w:firstLineChars="228"/>
        <w:rPr>
          <w:rFonts w:hint="eastAsia" w:ascii="楷体" w:hAnsi="楷体" w:eastAsia="楷体" w:cs="楷体"/>
          <w:b/>
          <w:bCs/>
          <w:color w:val="000000"/>
          <w:kern w:val="0"/>
          <w:sz w:val="32"/>
          <w:szCs w:val="32"/>
          <w:lang w:bidi="ar"/>
        </w:rPr>
      </w:pPr>
      <w:r>
        <w:rPr>
          <w:rFonts w:ascii="仿宋_GB2312" w:hAnsi="仿宋_GB2312" w:eastAsia="仿宋_GB2312" w:cs="仿宋_GB2312"/>
          <w:color w:val="000000"/>
          <w:kern w:val="0"/>
          <w:sz w:val="31"/>
          <w:szCs w:val="31"/>
          <w:lang w:bidi="ar"/>
        </w:rPr>
        <w:t xml:space="preserve"> </w:t>
      </w:r>
      <w:r>
        <w:rPr>
          <w:rFonts w:hint="eastAsia" w:ascii="仿宋_GB2312" w:hAnsi="仿宋_GB2312" w:eastAsia="仿宋_GB2312" w:cs="仿宋_GB2312"/>
          <w:color w:val="000000"/>
          <w:kern w:val="0"/>
          <w:sz w:val="31"/>
          <w:szCs w:val="31"/>
          <w:lang w:val="en-US" w:eastAsia="zh-CN" w:bidi="ar"/>
        </w:rPr>
        <w:t>文物保护</w:t>
      </w:r>
      <w:r>
        <w:rPr>
          <w:rFonts w:ascii="仿宋_GB2312" w:hAnsi="仿宋_GB2312" w:eastAsia="仿宋_GB2312" w:cs="仿宋_GB2312"/>
          <w:color w:val="000000"/>
          <w:kern w:val="0"/>
          <w:sz w:val="31"/>
          <w:szCs w:val="31"/>
          <w:lang w:bidi="ar"/>
        </w:rPr>
        <w:t>项目绩效自评综述：根据年初设定的绩效目标，项目自评得分</w:t>
      </w:r>
      <w:r>
        <w:rPr>
          <w:rFonts w:hint="eastAsia" w:ascii="仿宋_GB2312" w:hAnsi="仿宋_GB2312" w:eastAsia="仿宋_GB2312" w:cs="仿宋_GB2312"/>
          <w:color w:val="000000"/>
          <w:kern w:val="0"/>
          <w:sz w:val="31"/>
          <w:szCs w:val="31"/>
          <w:lang w:val="en-US" w:eastAsia="zh-CN" w:bidi="ar"/>
        </w:rPr>
        <w:t>10</w:t>
      </w:r>
      <w:r>
        <w:rPr>
          <w:rFonts w:ascii="仿宋_GB2312" w:hAnsi="仿宋_GB2312" w:eastAsia="仿宋_GB2312" w:cs="仿宋_GB2312"/>
          <w:color w:val="000000"/>
          <w:kern w:val="0"/>
          <w:sz w:val="31"/>
          <w:szCs w:val="31"/>
          <w:lang w:bidi="ar"/>
        </w:rPr>
        <w:t>分。项目全年预算数</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bidi="ar"/>
        </w:rPr>
        <w:t xml:space="preserve">万元，执行数 </w:t>
      </w:r>
      <w:r>
        <w:rPr>
          <w:rFonts w:hint="eastAsia" w:ascii="仿宋_GB2312" w:hAnsi="仿宋_GB2312" w:eastAsia="仿宋_GB2312" w:cs="仿宋_GB2312"/>
          <w:color w:val="000000"/>
          <w:kern w:val="0"/>
          <w:sz w:val="31"/>
          <w:szCs w:val="31"/>
          <w:lang w:val="en-US" w:eastAsia="zh-CN" w:bidi="ar"/>
        </w:rPr>
        <w:t>30.54</w:t>
      </w:r>
      <w:r>
        <w:rPr>
          <w:rFonts w:ascii="仿宋_GB2312" w:hAnsi="仿宋_GB2312" w:eastAsia="仿宋_GB2312" w:cs="仿宋_GB2312"/>
          <w:color w:val="000000"/>
          <w:kern w:val="0"/>
          <w:sz w:val="31"/>
          <w:szCs w:val="31"/>
          <w:lang w:bidi="ar"/>
        </w:rPr>
        <w:t>万元</w:t>
      </w:r>
      <w:r>
        <w:rPr>
          <w:rFonts w:hint="eastAsia" w:ascii="仿宋_GB2312" w:hAnsi="仿宋_GB2312" w:eastAsia="仿宋_GB2312" w:cs="仿宋_GB2312"/>
          <w:color w:val="000000"/>
          <w:kern w:val="0"/>
          <w:sz w:val="31"/>
          <w:szCs w:val="31"/>
          <w:lang w:eastAsia="zh-CN" w:bidi="ar"/>
        </w:rPr>
        <w:t>。项目绩效目标完成情况：</w:t>
      </w:r>
      <w:r>
        <w:rPr>
          <w:rFonts w:hint="eastAsia" w:ascii="仿宋_GB2312" w:hAnsi="仿宋_GB2312" w:eastAsia="仿宋_GB2312" w:cs="仿宋_GB2312"/>
          <w:sz w:val="32"/>
          <w:szCs w:val="32"/>
          <w:lang w:val="en-US" w:eastAsia="zh-CN"/>
        </w:rPr>
        <w:t>保护文物，完成文物展览，文物复制与修复，文物及相关研究，文物宣传出版及上级交办的其他工作任务。</w:t>
      </w:r>
    </w:p>
    <w:p>
      <w:pPr>
        <w:pStyle w:val="2"/>
        <w:rPr>
          <w:rFonts w:hint="eastAsia" w:eastAsia="仿宋_GB2312"/>
          <w:lang w:eastAsia="zh-CN"/>
        </w:rPr>
      </w:pPr>
      <w:r>
        <w:rPr>
          <w:rFonts w:hint="eastAsia" w:ascii="仿宋_GB2312" w:hAnsi="仿宋_GB2312" w:eastAsia="仿宋_GB2312" w:cs="仿宋_GB2312"/>
          <w:color w:val="000000"/>
          <w:kern w:val="0"/>
          <w:sz w:val="31"/>
          <w:szCs w:val="31"/>
          <w:lang w:eastAsia="zh-CN" w:bidi="ar"/>
        </w:rPr>
        <w:t>存在的问题及其原因：</w:t>
      </w:r>
      <w:r>
        <w:rPr>
          <w:rFonts w:hint="eastAsia" w:ascii="仿宋_GB2312" w:hAnsi="仿宋_GB2312" w:eastAsia="仿宋_GB2312" w:cs="仿宋_GB2312"/>
          <w:color w:val="000000"/>
          <w:kern w:val="0"/>
          <w:sz w:val="31"/>
          <w:szCs w:val="31"/>
          <w:lang w:val="en-US" w:eastAsia="zh-CN" w:bidi="ar"/>
        </w:rPr>
        <w:t>预算调整率低，主要原因是年初无项目预算，根据实际情况进行预算追加</w:t>
      </w:r>
      <w:r>
        <w:rPr>
          <w:rFonts w:hint="eastAsia" w:ascii="仿宋_GB2312" w:hAnsi="仿宋_GB2312" w:eastAsia="仿宋_GB2312" w:cs="仿宋_GB2312"/>
          <w:color w:val="000000"/>
          <w:kern w:val="0"/>
          <w:sz w:val="31"/>
          <w:szCs w:val="31"/>
          <w:lang w:eastAsia="zh-CN" w:bidi="ar"/>
        </w:rPr>
        <w:t>。</w:t>
      </w:r>
    </w:p>
    <w:p>
      <w:pPr>
        <w:widowControl/>
        <w:ind w:firstLine="620" w:firstLineChars="200"/>
        <w:jc w:val="left"/>
        <w:rPr>
          <w:rFonts w:hint="eastAsia"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下一步改进措施：</w:t>
      </w:r>
      <w:r>
        <w:rPr>
          <w:rFonts w:hint="eastAsia" w:ascii="仿宋" w:hAnsi="仿宋" w:eastAsia="仿宋" w:cs="仿宋"/>
          <w:b w:val="0"/>
          <w:bCs w:val="0"/>
          <w:color w:val="000000"/>
          <w:kern w:val="0"/>
          <w:sz w:val="32"/>
          <w:szCs w:val="32"/>
          <w:lang w:val="en-US" w:eastAsia="zh-CN"/>
        </w:rPr>
        <w:t>按照相关测算标准及实际需要科学合理测算各项支出</w:t>
      </w:r>
      <w:r>
        <w:rPr>
          <w:rFonts w:hint="eastAsia" w:ascii="仿宋_GB2312" w:hAnsi="仿宋_GB2312" w:eastAsia="仿宋_GB2312" w:cs="仿宋_GB2312"/>
          <w:color w:val="000000"/>
          <w:kern w:val="0"/>
          <w:sz w:val="31"/>
          <w:szCs w:val="31"/>
          <w:lang w:bidi="ar"/>
        </w:rPr>
        <w:t>。</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eastAsia="zh-CN" w:bidi="ar"/>
        </w:rPr>
        <w:t>三</w:t>
      </w:r>
      <w:r>
        <w:rPr>
          <w:rFonts w:hint="eastAsia"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eastAsia="zh-CN" w:bidi="ar"/>
        </w:rPr>
        <w:t>单位</w:t>
      </w:r>
      <w:r>
        <w:rPr>
          <w:rFonts w:hint="eastAsia" w:ascii="楷体_GB2312" w:hAnsi="宋体" w:eastAsia="楷体_GB2312" w:cs="楷体_GB2312"/>
          <w:b/>
          <w:color w:val="000000"/>
          <w:kern w:val="0"/>
          <w:sz w:val="32"/>
          <w:szCs w:val="32"/>
          <w:lang w:bidi="ar"/>
        </w:rPr>
        <w:t>决算中</w:t>
      </w:r>
      <w:r>
        <w:rPr>
          <w:rFonts w:hint="eastAsia" w:ascii="楷体_GB2312" w:hAnsi="宋体" w:eastAsia="楷体_GB2312" w:cs="楷体_GB2312"/>
          <w:b/>
          <w:color w:val="000000"/>
          <w:kern w:val="0"/>
          <w:sz w:val="32"/>
          <w:szCs w:val="32"/>
          <w:lang w:eastAsia="zh-CN" w:bidi="ar"/>
        </w:rPr>
        <w:t>整体支出</w:t>
      </w:r>
      <w:r>
        <w:rPr>
          <w:rFonts w:hint="eastAsia" w:ascii="楷体_GB2312" w:hAnsi="宋体" w:eastAsia="楷体_GB2312" w:cs="楷体_GB2312"/>
          <w:b/>
          <w:color w:val="000000"/>
          <w:kern w:val="0"/>
          <w:sz w:val="32"/>
          <w:szCs w:val="32"/>
          <w:lang w:bidi="ar"/>
        </w:rPr>
        <w:t>绩效自评结果。</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根据年初设定的绩效目标，</w:t>
      </w:r>
      <w:r>
        <w:rPr>
          <w:rFonts w:hint="eastAsia" w:ascii="仿宋_GB2312" w:hAnsi="仿宋_GB2312" w:eastAsia="仿宋_GB2312" w:cs="仿宋_GB2312"/>
          <w:color w:val="000000"/>
          <w:kern w:val="0"/>
          <w:sz w:val="31"/>
          <w:szCs w:val="31"/>
          <w:lang w:eastAsia="zh-CN" w:bidi="ar"/>
        </w:rPr>
        <w:t>本部门整体</w:t>
      </w:r>
      <w:r>
        <w:rPr>
          <w:rFonts w:ascii="仿宋_GB2312" w:hAnsi="仿宋_GB2312" w:eastAsia="仿宋_GB2312" w:cs="仿宋_GB2312"/>
          <w:color w:val="000000"/>
          <w:kern w:val="0"/>
          <w:sz w:val="31"/>
          <w:szCs w:val="31"/>
          <w:lang w:bidi="ar"/>
        </w:rPr>
        <w:t>自评得分</w:t>
      </w:r>
      <w:r>
        <w:rPr>
          <w:rFonts w:hint="eastAsia" w:ascii="仿宋_GB2312" w:hAnsi="仿宋_GB2312" w:eastAsia="仿宋_GB2312" w:cs="仿宋_GB2312"/>
          <w:color w:val="000000"/>
          <w:kern w:val="0"/>
          <w:sz w:val="31"/>
          <w:szCs w:val="31"/>
          <w:lang w:val="en-US" w:eastAsia="zh-CN" w:bidi="ar"/>
        </w:rPr>
        <w:t>95</w:t>
      </w:r>
      <w:r>
        <w:rPr>
          <w:rFonts w:ascii="仿宋_GB2312" w:hAnsi="仿宋_GB2312" w:eastAsia="仿宋_GB2312" w:cs="仿宋_GB2312"/>
          <w:color w:val="000000"/>
          <w:kern w:val="0"/>
          <w:sz w:val="31"/>
          <w:szCs w:val="31"/>
          <w:lang w:bidi="ar"/>
        </w:rPr>
        <w:t>分。全年预算数</w:t>
      </w:r>
      <w:r>
        <w:rPr>
          <w:rFonts w:hint="eastAsia" w:ascii="仿宋_GB2312" w:hAnsi="仿宋_GB2312" w:eastAsia="仿宋_GB2312" w:cs="仿宋_GB2312"/>
          <w:color w:val="000000"/>
          <w:kern w:val="0"/>
          <w:sz w:val="31"/>
          <w:szCs w:val="31"/>
          <w:lang w:eastAsia="zh-CN" w:bidi="ar"/>
        </w:rPr>
        <w:t>89.82</w:t>
      </w:r>
      <w:r>
        <w:rPr>
          <w:rFonts w:ascii="仿宋_GB2312" w:hAnsi="仿宋_GB2312" w:eastAsia="仿宋_GB2312" w:cs="仿宋_GB2312"/>
          <w:color w:val="000000"/>
          <w:kern w:val="0"/>
          <w:sz w:val="31"/>
          <w:szCs w:val="31"/>
          <w:lang w:bidi="ar"/>
        </w:rPr>
        <w:t>万元，执行数</w:t>
      </w:r>
      <w:r>
        <w:rPr>
          <w:rFonts w:hint="eastAsia" w:ascii="仿宋_GB2312" w:hAnsi="仿宋_GB2312" w:eastAsia="仿宋_GB2312" w:cs="仿宋_GB2312"/>
          <w:color w:val="000000"/>
          <w:kern w:val="0"/>
          <w:sz w:val="31"/>
          <w:szCs w:val="31"/>
          <w:lang w:eastAsia="zh-CN" w:bidi="ar"/>
        </w:rPr>
        <w:t>122.51</w:t>
      </w:r>
      <w:r>
        <w:rPr>
          <w:rFonts w:ascii="仿宋_GB2312" w:hAnsi="仿宋_GB2312" w:eastAsia="仿宋_GB2312" w:cs="仿宋_GB2312"/>
          <w:color w:val="000000"/>
          <w:kern w:val="0"/>
          <w:sz w:val="31"/>
          <w:szCs w:val="31"/>
          <w:lang w:bidi="ar"/>
        </w:rPr>
        <w:t>万元，完成预算的</w:t>
      </w:r>
      <w:r>
        <w:rPr>
          <w:rFonts w:hint="eastAsia" w:ascii="仿宋_GB2312" w:hAnsi="仿宋_GB2312" w:eastAsia="仿宋_GB2312" w:cs="仿宋_GB2312"/>
          <w:color w:val="000000"/>
          <w:kern w:val="0"/>
          <w:sz w:val="31"/>
          <w:szCs w:val="31"/>
          <w:lang w:val="en-US" w:eastAsia="zh-CN" w:bidi="ar"/>
        </w:rPr>
        <w:t>136</w:t>
      </w:r>
      <w:r>
        <w:rPr>
          <w:rFonts w:ascii="仿宋_GB2312" w:hAnsi="仿宋_GB2312" w:eastAsia="仿宋_GB2312" w:cs="仿宋_GB2312"/>
          <w:color w:val="000000"/>
          <w:kern w:val="0"/>
          <w:sz w:val="31"/>
          <w:szCs w:val="31"/>
          <w:lang w:bidi="ar"/>
        </w:rPr>
        <w:t>%。</w:t>
      </w:r>
    </w:p>
    <w:p>
      <w:pPr>
        <w:numPr>
          <w:ilvl w:val="0"/>
          <w:numId w:val="0"/>
        </w:numPr>
        <w:ind w:leftChars="200" w:firstLine="310" w:firstLineChars="100"/>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eastAsia="zh-CN" w:bidi="ar"/>
        </w:rPr>
        <w:t>本年度</w:t>
      </w:r>
      <w:r>
        <w:rPr>
          <w:rFonts w:hint="eastAsia" w:ascii="仿宋_GB2312" w:hAnsi="仿宋_GB2312" w:eastAsia="仿宋_GB2312" w:cs="仿宋_GB2312"/>
          <w:color w:val="000000"/>
          <w:kern w:val="0"/>
          <w:sz w:val="31"/>
          <w:szCs w:val="31"/>
          <w:lang w:val="en-US" w:eastAsia="zh-CN" w:bidi="ar"/>
        </w:rPr>
        <w:t>单位</w:t>
      </w:r>
      <w:r>
        <w:rPr>
          <w:rFonts w:hint="eastAsia" w:ascii="仿宋_GB2312" w:hAnsi="仿宋_GB2312" w:eastAsia="仿宋_GB2312" w:cs="仿宋_GB2312"/>
          <w:color w:val="000000"/>
          <w:kern w:val="0"/>
          <w:sz w:val="31"/>
          <w:szCs w:val="31"/>
          <w:lang w:eastAsia="zh-CN" w:bidi="ar"/>
        </w:rPr>
        <w:t>总体运行情况及取得的成绩</w:t>
      </w:r>
      <w:r>
        <w:rPr>
          <w:rFonts w:ascii="仿宋_GB2312" w:hAnsi="仿宋_GB2312" w:eastAsia="仿宋_GB2312" w:cs="仿宋_GB2312"/>
          <w:color w:val="000000"/>
          <w:kern w:val="0"/>
          <w:sz w:val="31"/>
          <w:szCs w:val="31"/>
          <w:lang w:bidi="ar"/>
        </w:rPr>
        <w:t>：</w:t>
      </w:r>
    </w:p>
    <w:p>
      <w:pPr>
        <w:numPr>
          <w:ilvl w:val="0"/>
          <w:numId w:val="0"/>
        </w:numPr>
        <w:ind w:leftChars="200" w:firstLine="320" w:firstLine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疫情防控工作严防不松懈。</w:t>
      </w:r>
    </w:p>
    <w:p>
      <w:pPr>
        <w:widowControl/>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2020年2月开始，根据上级部门疫情防控政策方针，崇文塔实行闭馆政策，谢绝游客入内参观。一是制定了疫情防控工作方针、《疫情防控期间办公场所、文物库房消杀记录表》、《疫情防控期间干部职工自检记录表》、《应对疫情防控外来人员登记表》，坚持防疫工作有迹可循。二是严格执行进院报备登记制度，对确因工作需要进出院内的保洁员、保安、垃圾清运员以及上级考察参观人员，均实行测温、登记制度。三是积极贯彻落实新城党员干部到疫情防控一线的文件精神，文管所5名干部职工快速响应，1名参与新城复工复产组疫情防控工作，4名职工第一时间到所在社区、村委会报到，参与一线防疫工作。</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根据工作实际，十一黄金周期间开放围墙内参观区域，继续暂停游客登塔，避免造成人员聚集，以免发生疫情传播。同时对疫情期间前来参观的游客做好解释工作，给需要的游客免费提供热水，十一期间接待慕名而来的游客800多人次，工作人员对待游客耐心细致，态度和蔼，没有发生一例投诉事件。</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坚持“思想不松懈、行动不迟缓”的原则，在泾河新城管委会的统一安排部署下，崇文塔于11月1日开始对外开放。对于进出人员实行严格的“三必须”制度：凡入内参观者必须佩戴口罩，必须测量体温正常，必须登记入册，同时响应国家政策，对医护人员实行免费政策。在门口处设置防疫点，安排专人负责参观游客测温、消毒及登记工作，发现体温异常者拒绝登塔，同时马上采取应急措施上报主管部门，不漏报、不瞒报。</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安全生产工作稳中有序。</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把定期排查和不定期重点巡查相结合。每月定期组织全员开展两次消防安全大排查。不定期对崇文塔、铁佛寺山门等区域进行重点巡查，要求安全员做好巡查记录表格填写，若发现问题及时整改落实。截至目前，开展消防安全排查21次；开展田野文物巡查3次；迎接上级及相关部门检查14次，开展防火演练2次，提高了干部职工使用消防器材的能力和水平，以及处理突发事件的能力。</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开展重大节假日前安全大检查，部署重点工作，确保法定节假日平稳过度。一是召开会议安排安全生产专题工作，议定节假日期间文物保护工作落实措施。实行节假日领导带班制度，每天确保三名同志在岗值班、接待游客。二是组织文管所干部职工，开展节前安全大检查，排查安全隐患，重点检查灭火器材、塔内照明设备、消防通道，发现问题及时整改落实。三是完善了应急预案、信息报告制度，在处理突发紧急情况的同时按照工作程序上报信息。四是及时向西咸文物局、新城文物局汇报节前安全工作部署情况，确保各项工作有序开展。</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做好汛期文物古建保护工作。一是鉴于西安明秦王府城墙倒塌一事，文管所引以为鉴，立即排查山门古建，在新城文物局的指导下，联系专业人员搭建支架保护山门主体建筑。二是文管所成立汛期安全工作小组，制定了文管所防汛工作方案、防汛工作纪律、汛期值班表。三是防汛人员要密切关注天气变化和地质灾害预报，白天小组成员根据值班表按时巡查，每天不少于3次，随时检查并疏通所有排水通道；临时聘用两名值班人员开展夜间防汛工作，要求夜间防汛人员间隔两小时巡查一次，做好处理突发事件的各项准备工作。巡查范围包括塔本体、铁佛寺山门及周围保护地带。</w:t>
      </w:r>
    </w:p>
    <w:p>
      <w:pPr>
        <w:widowControl/>
        <w:ind w:firstLine="620" w:firstLineChars="200"/>
        <w:jc w:val="left"/>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4、其他日常文保工作稳中有序。一是组织人员对宝塔顶、各层外檐的杂草进行了清除。二是接受当地信众捐赠铁佛一尊、香炉1个。三是加大交接班检查应急管理机制的落实检查，做到情况没有交接清楚不放过、安全隐患没有处理完成不放过的原则。四是对塔内30多米老化、裸露的照明线路进行了改造更换，新安装应急照明灯2个，一般照明灯20多个。五是对微型消防站、发电机、巡查三轮摩托车、两轮电摩、强光手电筒、防爆钢叉、防汛物资（沙袋、雨鞋、铁锹）等文物保护巡防设施进行了全面检查、维修、审验、保养。六是及时向上级部门汇报安全生产工作情况，编辑美篇9篇，总结阶段性工作重点报送西咸文物局。</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文保项目顺利完成。</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1、定期打理院内花草树木，提升文管所形象。对院内病死花草树木进行了补栽，补栽直径为3-8厘米的树木80棵；定期对草坪进行修剪、打药，美化环境。</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铁佛寺山门周围平整及改造项目。针对山门周边地势较低容易积水的安全隐患问题，文管所积极争取上级主管部门资金支持，制定方案计划，对铁佛寺山门古建周边地面进行了硬化处理，清理杂草400多平方米，清运垃圾、建筑垃圾32方，铺设古建砖块300多平方米，新设置排水管道20多米，加固爆裂古建墙体12平方，安装文物保护宣传展板10平方米，种植冬青、石楠1200株，有效地提高了山门的保护利用水平，确保了山门古建秋季安全度汛。</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val="en-US" w:eastAsia="zh-CN" w:bidi="ar"/>
        </w:rPr>
        <w:t>3、文管所监控、门禁设施项目实施完成。根据西咸财政局《2019年省级文物保护专项资金的通知》的文件：拨付崇文塔文管所3万元文保专项资金用于开展安检、门禁设施项目。文管所本着专款专用原则，召开会议，经过多方比价调研，确定项目实施方案。该项目已于7月28日安装完成，安装机舱摄像头16个，南门北门各6个，东门西门各2个；北门东侧值班室外安装金属安检门1个，费用合计30190元。监控门禁项目的投入使用，大大提高了文管所文物保护工作的效率和质量，推进文物保护向高科技、数字化方向发展。</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发现的问题及原因：</w:t>
      </w:r>
      <w:r>
        <w:rPr>
          <w:rFonts w:hint="eastAsia" w:ascii="仿宋_GB2312" w:hAnsi="仿宋_GB2312" w:eastAsia="仿宋_GB2312" w:cs="仿宋_GB2312"/>
          <w:color w:val="000000"/>
          <w:kern w:val="0"/>
          <w:sz w:val="31"/>
          <w:szCs w:val="31"/>
          <w:lang w:val="en-US" w:eastAsia="zh-CN" w:bidi="ar"/>
        </w:rPr>
        <w:t>预算编制准确率有待提高</w:t>
      </w:r>
      <w:r>
        <w:rPr>
          <w:rFonts w:ascii="仿宋_GB2312" w:hAnsi="仿宋_GB2312" w:eastAsia="仿宋_GB2312" w:cs="仿宋_GB2312"/>
          <w:color w:val="000000"/>
          <w:kern w:val="0"/>
          <w:sz w:val="31"/>
          <w:szCs w:val="31"/>
          <w:lang w:bidi="ar"/>
        </w:rPr>
        <w:t>。</w:t>
      </w:r>
    </w:p>
    <w:p>
      <w:pPr>
        <w:widowControl/>
        <w:jc w:val="both"/>
        <w:rPr>
          <w:rFonts w:hint="eastAsia"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下一步改进措施：</w:t>
      </w:r>
      <w:r>
        <w:rPr>
          <w:rFonts w:hint="eastAsia" w:ascii="仿宋_GB2312" w:hAnsi="仿宋_GB2312" w:eastAsia="仿宋_GB2312" w:cs="仿宋_GB2312"/>
          <w:color w:val="000000"/>
          <w:kern w:val="0"/>
          <w:sz w:val="31"/>
          <w:szCs w:val="31"/>
          <w:lang w:val="en-US" w:eastAsia="zh-CN" w:bidi="ar"/>
        </w:rPr>
        <w:t>1.</w:t>
      </w:r>
      <w:r>
        <w:rPr>
          <w:rFonts w:hint="eastAsia" w:ascii="仿宋" w:hAnsi="仿宋" w:eastAsia="仿宋" w:cs="仿宋"/>
          <w:b w:val="0"/>
          <w:bCs w:val="0"/>
          <w:color w:val="000000"/>
          <w:kern w:val="0"/>
          <w:sz w:val="32"/>
          <w:szCs w:val="32"/>
          <w:lang w:val="en-US" w:eastAsia="zh-CN"/>
        </w:rPr>
        <w:t>按照相关测算标准及实际需要科学合理测算各项支出，细化各项支出预算，确保各项工作正常运转和发展；2.强化预算约束。提高年初预算到位率，出上级明确增加的支出外，原则上不再追加预算。3.狠抓支出进度。从任务落实、项目支出、上年结转、财务清算等方面抓支出进度，以确保实际支出进度与序时进度保持一致。</w:t>
      </w:r>
    </w:p>
    <w:p>
      <w:pPr>
        <w:jc w:val="center"/>
        <w:rPr>
          <w:rFonts w:hint="eastAsia" w:ascii="方正小标宋简体" w:hAnsi="方正小标宋简体" w:eastAsia="方正小标宋简体" w:cs="方正小标宋简体"/>
          <w:color w:val="000000"/>
          <w:kern w:val="0"/>
          <w:sz w:val="44"/>
          <w:szCs w:val="44"/>
          <w:lang w:eastAsia="zh-CN" w:bidi="ar"/>
        </w:rPr>
      </w:pPr>
      <w:r>
        <w:rPr>
          <w:rFonts w:hint="eastAsia" w:ascii="楷体" w:hAnsi="楷体" w:eastAsia="楷体" w:cs="楷体"/>
          <w:sz w:val="32"/>
          <w:szCs w:val="32"/>
          <w:lang w:eastAsia="zh-CN"/>
        </w:rPr>
        <w:object>
          <v:shape id="_x0000_i1025" o:spt="75" type="#_x0000_t75" style="height:756.45pt;width:546.9pt;" o:ole="t" filled="f" o:preferrelative="t" stroked="f" coordsize="21600,21600">
            <v:path/>
            <v:fill on="f" focussize="0,0"/>
            <v:stroke on="f"/>
            <v:imagedata r:id="rId11" o:title=""/>
            <o:lock v:ext="edit" aspectratio="t"/>
            <w10:wrap type="none"/>
            <w10:anchorlock/>
          </v:shape>
          <o:OLEObject Type="Embed" ProgID="Excel.Sheet.12" ShapeID="_x0000_i1025" DrawAspect="Content" ObjectID="_1468075725" r:id="rId10">
            <o:LockedField>false</o:LockedField>
          </o:OLEObject>
        </w:object>
      </w:r>
      <w:r>
        <w:rPr>
          <w:rFonts w:hint="eastAsia" w:ascii="楷体" w:hAnsi="楷体" w:eastAsia="楷体" w:cs="楷体"/>
          <w:sz w:val="32"/>
          <w:szCs w:val="32"/>
          <w:lang w:eastAsia="zh-CN"/>
        </w:rPr>
        <w:object>
          <v:shape id="_x0000_i1026" o:spt="75" type="#_x0000_t75" style="height:625.85pt;width:450.1pt;" o:ole="t" filled="f" o:preferrelative="t" stroked="f" coordsize="21600,21600">
            <v:path/>
            <v:fill on="f" focussize="0,0"/>
            <v:stroke on="f"/>
            <v:imagedata r:id="rId13" o:title=""/>
            <o:lock v:ext="edit" aspectratio="t"/>
            <w10:wrap type="none"/>
            <w10:anchorlock/>
          </v:shape>
          <o:OLEObject Type="Embed" ProgID="Excel.Sheet.12" ShapeID="_x0000_i1026" DrawAspect="Content" ObjectID="_1468075726" r:id="rId12">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hint="eastAsia" w:ascii="仿宋_GB2312" w:hAnsi="仿宋_GB2312" w:eastAsia="仿宋_GB2312" w:cs="仿宋_GB2312"/>
          <w:b/>
          <w:bCs/>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使用一般公共预算财政拨款安排的因公出国（境）费、公务用车购置及运行费和公务接待费支出。</w:t>
      </w:r>
    </w:p>
    <w:p>
      <w:pPr>
        <w:ind w:firstLine="640"/>
        <w:rPr>
          <w:rFonts w:ascii="黑体" w:hAnsi="宋体" w:eastAsia="黑体"/>
          <w:color w:val="000000"/>
          <w:kern w:val="0"/>
          <w:sz w:val="44"/>
          <w:szCs w:val="44"/>
          <w:lang w:bidi="ar"/>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调整预算数：</w:t>
      </w:r>
      <w:r>
        <w:rPr>
          <w:rFonts w:hint="eastAsia" w:ascii="仿宋_GB2312" w:hAnsi="仿宋_GB2312" w:eastAsia="仿宋_GB2312" w:cs="仿宋_GB2312"/>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p>
      <w:pPr>
        <w:widowControl/>
        <w:ind w:firstLine="620" w:firstLineChars="200"/>
        <w:jc w:val="left"/>
        <w:rPr>
          <w:rFonts w:hint="eastAsia" w:ascii="仿宋_GB2312" w:hAnsi="仿宋_GB2312" w:eastAsia="仿宋_GB2312" w:cs="仿宋_GB2312"/>
          <w:color w:val="000000"/>
          <w:kern w:val="0"/>
          <w:sz w:val="31"/>
          <w:szCs w:val="31"/>
          <w:lang w:bidi="ar"/>
        </w:rPr>
      </w:pPr>
    </w:p>
    <w:p>
      <w:pPr>
        <w:pStyle w:val="2"/>
        <w:rPr>
          <w:rFonts w:hint="eastAsia"/>
          <w:lang w:eastAsia="zh-CN"/>
        </w:rPr>
      </w:pPr>
    </w:p>
    <w:p>
      <w:pPr>
        <w:pStyle w:val="2"/>
        <w:rPr>
          <w:rFonts w:hint="eastAsia"/>
          <w:lang w:eastAsia="zh-CN"/>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924FA"/>
    <w:multiLevelType w:val="singleLevel"/>
    <w:tmpl w:val="B0E924F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E89"/>
    <w:rsid w:val="001113BD"/>
    <w:rsid w:val="00146787"/>
    <w:rsid w:val="00164001"/>
    <w:rsid w:val="001B1833"/>
    <w:rsid w:val="001D7568"/>
    <w:rsid w:val="002424C8"/>
    <w:rsid w:val="002A7893"/>
    <w:rsid w:val="003364E9"/>
    <w:rsid w:val="00452E2E"/>
    <w:rsid w:val="004B6D6E"/>
    <w:rsid w:val="006E2CCA"/>
    <w:rsid w:val="00813F4A"/>
    <w:rsid w:val="008B73C2"/>
    <w:rsid w:val="00902C2A"/>
    <w:rsid w:val="009269A2"/>
    <w:rsid w:val="00B80654"/>
    <w:rsid w:val="00E8111E"/>
    <w:rsid w:val="011579EB"/>
    <w:rsid w:val="013B79AC"/>
    <w:rsid w:val="01987FE8"/>
    <w:rsid w:val="01BE4C9B"/>
    <w:rsid w:val="020967F0"/>
    <w:rsid w:val="02111B48"/>
    <w:rsid w:val="02145195"/>
    <w:rsid w:val="027A1C04"/>
    <w:rsid w:val="02ED1C6E"/>
    <w:rsid w:val="03455F4E"/>
    <w:rsid w:val="034B2E38"/>
    <w:rsid w:val="03B44E81"/>
    <w:rsid w:val="03E2379C"/>
    <w:rsid w:val="040E4592"/>
    <w:rsid w:val="0430275A"/>
    <w:rsid w:val="046917C8"/>
    <w:rsid w:val="050242AD"/>
    <w:rsid w:val="05445D91"/>
    <w:rsid w:val="05B9052D"/>
    <w:rsid w:val="05C50C80"/>
    <w:rsid w:val="060356C3"/>
    <w:rsid w:val="06546455"/>
    <w:rsid w:val="0676641E"/>
    <w:rsid w:val="069F7723"/>
    <w:rsid w:val="06F37A6F"/>
    <w:rsid w:val="07837045"/>
    <w:rsid w:val="07A757A3"/>
    <w:rsid w:val="07AC659B"/>
    <w:rsid w:val="07E13D6B"/>
    <w:rsid w:val="08241EB5"/>
    <w:rsid w:val="08707EFB"/>
    <w:rsid w:val="08E138AF"/>
    <w:rsid w:val="08E42EAC"/>
    <w:rsid w:val="0926412B"/>
    <w:rsid w:val="097E3F67"/>
    <w:rsid w:val="099F5C8C"/>
    <w:rsid w:val="09D05E45"/>
    <w:rsid w:val="09DA5C70"/>
    <w:rsid w:val="09EE6867"/>
    <w:rsid w:val="09F9539C"/>
    <w:rsid w:val="0A5151D8"/>
    <w:rsid w:val="0A59213E"/>
    <w:rsid w:val="0A84064F"/>
    <w:rsid w:val="0A894972"/>
    <w:rsid w:val="0ADC75CA"/>
    <w:rsid w:val="0AEE0FEB"/>
    <w:rsid w:val="0AF049F1"/>
    <w:rsid w:val="0B064214"/>
    <w:rsid w:val="0B3F7726"/>
    <w:rsid w:val="0BD7170D"/>
    <w:rsid w:val="0C4C20FB"/>
    <w:rsid w:val="0C833643"/>
    <w:rsid w:val="0C9814B5"/>
    <w:rsid w:val="0CCA1A4E"/>
    <w:rsid w:val="0CDB6FDB"/>
    <w:rsid w:val="0CEC2F96"/>
    <w:rsid w:val="0D116EA1"/>
    <w:rsid w:val="0DDC125D"/>
    <w:rsid w:val="0E1327A4"/>
    <w:rsid w:val="0E903DF5"/>
    <w:rsid w:val="0EA578A0"/>
    <w:rsid w:val="0EAF291A"/>
    <w:rsid w:val="0ED106EE"/>
    <w:rsid w:val="0F503CB0"/>
    <w:rsid w:val="0F931DEF"/>
    <w:rsid w:val="0FCC034E"/>
    <w:rsid w:val="1045184F"/>
    <w:rsid w:val="10947BCD"/>
    <w:rsid w:val="10BB651B"/>
    <w:rsid w:val="10C0771D"/>
    <w:rsid w:val="11310623"/>
    <w:rsid w:val="11325878"/>
    <w:rsid w:val="11E42DD6"/>
    <w:rsid w:val="125E2600"/>
    <w:rsid w:val="126F2761"/>
    <w:rsid w:val="127952CC"/>
    <w:rsid w:val="12CF313E"/>
    <w:rsid w:val="12D544CC"/>
    <w:rsid w:val="13201BEB"/>
    <w:rsid w:val="132E46A0"/>
    <w:rsid w:val="135556F4"/>
    <w:rsid w:val="1360023A"/>
    <w:rsid w:val="140D6614"/>
    <w:rsid w:val="14411117"/>
    <w:rsid w:val="149503B7"/>
    <w:rsid w:val="14EA24B1"/>
    <w:rsid w:val="15233C15"/>
    <w:rsid w:val="154276D1"/>
    <w:rsid w:val="157B135B"/>
    <w:rsid w:val="157B57FF"/>
    <w:rsid w:val="1586116E"/>
    <w:rsid w:val="15A07BB3"/>
    <w:rsid w:val="15F50F23"/>
    <w:rsid w:val="161F43DC"/>
    <w:rsid w:val="16C531D6"/>
    <w:rsid w:val="16F615E1"/>
    <w:rsid w:val="17190E2C"/>
    <w:rsid w:val="172668C0"/>
    <w:rsid w:val="172D48D7"/>
    <w:rsid w:val="177B3894"/>
    <w:rsid w:val="17B06807"/>
    <w:rsid w:val="18585984"/>
    <w:rsid w:val="18702CCD"/>
    <w:rsid w:val="189C31C1"/>
    <w:rsid w:val="18BB4AD7"/>
    <w:rsid w:val="18F733EE"/>
    <w:rsid w:val="19033B41"/>
    <w:rsid w:val="190B50EC"/>
    <w:rsid w:val="191C10A7"/>
    <w:rsid w:val="192A5572"/>
    <w:rsid w:val="197131A1"/>
    <w:rsid w:val="199B1FCC"/>
    <w:rsid w:val="19C05ED6"/>
    <w:rsid w:val="19DB061A"/>
    <w:rsid w:val="1A200723"/>
    <w:rsid w:val="1A246465"/>
    <w:rsid w:val="1AAC0209"/>
    <w:rsid w:val="1ABA46D4"/>
    <w:rsid w:val="1B3C158C"/>
    <w:rsid w:val="1B4A3FDA"/>
    <w:rsid w:val="1B524C98"/>
    <w:rsid w:val="1BA333BA"/>
    <w:rsid w:val="1BF27E9D"/>
    <w:rsid w:val="1C422BD3"/>
    <w:rsid w:val="1C5E2F73"/>
    <w:rsid w:val="1C6B32FC"/>
    <w:rsid w:val="1CC63804"/>
    <w:rsid w:val="1D195A8C"/>
    <w:rsid w:val="1D293D92"/>
    <w:rsid w:val="1D5E1C8E"/>
    <w:rsid w:val="1D6E0C0D"/>
    <w:rsid w:val="1D9E208B"/>
    <w:rsid w:val="1E813EA5"/>
    <w:rsid w:val="1ED65854"/>
    <w:rsid w:val="1EF768A5"/>
    <w:rsid w:val="1F050995"/>
    <w:rsid w:val="1F637EA5"/>
    <w:rsid w:val="1F67205E"/>
    <w:rsid w:val="1FEB3581"/>
    <w:rsid w:val="1FF15986"/>
    <w:rsid w:val="20120B0E"/>
    <w:rsid w:val="201E3957"/>
    <w:rsid w:val="20234AC9"/>
    <w:rsid w:val="207E43F5"/>
    <w:rsid w:val="20813690"/>
    <w:rsid w:val="20BF0C96"/>
    <w:rsid w:val="20E7158C"/>
    <w:rsid w:val="20EE50D7"/>
    <w:rsid w:val="20EF4457"/>
    <w:rsid w:val="211D3C0E"/>
    <w:rsid w:val="21285972"/>
    <w:rsid w:val="213571AA"/>
    <w:rsid w:val="21442F49"/>
    <w:rsid w:val="21AB2FC8"/>
    <w:rsid w:val="21DF3BEF"/>
    <w:rsid w:val="2208041A"/>
    <w:rsid w:val="22196184"/>
    <w:rsid w:val="221C15BB"/>
    <w:rsid w:val="22334856"/>
    <w:rsid w:val="22433200"/>
    <w:rsid w:val="22965A26"/>
    <w:rsid w:val="22AA3280"/>
    <w:rsid w:val="22F610D4"/>
    <w:rsid w:val="230F75A5"/>
    <w:rsid w:val="231D1CA3"/>
    <w:rsid w:val="23256DAA"/>
    <w:rsid w:val="233A0AA7"/>
    <w:rsid w:val="23E4344C"/>
    <w:rsid w:val="243E459D"/>
    <w:rsid w:val="24747FE9"/>
    <w:rsid w:val="24B062E7"/>
    <w:rsid w:val="24B14D99"/>
    <w:rsid w:val="24EE1B49"/>
    <w:rsid w:val="25282613"/>
    <w:rsid w:val="25983863"/>
    <w:rsid w:val="259D531E"/>
    <w:rsid w:val="25F211C5"/>
    <w:rsid w:val="2650413E"/>
    <w:rsid w:val="26527EC1"/>
    <w:rsid w:val="275A1718"/>
    <w:rsid w:val="27734588"/>
    <w:rsid w:val="27DB720D"/>
    <w:rsid w:val="28892427"/>
    <w:rsid w:val="288D78CB"/>
    <w:rsid w:val="28C3667D"/>
    <w:rsid w:val="28D15A0A"/>
    <w:rsid w:val="2916341D"/>
    <w:rsid w:val="29657F00"/>
    <w:rsid w:val="29785A6B"/>
    <w:rsid w:val="298E785A"/>
    <w:rsid w:val="299C6E94"/>
    <w:rsid w:val="29FB3800"/>
    <w:rsid w:val="2A050C55"/>
    <w:rsid w:val="2A7228D5"/>
    <w:rsid w:val="2AA333D6"/>
    <w:rsid w:val="2B434271"/>
    <w:rsid w:val="2B547244"/>
    <w:rsid w:val="2B762899"/>
    <w:rsid w:val="2B9601FE"/>
    <w:rsid w:val="2BA80578"/>
    <w:rsid w:val="2C412D45"/>
    <w:rsid w:val="2C412EA7"/>
    <w:rsid w:val="2C6D3C9C"/>
    <w:rsid w:val="2C7E4CB9"/>
    <w:rsid w:val="2C8B4122"/>
    <w:rsid w:val="2CAD4098"/>
    <w:rsid w:val="2CE51A84"/>
    <w:rsid w:val="2D053ED4"/>
    <w:rsid w:val="2D1F3974"/>
    <w:rsid w:val="2D391DD0"/>
    <w:rsid w:val="2D60110A"/>
    <w:rsid w:val="2D657953"/>
    <w:rsid w:val="2D7E77E3"/>
    <w:rsid w:val="2D850B71"/>
    <w:rsid w:val="2DB52EF2"/>
    <w:rsid w:val="2DD1025A"/>
    <w:rsid w:val="2DE57862"/>
    <w:rsid w:val="2E70537D"/>
    <w:rsid w:val="2E9077CD"/>
    <w:rsid w:val="2E9848D4"/>
    <w:rsid w:val="2E9F5C62"/>
    <w:rsid w:val="2EBA6F40"/>
    <w:rsid w:val="2EF355E2"/>
    <w:rsid w:val="2F432A92"/>
    <w:rsid w:val="2F8D01B1"/>
    <w:rsid w:val="2FA5374C"/>
    <w:rsid w:val="2FAD2601"/>
    <w:rsid w:val="2FAF6379"/>
    <w:rsid w:val="300A7A53"/>
    <w:rsid w:val="30896BCA"/>
    <w:rsid w:val="30A07615"/>
    <w:rsid w:val="30A5072E"/>
    <w:rsid w:val="31197F4E"/>
    <w:rsid w:val="311F752F"/>
    <w:rsid w:val="315C7E3B"/>
    <w:rsid w:val="31772EC7"/>
    <w:rsid w:val="317F6056"/>
    <w:rsid w:val="318C1BE0"/>
    <w:rsid w:val="319A0963"/>
    <w:rsid w:val="31AA6038"/>
    <w:rsid w:val="31C277EF"/>
    <w:rsid w:val="321B5F48"/>
    <w:rsid w:val="322748ED"/>
    <w:rsid w:val="32364CF0"/>
    <w:rsid w:val="327613D0"/>
    <w:rsid w:val="328C0BF4"/>
    <w:rsid w:val="32BD2B5B"/>
    <w:rsid w:val="33552D94"/>
    <w:rsid w:val="33835B53"/>
    <w:rsid w:val="33887EE3"/>
    <w:rsid w:val="338B4A07"/>
    <w:rsid w:val="339935C8"/>
    <w:rsid w:val="33B47DA6"/>
    <w:rsid w:val="34030EA9"/>
    <w:rsid w:val="341744ED"/>
    <w:rsid w:val="342A2472"/>
    <w:rsid w:val="34677C61"/>
    <w:rsid w:val="349601D3"/>
    <w:rsid w:val="34A2025B"/>
    <w:rsid w:val="34CC3529"/>
    <w:rsid w:val="34FB796B"/>
    <w:rsid w:val="354E2190"/>
    <w:rsid w:val="35A973C7"/>
    <w:rsid w:val="361E6007"/>
    <w:rsid w:val="361F381B"/>
    <w:rsid w:val="36211653"/>
    <w:rsid w:val="362F5B1E"/>
    <w:rsid w:val="36445564"/>
    <w:rsid w:val="36545584"/>
    <w:rsid w:val="36552DFF"/>
    <w:rsid w:val="36DE7CB4"/>
    <w:rsid w:val="371D006C"/>
    <w:rsid w:val="37403D5B"/>
    <w:rsid w:val="37642040"/>
    <w:rsid w:val="37A83E24"/>
    <w:rsid w:val="380C58F4"/>
    <w:rsid w:val="381755E5"/>
    <w:rsid w:val="3821593A"/>
    <w:rsid w:val="38262F51"/>
    <w:rsid w:val="382D0783"/>
    <w:rsid w:val="38F75809"/>
    <w:rsid w:val="392751D2"/>
    <w:rsid w:val="3962445C"/>
    <w:rsid w:val="39657AA9"/>
    <w:rsid w:val="39A405D1"/>
    <w:rsid w:val="3A3A0F35"/>
    <w:rsid w:val="3A647D60"/>
    <w:rsid w:val="3B121AD1"/>
    <w:rsid w:val="3B8C3A12"/>
    <w:rsid w:val="3BA26D92"/>
    <w:rsid w:val="3C065573"/>
    <w:rsid w:val="3C0D61D4"/>
    <w:rsid w:val="3C26357D"/>
    <w:rsid w:val="3CFD0D2E"/>
    <w:rsid w:val="3D402D06"/>
    <w:rsid w:val="3D6A38DF"/>
    <w:rsid w:val="3D990AA2"/>
    <w:rsid w:val="3DA07301"/>
    <w:rsid w:val="3DD671C7"/>
    <w:rsid w:val="3E6B5B61"/>
    <w:rsid w:val="3E7013C9"/>
    <w:rsid w:val="3E7E7642"/>
    <w:rsid w:val="3E7F160D"/>
    <w:rsid w:val="3E907376"/>
    <w:rsid w:val="3EC15781"/>
    <w:rsid w:val="3EE37DED"/>
    <w:rsid w:val="3EE6168C"/>
    <w:rsid w:val="3F033FEC"/>
    <w:rsid w:val="3F087854"/>
    <w:rsid w:val="3F25304E"/>
    <w:rsid w:val="3F7722E4"/>
    <w:rsid w:val="3FA806EF"/>
    <w:rsid w:val="3FB86B84"/>
    <w:rsid w:val="40026D9B"/>
    <w:rsid w:val="40055B41"/>
    <w:rsid w:val="40D0614F"/>
    <w:rsid w:val="4114428E"/>
    <w:rsid w:val="41603979"/>
    <w:rsid w:val="41BB295C"/>
    <w:rsid w:val="41CF436B"/>
    <w:rsid w:val="421F113C"/>
    <w:rsid w:val="424961B9"/>
    <w:rsid w:val="43087E22"/>
    <w:rsid w:val="434B7D0F"/>
    <w:rsid w:val="43B27D8E"/>
    <w:rsid w:val="43CC0E50"/>
    <w:rsid w:val="44136A7F"/>
    <w:rsid w:val="4416031D"/>
    <w:rsid w:val="441D16AC"/>
    <w:rsid w:val="443B2E6C"/>
    <w:rsid w:val="44C9538F"/>
    <w:rsid w:val="452D591E"/>
    <w:rsid w:val="454D5FC1"/>
    <w:rsid w:val="455530C7"/>
    <w:rsid w:val="4619368A"/>
    <w:rsid w:val="4645313C"/>
    <w:rsid w:val="4670751C"/>
    <w:rsid w:val="467F664E"/>
    <w:rsid w:val="468E063F"/>
    <w:rsid w:val="47150D60"/>
    <w:rsid w:val="47290CF2"/>
    <w:rsid w:val="4760566F"/>
    <w:rsid w:val="47723ABC"/>
    <w:rsid w:val="478A7058"/>
    <w:rsid w:val="47E86474"/>
    <w:rsid w:val="485338EE"/>
    <w:rsid w:val="488E138F"/>
    <w:rsid w:val="48AE4FC8"/>
    <w:rsid w:val="49044BE8"/>
    <w:rsid w:val="49590B68"/>
    <w:rsid w:val="49804BB7"/>
    <w:rsid w:val="499046CE"/>
    <w:rsid w:val="49B760FE"/>
    <w:rsid w:val="49D767A1"/>
    <w:rsid w:val="4A0B1FA6"/>
    <w:rsid w:val="4A1724E5"/>
    <w:rsid w:val="4AF313B8"/>
    <w:rsid w:val="4AF84C20"/>
    <w:rsid w:val="4BB072A9"/>
    <w:rsid w:val="4C0B394A"/>
    <w:rsid w:val="4C8F5111"/>
    <w:rsid w:val="4D135D42"/>
    <w:rsid w:val="4D1F6494"/>
    <w:rsid w:val="4D4E6D7A"/>
    <w:rsid w:val="4D5C1497"/>
    <w:rsid w:val="4D6E0FDF"/>
    <w:rsid w:val="4D7762D0"/>
    <w:rsid w:val="4D926C66"/>
    <w:rsid w:val="4DBC3CE3"/>
    <w:rsid w:val="4DF711BF"/>
    <w:rsid w:val="4E3046D1"/>
    <w:rsid w:val="4E3221F7"/>
    <w:rsid w:val="4E600B13"/>
    <w:rsid w:val="4E630603"/>
    <w:rsid w:val="4E6C395B"/>
    <w:rsid w:val="4E772300"/>
    <w:rsid w:val="4EE4307A"/>
    <w:rsid w:val="4F195165"/>
    <w:rsid w:val="4FA64C4B"/>
    <w:rsid w:val="500D1F18"/>
    <w:rsid w:val="501628BE"/>
    <w:rsid w:val="50315D39"/>
    <w:rsid w:val="50811214"/>
    <w:rsid w:val="508B3E41"/>
    <w:rsid w:val="50D70E34"/>
    <w:rsid w:val="50E377D9"/>
    <w:rsid w:val="50EE68AA"/>
    <w:rsid w:val="51385D77"/>
    <w:rsid w:val="5153143F"/>
    <w:rsid w:val="51A96C75"/>
    <w:rsid w:val="51E952C3"/>
    <w:rsid w:val="520B6FE7"/>
    <w:rsid w:val="524F15CA"/>
    <w:rsid w:val="52943481"/>
    <w:rsid w:val="52AD4542"/>
    <w:rsid w:val="53004672"/>
    <w:rsid w:val="530400B7"/>
    <w:rsid w:val="535844AE"/>
    <w:rsid w:val="53B611D5"/>
    <w:rsid w:val="53C268CE"/>
    <w:rsid w:val="53CE3F8A"/>
    <w:rsid w:val="53CE651E"/>
    <w:rsid w:val="53E774F6"/>
    <w:rsid w:val="53F02939"/>
    <w:rsid w:val="546D3F89"/>
    <w:rsid w:val="549C03CB"/>
    <w:rsid w:val="54AA0D3A"/>
    <w:rsid w:val="54C47921"/>
    <w:rsid w:val="54C55B73"/>
    <w:rsid w:val="54F12DEE"/>
    <w:rsid w:val="55147C14"/>
    <w:rsid w:val="554A6F5A"/>
    <w:rsid w:val="554E3DBB"/>
    <w:rsid w:val="554E4E96"/>
    <w:rsid w:val="557B26D6"/>
    <w:rsid w:val="5588094F"/>
    <w:rsid w:val="55F935FB"/>
    <w:rsid w:val="561F52B9"/>
    <w:rsid w:val="56327C6C"/>
    <w:rsid w:val="56551179"/>
    <w:rsid w:val="568E6439"/>
    <w:rsid w:val="571B5F1F"/>
    <w:rsid w:val="57B208F9"/>
    <w:rsid w:val="57EC3417"/>
    <w:rsid w:val="57FA3D86"/>
    <w:rsid w:val="580249E9"/>
    <w:rsid w:val="580836DC"/>
    <w:rsid w:val="581A7F84"/>
    <w:rsid w:val="58D03463"/>
    <w:rsid w:val="58D5034F"/>
    <w:rsid w:val="590D68D6"/>
    <w:rsid w:val="598D4786"/>
    <w:rsid w:val="59C84858"/>
    <w:rsid w:val="5B6A1223"/>
    <w:rsid w:val="5B8D564A"/>
    <w:rsid w:val="5CC42BB4"/>
    <w:rsid w:val="5CCE57E1"/>
    <w:rsid w:val="5CD01559"/>
    <w:rsid w:val="5CD105CC"/>
    <w:rsid w:val="5D3715D8"/>
    <w:rsid w:val="5D8440F2"/>
    <w:rsid w:val="5DFE779A"/>
    <w:rsid w:val="5E084D23"/>
    <w:rsid w:val="5E0D2339"/>
    <w:rsid w:val="5E174F66"/>
    <w:rsid w:val="5E451AD3"/>
    <w:rsid w:val="5E9F11E3"/>
    <w:rsid w:val="5EF62DCD"/>
    <w:rsid w:val="5F1A2F60"/>
    <w:rsid w:val="5F6661A5"/>
    <w:rsid w:val="5F8072AC"/>
    <w:rsid w:val="5FC2309D"/>
    <w:rsid w:val="60575AEE"/>
    <w:rsid w:val="607B17DC"/>
    <w:rsid w:val="60B13450"/>
    <w:rsid w:val="60C07B37"/>
    <w:rsid w:val="60F11744"/>
    <w:rsid w:val="60F4333C"/>
    <w:rsid w:val="611D0AE5"/>
    <w:rsid w:val="616E30EF"/>
    <w:rsid w:val="61A24A9E"/>
    <w:rsid w:val="61DC44FC"/>
    <w:rsid w:val="621B3277"/>
    <w:rsid w:val="62255EA3"/>
    <w:rsid w:val="62467BC8"/>
    <w:rsid w:val="62D81168"/>
    <w:rsid w:val="62FB3691"/>
    <w:rsid w:val="63224191"/>
    <w:rsid w:val="633533AB"/>
    <w:rsid w:val="63514A76"/>
    <w:rsid w:val="638210D3"/>
    <w:rsid w:val="63834A0B"/>
    <w:rsid w:val="63B514A9"/>
    <w:rsid w:val="63C65464"/>
    <w:rsid w:val="64661000"/>
    <w:rsid w:val="64BB2AEF"/>
    <w:rsid w:val="65074FBA"/>
    <w:rsid w:val="65124B37"/>
    <w:rsid w:val="65401D3F"/>
    <w:rsid w:val="655B7E2E"/>
    <w:rsid w:val="659E4A80"/>
    <w:rsid w:val="65B732B6"/>
    <w:rsid w:val="65C90F91"/>
    <w:rsid w:val="660D2ED6"/>
    <w:rsid w:val="6615622F"/>
    <w:rsid w:val="66377D5A"/>
    <w:rsid w:val="66432D9C"/>
    <w:rsid w:val="666D7E19"/>
    <w:rsid w:val="66C84F7D"/>
    <w:rsid w:val="67000C8D"/>
    <w:rsid w:val="670C13E0"/>
    <w:rsid w:val="67C10A0E"/>
    <w:rsid w:val="67C95523"/>
    <w:rsid w:val="68195476"/>
    <w:rsid w:val="687E6B9E"/>
    <w:rsid w:val="68B37069"/>
    <w:rsid w:val="68D777CC"/>
    <w:rsid w:val="68F11170"/>
    <w:rsid w:val="691E53FA"/>
    <w:rsid w:val="694C640B"/>
    <w:rsid w:val="69780FAF"/>
    <w:rsid w:val="69CF4947"/>
    <w:rsid w:val="6A251047"/>
    <w:rsid w:val="6A8D2838"/>
    <w:rsid w:val="6AE52674"/>
    <w:rsid w:val="6B1E16E2"/>
    <w:rsid w:val="6B280E12"/>
    <w:rsid w:val="6B533A81"/>
    <w:rsid w:val="6B9B71D6"/>
    <w:rsid w:val="6BB77FA2"/>
    <w:rsid w:val="6BBC1844"/>
    <w:rsid w:val="6BC32289"/>
    <w:rsid w:val="6C021003"/>
    <w:rsid w:val="6C133210"/>
    <w:rsid w:val="6C445178"/>
    <w:rsid w:val="6CF7668E"/>
    <w:rsid w:val="6D1B05CF"/>
    <w:rsid w:val="6D464F20"/>
    <w:rsid w:val="6D566B52"/>
    <w:rsid w:val="6D8D0426"/>
    <w:rsid w:val="6D997745"/>
    <w:rsid w:val="6DC742B3"/>
    <w:rsid w:val="6DF4458E"/>
    <w:rsid w:val="6E0C590D"/>
    <w:rsid w:val="6E8B1784"/>
    <w:rsid w:val="6F0B4673"/>
    <w:rsid w:val="6F235519"/>
    <w:rsid w:val="6FF46EB5"/>
    <w:rsid w:val="705D4A5A"/>
    <w:rsid w:val="709B37D5"/>
    <w:rsid w:val="70F33611"/>
    <w:rsid w:val="71086DB5"/>
    <w:rsid w:val="711E262D"/>
    <w:rsid w:val="714A76D4"/>
    <w:rsid w:val="716F2C97"/>
    <w:rsid w:val="718302FF"/>
    <w:rsid w:val="71D2643B"/>
    <w:rsid w:val="71DF4259"/>
    <w:rsid w:val="71FE226D"/>
    <w:rsid w:val="722A12B4"/>
    <w:rsid w:val="727B566C"/>
    <w:rsid w:val="728414C0"/>
    <w:rsid w:val="728C1627"/>
    <w:rsid w:val="72A11576"/>
    <w:rsid w:val="731E4243"/>
    <w:rsid w:val="7372081D"/>
    <w:rsid w:val="73734595"/>
    <w:rsid w:val="73C82B32"/>
    <w:rsid w:val="73CD0149"/>
    <w:rsid w:val="74E76FE8"/>
    <w:rsid w:val="74F3214D"/>
    <w:rsid w:val="750556C0"/>
    <w:rsid w:val="75183646"/>
    <w:rsid w:val="75324707"/>
    <w:rsid w:val="754F4216"/>
    <w:rsid w:val="7571101C"/>
    <w:rsid w:val="75C31473"/>
    <w:rsid w:val="75C86CBE"/>
    <w:rsid w:val="75D532E5"/>
    <w:rsid w:val="7601057E"/>
    <w:rsid w:val="763B2EA0"/>
    <w:rsid w:val="763B75EC"/>
    <w:rsid w:val="76675743"/>
    <w:rsid w:val="76D812DE"/>
    <w:rsid w:val="76E77774"/>
    <w:rsid w:val="77161E07"/>
    <w:rsid w:val="771627FA"/>
    <w:rsid w:val="779F3BAA"/>
    <w:rsid w:val="788C2381"/>
    <w:rsid w:val="788F2198"/>
    <w:rsid w:val="78B611AB"/>
    <w:rsid w:val="78CF62DC"/>
    <w:rsid w:val="79077C59"/>
    <w:rsid w:val="79395F1D"/>
    <w:rsid w:val="79493CBE"/>
    <w:rsid w:val="797057FE"/>
    <w:rsid w:val="79D02741"/>
    <w:rsid w:val="79E24222"/>
    <w:rsid w:val="79FC52E4"/>
    <w:rsid w:val="7A0E64F8"/>
    <w:rsid w:val="7A3C3932"/>
    <w:rsid w:val="7A4F7B0A"/>
    <w:rsid w:val="7AA03EC1"/>
    <w:rsid w:val="7AA8546C"/>
    <w:rsid w:val="7AF34939"/>
    <w:rsid w:val="7B0A3A31"/>
    <w:rsid w:val="7B954CFC"/>
    <w:rsid w:val="7B996A74"/>
    <w:rsid w:val="7BBD66DB"/>
    <w:rsid w:val="7C3E5E46"/>
    <w:rsid w:val="7C482A62"/>
    <w:rsid w:val="7CC16371"/>
    <w:rsid w:val="7D6F401F"/>
    <w:rsid w:val="7E2E0B1A"/>
    <w:rsid w:val="7E71068B"/>
    <w:rsid w:val="7E75366D"/>
    <w:rsid w:val="7EBF4B32"/>
    <w:rsid w:val="7EE051D4"/>
    <w:rsid w:val="7EE759C2"/>
    <w:rsid w:val="7F107CC9"/>
    <w:rsid w:val="7F1C2F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Calibri" w:hAnsi="Calibri" w:cs="黑体"/>
      <w:kern w:val="2"/>
      <w:sz w:val="21"/>
      <w:szCs w:val="24"/>
    </w:rPr>
  </w:style>
  <w:style w:type="character" w:customStyle="1" w:styleId="15">
    <w:name w:val="批注主题 字符"/>
    <w:basedOn w:val="14"/>
    <w:link w:val="7"/>
    <w:qFormat/>
    <w:uiPriority w:val="0"/>
    <w:rPr>
      <w:rFonts w:ascii="Calibri" w:hAnsi="Calibri" w:cs="黑体"/>
      <w:b/>
      <w:bCs/>
      <w:kern w:val="2"/>
      <w:sz w:val="21"/>
      <w:szCs w:val="24"/>
    </w:rPr>
  </w:style>
  <w:style w:type="character" w:customStyle="1" w:styleId="16">
    <w:name w:val="批注框文本 字符"/>
    <w:basedOn w:val="10"/>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AppData\Local\Temp\wps.WpciyC\Chart6%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wps.lffkGs\Chart7%20in%20Wps.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AppData\Local\Temp\wps.HzKJYL\Chart9%20in%20Wps.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AppData\Local\Temp\wps.rxZUhj\Chart10%20in%20W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人员总体情况</a:t>
            </a:r>
          </a:p>
        </c:rich>
      </c:tx>
      <c:layout/>
      <c:overlay val="0"/>
      <c:spPr>
        <a:noFill/>
        <a:ln>
          <a:noFill/>
        </a:ln>
        <a:effectLst/>
      </c:spPr>
    </c:title>
    <c:autoTitleDeleted val="0"/>
    <c:plotArea>
      <c:layout/>
      <c:barChart>
        <c:barDir val="col"/>
        <c:grouping val="clustered"/>
        <c:varyColors val="0"/>
        <c:ser>
          <c:idx val="0"/>
          <c:order val="0"/>
          <c:spPr>
            <a:gradFill>
              <a:gsLst>
                <a:gs pos="100000">
                  <a:srgbClr val="F9F8CA"/>
                </a:gs>
                <a:gs pos="6000">
                  <a:srgbClr val="4EAADD"/>
                </a:gs>
              </a:gsLst>
              <a:lin scaled="1"/>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'[Chart6 in Wps.xlsx]Sheet1'!$H$5:$J$5</c:f>
              <c:strCache>
                <c:ptCount val="3"/>
                <c:pt idx="0">
                  <c:v>编制</c:v>
                </c:pt>
                <c:pt idx="1">
                  <c:v>实有</c:v>
                </c:pt>
                <c:pt idx="2">
                  <c:v>离退休</c:v>
                </c:pt>
              </c:strCache>
            </c:strRef>
          </c:cat>
          <c:val>
            <c:numRef>
              <c:f>'[Chart6 in Wps.xlsx]Sheet1'!$H$6:$J$6</c:f>
              <c:numCache>
                <c:formatCode>General</c:formatCode>
                <c:ptCount val="3"/>
                <c:pt idx="0">
                  <c:v>3</c:v>
                </c:pt>
                <c:pt idx="1">
                  <c:v>6</c:v>
                </c:pt>
                <c:pt idx="2">
                  <c:v>6</c:v>
                </c:pt>
              </c:numCache>
            </c:numRef>
          </c:val>
        </c:ser>
        <c:dLbls>
          <c:showLegendKey val="0"/>
          <c:showVal val="1"/>
          <c:showCatName val="0"/>
          <c:showSerName val="0"/>
          <c:showPercent val="0"/>
          <c:showBubbleSize val="0"/>
        </c:dLbls>
        <c:gapWidth val="219"/>
        <c:overlap val="-27"/>
        <c:axId val="820724385"/>
        <c:axId val="211763357"/>
      </c:barChart>
      <c:catAx>
        <c:axId val="8207243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763357"/>
        <c:crosses val="autoZero"/>
        <c:auto val="1"/>
        <c:lblAlgn val="ctr"/>
        <c:lblOffset val="100"/>
        <c:noMultiLvlLbl val="0"/>
      </c:catAx>
      <c:valAx>
        <c:axId val="2117633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072438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r>
              <a:rPr sz="1200" b="1">
                <a:solidFill>
                  <a:schemeClr val="tx1">
                    <a:lumMod val="65000"/>
                    <a:lumOff val="35000"/>
                  </a:schemeClr>
                </a:solidFill>
                <a:uFillTx/>
                <a:ea typeface="仿宋" panose="02010609060101010101" pitchFamily="3" charset="-122"/>
                <a:cs typeface="仿宋" panose="02010609060101010101" pitchFamily="3" charset="-122"/>
                <a:sym typeface="仿宋" panose="02010609060101010101" pitchFamily="3" charset="-122"/>
              </a:rPr>
              <a:t>收入支出与上年对比情况</a:t>
            </a:r>
            <a:endParaRPr sz="1200" b="1">
              <a:solidFill>
                <a:schemeClr val="tx1">
                  <a:lumMod val="65000"/>
                  <a:lumOff val="35000"/>
                </a:schemeClr>
              </a:solidFill>
              <a:uFillTx/>
              <a:ea typeface="仿宋" panose="02010609060101010101" pitchFamily="3" charset="-122"/>
              <a:cs typeface="仿宋" panose="02010609060101010101" pitchFamily="3" charset="-122"/>
              <a:sym typeface="仿宋" panose="02010609060101010101" pitchFamily="3" charset="-122"/>
            </a:endParaRPr>
          </a:p>
          <a:p>
            <a:pPr defTabSz="914400">
              <a:defRPr lang="zh-CN" sz="140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r>
              <a:rPr sz="1200" b="1">
                <a:solidFill>
                  <a:schemeClr val="tx1">
                    <a:lumMod val="65000"/>
                    <a:lumOff val="35000"/>
                  </a:schemeClr>
                </a:solidFill>
                <a:uFillTx/>
                <a:ea typeface="仿宋" panose="02010609060101010101" pitchFamily="3" charset="-122"/>
                <a:cs typeface="仿宋" panose="02010609060101010101" pitchFamily="3" charset="-122"/>
                <a:sym typeface="仿宋" panose="02010609060101010101" pitchFamily="3" charset="-122"/>
              </a:rPr>
              <a:t>金额：万元</a:t>
            </a:r>
            <a:endParaRPr sz="1200" b="1">
              <a:solidFill>
                <a:schemeClr val="tx1">
                  <a:lumMod val="65000"/>
                  <a:lumOff val="35000"/>
                </a:schemeClr>
              </a:solidFill>
              <a:uFillTx/>
              <a:ea typeface="仿宋" panose="02010609060101010101" pitchFamily="3" charset="-122"/>
              <a:cs typeface="仿宋" panose="02010609060101010101" pitchFamily="3" charset="-122"/>
              <a:sym typeface="仿宋" panose="02010609060101010101" pitchFamily="3" charset="-122"/>
            </a:endParaRPr>
          </a:p>
        </c:rich>
      </c:tx>
      <c:layout>
        <c:manualLayout>
          <c:xMode val="edge"/>
          <c:yMode val="edge"/>
          <c:x val="0.2825"/>
          <c:y val="0.0277777777777778"/>
        </c:manualLayout>
      </c:layout>
      <c:overlay val="0"/>
      <c:spPr>
        <a:noFill/>
        <a:ln>
          <a:noFill/>
        </a:ln>
        <a:effectLst/>
      </c:spPr>
    </c:title>
    <c:autoTitleDeleted val="0"/>
    <c:plotArea>
      <c:layout/>
      <c:barChart>
        <c:barDir val="col"/>
        <c:grouping val="clustered"/>
        <c:varyColors val="0"/>
        <c:ser>
          <c:idx val="0"/>
          <c:order val="0"/>
          <c:tx>
            <c:strRef>
              <c:f>'[Chart7 in Wps.xlsx]Sheet1'!$F$12</c:f>
              <c:strCache>
                <c:ptCount val="1"/>
                <c:pt idx="0">
                  <c:v>2019年</c:v>
                </c:pt>
              </c:strCache>
            </c:strRef>
          </c:tx>
          <c:spPr>
            <a:gradFill>
              <a:gsLst>
                <a:gs pos="3896">
                  <a:srgbClr val="F2E6CD"/>
                </a:gs>
                <a:gs pos="97000">
                  <a:srgbClr val="E3B84B"/>
                </a:gs>
              </a:gsLst>
              <a:lin scaled="1"/>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'[Chart7 in Wps.xlsx]Sheet1'!$G$11:$H$11</c:f>
              <c:strCache>
                <c:ptCount val="2"/>
                <c:pt idx="0">
                  <c:v>收入</c:v>
                </c:pt>
                <c:pt idx="1">
                  <c:v>支出</c:v>
                </c:pt>
              </c:strCache>
            </c:strRef>
          </c:cat>
          <c:val>
            <c:numRef>
              <c:f>'[Chart7 in Wps.xlsx]Sheet1'!$G$12:$H$12</c:f>
              <c:numCache>
                <c:formatCode>General</c:formatCode>
                <c:ptCount val="2"/>
                <c:pt idx="0">
                  <c:v>112</c:v>
                </c:pt>
                <c:pt idx="1">
                  <c:v>112</c:v>
                </c:pt>
              </c:numCache>
            </c:numRef>
          </c:val>
        </c:ser>
        <c:ser>
          <c:idx val="1"/>
          <c:order val="1"/>
          <c:tx>
            <c:strRef>
              <c:f>'[Chart7 in Wps.xlsx]Sheet1'!$F$13</c:f>
              <c:strCache>
                <c:ptCount val="1"/>
                <c:pt idx="0">
                  <c:v>2020年</c:v>
                </c:pt>
              </c:strCache>
            </c:strRef>
          </c:tx>
          <c:spPr>
            <a:gradFill>
              <a:gsLst>
                <a:gs pos="100000">
                  <a:schemeClr val="accent6">
                    <a:lumMod val="60000"/>
                    <a:lumOff val="40000"/>
                  </a:schemeClr>
                </a:gs>
                <a:gs pos="0">
                  <a:srgbClr val="0CA451"/>
                </a:gs>
              </a:gsLst>
              <a:path path="circle">
                <a:fillToRect l="100000" t="100000"/>
              </a:path>
              <a:tileRect r="-100000" b="-10000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'[Chart7 in Wps.xlsx]Sheet1'!$G$11:$H$11</c:f>
              <c:strCache>
                <c:ptCount val="2"/>
                <c:pt idx="0">
                  <c:v>收入</c:v>
                </c:pt>
                <c:pt idx="1">
                  <c:v>支出</c:v>
                </c:pt>
              </c:strCache>
            </c:strRef>
          </c:cat>
          <c:val>
            <c:numRef>
              <c:f>'[Chart7 in Wps.xlsx]Sheet1'!$G$13:$H$13</c:f>
              <c:numCache>
                <c:formatCode>General</c:formatCode>
                <c:ptCount val="2"/>
                <c:pt idx="0">
                  <c:v>122.51</c:v>
                </c:pt>
                <c:pt idx="1">
                  <c:v>122.51</c:v>
                </c:pt>
              </c:numCache>
            </c:numRef>
          </c:val>
        </c:ser>
        <c:dLbls>
          <c:showLegendKey val="0"/>
          <c:showVal val="1"/>
          <c:showCatName val="0"/>
          <c:showSerName val="0"/>
          <c:showPercent val="0"/>
          <c:showBubbleSize val="0"/>
        </c:dLbls>
        <c:gapWidth val="219"/>
        <c:overlap val="-27"/>
        <c:axId val="47830986"/>
        <c:axId val="508903535"/>
      </c:barChart>
      <c:catAx>
        <c:axId val="4783098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8903535"/>
        <c:crosses val="autoZero"/>
        <c:auto val="1"/>
        <c:lblAlgn val="ctr"/>
        <c:lblOffset val="100"/>
        <c:noMultiLvlLbl val="0"/>
      </c:catAx>
      <c:valAx>
        <c:axId val="508903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8309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t>支出总体情况</a:t>
            </a:r>
          </a:p>
          <a:p>
            <a:pPr defTabSz="914400">
              <a:defRPr lang="zh-CN" sz="1400" b="0" i="0" u="none" strike="noStrike" kern="1200" spc="0" baseline="0">
                <a:solidFill>
                  <a:schemeClr val="tx1">
                    <a:lumMod val="65000"/>
                    <a:lumOff val="35000"/>
                  </a:schemeClr>
                </a:solidFill>
                <a:latin typeface="+mn-lt"/>
                <a:ea typeface="+mn-ea"/>
                <a:cs typeface="+mn-cs"/>
              </a:defRPr>
            </a:pPr>
            <a:r>
              <a:t>金额：万元</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89722222222222"/>
          <c:y val="0.290222222222222"/>
          <c:w val="0.826222222222222"/>
          <c:h val="0.51862962962963"/>
        </c:manualLayout>
      </c:layout>
      <c:pie3DChart>
        <c:varyColors val="1"/>
        <c:ser>
          <c:idx val="0"/>
          <c:order val="0"/>
          <c:tx>
            <c:strRef>
              <c:f>'[Chart9 in Wps.xlsx]Sheet1'!$G$10</c:f>
              <c:strCache>
                <c:ptCount val="1"/>
                <c:pt idx="0">
                  <c:v>金额</c:v>
                </c:pt>
              </c:strCache>
            </c:strRef>
          </c:tx>
          <c:spPr>
            <a:scene3d>
              <a:camera prst="orthographicFront"/>
              <a:lightRig rig="threePt" dir="t"/>
            </a:scene3d>
            <a:sp3d contourW="25400"/>
          </c:spPr>
          <c:explosion val="0"/>
          <c:dPt>
            <c:idx val="0"/>
            <c:bubble3D val="0"/>
            <c:spPr>
              <a:solidFill>
                <a:srgbClr val="0070C0"/>
              </a:solidFill>
              <a:ln w="25400">
                <a:solidFill>
                  <a:schemeClr val="lt1"/>
                </a:solidFill>
              </a:ln>
              <a:effectLst/>
              <a:scene3d>
                <a:camera prst="orthographicFront"/>
                <a:lightRig rig="threePt" dir="t"/>
              </a:scene3d>
              <a:sp3d contourW="25400"/>
            </c:spPr>
          </c:dPt>
          <c:dPt>
            <c:idx val="1"/>
            <c:bubble3D val="0"/>
            <c:spPr>
              <a:solidFill>
                <a:srgbClr val="FFC000"/>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91.97万元</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814419406107665"/>
                  <c:y val="0.050092160653684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30.54万元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'[Chart9 in Wps.xlsx]Sheet1'!$H$9:$I$9</c:f>
              <c:strCache>
                <c:ptCount val="2"/>
                <c:pt idx="0">
                  <c:v>基本支出</c:v>
                </c:pt>
                <c:pt idx="1">
                  <c:v>项目支出</c:v>
                </c:pt>
              </c:strCache>
            </c:strRef>
          </c:cat>
          <c:val>
            <c:numRef>
              <c:f>'[Chart9 in Wps.xlsx]Sheet1'!$H$10:$I$10</c:f>
              <c:numCache>
                <c:formatCode>General</c:formatCode>
                <c:ptCount val="2"/>
                <c:pt idx="0">
                  <c:v>91.97</c:v>
                </c:pt>
                <c:pt idx="1">
                  <c:v>30.54</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财政拨款收入支出与上年对比情况</a:t>
            </a:r>
          </a:p>
          <a:p>
            <a:pPr defTabSz="914400">
              <a:defRPr lang="zh-CN" sz="1400" b="0" i="0" u="none" strike="noStrike" kern="1200" spc="0" baseline="0">
                <a:solidFill>
                  <a:schemeClr val="tx1">
                    <a:lumMod val="65000"/>
                    <a:lumOff val="35000"/>
                  </a:schemeClr>
                </a:solidFill>
                <a:latin typeface="+mn-lt"/>
                <a:ea typeface="+mn-ea"/>
                <a:cs typeface="+mn-cs"/>
              </a:defRPr>
            </a:pPr>
            <a:r>
              <a:t>金额：万元</a:t>
            </a:r>
          </a:p>
        </c:rich>
      </c:tx>
      <c:layout/>
      <c:overlay val="0"/>
      <c:spPr>
        <a:noFill/>
        <a:ln>
          <a:noFill/>
        </a:ln>
        <a:effectLst/>
      </c:spPr>
    </c:title>
    <c:autoTitleDeleted val="0"/>
    <c:plotArea>
      <c:layout/>
      <c:barChart>
        <c:barDir val="col"/>
        <c:grouping val="clustered"/>
        <c:varyColors val="0"/>
        <c:ser>
          <c:idx val="0"/>
          <c:order val="0"/>
          <c:tx>
            <c:strRef>
              <c:f>'[Chart10 in Wps.xlsx]Sheet1'!$F$10</c:f>
              <c:strCache>
                <c:ptCount val="1"/>
                <c:pt idx="0">
                  <c:v>2019年</c:v>
                </c:pt>
              </c:strCache>
            </c:strRef>
          </c:tx>
          <c:spPr>
            <a:gradFill>
              <a:gsLst>
                <a:gs pos="100000">
                  <a:srgbClr val="F9F8CA"/>
                </a:gs>
                <a:gs pos="6000">
                  <a:srgbClr val="4EAADD"/>
                </a:gs>
              </a:gsLst>
              <a:lin scaled="1"/>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'[Chart10 in Wps.xlsx]Sheet1'!$G$9:$H$9</c:f>
              <c:strCache>
                <c:ptCount val="2"/>
                <c:pt idx="0">
                  <c:v>收入</c:v>
                </c:pt>
                <c:pt idx="1">
                  <c:v>支出</c:v>
                </c:pt>
              </c:strCache>
            </c:strRef>
          </c:cat>
          <c:val>
            <c:numRef>
              <c:f>'[Chart10 in Wps.xlsx]Sheet1'!$G$10:$H$10</c:f>
              <c:numCache>
                <c:formatCode>General</c:formatCode>
                <c:ptCount val="2"/>
                <c:pt idx="0">
                  <c:v>112</c:v>
                </c:pt>
                <c:pt idx="1">
                  <c:v>112</c:v>
                </c:pt>
              </c:numCache>
            </c:numRef>
          </c:val>
        </c:ser>
        <c:ser>
          <c:idx val="1"/>
          <c:order val="1"/>
          <c:tx>
            <c:strRef>
              <c:f>'[Chart10 in Wps.xlsx]Sheet1'!$F$11</c:f>
              <c:strCache>
                <c:ptCount val="1"/>
                <c:pt idx="0">
                  <c:v>2020年</c:v>
                </c:pt>
              </c:strCache>
            </c:strRef>
          </c:tx>
          <c:spPr>
            <a:gradFill>
              <a:gsLst>
                <a:gs pos="100000">
                  <a:schemeClr val="accent6">
                    <a:lumMod val="60000"/>
                    <a:lumOff val="40000"/>
                  </a:schemeClr>
                </a:gs>
                <a:gs pos="0">
                  <a:srgbClr val="0CA451"/>
                </a:gs>
              </a:gsLst>
              <a:path path="circle">
                <a:fillToRect l="100000" t="100000"/>
              </a:path>
              <a:tileRect r="-100000" b="-10000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'[Chart10 in Wps.xlsx]Sheet1'!$G$9:$H$9</c:f>
              <c:strCache>
                <c:ptCount val="2"/>
                <c:pt idx="0">
                  <c:v>收入</c:v>
                </c:pt>
                <c:pt idx="1">
                  <c:v>支出</c:v>
                </c:pt>
              </c:strCache>
            </c:strRef>
          </c:cat>
          <c:val>
            <c:numRef>
              <c:f>'[Chart10 in Wps.xlsx]Sheet1'!$G$11:$H$11</c:f>
              <c:numCache>
                <c:formatCode>General</c:formatCode>
                <c:ptCount val="2"/>
                <c:pt idx="0">
                  <c:v>122.51</c:v>
                </c:pt>
                <c:pt idx="1">
                  <c:v>122.51</c:v>
                </c:pt>
              </c:numCache>
            </c:numRef>
          </c:val>
        </c:ser>
        <c:dLbls>
          <c:showLegendKey val="0"/>
          <c:showVal val="1"/>
          <c:showCatName val="0"/>
          <c:showSerName val="0"/>
          <c:showPercent val="0"/>
          <c:showBubbleSize val="0"/>
        </c:dLbls>
        <c:gapWidth val="219"/>
        <c:overlap val="-27"/>
        <c:axId val="644652862"/>
        <c:axId val="599417349"/>
      </c:barChart>
      <c:catAx>
        <c:axId val="6446528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417349"/>
        <c:crosses val="autoZero"/>
        <c:auto val="1"/>
        <c:lblAlgn val="ctr"/>
        <c:lblOffset val="100"/>
        <c:noMultiLvlLbl val="0"/>
      </c:catAx>
      <c:valAx>
        <c:axId val="5994173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6528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1</TotalTime>
  <ScaleCrop>false</ScaleCrop>
  <LinksUpToDate>false</LinksUpToDate>
  <CharactersWithSpaces>8778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梦回唐朝</cp:lastModifiedBy>
  <cp:lastPrinted>2021-11-05T07:13:00Z</cp:lastPrinted>
  <dcterms:modified xsi:type="dcterms:W3CDTF">2021-11-25T02:28:52Z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9A12013AD27A4DB4B2B93ADD2B4AE959</vt:lpwstr>
  </property>
</Properties>
</file>