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hint="eastAsia" w:eastAsia="宋体"/>
          <w:b/>
          <w:bCs/>
          <w:sz w:val="52"/>
          <w:szCs w:val="52"/>
          <w:lang w:eastAsia="zh-CN"/>
        </w:rPr>
      </w:pPr>
    </w:p>
    <w:p>
      <w:pPr>
        <w:spacing w:line="240" w:lineRule="auto"/>
        <w:ind w:firstLine="0" w:firstLineChars="0"/>
        <w:jc w:val="center"/>
        <w:rPr>
          <w:b/>
          <w:bCs/>
          <w:sz w:val="72"/>
        </w:rPr>
      </w:pPr>
    </w:p>
    <w:p>
      <w:pPr>
        <w:ind w:firstLine="0" w:firstLineChars="0"/>
        <w:jc w:val="center"/>
        <w:rPr>
          <w:b/>
          <w:sz w:val="72"/>
          <w:szCs w:val="72"/>
        </w:rPr>
      </w:pPr>
      <w:r>
        <w:rPr>
          <w:b/>
          <w:sz w:val="72"/>
          <w:szCs w:val="72"/>
        </w:rPr>
        <w:t>建设项目环境影响报告表</w:t>
      </w:r>
    </w:p>
    <w:p>
      <w:pPr>
        <w:ind w:firstLine="883"/>
        <w:jc w:val="center"/>
        <w:rPr>
          <w:b/>
          <w:bCs/>
          <w:sz w:val="32"/>
        </w:rPr>
      </w:pPr>
      <w:r>
        <w:rPr>
          <w:b/>
          <w:sz w:val="44"/>
          <w:szCs w:val="44"/>
        </w:rPr>
        <w:t>（送审稿）</w:t>
      </w:r>
    </w:p>
    <w:p>
      <w:pPr>
        <w:ind w:firstLine="643"/>
        <w:rPr>
          <w:b/>
          <w:bCs/>
          <w:sz w:val="32"/>
        </w:rPr>
      </w:pPr>
    </w:p>
    <w:p>
      <w:pPr>
        <w:ind w:firstLine="643"/>
        <w:rPr>
          <w:b/>
          <w:bCs/>
          <w:sz w:val="32"/>
        </w:rPr>
      </w:pPr>
    </w:p>
    <w:p>
      <w:pPr>
        <w:ind w:firstLine="643"/>
        <w:rPr>
          <w:b/>
          <w:bCs/>
          <w:sz w:val="32"/>
        </w:rPr>
      </w:pPr>
    </w:p>
    <w:p>
      <w:pPr>
        <w:ind w:firstLine="643"/>
        <w:rPr>
          <w:b/>
          <w:bCs/>
          <w:sz w:val="32"/>
        </w:rPr>
      </w:pPr>
    </w:p>
    <w:p>
      <w:pPr>
        <w:ind w:firstLine="643"/>
        <w:rPr>
          <w:b/>
          <w:bCs/>
          <w:sz w:val="32"/>
        </w:rPr>
      </w:pPr>
    </w:p>
    <w:p>
      <w:pPr>
        <w:ind w:firstLine="643"/>
        <w:rPr>
          <w:b/>
          <w:bCs/>
          <w:sz w:val="32"/>
        </w:rPr>
      </w:pPr>
    </w:p>
    <w:p>
      <w:pPr>
        <w:ind w:firstLine="643"/>
        <w:rPr>
          <w:b/>
          <w:bCs/>
          <w:sz w:val="32"/>
        </w:rPr>
      </w:pPr>
    </w:p>
    <w:p>
      <w:pPr>
        <w:ind w:firstLine="0" w:firstLineChars="0"/>
        <w:rPr>
          <w:b/>
          <w:bCs/>
          <w:sz w:val="32"/>
        </w:rPr>
      </w:pPr>
    </w:p>
    <w:p>
      <w:pPr>
        <w:ind w:left="720" w:leftChars="300" w:firstLine="0" w:firstLineChars="0"/>
        <w:rPr>
          <w:rFonts w:hint="eastAsia" w:eastAsia="宋体"/>
          <w:b/>
          <w:bCs/>
          <w:sz w:val="32"/>
          <w:u w:val="single"/>
          <w:lang w:val="en-US" w:eastAsia="zh-CN"/>
        </w:rPr>
      </w:pPr>
      <w:r>
        <w:rPr>
          <w:b/>
          <w:bCs/>
          <w:sz w:val="32"/>
        </w:rPr>
        <w:t>项  目  名  称：</w:t>
      </w:r>
      <w:r>
        <w:rPr>
          <w:rFonts w:hint="eastAsia"/>
          <w:b/>
          <w:bCs/>
          <w:sz w:val="32"/>
          <w:u w:val="single"/>
          <w:lang w:val="en-US" w:eastAsia="zh-CN"/>
        </w:rPr>
        <w:t xml:space="preserve">  陕西润业工贸防冻液生产项目  </w:t>
      </w:r>
    </w:p>
    <w:p>
      <w:pPr>
        <w:ind w:left="720" w:leftChars="300" w:firstLine="0" w:firstLineChars="0"/>
        <w:rPr>
          <w:rFonts w:hint="eastAsia" w:eastAsia="宋体"/>
          <w:sz w:val="32"/>
          <w:szCs w:val="32"/>
          <w:u w:val="single"/>
          <w:lang w:val="en-US" w:eastAsia="zh-CN"/>
        </w:rPr>
      </w:pPr>
      <w:r>
        <w:rPr>
          <w:b/>
          <w:bCs/>
          <w:sz w:val="32"/>
        </w:rPr>
        <w:t>建设单位（盖章）：</w:t>
      </w:r>
      <w:r>
        <w:rPr>
          <w:rFonts w:hint="eastAsia"/>
          <w:b/>
          <w:bCs/>
          <w:sz w:val="32"/>
          <w:u w:val="single"/>
          <w:lang w:eastAsia="zh-CN"/>
        </w:rPr>
        <w:t>陕西润业工贸有限公司</w:t>
      </w:r>
      <w:r>
        <w:rPr>
          <w:rFonts w:hint="eastAsia"/>
          <w:b/>
          <w:bCs/>
          <w:sz w:val="32"/>
          <w:u w:val="single"/>
          <w:lang w:val="en-US" w:eastAsia="zh-CN"/>
        </w:rPr>
        <w:t xml:space="preserve"> </w:t>
      </w:r>
    </w:p>
    <w:p>
      <w:pPr>
        <w:tabs>
          <w:tab w:val="left" w:pos="1560"/>
        </w:tabs>
        <w:ind w:left="720" w:leftChars="300" w:firstLine="0" w:firstLineChars="0"/>
        <w:rPr>
          <w:sz w:val="32"/>
          <w:szCs w:val="32"/>
          <w:u w:val="single"/>
        </w:rPr>
      </w:pPr>
    </w:p>
    <w:p>
      <w:pPr>
        <w:tabs>
          <w:tab w:val="left" w:pos="1560"/>
        </w:tabs>
        <w:ind w:left="720" w:leftChars="300" w:firstLine="0" w:firstLineChars="0"/>
        <w:rPr>
          <w:sz w:val="32"/>
          <w:szCs w:val="32"/>
          <w:u w:val="single"/>
        </w:rPr>
      </w:pPr>
    </w:p>
    <w:p>
      <w:pPr>
        <w:tabs>
          <w:tab w:val="left" w:pos="1560"/>
        </w:tabs>
        <w:ind w:firstLine="0" w:firstLineChars="0"/>
        <w:rPr>
          <w:b/>
          <w:bCs/>
          <w:sz w:val="32"/>
          <w:u w:val="single"/>
        </w:rPr>
      </w:pPr>
    </w:p>
    <w:p>
      <w:pPr>
        <w:tabs>
          <w:tab w:val="left" w:pos="1560"/>
        </w:tabs>
        <w:ind w:firstLine="0" w:firstLineChars="0"/>
        <w:rPr>
          <w:b/>
          <w:bCs/>
          <w:sz w:val="32"/>
          <w:u w:val="single"/>
        </w:rPr>
      </w:pPr>
    </w:p>
    <w:p>
      <w:pPr>
        <w:tabs>
          <w:tab w:val="left" w:pos="1560"/>
        </w:tabs>
        <w:ind w:firstLine="0" w:firstLineChars="0"/>
        <w:rPr>
          <w:b/>
          <w:bCs/>
          <w:sz w:val="32"/>
          <w:u w:val="single"/>
        </w:rPr>
      </w:pPr>
    </w:p>
    <w:p>
      <w:pPr>
        <w:ind w:firstLine="0" w:firstLineChars="0"/>
        <w:jc w:val="center"/>
        <w:rPr>
          <w:b/>
          <w:sz w:val="32"/>
          <w:szCs w:val="24"/>
        </w:rPr>
      </w:pPr>
      <w:r>
        <w:rPr>
          <w:b/>
          <w:sz w:val="32"/>
          <w:szCs w:val="24"/>
        </w:rPr>
        <w:t>编制日期：</w:t>
      </w:r>
      <w:bookmarkStart w:id="0" w:name="OLE_LINK1"/>
      <w:r>
        <w:rPr>
          <w:rFonts w:hint="eastAsia"/>
          <w:b/>
          <w:sz w:val="32"/>
          <w:szCs w:val="24"/>
        </w:rPr>
        <w:t>2018年</w:t>
      </w:r>
      <w:r>
        <w:rPr>
          <w:rFonts w:hint="eastAsia"/>
          <w:b/>
          <w:sz w:val="32"/>
          <w:szCs w:val="24"/>
          <w:lang w:val="en-US" w:eastAsia="zh-CN"/>
        </w:rPr>
        <w:t>12</w:t>
      </w:r>
      <w:bookmarkStart w:id="17" w:name="_GoBack"/>
      <w:bookmarkEnd w:id="17"/>
      <w:r>
        <w:rPr>
          <w:b/>
          <w:sz w:val="32"/>
          <w:szCs w:val="24"/>
        </w:rPr>
        <w:t>月</w:t>
      </w:r>
      <w:bookmarkEnd w:id="0"/>
    </w:p>
    <w:p>
      <w:pPr>
        <w:pStyle w:val="13"/>
      </w:pPr>
    </w:p>
    <w:p>
      <w:pPr>
        <w:pStyle w:val="13"/>
        <w:ind w:firstLine="482"/>
        <w:rPr>
          <w:rFonts w:hint="eastAsia"/>
          <w:sz w:val="24"/>
          <w:szCs w:val="24"/>
        </w:rPr>
      </w:pPr>
      <w:r>
        <w:rPr>
          <w:rFonts w:hint="eastAsia"/>
          <w:sz w:val="24"/>
          <w:szCs w:val="24"/>
        </w:rPr>
        <w:t>目  录</w:t>
      </w:r>
    </w:p>
    <w:p>
      <w:pPr>
        <w:pStyle w:val="13"/>
        <w:keepNext w:val="0"/>
        <w:keepLines w:val="0"/>
        <w:pageBreakBefore w:val="0"/>
        <w:widowControl w:val="0"/>
        <w:kinsoku/>
        <w:wordWrap/>
        <w:overflowPunct/>
        <w:topLinePunct w:val="0"/>
        <w:autoSpaceDE/>
        <w:autoSpaceDN/>
        <w:bidi w:val="0"/>
        <w:adjustRightInd w:val="0"/>
        <w:snapToGrid w:val="0"/>
        <w:ind w:left="60" w:leftChars="25" w:firstLine="482"/>
        <w:textAlignment w:val="auto"/>
        <w:outlineLvl w:val="9"/>
        <w:rPr>
          <w:rStyle w:val="18"/>
          <w:rFonts w:hint="default" w:ascii="Times New Roman" w:hAnsi="Times New Roman" w:eastAsia="宋体" w:cs="Times New Roman"/>
          <w:b w:val="0"/>
          <w:bCs w:val="0"/>
          <w:color w:val="auto"/>
          <w:sz w:val="24"/>
          <w:szCs w:val="24"/>
        </w:rPr>
      </w:pPr>
      <w:r>
        <w:rPr>
          <w:color w:val="FF0000"/>
          <w:sz w:val="24"/>
          <w:szCs w:val="24"/>
        </w:rPr>
        <w:fldChar w:fldCharType="begin"/>
      </w:r>
      <w:r>
        <w:rPr>
          <w:color w:val="FF0000"/>
          <w:sz w:val="24"/>
          <w:szCs w:val="24"/>
        </w:rPr>
        <w:instrText xml:space="preserve"> TOC \o "1-3" \h \z \u </w:instrText>
      </w:r>
      <w:r>
        <w:rPr>
          <w:color w:val="FF0000"/>
          <w:sz w:val="24"/>
          <w:szCs w:val="24"/>
        </w:rPr>
        <w:fldChar w:fldCharType="separate"/>
      </w:r>
      <w:r>
        <w:rPr>
          <w:rStyle w:val="18"/>
          <w:rFonts w:hint="default"/>
          <w:b w:val="0"/>
          <w:bCs w:val="0"/>
          <w:color w:val="auto"/>
          <w:sz w:val="24"/>
          <w:szCs w:val="24"/>
        </w:rPr>
        <w:fldChar w:fldCharType="begin"/>
      </w:r>
      <w:r>
        <w:rPr>
          <w:rStyle w:val="18"/>
          <w:rFonts w:hint="default"/>
          <w:b w:val="0"/>
          <w:bCs w:val="0"/>
          <w:color w:val="auto"/>
          <w:sz w:val="24"/>
          <w:szCs w:val="24"/>
        </w:rPr>
        <w:instrText xml:space="preserve"> HYPERLINK \l "_Toc478030057" </w:instrText>
      </w:r>
      <w:r>
        <w:rPr>
          <w:rStyle w:val="18"/>
          <w:rFonts w:hint="default"/>
          <w:b w:val="0"/>
          <w:bCs w:val="0"/>
          <w:color w:val="auto"/>
          <w:sz w:val="24"/>
          <w:szCs w:val="24"/>
        </w:rPr>
        <w:fldChar w:fldCharType="separate"/>
      </w:r>
      <w:r>
        <w:rPr>
          <w:rStyle w:val="18"/>
          <w:rFonts w:hint="default"/>
          <w:b w:val="0"/>
          <w:bCs w:val="0"/>
          <w:color w:val="auto"/>
          <w:sz w:val="24"/>
          <w:szCs w:val="24"/>
        </w:rPr>
        <w:t>建设项目基本情况</w:t>
      </w:r>
      <w:r>
        <w:rPr>
          <w:rStyle w:val="18"/>
          <w:rFonts w:hint="default"/>
          <w:b w:val="0"/>
          <w:bCs w:val="0"/>
          <w:color w:val="auto"/>
          <w:sz w:val="24"/>
          <w:szCs w:val="24"/>
        </w:rPr>
        <w:tab/>
      </w:r>
      <w:r>
        <w:rPr>
          <w:rStyle w:val="18"/>
          <w:rFonts w:hint="default"/>
          <w:b w:val="0"/>
          <w:bCs w:val="0"/>
          <w:color w:val="auto"/>
          <w:sz w:val="24"/>
          <w:szCs w:val="24"/>
        </w:rPr>
        <w:fldChar w:fldCharType="begin"/>
      </w:r>
      <w:r>
        <w:rPr>
          <w:rStyle w:val="18"/>
          <w:rFonts w:hint="default"/>
          <w:b w:val="0"/>
          <w:bCs w:val="0"/>
          <w:color w:val="auto"/>
          <w:sz w:val="24"/>
          <w:szCs w:val="24"/>
        </w:rPr>
        <w:instrText xml:space="preserve"> PAGEREF _Toc478030057 \h </w:instrText>
      </w:r>
      <w:r>
        <w:rPr>
          <w:rStyle w:val="18"/>
          <w:rFonts w:hint="default"/>
          <w:b w:val="0"/>
          <w:bCs w:val="0"/>
          <w:color w:val="auto"/>
          <w:sz w:val="24"/>
          <w:szCs w:val="24"/>
        </w:rPr>
        <w:fldChar w:fldCharType="separate"/>
      </w:r>
      <w:r>
        <w:rPr>
          <w:rStyle w:val="18"/>
          <w:rFonts w:hint="default"/>
          <w:b w:val="0"/>
          <w:bCs w:val="0"/>
          <w:color w:val="auto"/>
          <w:sz w:val="24"/>
          <w:szCs w:val="24"/>
        </w:rPr>
        <w:t>1</w:t>
      </w:r>
      <w:r>
        <w:rPr>
          <w:rStyle w:val="18"/>
          <w:rFonts w:hint="default"/>
          <w:b w:val="0"/>
          <w:bCs w:val="0"/>
          <w:color w:val="auto"/>
          <w:sz w:val="24"/>
          <w:szCs w:val="24"/>
        </w:rPr>
        <w:fldChar w:fldCharType="end"/>
      </w:r>
      <w:r>
        <w:rPr>
          <w:rStyle w:val="18"/>
          <w:rFonts w:hint="default"/>
          <w:b w:val="0"/>
          <w:bCs w:val="0"/>
          <w:color w:val="auto"/>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b w:val="0"/>
          <w:bCs w:val="0"/>
          <w:sz w:val="24"/>
          <w:szCs w:val="24"/>
        </w:rPr>
      </w:pPr>
      <w:r>
        <w:rPr>
          <w:b w:val="0"/>
          <w:bCs w:val="0"/>
        </w:rPr>
        <w:fldChar w:fldCharType="begin"/>
      </w:r>
      <w:r>
        <w:rPr>
          <w:b w:val="0"/>
          <w:bCs w:val="0"/>
        </w:rPr>
        <w:instrText xml:space="preserve"> HYPERLINK \l "_Toc478030058" </w:instrText>
      </w:r>
      <w:r>
        <w:rPr>
          <w:b w:val="0"/>
          <w:bCs w:val="0"/>
        </w:rPr>
        <w:fldChar w:fldCharType="separate"/>
      </w:r>
      <w:r>
        <w:rPr>
          <w:rStyle w:val="18"/>
          <w:rFonts w:hint="eastAsia"/>
          <w:b w:val="0"/>
          <w:bCs w:val="0"/>
          <w:color w:val="auto"/>
          <w:sz w:val="24"/>
          <w:szCs w:val="24"/>
        </w:rPr>
        <w:t>建设项目所在地自然环境简况</w:t>
      </w:r>
      <w:r>
        <w:rPr>
          <w:b w:val="0"/>
          <w:bCs w:val="0"/>
          <w:sz w:val="24"/>
          <w:szCs w:val="24"/>
        </w:rPr>
        <w:tab/>
      </w:r>
      <w:r>
        <w:rPr>
          <w:b w:val="0"/>
          <w:bCs w:val="0"/>
          <w:sz w:val="24"/>
          <w:szCs w:val="24"/>
        </w:rPr>
        <w:fldChar w:fldCharType="begin"/>
      </w:r>
      <w:r>
        <w:rPr>
          <w:b w:val="0"/>
          <w:bCs w:val="0"/>
          <w:sz w:val="24"/>
          <w:szCs w:val="24"/>
        </w:rPr>
        <w:instrText xml:space="preserve"> PAGEREF _Toc478030058 \h </w:instrText>
      </w:r>
      <w:r>
        <w:rPr>
          <w:b w:val="0"/>
          <w:bCs w:val="0"/>
          <w:sz w:val="24"/>
          <w:szCs w:val="24"/>
        </w:rPr>
        <w:fldChar w:fldCharType="separate"/>
      </w:r>
      <w:r>
        <w:rPr>
          <w:b w:val="0"/>
          <w:bCs w:val="0"/>
          <w:sz w:val="24"/>
          <w:szCs w:val="24"/>
        </w:rPr>
        <w:t>10</w:t>
      </w:r>
      <w:r>
        <w:rPr>
          <w:b w:val="0"/>
          <w:bCs w:val="0"/>
          <w:sz w:val="24"/>
          <w:szCs w:val="24"/>
        </w:rPr>
        <w:fldChar w:fldCharType="end"/>
      </w:r>
      <w:r>
        <w:rPr>
          <w:b w:val="0"/>
          <w:bCs w:val="0"/>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b w:val="0"/>
          <w:bCs w:val="0"/>
          <w:sz w:val="24"/>
          <w:szCs w:val="24"/>
        </w:rPr>
      </w:pPr>
      <w:r>
        <w:rPr>
          <w:b w:val="0"/>
          <w:bCs w:val="0"/>
        </w:rPr>
        <w:fldChar w:fldCharType="begin"/>
      </w:r>
      <w:r>
        <w:rPr>
          <w:b w:val="0"/>
          <w:bCs w:val="0"/>
        </w:rPr>
        <w:instrText xml:space="preserve"> HYPERLINK \l "_Toc478030059" </w:instrText>
      </w:r>
      <w:r>
        <w:rPr>
          <w:b w:val="0"/>
          <w:bCs w:val="0"/>
        </w:rPr>
        <w:fldChar w:fldCharType="separate"/>
      </w:r>
      <w:r>
        <w:rPr>
          <w:rStyle w:val="18"/>
          <w:rFonts w:hint="eastAsia"/>
          <w:b w:val="0"/>
          <w:bCs w:val="0"/>
          <w:color w:val="auto"/>
          <w:sz w:val="24"/>
          <w:szCs w:val="24"/>
        </w:rPr>
        <w:t>环境质量现状</w:t>
      </w:r>
      <w:r>
        <w:rPr>
          <w:b w:val="0"/>
          <w:bCs w:val="0"/>
          <w:sz w:val="24"/>
          <w:szCs w:val="24"/>
        </w:rPr>
        <w:tab/>
      </w:r>
      <w:r>
        <w:rPr>
          <w:b w:val="0"/>
          <w:bCs w:val="0"/>
          <w:sz w:val="24"/>
          <w:szCs w:val="24"/>
        </w:rPr>
        <w:fldChar w:fldCharType="begin"/>
      </w:r>
      <w:r>
        <w:rPr>
          <w:b w:val="0"/>
          <w:bCs w:val="0"/>
          <w:sz w:val="24"/>
          <w:szCs w:val="24"/>
        </w:rPr>
        <w:instrText xml:space="preserve"> PAGEREF _Toc478030059 \h </w:instrText>
      </w:r>
      <w:r>
        <w:rPr>
          <w:b w:val="0"/>
          <w:bCs w:val="0"/>
          <w:sz w:val="24"/>
          <w:szCs w:val="24"/>
        </w:rPr>
        <w:fldChar w:fldCharType="separate"/>
      </w:r>
      <w:r>
        <w:rPr>
          <w:b w:val="0"/>
          <w:bCs w:val="0"/>
          <w:sz w:val="24"/>
          <w:szCs w:val="24"/>
        </w:rPr>
        <w:t>12</w:t>
      </w:r>
      <w:r>
        <w:rPr>
          <w:b w:val="0"/>
          <w:bCs w:val="0"/>
          <w:sz w:val="24"/>
          <w:szCs w:val="24"/>
        </w:rPr>
        <w:fldChar w:fldCharType="end"/>
      </w:r>
      <w:r>
        <w:rPr>
          <w:b w:val="0"/>
          <w:bCs w:val="0"/>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b w:val="0"/>
          <w:bCs w:val="0"/>
          <w:sz w:val="24"/>
          <w:szCs w:val="24"/>
        </w:rPr>
      </w:pPr>
      <w:r>
        <w:rPr>
          <w:b w:val="0"/>
          <w:bCs w:val="0"/>
        </w:rPr>
        <w:fldChar w:fldCharType="begin"/>
      </w:r>
      <w:r>
        <w:rPr>
          <w:b w:val="0"/>
          <w:bCs w:val="0"/>
        </w:rPr>
        <w:instrText xml:space="preserve"> HYPERLINK \l "_Toc478030060" </w:instrText>
      </w:r>
      <w:r>
        <w:rPr>
          <w:b w:val="0"/>
          <w:bCs w:val="0"/>
        </w:rPr>
        <w:fldChar w:fldCharType="separate"/>
      </w:r>
      <w:r>
        <w:rPr>
          <w:rStyle w:val="18"/>
          <w:rFonts w:hint="eastAsia"/>
          <w:b w:val="0"/>
          <w:bCs w:val="0"/>
          <w:color w:val="auto"/>
          <w:sz w:val="24"/>
          <w:szCs w:val="24"/>
        </w:rPr>
        <w:t>评价适用标准</w:t>
      </w:r>
      <w:r>
        <w:rPr>
          <w:b w:val="0"/>
          <w:bCs w:val="0"/>
          <w:sz w:val="24"/>
          <w:szCs w:val="24"/>
        </w:rPr>
        <w:tab/>
      </w:r>
      <w:r>
        <w:rPr>
          <w:b w:val="0"/>
          <w:bCs w:val="0"/>
          <w:sz w:val="24"/>
          <w:szCs w:val="24"/>
        </w:rPr>
        <w:fldChar w:fldCharType="begin"/>
      </w:r>
      <w:r>
        <w:rPr>
          <w:b w:val="0"/>
          <w:bCs w:val="0"/>
          <w:sz w:val="24"/>
          <w:szCs w:val="24"/>
        </w:rPr>
        <w:instrText xml:space="preserve"> PAGEREF _Toc478030060 \h </w:instrText>
      </w:r>
      <w:r>
        <w:rPr>
          <w:b w:val="0"/>
          <w:bCs w:val="0"/>
          <w:sz w:val="24"/>
          <w:szCs w:val="24"/>
        </w:rPr>
        <w:fldChar w:fldCharType="separate"/>
      </w:r>
      <w:r>
        <w:rPr>
          <w:b w:val="0"/>
          <w:bCs w:val="0"/>
          <w:sz w:val="24"/>
          <w:szCs w:val="24"/>
        </w:rPr>
        <w:t>16</w:t>
      </w:r>
      <w:r>
        <w:rPr>
          <w:b w:val="0"/>
          <w:bCs w:val="0"/>
          <w:sz w:val="24"/>
          <w:szCs w:val="24"/>
        </w:rPr>
        <w:fldChar w:fldCharType="end"/>
      </w:r>
      <w:r>
        <w:rPr>
          <w:b w:val="0"/>
          <w:bCs w:val="0"/>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b w:val="0"/>
          <w:bCs w:val="0"/>
          <w:sz w:val="24"/>
          <w:szCs w:val="24"/>
        </w:rPr>
      </w:pPr>
      <w:r>
        <w:rPr>
          <w:b w:val="0"/>
          <w:bCs w:val="0"/>
        </w:rPr>
        <w:fldChar w:fldCharType="begin"/>
      </w:r>
      <w:r>
        <w:rPr>
          <w:b w:val="0"/>
          <w:bCs w:val="0"/>
        </w:rPr>
        <w:instrText xml:space="preserve"> HYPERLINK \l "_Toc478030061" </w:instrText>
      </w:r>
      <w:r>
        <w:rPr>
          <w:b w:val="0"/>
          <w:bCs w:val="0"/>
        </w:rPr>
        <w:fldChar w:fldCharType="separate"/>
      </w:r>
      <w:r>
        <w:rPr>
          <w:rStyle w:val="18"/>
          <w:rFonts w:hint="eastAsia"/>
          <w:b w:val="0"/>
          <w:bCs w:val="0"/>
          <w:color w:val="auto"/>
          <w:sz w:val="24"/>
          <w:szCs w:val="24"/>
        </w:rPr>
        <w:t>建设项目工程分析</w:t>
      </w:r>
      <w:r>
        <w:rPr>
          <w:b w:val="0"/>
          <w:bCs w:val="0"/>
          <w:sz w:val="24"/>
          <w:szCs w:val="24"/>
        </w:rPr>
        <w:tab/>
      </w:r>
      <w:r>
        <w:rPr>
          <w:b w:val="0"/>
          <w:bCs w:val="0"/>
          <w:sz w:val="24"/>
          <w:szCs w:val="24"/>
        </w:rPr>
        <w:fldChar w:fldCharType="begin"/>
      </w:r>
      <w:r>
        <w:rPr>
          <w:b w:val="0"/>
          <w:bCs w:val="0"/>
          <w:sz w:val="24"/>
          <w:szCs w:val="24"/>
        </w:rPr>
        <w:instrText xml:space="preserve"> PAGEREF _Toc478030061 \h </w:instrText>
      </w:r>
      <w:r>
        <w:rPr>
          <w:b w:val="0"/>
          <w:bCs w:val="0"/>
          <w:sz w:val="24"/>
          <w:szCs w:val="24"/>
        </w:rPr>
        <w:fldChar w:fldCharType="separate"/>
      </w:r>
      <w:r>
        <w:rPr>
          <w:b w:val="0"/>
          <w:bCs w:val="0"/>
          <w:sz w:val="24"/>
          <w:szCs w:val="24"/>
        </w:rPr>
        <w:t>19</w:t>
      </w:r>
      <w:r>
        <w:rPr>
          <w:b w:val="0"/>
          <w:bCs w:val="0"/>
          <w:sz w:val="24"/>
          <w:szCs w:val="24"/>
        </w:rPr>
        <w:fldChar w:fldCharType="end"/>
      </w:r>
      <w:r>
        <w:rPr>
          <w:b w:val="0"/>
          <w:bCs w:val="0"/>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b w:val="0"/>
          <w:bCs w:val="0"/>
          <w:sz w:val="24"/>
          <w:szCs w:val="24"/>
        </w:rPr>
      </w:pPr>
      <w:r>
        <w:rPr>
          <w:b w:val="0"/>
          <w:bCs w:val="0"/>
        </w:rPr>
        <w:fldChar w:fldCharType="begin"/>
      </w:r>
      <w:r>
        <w:rPr>
          <w:b w:val="0"/>
          <w:bCs w:val="0"/>
        </w:rPr>
        <w:instrText xml:space="preserve"> HYPERLINK \l "_Toc478030062" </w:instrText>
      </w:r>
      <w:r>
        <w:rPr>
          <w:b w:val="0"/>
          <w:bCs w:val="0"/>
        </w:rPr>
        <w:fldChar w:fldCharType="separate"/>
      </w:r>
      <w:r>
        <w:rPr>
          <w:rStyle w:val="18"/>
          <w:rFonts w:hint="eastAsia"/>
          <w:b w:val="0"/>
          <w:bCs w:val="0"/>
          <w:color w:val="auto"/>
          <w:sz w:val="24"/>
          <w:szCs w:val="24"/>
        </w:rPr>
        <w:t>项目主要污染物产生及预计排放情况</w:t>
      </w:r>
      <w:r>
        <w:rPr>
          <w:b w:val="0"/>
          <w:bCs w:val="0"/>
          <w:sz w:val="24"/>
          <w:szCs w:val="24"/>
        </w:rPr>
        <w:tab/>
      </w:r>
      <w:r>
        <w:rPr>
          <w:b w:val="0"/>
          <w:bCs w:val="0"/>
          <w:sz w:val="24"/>
          <w:szCs w:val="24"/>
        </w:rPr>
        <w:fldChar w:fldCharType="begin"/>
      </w:r>
      <w:r>
        <w:rPr>
          <w:b w:val="0"/>
          <w:bCs w:val="0"/>
          <w:sz w:val="24"/>
          <w:szCs w:val="24"/>
        </w:rPr>
        <w:instrText xml:space="preserve"> PAGEREF _Toc478030062 \h </w:instrText>
      </w:r>
      <w:r>
        <w:rPr>
          <w:b w:val="0"/>
          <w:bCs w:val="0"/>
          <w:sz w:val="24"/>
          <w:szCs w:val="24"/>
        </w:rPr>
        <w:fldChar w:fldCharType="separate"/>
      </w:r>
      <w:r>
        <w:rPr>
          <w:b w:val="0"/>
          <w:bCs w:val="0"/>
          <w:sz w:val="24"/>
          <w:szCs w:val="24"/>
        </w:rPr>
        <w:t>26</w:t>
      </w:r>
      <w:r>
        <w:rPr>
          <w:b w:val="0"/>
          <w:bCs w:val="0"/>
          <w:sz w:val="24"/>
          <w:szCs w:val="24"/>
        </w:rPr>
        <w:fldChar w:fldCharType="end"/>
      </w:r>
      <w:r>
        <w:rPr>
          <w:b w:val="0"/>
          <w:bCs w:val="0"/>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b w:val="0"/>
          <w:bCs w:val="0"/>
          <w:sz w:val="24"/>
          <w:szCs w:val="24"/>
        </w:rPr>
      </w:pPr>
      <w:r>
        <w:rPr>
          <w:b w:val="0"/>
          <w:bCs w:val="0"/>
        </w:rPr>
        <w:fldChar w:fldCharType="begin"/>
      </w:r>
      <w:r>
        <w:rPr>
          <w:b w:val="0"/>
          <w:bCs w:val="0"/>
        </w:rPr>
        <w:instrText xml:space="preserve"> HYPERLINK \l "_Toc478030063" </w:instrText>
      </w:r>
      <w:r>
        <w:rPr>
          <w:b w:val="0"/>
          <w:bCs w:val="0"/>
        </w:rPr>
        <w:fldChar w:fldCharType="separate"/>
      </w:r>
      <w:r>
        <w:rPr>
          <w:rStyle w:val="18"/>
          <w:rFonts w:hint="eastAsia"/>
          <w:b w:val="0"/>
          <w:bCs w:val="0"/>
          <w:color w:val="auto"/>
          <w:sz w:val="24"/>
          <w:szCs w:val="24"/>
        </w:rPr>
        <w:t>环境影响分析</w:t>
      </w:r>
      <w:r>
        <w:rPr>
          <w:b w:val="0"/>
          <w:bCs w:val="0"/>
          <w:sz w:val="24"/>
          <w:szCs w:val="24"/>
        </w:rPr>
        <w:tab/>
      </w:r>
      <w:r>
        <w:rPr>
          <w:b w:val="0"/>
          <w:bCs w:val="0"/>
          <w:sz w:val="24"/>
          <w:szCs w:val="24"/>
        </w:rPr>
        <w:fldChar w:fldCharType="begin"/>
      </w:r>
      <w:r>
        <w:rPr>
          <w:b w:val="0"/>
          <w:bCs w:val="0"/>
          <w:sz w:val="24"/>
          <w:szCs w:val="24"/>
        </w:rPr>
        <w:instrText xml:space="preserve"> PAGEREF _Toc478030063 \h </w:instrText>
      </w:r>
      <w:r>
        <w:rPr>
          <w:b w:val="0"/>
          <w:bCs w:val="0"/>
          <w:sz w:val="24"/>
          <w:szCs w:val="24"/>
        </w:rPr>
        <w:fldChar w:fldCharType="separate"/>
      </w:r>
      <w:r>
        <w:rPr>
          <w:b w:val="0"/>
          <w:bCs w:val="0"/>
          <w:sz w:val="24"/>
          <w:szCs w:val="24"/>
        </w:rPr>
        <w:t>27</w:t>
      </w:r>
      <w:r>
        <w:rPr>
          <w:b w:val="0"/>
          <w:bCs w:val="0"/>
          <w:sz w:val="24"/>
          <w:szCs w:val="24"/>
        </w:rPr>
        <w:fldChar w:fldCharType="end"/>
      </w:r>
      <w:r>
        <w:rPr>
          <w:b w:val="0"/>
          <w:bCs w:val="0"/>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b w:val="0"/>
          <w:bCs w:val="0"/>
          <w:sz w:val="24"/>
          <w:szCs w:val="24"/>
        </w:rPr>
      </w:pPr>
      <w:r>
        <w:rPr>
          <w:b w:val="0"/>
          <w:bCs w:val="0"/>
        </w:rPr>
        <w:fldChar w:fldCharType="begin"/>
      </w:r>
      <w:r>
        <w:rPr>
          <w:b w:val="0"/>
          <w:bCs w:val="0"/>
        </w:rPr>
        <w:instrText xml:space="preserve"> HYPERLINK \l "_Toc478030064" </w:instrText>
      </w:r>
      <w:r>
        <w:rPr>
          <w:b w:val="0"/>
          <w:bCs w:val="0"/>
        </w:rPr>
        <w:fldChar w:fldCharType="separate"/>
      </w:r>
      <w:r>
        <w:rPr>
          <w:rStyle w:val="18"/>
          <w:rFonts w:hint="eastAsia"/>
          <w:b w:val="0"/>
          <w:bCs w:val="0"/>
          <w:color w:val="auto"/>
          <w:sz w:val="24"/>
          <w:szCs w:val="24"/>
        </w:rPr>
        <w:t>建设项目拟采取的防治措施及预期治理效果</w:t>
      </w:r>
      <w:r>
        <w:rPr>
          <w:b w:val="0"/>
          <w:bCs w:val="0"/>
          <w:sz w:val="24"/>
          <w:szCs w:val="24"/>
        </w:rPr>
        <w:tab/>
      </w:r>
      <w:r>
        <w:rPr>
          <w:b w:val="0"/>
          <w:bCs w:val="0"/>
          <w:sz w:val="24"/>
          <w:szCs w:val="24"/>
        </w:rPr>
        <w:fldChar w:fldCharType="begin"/>
      </w:r>
      <w:r>
        <w:rPr>
          <w:b w:val="0"/>
          <w:bCs w:val="0"/>
          <w:sz w:val="24"/>
          <w:szCs w:val="24"/>
        </w:rPr>
        <w:instrText xml:space="preserve"> PAGEREF _Toc478030064 \h </w:instrText>
      </w:r>
      <w:r>
        <w:rPr>
          <w:b w:val="0"/>
          <w:bCs w:val="0"/>
          <w:sz w:val="24"/>
          <w:szCs w:val="24"/>
        </w:rPr>
        <w:fldChar w:fldCharType="separate"/>
      </w:r>
      <w:r>
        <w:rPr>
          <w:b w:val="0"/>
          <w:bCs w:val="0"/>
          <w:sz w:val="24"/>
          <w:szCs w:val="24"/>
        </w:rPr>
        <w:t>40</w:t>
      </w:r>
      <w:r>
        <w:rPr>
          <w:b w:val="0"/>
          <w:bCs w:val="0"/>
          <w:sz w:val="24"/>
          <w:szCs w:val="24"/>
        </w:rPr>
        <w:fldChar w:fldCharType="end"/>
      </w:r>
      <w:r>
        <w:rPr>
          <w:b w:val="0"/>
          <w:bCs w:val="0"/>
          <w:sz w:val="24"/>
          <w:szCs w:val="24"/>
        </w:rPr>
        <w:fldChar w:fldCharType="end"/>
      </w:r>
    </w:p>
    <w:p>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outlineLvl w:val="9"/>
        <w:rPr>
          <w:rFonts w:asciiTheme="minorHAnsi" w:hAnsiTheme="minorHAnsi" w:eastAsiaTheme="minorEastAsia" w:cstheme="minorBidi"/>
          <w:color w:val="FF0000"/>
          <w:sz w:val="24"/>
          <w:szCs w:val="24"/>
        </w:rPr>
      </w:pPr>
      <w:r>
        <w:rPr>
          <w:b w:val="0"/>
          <w:bCs w:val="0"/>
        </w:rPr>
        <w:fldChar w:fldCharType="begin"/>
      </w:r>
      <w:r>
        <w:rPr>
          <w:b w:val="0"/>
          <w:bCs w:val="0"/>
        </w:rPr>
        <w:instrText xml:space="preserve"> HYPERLINK \l "_Toc478030065" </w:instrText>
      </w:r>
      <w:r>
        <w:rPr>
          <w:b w:val="0"/>
          <w:bCs w:val="0"/>
        </w:rPr>
        <w:fldChar w:fldCharType="separate"/>
      </w:r>
      <w:r>
        <w:rPr>
          <w:rStyle w:val="18"/>
          <w:rFonts w:hint="eastAsia"/>
          <w:b w:val="0"/>
          <w:bCs w:val="0"/>
          <w:color w:val="auto"/>
          <w:sz w:val="24"/>
          <w:szCs w:val="24"/>
        </w:rPr>
        <w:t>结论与建议</w:t>
      </w:r>
      <w:r>
        <w:rPr>
          <w:b w:val="0"/>
          <w:bCs w:val="0"/>
          <w:sz w:val="24"/>
          <w:szCs w:val="24"/>
        </w:rPr>
        <w:tab/>
      </w:r>
      <w:r>
        <w:rPr>
          <w:b w:val="0"/>
          <w:bCs w:val="0"/>
          <w:sz w:val="24"/>
          <w:szCs w:val="24"/>
        </w:rPr>
        <w:fldChar w:fldCharType="begin"/>
      </w:r>
      <w:r>
        <w:rPr>
          <w:b w:val="0"/>
          <w:bCs w:val="0"/>
          <w:sz w:val="24"/>
          <w:szCs w:val="24"/>
        </w:rPr>
        <w:instrText xml:space="preserve"> PAGEREF _Toc478030065 \h </w:instrText>
      </w:r>
      <w:r>
        <w:rPr>
          <w:b w:val="0"/>
          <w:bCs w:val="0"/>
          <w:sz w:val="24"/>
          <w:szCs w:val="24"/>
        </w:rPr>
        <w:fldChar w:fldCharType="separate"/>
      </w:r>
      <w:r>
        <w:rPr>
          <w:b w:val="0"/>
          <w:bCs w:val="0"/>
          <w:sz w:val="24"/>
          <w:szCs w:val="24"/>
        </w:rPr>
        <w:t>41</w:t>
      </w:r>
      <w:r>
        <w:rPr>
          <w:b w:val="0"/>
          <w:bCs w:val="0"/>
          <w:sz w:val="24"/>
          <w:szCs w:val="24"/>
        </w:rPr>
        <w:fldChar w:fldCharType="end"/>
      </w:r>
      <w:r>
        <w:rPr>
          <w:b w:val="0"/>
          <w:bCs w:val="0"/>
          <w:sz w:val="24"/>
          <w:szCs w:val="24"/>
        </w:rPr>
        <w:fldChar w:fldCharType="end"/>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rPr>
          <w:b/>
          <w:sz w:val="28"/>
          <w:szCs w:val="28"/>
        </w:rPr>
      </w:pPr>
      <w:r>
        <w:rPr>
          <w:color w:val="FF0000"/>
          <w:szCs w:val="24"/>
        </w:rPr>
        <w:fldChar w:fldCharType="end"/>
      </w:r>
      <w:r>
        <w:rPr>
          <w:rFonts w:hint="eastAsia"/>
          <w:b/>
          <w:sz w:val="28"/>
          <w:szCs w:val="28"/>
        </w:rPr>
        <w:t>附件</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附件1  委托书</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附件2  立项文件</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附件3  土地文件</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rPr>
          <w:rFonts w:hint="eastAsia" w:eastAsia="宋体"/>
          <w:lang w:eastAsia="zh-CN"/>
        </w:rPr>
      </w:pPr>
      <w:r>
        <w:rPr>
          <w:rFonts w:hint="eastAsia"/>
        </w:rPr>
        <w:t xml:space="preserve">附件4  </w:t>
      </w:r>
      <w:r>
        <w:rPr>
          <w:rFonts w:hint="eastAsia"/>
          <w:lang w:eastAsia="zh-CN"/>
        </w:rPr>
        <w:t>租赁合同</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rPr>
          <w:rFonts w:hint="eastAsia" w:eastAsia="宋体"/>
          <w:szCs w:val="22"/>
          <w:lang w:eastAsia="zh-CN"/>
        </w:rPr>
      </w:pPr>
      <w:r>
        <w:rPr>
          <w:rFonts w:hint="eastAsia"/>
          <w:szCs w:val="22"/>
        </w:rPr>
        <w:t xml:space="preserve">附件5  </w:t>
      </w:r>
      <w:r>
        <w:rPr>
          <w:rFonts w:hint="eastAsia"/>
          <w:lang w:eastAsia="zh-CN"/>
        </w:rPr>
        <w:t>监测报告</w:t>
      </w:r>
    </w:p>
    <w:p>
      <w:pPr>
        <w:keepNext w:val="0"/>
        <w:keepLines w:val="0"/>
        <w:pageBreakBefore w:val="0"/>
        <w:widowControl w:val="0"/>
        <w:kinsoku/>
        <w:wordWrap/>
        <w:overflowPunct/>
        <w:topLinePunct w:val="0"/>
        <w:autoSpaceDE/>
        <w:autoSpaceDN/>
        <w:bidi w:val="0"/>
        <w:adjustRightInd w:val="0"/>
        <w:snapToGrid w:val="0"/>
        <w:ind w:firstLine="562" w:firstLineChars="200"/>
        <w:textAlignment w:val="auto"/>
        <w:outlineLvl w:val="9"/>
        <w:rPr>
          <w:b/>
          <w:sz w:val="28"/>
          <w:szCs w:val="28"/>
        </w:rPr>
      </w:pPr>
      <w:r>
        <w:rPr>
          <w:rFonts w:hint="eastAsia"/>
          <w:b/>
          <w:sz w:val="28"/>
          <w:szCs w:val="28"/>
        </w:rPr>
        <w:t>附图</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附图1  地理位置图</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附图2  四至范围图</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 xml:space="preserve">附图3  </w:t>
      </w:r>
      <w:r>
        <w:rPr>
          <w:rFonts w:hint="eastAsia"/>
          <w:lang w:eastAsia="zh-CN"/>
        </w:rPr>
        <w:t>总</w:t>
      </w:r>
      <w:r>
        <w:rPr>
          <w:rFonts w:hint="eastAsia"/>
        </w:rPr>
        <w:t>平面布置图</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附图4  监测点位图</w:t>
      </w:r>
    </w:p>
    <w:p>
      <w:pPr>
        <w:keepNext w:val="0"/>
        <w:keepLines w:val="0"/>
        <w:pageBreakBefore w:val="0"/>
        <w:widowControl w:val="0"/>
        <w:kinsoku/>
        <w:wordWrap/>
        <w:overflowPunct/>
        <w:topLinePunct w:val="0"/>
        <w:autoSpaceDE/>
        <w:autoSpaceDN/>
        <w:bidi w:val="0"/>
        <w:adjustRightInd w:val="0"/>
        <w:snapToGrid w:val="0"/>
        <w:ind w:firstLine="562" w:firstLineChars="200"/>
        <w:textAlignment w:val="auto"/>
        <w:outlineLvl w:val="9"/>
        <w:rPr>
          <w:b/>
          <w:sz w:val="28"/>
          <w:szCs w:val="28"/>
        </w:rPr>
      </w:pPr>
      <w:r>
        <w:rPr>
          <w:rFonts w:hint="eastAsia"/>
          <w:b/>
          <w:sz w:val="28"/>
          <w:szCs w:val="28"/>
        </w:rPr>
        <w:t>附表</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pPr>
      <w:r>
        <w:rPr>
          <w:rFonts w:hint="eastAsia"/>
        </w:rPr>
        <w:t>建设项目环评审批基础信息表</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outlineLvl w:val="9"/>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701" w:left="1588" w:header="851" w:footer="1134" w:gutter="0"/>
          <w:pgBorders>
            <w:top w:val="none" w:sz="0" w:space="0"/>
            <w:left w:val="none" w:sz="0" w:space="0"/>
            <w:bottom w:val="none" w:sz="0" w:space="0"/>
            <w:right w:val="none" w:sz="0" w:space="0"/>
          </w:pgBorders>
          <w:cols w:space="425" w:num="1"/>
          <w:docGrid w:type="lines" w:linePitch="312" w:charSpace="0"/>
        </w:sectPr>
      </w:pPr>
    </w:p>
    <w:p>
      <w:pPr>
        <w:pStyle w:val="23"/>
        <w:outlineLvl w:val="0"/>
      </w:pPr>
      <w:bookmarkStart w:id="1" w:name="_Toc478030057"/>
      <w:r>
        <w:t>建设项目基本情况</w:t>
      </w:r>
      <w:bookmarkEnd w:id="1"/>
    </w:p>
    <w:tbl>
      <w:tblPr>
        <w:tblStyle w:val="20"/>
        <w:tblW w:w="88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3"/>
        <w:gridCol w:w="1124"/>
        <w:gridCol w:w="779"/>
        <w:gridCol w:w="922"/>
        <w:gridCol w:w="1426"/>
        <w:gridCol w:w="368"/>
        <w:gridCol w:w="1290"/>
        <w:gridCol w:w="14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项目名称</w:t>
            </w:r>
          </w:p>
        </w:tc>
        <w:tc>
          <w:tcPr>
            <w:tcW w:w="7362" w:type="dxa"/>
            <w:gridSpan w:val="7"/>
            <w:vAlign w:val="center"/>
          </w:tcPr>
          <w:p>
            <w:pPr>
              <w:spacing w:line="240" w:lineRule="auto"/>
              <w:ind w:firstLine="0" w:firstLineChars="0"/>
              <w:jc w:val="center"/>
              <w:rPr>
                <w:rFonts w:hint="eastAsia" w:eastAsia="宋体"/>
                <w:lang w:eastAsia="zh-CN"/>
              </w:rPr>
            </w:pPr>
            <w:r>
              <w:rPr>
                <w:rFonts w:hint="eastAsia"/>
                <w:lang w:eastAsia="zh-CN"/>
              </w:rPr>
              <w:t>陕西润业工贸防冻液生产项目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建设单位</w:t>
            </w:r>
          </w:p>
        </w:tc>
        <w:tc>
          <w:tcPr>
            <w:tcW w:w="7362" w:type="dxa"/>
            <w:gridSpan w:val="7"/>
            <w:vAlign w:val="center"/>
          </w:tcPr>
          <w:p>
            <w:pPr>
              <w:spacing w:line="240" w:lineRule="auto"/>
              <w:ind w:firstLine="0" w:firstLineChars="0"/>
              <w:jc w:val="center"/>
              <w:rPr>
                <w:rFonts w:hint="eastAsia" w:eastAsia="宋体"/>
                <w:lang w:eastAsia="zh-CN"/>
              </w:rPr>
            </w:pPr>
            <w:r>
              <w:rPr>
                <w:rFonts w:hint="eastAsia"/>
                <w:lang w:eastAsia="zh-CN"/>
              </w:rPr>
              <w:t>陕西润业工贸有限公司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483" w:type="dxa"/>
            <w:vAlign w:val="center"/>
          </w:tcPr>
          <w:p>
            <w:pPr>
              <w:spacing w:line="240" w:lineRule="auto"/>
              <w:ind w:firstLine="0" w:firstLineChars="0"/>
              <w:jc w:val="center"/>
              <w:rPr>
                <w:b/>
                <w:bCs/>
              </w:rPr>
            </w:pPr>
            <w:r>
              <w:rPr>
                <w:b/>
                <w:bCs/>
              </w:rPr>
              <w:t>法人代表</w:t>
            </w:r>
          </w:p>
        </w:tc>
        <w:tc>
          <w:tcPr>
            <w:tcW w:w="2825" w:type="dxa"/>
            <w:gridSpan w:val="3"/>
            <w:vAlign w:val="center"/>
          </w:tcPr>
          <w:p>
            <w:pPr>
              <w:spacing w:line="240" w:lineRule="auto"/>
              <w:ind w:firstLine="0" w:firstLineChars="0"/>
              <w:jc w:val="center"/>
              <w:rPr>
                <w:rFonts w:hint="eastAsia" w:eastAsia="宋体"/>
                <w:lang w:eastAsia="zh-CN"/>
              </w:rPr>
            </w:pPr>
            <w:r>
              <w:rPr>
                <w:rFonts w:hint="eastAsia"/>
                <w:lang w:eastAsia="zh-CN"/>
              </w:rPr>
              <w:t>高丽云</w:t>
            </w:r>
          </w:p>
        </w:tc>
        <w:tc>
          <w:tcPr>
            <w:tcW w:w="1794" w:type="dxa"/>
            <w:gridSpan w:val="2"/>
            <w:vAlign w:val="center"/>
          </w:tcPr>
          <w:p>
            <w:pPr>
              <w:spacing w:line="240" w:lineRule="auto"/>
              <w:ind w:firstLine="0" w:firstLineChars="0"/>
              <w:jc w:val="center"/>
            </w:pPr>
            <w:r>
              <w:rPr>
                <w:b/>
                <w:bCs/>
              </w:rPr>
              <w:t>联系人</w:t>
            </w:r>
          </w:p>
        </w:tc>
        <w:tc>
          <w:tcPr>
            <w:tcW w:w="2743" w:type="dxa"/>
            <w:gridSpan w:val="2"/>
            <w:vAlign w:val="center"/>
          </w:tcPr>
          <w:p>
            <w:pPr>
              <w:spacing w:line="240" w:lineRule="auto"/>
              <w:ind w:firstLine="0" w:firstLineChars="0"/>
              <w:jc w:val="center"/>
              <w:rPr>
                <w:rFonts w:hint="eastAsia" w:eastAsia="宋体"/>
                <w:lang w:eastAsia="zh-CN"/>
              </w:rPr>
            </w:pPr>
            <w:r>
              <w:rPr>
                <w:rFonts w:hint="eastAsia"/>
                <w:lang w:eastAsia="zh-CN"/>
              </w:rPr>
              <w:t>高丽云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通讯地址</w:t>
            </w:r>
          </w:p>
        </w:tc>
        <w:tc>
          <w:tcPr>
            <w:tcW w:w="7362" w:type="dxa"/>
            <w:gridSpan w:val="7"/>
            <w:vAlign w:val="center"/>
          </w:tcPr>
          <w:p>
            <w:pPr>
              <w:spacing w:line="240" w:lineRule="auto"/>
              <w:ind w:firstLine="0" w:firstLineChars="0"/>
              <w:jc w:val="center"/>
              <w:rPr>
                <w:rFonts w:hint="eastAsia" w:eastAsia="宋体"/>
                <w:lang w:eastAsia="zh-CN"/>
              </w:rPr>
            </w:pPr>
            <w:r>
              <w:rPr>
                <w:rFonts w:hint="eastAsia"/>
                <w:lang w:eastAsia="zh-CN"/>
              </w:rPr>
              <w:t>陕西省西咸新区泾河新城永乐镇铁孟村18号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联系电话</w:t>
            </w:r>
          </w:p>
        </w:tc>
        <w:tc>
          <w:tcPr>
            <w:tcW w:w="1903" w:type="dxa"/>
            <w:gridSpan w:val="2"/>
            <w:vAlign w:val="center"/>
          </w:tcPr>
          <w:p>
            <w:pPr>
              <w:spacing w:line="240" w:lineRule="auto"/>
              <w:ind w:firstLine="0" w:firstLineChars="0"/>
              <w:jc w:val="center"/>
              <w:rPr>
                <w:rFonts w:hint="eastAsia"/>
                <w:szCs w:val="22"/>
                <w:lang w:val="en-US" w:eastAsia="zh-CN"/>
              </w:rPr>
            </w:pPr>
            <w:r>
              <w:rPr>
                <w:rFonts w:hint="eastAsia"/>
                <w:szCs w:val="22"/>
                <w:lang w:eastAsia="zh-CN"/>
              </w:rPr>
              <w:t>1</w:t>
            </w:r>
            <w:r>
              <w:rPr>
                <w:rFonts w:hint="eastAsia"/>
                <w:szCs w:val="22"/>
                <w:lang w:val="en-US" w:eastAsia="zh-CN"/>
              </w:rPr>
              <w:t>5332360797</w:t>
            </w:r>
          </w:p>
        </w:tc>
        <w:tc>
          <w:tcPr>
            <w:tcW w:w="922" w:type="dxa"/>
            <w:vAlign w:val="center"/>
          </w:tcPr>
          <w:p>
            <w:pPr>
              <w:spacing w:line="240" w:lineRule="auto"/>
              <w:ind w:firstLine="0" w:firstLineChars="0"/>
              <w:jc w:val="center"/>
              <w:rPr>
                <w:rFonts w:hint="eastAsia"/>
                <w:szCs w:val="22"/>
                <w:lang w:eastAsia="zh-CN"/>
              </w:rPr>
            </w:pPr>
            <w:r>
              <w:rPr>
                <w:rFonts w:hint="eastAsia"/>
                <w:szCs w:val="22"/>
                <w:lang w:eastAsia="zh-CN"/>
              </w:rPr>
              <w:t>传真</w:t>
            </w:r>
          </w:p>
        </w:tc>
        <w:tc>
          <w:tcPr>
            <w:tcW w:w="1794" w:type="dxa"/>
            <w:gridSpan w:val="2"/>
            <w:vAlign w:val="center"/>
          </w:tcPr>
          <w:p>
            <w:pPr>
              <w:spacing w:line="240" w:lineRule="auto"/>
              <w:ind w:firstLine="0" w:firstLineChars="0"/>
              <w:jc w:val="center"/>
            </w:pPr>
            <w:r>
              <w:rPr>
                <w:rFonts w:hint="eastAsia"/>
              </w:rPr>
              <w:t>/</w:t>
            </w:r>
          </w:p>
        </w:tc>
        <w:tc>
          <w:tcPr>
            <w:tcW w:w="1290" w:type="dxa"/>
            <w:vAlign w:val="center"/>
          </w:tcPr>
          <w:p>
            <w:pPr>
              <w:spacing w:line="240" w:lineRule="auto"/>
              <w:ind w:firstLine="0" w:firstLineChars="0"/>
              <w:jc w:val="center"/>
            </w:pPr>
            <w:r>
              <w:rPr>
                <w:b/>
                <w:bCs/>
              </w:rPr>
              <w:t>邮政编码</w:t>
            </w:r>
          </w:p>
        </w:tc>
        <w:tc>
          <w:tcPr>
            <w:tcW w:w="1453" w:type="dxa"/>
            <w:vAlign w:val="center"/>
          </w:tcPr>
          <w:p>
            <w:pPr>
              <w:spacing w:line="240" w:lineRule="auto"/>
              <w:ind w:firstLine="0" w:firstLineChars="0"/>
              <w:jc w:val="center"/>
            </w:pPr>
            <w:r>
              <w:rPr>
                <w:rFonts w:hint="eastAsia"/>
              </w:rPr>
              <w:t>713700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highlight w:val="yellow"/>
              </w:rPr>
            </w:pPr>
            <w:r>
              <w:rPr>
                <w:b/>
                <w:bCs/>
              </w:rPr>
              <w:t>建设地点</w:t>
            </w:r>
          </w:p>
        </w:tc>
        <w:tc>
          <w:tcPr>
            <w:tcW w:w="7362" w:type="dxa"/>
            <w:gridSpan w:val="7"/>
            <w:vAlign w:val="center"/>
          </w:tcPr>
          <w:p>
            <w:pPr>
              <w:spacing w:line="240" w:lineRule="auto"/>
              <w:ind w:firstLine="0" w:firstLineChars="0"/>
              <w:jc w:val="center"/>
              <w:rPr>
                <w:rFonts w:hint="eastAsia" w:eastAsia="宋体"/>
                <w:highlight w:val="yellow"/>
                <w:lang w:eastAsia="zh-CN"/>
              </w:rPr>
            </w:pPr>
            <w:r>
              <w:rPr>
                <w:rFonts w:hint="eastAsia"/>
                <w:lang w:eastAsia="zh-CN"/>
              </w:rPr>
              <w:t>陕西省西咸新区泾河新城永乐镇铁孟村18号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立项审批</w:t>
            </w:r>
          </w:p>
          <w:p>
            <w:pPr>
              <w:spacing w:line="240" w:lineRule="auto"/>
              <w:ind w:firstLine="0" w:firstLineChars="0"/>
              <w:jc w:val="center"/>
              <w:rPr>
                <w:b/>
                <w:bCs/>
              </w:rPr>
            </w:pPr>
            <w:r>
              <w:rPr>
                <w:b/>
                <w:bCs/>
              </w:rPr>
              <w:t>部门</w:t>
            </w:r>
          </w:p>
        </w:tc>
        <w:tc>
          <w:tcPr>
            <w:tcW w:w="2825" w:type="dxa"/>
            <w:gridSpan w:val="3"/>
            <w:vAlign w:val="center"/>
          </w:tcPr>
          <w:p>
            <w:pPr>
              <w:spacing w:line="240" w:lineRule="auto"/>
              <w:ind w:firstLine="0" w:firstLineChars="0"/>
              <w:jc w:val="center"/>
              <w:rPr>
                <w:rFonts w:hint="eastAsia" w:eastAsia="宋体"/>
                <w:lang w:eastAsia="zh-CN"/>
              </w:rPr>
            </w:pPr>
            <w:r>
              <w:rPr>
                <w:rFonts w:hint="eastAsia"/>
                <w:lang w:eastAsia="zh-CN"/>
              </w:rPr>
              <w:t>泾河新城行政审批局</w:t>
            </w:r>
          </w:p>
        </w:tc>
        <w:tc>
          <w:tcPr>
            <w:tcW w:w="1426" w:type="dxa"/>
            <w:vAlign w:val="center"/>
          </w:tcPr>
          <w:p>
            <w:pPr>
              <w:spacing w:line="240" w:lineRule="auto"/>
              <w:ind w:firstLine="0" w:firstLineChars="0"/>
              <w:jc w:val="center"/>
              <w:rPr>
                <w:b/>
                <w:bCs/>
              </w:rPr>
            </w:pPr>
            <w:r>
              <w:rPr>
                <w:b/>
                <w:bCs/>
              </w:rPr>
              <w:t>批准文号</w:t>
            </w:r>
          </w:p>
        </w:tc>
        <w:tc>
          <w:tcPr>
            <w:tcW w:w="3111" w:type="dxa"/>
            <w:gridSpan w:val="3"/>
            <w:vAlign w:val="center"/>
          </w:tcPr>
          <w:p>
            <w:pPr>
              <w:spacing w:line="240" w:lineRule="auto"/>
              <w:ind w:firstLine="0" w:firstLineChars="0"/>
              <w:jc w:val="center"/>
              <w:rPr>
                <w:rFonts w:hint="eastAsia" w:eastAsia="宋体"/>
                <w:lang w:val="en-US" w:eastAsia="zh-CN"/>
              </w:rPr>
            </w:pPr>
            <w:r>
              <w:t>2018-61</w:t>
            </w:r>
            <w:r>
              <w:rPr>
                <w:rFonts w:hint="eastAsia"/>
                <w:lang w:val="en-US" w:eastAsia="zh-CN"/>
              </w:rPr>
              <w:t>1206</w:t>
            </w:r>
            <w:r>
              <w:t>-</w:t>
            </w:r>
            <w:r>
              <w:rPr>
                <w:rFonts w:hint="eastAsia"/>
                <w:lang w:val="en-US" w:eastAsia="zh-CN"/>
              </w:rPr>
              <w:t>26</w:t>
            </w:r>
            <w:r>
              <w:t>-03-</w:t>
            </w:r>
            <w:r>
              <w:rPr>
                <w:rFonts w:hint="eastAsia"/>
              </w:rPr>
              <w:t>03</w:t>
            </w:r>
            <w:r>
              <w:rPr>
                <w:rFonts w:hint="eastAsia"/>
                <w:lang w:val="en-US" w:eastAsia="zh-CN"/>
              </w:rPr>
              <w:t>8190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建设性质</w:t>
            </w:r>
          </w:p>
        </w:tc>
        <w:tc>
          <w:tcPr>
            <w:tcW w:w="2825" w:type="dxa"/>
            <w:gridSpan w:val="3"/>
            <w:vAlign w:val="center"/>
          </w:tcPr>
          <w:p>
            <w:pPr>
              <w:spacing w:line="240" w:lineRule="auto"/>
              <w:ind w:firstLine="0" w:firstLineChars="0"/>
              <w:jc w:val="center"/>
            </w:pPr>
            <w:r>
              <w:t>■新建</w:t>
            </w:r>
            <w:r>
              <w:rPr/>
              <w:sym w:font="Wingdings 2" w:char="00A3"/>
            </w:r>
            <w:r>
              <w:t>改扩建□技改</w:t>
            </w:r>
          </w:p>
        </w:tc>
        <w:tc>
          <w:tcPr>
            <w:tcW w:w="1426" w:type="dxa"/>
            <w:vAlign w:val="center"/>
          </w:tcPr>
          <w:p>
            <w:pPr>
              <w:spacing w:line="240" w:lineRule="auto"/>
              <w:ind w:firstLine="0" w:firstLineChars="0"/>
              <w:jc w:val="center"/>
              <w:rPr>
                <w:b/>
                <w:bCs/>
              </w:rPr>
            </w:pPr>
            <w:r>
              <w:rPr>
                <w:b/>
                <w:bCs/>
              </w:rPr>
              <w:t>行业类别</w:t>
            </w:r>
          </w:p>
          <w:p>
            <w:pPr>
              <w:spacing w:line="240" w:lineRule="auto"/>
              <w:ind w:firstLine="0" w:firstLineChars="0"/>
              <w:jc w:val="center"/>
              <w:rPr>
                <w:b/>
                <w:bCs/>
              </w:rPr>
            </w:pPr>
            <w:r>
              <w:rPr>
                <w:b/>
                <w:bCs/>
              </w:rPr>
              <w:t>及代码</w:t>
            </w:r>
          </w:p>
        </w:tc>
        <w:tc>
          <w:tcPr>
            <w:tcW w:w="3111" w:type="dxa"/>
            <w:gridSpan w:val="3"/>
            <w:vAlign w:val="center"/>
          </w:tcPr>
          <w:p>
            <w:pPr>
              <w:spacing w:line="240" w:lineRule="auto"/>
              <w:ind w:firstLine="0" w:firstLineChars="0"/>
              <w:jc w:val="center"/>
            </w:pPr>
            <w:r>
              <w:rPr>
                <w:rFonts w:hint="eastAsia"/>
              </w:rPr>
              <w:t>C</w:t>
            </w:r>
            <w:r>
              <w:rPr>
                <w:rFonts w:hint="eastAsia"/>
                <w:lang w:val="en-US" w:eastAsia="zh-CN"/>
              </w:rPr>
              <w:t>2669</w:t>
            </w:r>
            <w:r>
              <w:rPr>
                <w:rFonts w:hint="eastAsia"/>
                <w:lang w:eastAsia="zh-CN"/>
              </w:rPr>
              <w:t>其他专用化学产品</w:t>
            </w:r>
            <w:r>
              <w:rPr>
                <w:rFonts w:hint="eastAsia"/>
              </w:rPr>
              <w:t>制造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占地面积</w:t>
            </w:r>
          </w:p>
          <w:p>
            <w:pPr>
              <w:spacing w:line="240" w:lineRule="auto"/>
              <w:ind w:firstLine="0" w:firstLineChars="0"/>
              <w:jc w:val="center"/>
              <w:rPr>
                <w:b/>
                <w:bCs/>
              </w:rPr>
            </w:pPr>
            <w:r>
              <w:rPr>
                <w:b/>
                <w:bCs/>
              </w:rPr>
              <w:t>（平方米）</w:t>
            </w:r>
          </w:p>
        </w:tc>
        <w:tc>
          <w:tcPr>
            <w:tcW w:w="2825" w:type="dxa"/>
            <w:gridSpan w:val="3"/>
            <w:vAlign w:val="center"/>
          </w:tcPr>
          <w:p>
            <w:pPr>
              <w:spacing w:line="240" w:lineRule="auto"/>
              <w:ind w:firstLine="0" w:firstLineChars="0"/>
              <w:jc w:val="center"/>
              <w:rPr>
                <w:rFonts w:hint="eastAsia" w:eastAsia="宋体"/>
                <w:lang w:val="en-US" w:eastAsia="zh-CN"/>
              </w:rPr>
            </w:pPr>
            <w:r>
              <w:rPr>
                <w:rFonts w:hint="eastAsia"/>
                <w:color w:val="auto"/>
                <w:lang w:val="en-US" w:eastAsia="zh-CN"/>
              </w:rPr>
              <w:t>3300</w:t>
            </w:r>
          </w:p>
        </w:tc>
        <w:tc>
          <w:tcPr>
            <w:tcW w:w="1426" w:type="dxa"/>
            <w:vAlign w:val="center"/>
          </w:tcPr>
          <w:p>
            <w:pPr>
              <w:spacing w:line="240" w:lineRule="auto"/>
              <w:ind w:firstLine="0" w:firstLineChars="0"/>
              <w:jc w:val="center"/>
              <w:rPr>
                <w:b/>
                <w:bCs/>
                <w:highlight w:val="none"/>
              </w:rPr>
            </w:pPr>
            <w:r>
              <w:rPr>
                <w:b/>
                <w:bCs/>
                <w:highlight w:val="none"/>
              </w:rPr>
              <w:t>绿化面积</w:t>
            </w:r>
          </w:p>
          <w:p>
            <w:pPr>
              <w:spacing w:line="240" w:lineRule="auto"/>
              <w:ind w:firstLine="0" w:firstLineChars="0"/>
              <w:jc w:val="center"/>
              <w:rPr>
                <w:b/>
                <w:bCs/>
                <w:highlight w:val="none"/>
              </w:rPr>
            </w:pPr>
            <w:r>
              <w:rPr>
                <w:b/>
                <w:bCs/>
                <w:highlight w:val="none"/>
              </w:rPr>
              <w:t>（平方米）</w:t>
            </w:r>
          </w:p>
        </w:tc>
        <w:tc>
          <w:tcPr>
            <w:tcW w:w="3111" w:type="dxa"/>
            <w:gridSpan w:val="3"/>
            <w:vAlign w:val="center"/>
          </w:tcPr>
          <w:p>
            <w:pPr>
              <w:spacing w:line="240" w:lineRule="auto"/>
              <w:ind w:firstLine="0" w:firstLineChars="0"/>
              <w:jc w:val="center"/>
              <w:rPr>
                <w:rFonts w:hint="eastAsia" w:eastAsia="宋体"/>
                <w:highlight w:val="none"/>
                <w:lang w:val="en-US" w:eastAsia="zh-CN"/>
              </w:rPr>
            </w:pPr>
            <w:r>
              <w:rPr>
                <w:rFonts w:hint="eastAsia"/>
                <w:color w:val="0000FF"/>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总投资</w:t>
            </w:r>
          </w:p>
          <w:p>
            <w:pPr>
              <w:spacing w:line="240" w:lineRule="auto"/>
              <w:ind w:firstLine="0" w:firstLineChars="0"/>
              <w:jc w:val="center"/>
              <w:rPr>
                <w:b/>
                <w:bCs/>
              </w:rPr>
            </w:pPr>
            <w:r>
              <w:rPr>
                <w:b/>
                <w:bCs/>
              </w:rPr>
              <w:t>（万元）</w:t>
            </w:r>
          </w:p>
        </w:tc>
        <w:tc>
          <w:tcPr>
            <w:tcW w:w="1124" w:type="dxa"/>
            <w:vAlign w:val="center"/>
          </w:tcPr>
          <w:p>
            <w:pPr>
              <w:spacing w:line="240" w:lineRule="auto"/>
              <w:ind w:firstLine="0" w:firstLineChars="0"/>
              <w:jc w:val="center"/>
            </w:pPr>
            <w:r>
              <w:rPr>
                <w:rFonts w:hint="eastAsia"/>
              </w:rPr>
              <w:t>100</w:t>
            </w:r>
          </w:p>
        </w:tc>
        <w:tc>
          <w:tcPr>
            <w:tcW w:w="1701" w:type="dxa"/>
            <w:gridSpan w:val="2"/>
            <w:vAlign w:val="center"/>
          </w:tcPr>
          <w:p>
            <w:pPr>
              <w:spacing w:line="240" w:lineRule="auto"/>
              <w:ind w:firstLine="0" w:firstLineChars="0"/>
              <w:jc w:val="center"/>
            </w:pPr>
            <w:r>
              <w:t>其中：环保投资（万元）</w:t>
            </w:r>
          </w:p>
        </w:tc>
        <w:tc>
          <w:tcPr>
            <w:tcW w:w="1426" w:type="dxa"/>
            <w:vAlign w:val="center"/>
          </w:tcPr>
          <w:p>
            <w:pPr>
              <w:spacing w:line="240" w:lineRule="auto"/>
              <w:ind w:firstLine="0" w:firstLineChars="0"/>
              <w:jc w:val="center"/>
              <w:rPr>
                <w:rFonts w:hint="eastAsia" w:eastAsia="宋体"/>
                <w:color w:val="auto"/>
                <w:lang w:val="en-US" w:eastAsia="zh-CN"/>
              </w:rPr>
            </w:pPr>
            <w:r>
              <w:rPr>
                <w:rFonts w:hint="eastAsia"/>
                <w:color w:val="auto"/>
                <w:lang w:val="en-US" w:eastAsia="zh-CN"/>
              </w:rPr>
              <w:t>13.5</w:t>
            </w:r>
          </w:p>
        </w:tc>
        <w:tc>
          <w:tcPr>
            <w:tcW w:w="1658" w:type="dxa"/>
            <w:gridSpan w:val="2"/>
            <w:vAlign w:val="center"/>
          </w:tcPr>
          <w:p>
            <w:pPr>
              <w:spacing w:line="240" w:lineRule="auto"/>
              <w:ind w:firstLine="0" w:firstLineChars="0"/>
              <w:jc w:val="center"/>
              <w:rPr>
                <w:color w:val="auto"/>
              </w:rPr>
            </w:pPr>
            <w:r>
              <w:rPr>
                <w:color w:val="auto"/>
              </w:rPr>
              <w:t>环保投资占总投资比例</w:t>
            </w:r>
          </w:p>
        </w:tc>
        <w:tc>
          <w:tcPr>
            <w:tcW w:w="1453" w:type="dxa"/>
            <w:vAlign w:val="center"/>
          </w:tcPr>
          <w:p>
            <w:pPr>
              <w:spacing w:line="240" w:lineRule="auto"/>
              <w:ind w:firstLine="0" w:firstLineChars="0"/>
              <w:jc w:val="center"/>
              <w:rPr>
                <w:rFonts w:hint="eastAsia" w:eastAsia="宋体"/>
                <w:color w:val="auto"/>
                <w:lang w:val="en-US" w:eastAsia="zh-CN"/>
              </w:rPr>
            </w:pPr>
            <w:r>
              <w:rPr>
                <w:rFonts w:hint="eastAsia"/>
                <w:color w:val="auto"/>
                <w:lang w:val="en-US" w:eastAsia="zh-CN"/>
              </w:rPr>
              <w:t>13.5%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3" w:type="dxa"/>
            <w:vAlign w:val="center"/>
          </w:tcPr>
          <w:p>
            <w:pPr>
              <w:spacing w:line="240" w:lineRule="auto"/>
              <w:ind w:firstLine="0" w:firstLineChars="0"/>
              <w:jc w:val="center"/>
              <w:rPr>
                <w:b/>
                <w:bCs/>
              </w:rPr>
            </w:pPr>
            <w:r>
              <w:rPr>
                <w:b/>
                <w:bCs/>
              </w:rPr>
              <w:t>评价经费</w:t>
            </w:r>
          </w:p>
          <w:p>
            <w:pPr>
              <w:spacing w:line="240" w:lineRule="auto"/>
              <w:ind w:firstLine="0" w:firstLineChars="0"/>
              <w:jc w:val="center"/>
              <w:rPr>
                <w:b/>
                <w:bCs/>
              </w:rPr>
            </w:pPr>
            <w:r>
              <w:rPr>
                <w:b/>
                <w:bCs/>
              </w:rPr>
              <w:t>（万元）</w:t>
            </w:r>
          </w:p>
        </w:tc>
        <w:tc>
          <w:tcPr>
            <w:tcW w:w="2825" w:type="dxa"/>
            <w:gridSpan w:val="3"/>
            <w:vAlign w:val="center"/>
          </w:tcPr>
          <w:p>
            <w:pPr>
              <w:spacing w:line="240" w:lineRule="auto"/>
              <w:ind w:firstLine="0" w:firstLineChars="0"/>
              <w:jc w:val="center"/>
            </w:pPr>
            <w:r>
              <w:rPr>
                <w:rFonts w:hint="eastAsia"/>
              </w:rPr>
              <w:t>/</w:t>
            </w:r>
          </w:p>
        </w:tc>
        <w:tc>
          <w:tcPr>
            <w:tcW w:w="1426" w:type="dxa"/>
            <w:vAlign w:val="center"/>
          </w:tcPr>
          <w:p>
            <w:pPr>
              <w:spacing w:line="240" w:lineRule="auto"/>
              <w:ind w:firstLine="0" w:firstLineChars="0"/>
              <w:jc w:val="center"/>
              <w:rPr>
                <w:b/>
                <w:bCs/>
                <w:highlight w:val="none"/>
              </w:rPr>
            </w:pPr>
            <w:r>
              <w:rPr>
                <w:rFonts w:hint="eastAsia"/>
                <w:b/>
                <w:bCs/>
                <w:highlight w:val="none"/>
                <w:lang w:eastAsia="zh-CN"/>
              </w:rPr>
              <w:t>预期</w:t>
            </w:r>
            <w:r>
              <w:rPr>
                <w:b/>
                <w:bCs/>
                <w:highlight w:val="none"/>
              </w:rPr>
              <w:t>投产</w:t>
            </w:r>
          </w:p>
          <w:p>
            <w:pPr>
              <w:spacing w:line="240" w:lineRule="auto"/>
              <w:ind w:firstLine="0" w:firstLineChars="0"/>
              <w:jc w:val="center"/>
              <w:rPr>
                <w:highlight w:val="none"/>
              </w:rPr>
            </w:pPr>
            <w:r>
              <w:rPr>
                <w:b/>
                <w:bCs/>
                <w:highlight w:val="none"/>
              </w:rPr>
              <w:t>日期</w:t>
            </w:r>
          </w:p>
        </w:tc>
        <w:tc>
          <w:tcPr>
            <w:tcW w:w="3111" w:type="dxa"/>
            <w:gridSpan w:val="3"/>
            <w:vAlign w:val="center"/>
          </w:tcPr>
          <w:p>
            <w:pPr>
              <w:spacing w:line="240" w:lineRule="auto"/>
              <w:ind w:firstLine="0" w:firstLineChars="0"/>
              <w:jc w:val="center"/>
              <w:rPr>
                <w:rFonts w:hint="eastAsia" w:eastAsia="宋体"/>
                <w:highlight w:val="none"/>
                <w:lang w:val="en-US" w:eastAsia="zh-CN"/>
              </w:rPr>
            </w:pPr>
            <w:r>
              <w:rPr>
                <w:rFonts w:hint="eastAsia"/>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8845" w:type="dxa"/>
            <w:gridSpan w:val="8"/>
          </w:tcPr>
          <w:p>
            <w:pPr>
              <w:ind w:firstLine="0" w:firstLineChars="0"/>
              <w:rPr>
                <w:b/>
              </w:rPr>
            </w:pPr>
            <w:r>
              <w:rPr>
                <w:rFonts w:hint="eastAsia"/>
                <w:b/>
              </w:rPr>
              <w:t>一、概述</w:t>
            </w:r>
          </w:p>
          <w:p>
            <w:pPr>
              <w:ind w:firstLine="482"/>
              <w:jc w:val="left"/>
              <w:rPr>
                <w:b/>
              </w:rPr>
            </w:pPr>
            <w:r>
              <w:rPr>
                <w:b/>
              </w:rPr>
              <w:t>1、项目由来</w:t>
            </w:r>
          </w:p>
          <w:p>
            <w:pPr>
              <w:ind w:firstLine="480"/>
              <w:rPr>
                <w:color w:val="auto"/>
              </w:rPr>
            </w:pPr>
            <w:r>
              <w:rPr>
                <w:rFonts w:hint="eastAsia"/>
                <w:color w:val="auto"/>
              </w:rPr>
              <w:t>随着社会经济的持续发展，人民生活水平的日益提高，</w:t>
            </w:r>
            <w:r>
              <w:rPr>
                <w:rFonts w:hint="eastAsia"/>
                <w:color w:val="auto"/>
                <w:lang w:eastAsia="zh-CN"/>
              </w:rPr>
              <w:t>汽车专用防冻液的需求量日益扩大，市场前景广阔。陕西润业工贸有限公司抓住这一机遇，于</w:t>
            </w:r>
            <w:r>
              <w:rPr>
                <w:rFonts w:hint="eastAsia"/>
                <w:color w:val="auto"/>
                <w:lang w:val="en-US" w:eastAsia="zh-CN"/>
              </w:rPr>
              <w:t>1999年在和平工业园2号路18号</w:t>
            </w:r>
            <w:r>
              <w:rPr>
                <w:rFonts w:hint="eastAsia"/>
                <w:color w:val="auto"/>
              </w:rPr>
              <w:t>投资100万元建设</w:t>
            </w:r>
            <w:r>
              <w:rPr>
                <w:rFonts w:hint="eastAsia"/>
                <w:color w:val="auto"/>
                <w:lang w:eastAsia="zh-CN"/>
              </w:rPr>
              <w:t>了陕西润业工贸防冻液生产项目，</w:t>
            </w:r>
            <w:r>
              <w:rPr>
                <w:rFonts w:hint="eastAsia" w:cs="宋体"/>
                <w:bCs/>
                <w:color w:val="auto"/>
                <w:kern w:val="0"/>
                <w:lang w:eastAsia="zh-CN" w:bidi="ar"/>
              </w:rPr>
              <w:t>由于沣东新城拆迁原因于</w:t>
            </w:r>
            <w:r>
              <w:rPr>
                <w:rFonts w:hint="eastAsia" w:cs="宋体"/>
                <w:bCs/>
                <w:color w:val="auto"/>
                <w:kern w:val="0"/>
                <w:lang w:val="en-US" w:eastAsia="zh-CN" w:bidi="ar"/>
              </w:rPr>
              <w:t>2018年5月搬迁至</w:t>
            </w:r>
            <w:r>
              <w:rPr>
                <w:rFonts w:hint="eastAsia"/>
                <w:color w:val="auto"/>
                <w:lang w:eastAsia="zh-CN"/>
              </w:rPr>
              <w:t>陕西省西咸新区泾河新城永乐镇铁孟村18号，</w:t>
            </w:r>
            <w:r>
              <w:rPr>
                <w:rFonts w:hint="eastAsia" w:cs="宋体"/>
                <w:bCs/>
                <w:color w:val="auto"/>
                <w:kern w:val="0"/>
                <w:lang w:bidi="ar"/>
              </w:rPr>
              <w:t>租用</w:t>
            </w:r>
            <w:r>
              <w:rPr>
                <w:rFonts w:hint="eastAsia" w:cs="宋体"/>
                <w:bCs/>
                <w:color w:val="auto"/>
                <w:kern w:val="0"/>
                <w:lang w:eastAsia="zh-CN" w:bidi="ar"/>
              </w:rPr>
              <w:t>现有的</w:t>
            </w:r>
            <w:r>
              <w:rPr>
                <w:rFonts w:hint="eastAsia" w:cs="宋体"/>
                <w:bCs/>
                <w:color w:val="auto"/>
                <w:kern w:val="0"/>
                <w:lang w:bidi="ar"/>
              </w:rPr>
              <w:t>生产车间、办公楼和</w:t>
            </w:r>
            <w:r>
              <w:rPr>
                <w:rFonts w:hint="eastAsia" w:cs="宋体"/>
                <w:bCs/>
                <w:color w:val="auto"/>
                <w:kern w:val="0"/>
                <w:lang w:eastAsia="zh-CN" w:bidi="ar"/>
              </w:rPr>
              <w:t>仓库</w:t>
            </w:r>
            <w:r>
              <w:rPr>
                <w:rFonts w:hint="eastAsia" w:cs="宋体"/>
                <w:bCs/>
                <w:color w:val="auto"/>
                <w:kern w:val="0"/>
                <w:lang w:bidi="ar"/>
              </w:rPr>
              <w:t>，总建筑面积为</w:t>
            </w:r>
            <w:r>
              <w:rPr>
                <w:rFonts w:hint="eastAsia" w:cs="Times New Roman"/>
                <w:bCs/>
                <w:color w:val="auto"/>
                <w:szCs w:val="20"/>
                <w:lang w:val="en-US" w:eastAsia="zh-CN" w:bidi="ar"/>
              </w:rPr>
              <w:t>1462</w:t>
            </w:r>
            <w:r>
              <w:rPr>
                <w:rFonts w:cs="Times New Roman"/>
                <w:bCs/>
                <w:color w:val="auto"/>
                <w:kern w:val="0"/>
                <w:lang w:bidi="ar"/>
              </w:rPr>
              <w:t>m</w:t>
            </w:r>
            <w:r>
              <w:rPr>
                <w:rFonts w:cs="Times New Roman"/>
                <w:bCs/>
                <w:color w:val="auto"/>
                <w:kern w:val="0"/>
                <w:vertAlign w:val="superscript"/>
                <w:lang w:bidi="ar"/>
              </w:rPr>
              <w:t>2</w:t>
            </w:r>
            <w:r>
              <w:rPr>
                <w:rFonts w:hint="eastAsia" w:cs="宋体"/>
                <w:bCs/>
                <w:color w:val="auto"/>
                <w:kern w:val="0"/>
                <w:lang w:bidi="ar"/>
              </w:rPr>
              <w:t>。租期为</w:t>
            </w:r>
            <w:r>
              <w:rPr>
                <w:rFonts w:hint="eastAsia" w:cs="Times New Roman"/>
                <w:bCs/>
                <w:color w:val="auto"/>
                <w:kern w:val="0"/>
                <w:lang w:val="en-US" w:eastAsia="zh-CN" w:bidi="ar"/>
              </w:rPr>
              <w:t>2017</w:t>
            </w:r>
            <w:r>
              <w:rPr>
                <w:rFonts w:cs="Times New Roman"/>
                <w:bCs/>
                <w:color w:val="auto"/>
                <w:kern w:val="0"/>
                <w:lang w:bidi="ar"/>
              </w:rPr>
              <w:t>.</w:t>
            </w:r>
            <w:r>
              <w:rPr>
                <w:rFonts w:hint="eastAsia" w:cs="Times New Roman"/>
                <w:bCs/>
                <w:color w:val="auto"/>
                <w:kern w:val="0"/>
                <w:lang w:val="en-US" w:eastAsia="zh-CN" w:bidi="ar"/>
              </w:rPr>
              <w:t>10</w:t>
            </w:r>
            <w:r>
              <w:rPr>
                <w:rFonts w:cs="Times New Roman"/>
                <w:bCs/>
                <w:color w:val="auto"/>
                <w:kern w:val="0"/>
                <w:lang w:bidi="ar"/>
              </w:rPr>
              <w:t>.1</w:t>
            </w:r>
            <w:r>
              <w:rPr>
                <w:rFonts w:hint="eastAsia" w:cs="宋体"/>
                <w:bCs/>
                <w:color w:val="auto"/>
                <w:kern w:val="0"/>
                <w:lang w:bidi="ar"/>
              </w:rPr>
              <w:t>日至</w:t>
            </w:r>
            <w:r>
              <w:rPr>
                <w:rFonts w:cs="Times New Roman"/>
                <w:bCs/>
                <w:color w:val="auto"/>
                <w:kern w:val="0"/>
                <w:lang w:bidi="ar"/>
              </w:rPr>
              <w:t>20</w:t>
            </w:r>
            <w:r>
              <w:rPr>
                <w:rFonts w:hint="eastAsia" w:cs="Times New Roman"/>
                <w:bCs/>
                <w:color w:val="auto"/>
                <w:kern w:val="0"/>
                <w:lang w:val="en-US" w:eastAsia="zh-CN" w:bidi="ar"/>
              </w:rPr>
              <w:t>33.9.30</w:t>
            </w:r>
            <w:r>
              <w:rPr>
                <w:rFonts w:hint="eastAsia" w:cs="宋体"/>
                <w:bCs/>
                <w:color w:val="auto"/>
                <w:kern w:val="0"/>
                <w:lang w:bidi="ar"/>
              </w:rPr>
              <w:t>，场地房屋租赁合同见附件。本项目为</w:t>
            </w:r>
            <w:r>
              <w:rPr>
                <w:rFonts w:hint="eastAsia" w:cs="宋体"/>
                <w:bCs/>
                <w:color w:val="auto"/>
                <w:kern w:val="0"/>
                <w:lang w:eastAsia="zh-CN" w:bidi="ar"/>
              </w:rPr>
              <w:t>汽车专用防冻液的生产</w:t>
            </w:r>
            <w:r>
              <w:rPr>
                <w:rFonts w:hint="eastAsia" w:cs="宋体"/>
                <w:bCs/>
                <w:color w:val="auto"/>
                <w:kern w:val="0"/>
                <w:lang w:bidi="ar"/>
              </w:rPr>
              <w:t>，该项目建成后</w:t>
            </w:r>
            <w:r>
              <w:rPr>
                <w:rFonts w:hint="eastAsia" w:cs="宋体"/>
                <w:color w:val="auto"/>
                <w:lang w:bidi="ar"/>
              </w:rPr>
              <w:t>年生产</w:t>
            </w:r>
            <w:r>
              <w:rPr>
                <w:rFonts w:hint="eastAsia" w:cs="宋体"/>
                <w:color w:val="auto"/>
                <w:lang w:eastAsia="zh-CN" w:bidi="ar"/>
              </w:rPr>
              <w:t>汽车专用防冻液</w:t>
            </w:r>
            <w:r>
              <w:rPr>
                <w:rFonts w:hint="eastAsia" w:cs="宋体"/>
                <w:color w:val="auto"/>
                <w:lang w:val="en-US" w:eastAsia="zh-CN" w:bidi="ar"/>
              </w:rPr>
              <w:t>2000吨</w:t>
            </w:r>
            <w:r>
              <w:rPr>
                <w:rFonts w:hint="eastAsia" w:cs="宋体"/>
                <w:color w:val="auto"/>
                <w:lang w:bidi="ar"/>
              </w:rPr>
              <w:t>。</w:t>
            </w:r>
            <w:r>
              <w:rPr>
                <w:sz w:val="24"/>
              </w:rPr>
              <w:t>本次项目的建设</w:t>
            </w:r>
            <w:r>
              <w:rPr>
                <w:rFonts w:hint="eastAsia"/>
                <w:sz w:val="24"/>
              </w:rPr>
              <w:t>将有效完善</w:t>
            </w:r>
            <w:r>
              <w:rPr>
                <w:sz w:val="24"/>
              </w:rPr>
              <w:t>当地</w:t>
            </w:r>
            <w:r>
              <w:rPr>
                <w:rFonts w:hint="eastAsia"/>
                <w:sz w:val="24"/>
                <w:lang w:eastAsia="zh-CN"/>
              </w:rPr>
              <w:t>汽车专用防冻液</w:t>
            </w:r>
            <w:r>
              <w:rPr>
                <w:sz w:val="24"/>
              </w:rPr>
              <w:t>市场供应</w:t>
            </w:r>
            <w:r>
              <w:rPr>
                <w:rFonts w:hint="eastAsia"/>
                <w:sz w:val="24"/>
                <w:lang w:eastAsia="zh-CN"/>
              </w:rPr>
              <w:t>，</w:t>
            </w:r>
            <w:r>
              <w:rPr>
                <w:rFonts w:hint="eastAsia"/>
                <w:sz w:val="24"/>
              </w:rPr>
              <w:t>推动</w:t>
            </w:r>
            <w:r>
              <w:rPr>
                <w:rFonts w:hint="eastAsia"/>
                <w:sz w:val="24"/>
                <w:lang w:eastAsia="zh-CN"/>
              </w:rPr>
              <w:t>该区</w:t>
            </w:r>
            <w:r>
              <w:rPr>
                <w:rFonts w:hint="eastAsia"/>
                <w:sz w:val="24"/>
              </w:rPr>
              <w:t>域经济发展</w:t>
            </w:r>
            <w:r>
              <w:rPr>
                <w:rFonts w:hint="eastAsia"/>
                <w:color w:val="auto"/>
              </w:rPr>
              <w:t>。</w:t>
            </w:r>
          </w:p>
          <w:p>
            <w:pPr>
              <w:ind w:firstLine="482"/>
              <w:rPr>
                <w:b/>
                <w:color w:val="auto"/>
              </w:rPr>
            </w:pPr>
            <w:r>
              <w:rPr>
                <w:rFonts w:hint="eastAsia"/>
                <w:b/>
                <w:color w:val="auto"/>
              </w:rPr>
              <w:t>2、环境影响评价过程</w:t>
            </w:r>
          </w:p>
          <w:p>
            <w:pPr>
              <w:ind w:firstLine="480"/>
              <w:rPr>
                <w:color w:val="auto"/>
              </w:rPr>
            </w:pPr>
            <w:r>
              <w:rPr>
                <w:rFonts w:hint="eastAsia"/>
                <w:color w:val="auto"/>
              </w:rPr>
              <w:t>根据现场踏勘，原项</w:t>
            </w:r>
            <w:r>
              <w:rPr>
                <w:rFonts w:hint="eastAsia"/>
                <w:color w:val="000000" w:themeColor="text1"/>
                <w14:textFill>
                  <w14:solidFill>
                    <w14:schemeClr w14:val="tx1"/>
                  </w14:solidFill>
                </w14:textFill>
              </w:rPr>
              <w:t>目始</w:t>
            </w:r>
            <w:r>
              <w:rPr>
                <w:rFonts w:hint="eastAsia"/>
                <w:color w:val="auto"/>
                <w:szCs w:val="22"/>
              </w:rPr>
              <w:t>建于</w:t>
            </w:r>
            <w:r>
              <w:rPr>
                <w:rFonts w:hint="eastAsia"/>
                <w:color w:val="auto"/>
                <w:szCs w:val="22"/>
                <w:lang w:val="en-US" w:eastAsia="zh-CN"/>
              </w:rPr>
              <w:t>1999年</w:t>
            </w:r>
            <w:r>
              <w:rPr>
                <w:rFonts w:hint="eastAsia"/>
                <w:color w:val="auto"/>
                <w:szCs w:val="22"/>
              </w:rPr>
              <w:t>，</w:t>
            </w:r>
            <w:r>
              <w:rPr>
                <w:rFonts w:hint="eastAsia" w:cs="宋体"/>
                <w:bCs/>
                <w:color w:val="auto"/>
                <w:kern w:val="0"/>
                <w:lang w:eastAsia="zh-CN" w:bidi="ar"/>
              </w:rPr>
              <w:t>于</w:t>
            </w:r>
            <w:r>
              <w:rPr>
                <w:rFonts w:hint="eastAsia" w:cs="宋体"/>
                <w:bCs/>
                <w:color w:val="auto"/>
                <w:kern w:val="0"/>
                <w:lang w:val="en-US" w:eastAsia="zh-CN" w:bidi="ar"/>
              </w:rPr>
              <w:t>2018年5月搬迁至</w:t>
            </w:r>
            <w:r>
              <w:rPr>
                <w:rFonts w:hint="eastAsia"/>
                <w:color w:val="auto"/>
                <w:lang w:eastAsia="zh-CN"/>
              </w:rPr>
              <w:t>陕西省西咸新区泾河新城永乐镇铁孟村18号并投产，</w:t>
            </w:r>
            <w:r>
              <w:rPr>
                <w:rFonts w:hint="eastAsia"/>
                <w:color w:val="auto"/>
                <w:szCs w:val="22"/>
              </w:rPr>
              <w:t>已</w:t>
            </w:r>
            <w:r>
              <w:rPr>
                <w:rFonts w:hint="eastAsia"/>
                <w:color w:val="auto"/>
                <w:szCs w:val="22"/>
                <w:lang w:eastAsia="zh-CN"/>
              </w:rPr>
              <w:t>按要求</w:t>
            </w:r>
            <w:r>
              <w:rPr>
                <w:rFonts w:hint="eastAsia"/>
                <w:color w:val="auto"/>
                <w:szCs w:val="22"/>
              </w:rPr>
              <w:t>于2018年</w:t>
            </w:r>
            <w:r>
              <w:rPr>
                <w:rFonts w:hint="eastAsia"/>
                <w:color w:val="auto"/>
                <w:szCs w:val="22"/>
                <w:lang w:val="en-US" w:eastAsia="zh-CN"/>
              </w:rPr>
              <w:t>8</w:t>
            </w:r>
            <w:r>
              <w:rPr>
                <w:rFonts w:hint="eastAsia"/>
                <w:color w:val="auto"/>
                <w:szCs w:val="22"/>
              </w:rPr>
              <w:t>月</w:t>
            </w:r>
            <w:r>
              <w:rPr>
                <w:rFonts w:hint="eastAsia"/>
                <w:color w:val="auto"/>
                <w:szCs w:val="22"/>
                <w:lang w:val="en-US" w:eastAsia="zh-CN"/>
              </w:rPr>
              <w:t>1日</w:t>
            </w:r>
            <w:r>
              <w:rPr>
                <w:rFonts w:hint="eastAsia"/>
                <w:color w:val="auto"/>
                <w:szCs w:val="22"/>
              </w:rPr>
              <w:t>停产</w:t>
            </w:r>
            <w:r>
              <w:rPr>
                <w:rFonts w:hint="eastAsia"/>
                <w:color w:val="auto"/>
                <w:szCs w:val="22"/>
                <w:lang w:eastAsia="zh-CN"/>
              </w:rPr>
              <w:t>，</w:t>
            </w:r>
            <w:r>
              <w:rPr>
                <w:rFonts w:hint="eastAsia"/>
                <w:color w:val="auto"/>
                <w:szCs w:val="22"/>
              </w:rPr>
              <w:t>本</w:t>
            </w:r>
            <w:r>
              <w:rPr>
                <w:rFonts w:hint="eastAsia"/>
                <w:color w:val="auto"/>
              </w:rPr>
              <w:t>次为补做环评。</w:t>
            </w:r>
          </w:p>
          <w:p>
            <w:pPr>
              <w:ind w:firstLine="480"/>
              <w:rPr>
                <w:color w:val="auto"/>
              </w:rPr>
            </w:pPr>
            <w:r>
              <w:rPr>
                <w:color w:val="auto"/>
              </w:rPr>
              <w:t>根据《中华人民共和国环境保护法》、《中华人民共和国环境影响评价法》以及《建设项目环境保护管理条例》等法律法规的要求，本项目应进行环境影响评价，经查阅《建设项目环境影响评价分类管理名录》（</w:t>
            </w:r>
            <w:r>
              <w:rPr>
                <w:rFonts w:hint="eastAsia"/>
                <w:color w:val="auto"/>
              </w:rPr>
              <w:t>2018年4月28日</w:t>
            </w:r>
            <w:r>
              <w:rPr>
                <w:color w:val="auto"/>
              </w:rPr>
              <w:t>），</w:t>
            </w:r>
            <w:r>
              <w:rPr>
                <w:rFonts w:hint="eastAsia"/>
                <w:color w:val="auto"/>
              </w:rPr>
              <w:t>本项目属“</w:t>
            </w:r>
            <w:r>
              <w:rPr>
                <w:rFonts w:hint="eastAsia"/>
                <w:color w:val="auto"/>
                <w:lang w:eastAsia="zh-CN"/>
              </w:rPr>
              <w:t>十五</w:t>
            </w:r>
            <w:r>
              <w:rPr>
                <w:rFonts w:hint="eastAsia"/>
                <w:color w:val="auto"/>
              </w:rPr>
              <w:t>、</w:t>
            </w:r>
            <w:r>
              <w:rPr>
                <w:rFonts w:hint="eastAsia"/>
                <w:color w:val="auto"/>
                <w:lang w:eastAsia="zh-CN"/>
              </w:rPr>
              <w:t>化学原料和化学制品制造业”中的“单纯混合或分装的”</w:t>
            </w:r>
            <w:r>
              <w:rPr>
                <w:rFonts w:hint="eastAsia"/>
                <w:color w:val="auto"/>
                <w:lang w:val="en-US" w:eastAsia="zh-CN"/>
              </w:rPr>
              <w:t>。</w:t>
            </w:r>
            <w:r>
              <w:rPr>
                <w:rFonts w:hint="eastAsia"/>
                <w:color w:val="auto"/>
              </w:rPr>
              <w:t>本项目应编写环境影响报告表。</w:t>
            </w:r>
          </w:p>
          <w:p>
            <w:pPr>
              <w:ind w:firstLine="480"/>
              <w:rPr>
                <w:color w:val="auto"/>
              </w:rPr>
            </w:pPr>
            <w:r>
              <w:rPr>
                <w:rFonts w:hint="eastAsia"/>
                <w:color w:val="auto"/>
                <w:highlight w:val="none"/>
                <w:lang w:eastAsia="zh-CN"/>
              </w:rPr>
              <w:t>陕西润业工贸有限公司</w:t>
            </w:r>
            <w:r>
              <w:rPr>
                <w:color w:val="auto"/>
                <w:highlight w:val="none"/>
              </w:rPr>
              <w:t>于</w:t>
            </w:r>
            <w:r>
              <w:rPr>
                <w:rFonts w:hint="eastAsia"/>
                <w:color w:val="auto"/>
                <w:highlight w:val="none"/>
              </w:rPr>
              <w:t>2018</w:t>
            </w:r>
            <w:r>
              <w:rPr>
                <w:color w:val="auto"/>
                <w:highlight w:val="none"/>
              </w:rPr>
              <w:t>年</w:t>
            </w:r>
            <w:r>
              <w:rPr>
                <w:rFonts w:hint="eastAsia"/>
                <w:color w:val="auto"/>
                <w:highlight w:val="none"/>
                <w:lang w:val="en-US" w:eastAsia="zh-CN"/>
              </w:rPr>
              <w:t>10</w:t>
            </w:r>
            <w:r>
              <w:rPr>
                <w:color w:val="auto"/>
                <w:highlight w:val="none"/>
              </w:rPr>
              <w:t>月</w:t>
            </w:r>
            <w:r>
              <w:rPr>
                <w:rFonts w:hint="eastAsia"/>
                <w:color w:val="auto"/>
                <w:highlight w:val="none"/>
                <w:lang w:val="en-US" w:eastAsia="zh-CN"/>
              </w:rPr>
              <w:t>16</w:t>
            </w:r>
            <w:r>
              <w:rPr>
                <w:color w:val="auto"/>
                <w:highlight w:val="none"/>
              </w:rPr>
              <w:t>日委托</w:t>
            </w:r>
            <w:r>
              <w:rPr>
                <w:rFonts w:hint="eastAsia"/>
                <w:color w:val="auto"/>
                <w:highlight w:val="none"/>
              </w:rPr>
              <w:t>北京万澈环境科学与工程技术有限责任公司</w:t>
            </w:r>
            <w:r>
              <w:rPr>
                <w:color w:val="auto"/>
                <w:highlight w:val="none"/>
              </w:rPr>
              <w:t>对本项目进行环境影响评价（</w:t>
            </w:r>
            <w:r>
              <w:rPr>
                <w:rFonts w:hint="eastAsia"/>
                <w:color w:val="auto"/>
                <w:highlight w:val="none"/>
                <w:lang w:eastAsia="zh-CN"/>
              </w:rPr>
              <w:t>详</w:t>
            </w:r>
            <w:r>
              <w:rPr>
                <w:color w:val="auto"/>
                <w:highlight w:val="none"/>
              </w:rPr>
              <w:t>见附件</w:t>
            </w:r>
            <w:r>
              <w:rPr>
                <w:rFonts w:hint="eastAsia"/>
                <w:color w:val="auto"/>
                <w:highlight w:val="none"/>
                <w:lang w:val="en-US" w:eastAsia="zh-CN"/>
              </w:rPr>
              <w:t>1</w:t>
            </w:r>
            <w:r>
              <w:rPr>
                <w:color w:val="auto"/>
                <w:highlight w:val="none"/>
              </w:rPr>
              <w:t>）。接</w:t>
            </w:r>
            <w:r>
              <w:rPr>
                <w:color w:val="auto"/>
              </w:rPr>
              <w:t>受委托后，我单位立即组织项目参评人员进行了现场踏勘，对项目所在区域自然环境及工程概况进行了深入调查和了解，并收集相应的有关资料。同时，对项目可能给周边环境带来的影响进行分析，并针对项目建设和运营可能出现的环境污染提出可行的对策措施，按照</w:t>
            </w:r>
            <w:r>
              <w:rPr>
                <w:rFonts w:hint="eastAsia"/>
                <w:color w:val="auto"/>
              </w:rPr>
              <w:t>“</w:t>
            </w:r>
            <w:r>
              <w:rPr>
                <w:color w:val="auto"/>
              </w:rPr>
              <w:t>达标排放</w:t>
            </w:r>
            <w:r>
              <w:rPr>
                <w:rFonts w:hint="eastAsia"/>
                <w:color w:val="auto"/>
              </w:rPr>
              <w:t>”</w:t>
            </w:r>
            <w:r>
              <w:rPr>
                <w:color w:val="auto"/>
              </w:rPr>
              <w:t>的原则，本着</w:t>
            </w:r>
            <w:r>
              <w:rPr>
                <w:rFonts w:hint="eastAsia"/>
                <w:color w:val="auto"/>
              </w:rPr>
              <w:t>“</w:t>
            </w:r>
            <w:r>
              <w:rPr>
                <w:color w:val="auto"/>
              </w:rPr>
              <w:t>科学、公正、客观、严谨</w:t>
            </w:r>
            <w:r>
              <w:rPr>
                <w:rFonts w:hint="eastAsia"/>
                <w:color w:val="auto"/>
              </w:rPr>
              <w:t>”</w:t>
            </w:r>
            <w:r>
              <w:rPr>
                <w:color w:val="auto"/>
              </w:rPr>
              <w:t>的态度，编制了本项目的环境影响报告表。</w:t>
            </w:r>
          </w:p>
          <w:p>
            <w:pPr>
              <w:ind w:firstLine="482"/>
              <w:rPr>
                <w:b/>
                <w:color w:val="auto"/>
              </w:rPr>
            </w:pPr>
            <w:r>
              <w:rPr>
                <w:rFonts w:hint="eastAsia"/>
                <w:b/>
                <w:color w:val="auto"/>
              </w:rPr>
              <w:t>3、分析判定情况</w:t>
            </w:r>
          </w:p>
          <w:p>
            <w:pPr>
              <w:ind w:firstLine="480"/>
              <w:rPr>
                <w:color w:val="auto"/>
              </w:rPr>
            </w:pPr>
            <w:r>
              <w:rPr>
                <w:rFonts w:hint="eastAsia"/>
                <w:color w:val="auto"/>
              </w:rPr>
              <w:t>（1）产业政策符合性</w:t>
            </w:r>
          </w:p>
          <w:p>
            <w:pPr>
              <w:autoSpaceDE w:val="0"/>
              <w:autoSpaceDN w:val="0"/>
              <w:ind w:firstLine="470" w:firstLineChars="196"/>
              <w:jc w:val="both"/>
              <w:rPr>
                <w:color w:val="auto"/>
                <w:sz w:val="24"/>
                <w:szCs w:val="24"/>
              </w:rPr>
            </w:pPr>
            <w:r>
              <w:rPr>
                <w:color w:val="auto"/>
                <w:sz w:val="24"/>
                <w:szCs w:val="24"/>
              </w:rPr>
              <w:fldChar w:fldCharType="begin"/>
            </w:r>
            <w:r>
              <w:rPr>
                <w:color w:val="auto"/>
                <w:sz w:val="24"/>
                <w:szCs w:val="24"/>
              </w:rPr>
              <w:instrText xml:space="preserve"> = 1 \* GB3 \* MERGEFORMAT </w:instrText>
            </w:r>
            <w:r>
              <w:rPr>
                <w:color w:val="auto"/>
                <w:sz w:val="24"/>
                <w:szCs w:val="24"/>
              </w:rPr>
              <w:fldChar w:fldCharType="separate"/>
            </w:r>
            <w:r>
              <w:rPr>
                <w:color w:val="auto"/>
              </w:rPr>
              <w:t>①</w:t>
            </w:r>
            <w:r>
              <w:rPr>
                <w:color w:val="auto"/>
                <w:sz w:val="24"/>
                <w:szCs w:val="24"/>
              </w:rPr>
              <w:fldChar w:fldCharType="end"/>
            </w:r>
            <w:r>
              <w:rPr>
                <w:rFonts w:hint="eastAsia"/>
                <w:color w:val="auto"/>
                <w:sz w:val="24"/>
                <w:szCs w:val="24"/>
                <w:lang w:eastAsia="zh-CN"/>
              </w:rPr>
              <w:t>与</w:t>
            </w:r>
            <w:r>
              <w:rPr>
                <w:rFonts w:hint="eastAsia"/>
                <w:color w:val="auto"/>
                <w:sz w:val="24"/>
                <w:szCs w:val="24"/>
              </w:rPr>
              <w:t>相关产业政策相符性</w:t>
            </w:r>
          </w:p>
          <w:p>
            <w:pPr>
              <w:autoSpaceDE w:val="0"/>
              <w:autoSpaceDN w:val="0"/>
              <w:ind w:firstLine="470" w:firstLineChars="196"/>
              <w:jc w:val="both"/>
              <w:rPr>
                <w:color w:val="auto"/>
                <w:sz w:val="24"/>
                <w:szCs w:val="24"/>
              </w:rPr>
            </w:pPr>
            <w:r>
              <w:rPr>
                <w:rFonts w:hint="eastAsia"/>
                <w:color w:val="auto"/>
              </w:rPr>
              <w:t>根据国家发展和改革委员会令第21号《产业结构调整指导目录（2011年本）（2013年修正）》，</w:t>
            </w:r>
            <w:r>
              <w:rPr>
                <w:color w:val="auto"/>
                <w:shd w:val="clear" w:color="auto" w:fill="FFFFFF"/>
              </w:rPr>
              <w:t>本项目不属于限制类和淘汰类项目，属允许类。</w:t>
            </w:r>
            <w:r>
              <w:rPr>
                <w:rFonts w:hint="eastAsia"/>
                <w:color w:val="auto"/>
              </w:rPr>
              <w:t>此外，本项目不属于《陕西省限制投资类产业指导目录》（陕发改产业[</w:t>
            </w:r>
            <w:r>
              <w:rPr>
                <w:color w:val="auto"/>
              </w:rPr>
              <w:t>2</w:t>
            </w:r>
            <w:r>
              <w:rPr>
                <w:rFonts w:hint="eastAsia"/>
                <w:color w:val="auto"/>
              </w:rPr>
              <w:t>007]97号）。</w:t>
            </w:r>
            <w:r>
              <w:rPr>
                <w:rFonts w:hint="eastAsia"/>
                <w:color w:val="auto"/>
                <w:shd w:val="clear" w:color="auto" w:fill="FFFFFF"/>
                <w:lang w:eastAsia="zh-CN"/>
              </w:rPr>
              <w:t>泾河新城行政审批局</w:t>
            </w:r>
            <w:r>
              <w:rPr>
                <w:color w:val="auto"/>
                <w:shd w:val="clear" w:color="auto" w:fill="FFFFFF"/>
              </w:rPr>
              <w:t>审核后同意备案，项目已取得《陕西省企业投资项目备案确认书》</w:t>
            </w:r>
            <w:r>
              <w:rPr>
                <w:rFonts w:hint="eastAsia"/>
                <w:color w:val="auto"/>
                <w:shd w:val="clear" w:color="auto" w:fill="FFFFFF"/>
                <w:lang w:eastAsia="zh-CN"/>
              </w:rPr>
              <w:t>（编号</w:t>
            </w:r>
            <w:r>
              <w:rPr>
                <w:rFonts w:hint="eastAsia"/>
                <w:color w:val="auto"/>
                <w:shd w:val="clear" w:color="auto" w:fill="FFFFFF"/>
                <w:lang w:val="en-US" w:eastAsia="zh-CN"/>
              </w:rPr>
              <w:t>2018-611206-26-03-038190</w:t>
            </w:r>
            <w:r>
              <w:rPr>
                <w:rFonts w:hint="eastAsia"/>
                <w:color w:val="auto"/>
                <w:shd w:val="clear" w:color="auto" w:fill="FFFFFF"/>
                <w:lang w:eastAsia="zh-CN"/>
              </w:rPr>
              <w:t>）</w:t>
            </w:r>
            <w:r>
              <w:rPr>
                <w:color w:val="auto"/>
                <w:shd w:val="clear" w:color="auto" w:fill="FFFFFF"/>
              </w:rPr>
              <w:t>（详见附件2），本项目符合国家</w:t>
            </w:r>
            <w:r>
              <w:rPr>
                <w:rFonts w:hint="eastAsia"/>
                <w:color w:val="auto"/>
                <w:shd w:val="clear" w:color="auto" w:fill="FFFFFF"/>
                <w:lang w:eastAsia="zh-CN"/>
              </w:rPr>
              <w:t>及地方相关</w:t>
            </w:r>
            <w:r>
              <w:rPr>
                <w:color w:val="auto"/>
                <w:shd w:val="clear" w:color="auto" w:fill="FFFFFF"/>
              </w:rPr>
              <w:t>产业政策。</w:t>
            </w:r>
          </w:p>
          <w:p>
            <w:pPr>
              <w:keepNext w:val="0"/>
              <w:keepLines w:val="0"/>
              <w:pageBreakBefore w:val="0"/>
              <w:widowControl w:val="0"/>
              <w:kinsoku/>
              <w:wordWrap/>
              <w:overflowPunct/>
              <w:topLinePunct w:val="0"/>
              <w:autoSpaceDE/>
              <w:autoSpaceDN/>
              <w:bidi w:val="0"/>
              <w:adjustRightInd w:val="0"/>
              <w:snapToGrid w:val="0"/>
              <w:spacing w:before="157" w:beforeLines="50"/>
              <w:ind w:firstLine="480"/>
              <w:textAlignment w:val="auto"/>
              <w:outlineLvl w:val="9"/>
              <w:rPr>
                <w:rFonts w:hint="eastAsia" w:ascii="Times New Roman" w:hAnsi="Times New Roman" w:cs="Times New Roman"/>
                <w:color w:val="auto"/>
                <w:szCs w:val="22"/>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“三线一单”符合性分析</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1-3</w:t>
            </w:r>
            <w:r>
              <w:rPr>
                <w:rFonts w:hint="eastAsia" w:ascii="Times New Roman" w:hAnsi="Times New Roman" w:eastAsia="宋体" w:cs="Times New Roman"/>
                <w:b/>
                <w:bCs/>
                <w:color w:val="auto"/>
                <w:sz w:val="21"/>
                <w:szCs w:val="21"/>
                <w:lang w:val="en-US" w:eastAsia="zh-CN"/>
              </w:rPr>
              <w:t xml:space="preserve">  </w:t>
            </w:r>
            <w:r>
              <w:rPr>
                <w:rFonts w:hint="eastAsia" w:ascii="Times New Roman" w:hAnsi="Times New Roman" w:eastAsia="宋体" w:cs="Times New Roman"/>
                <w:b/>
                <w:bCs/>
                <w:color w:val="auto"/>
                <w:sz w:val="21"/>
                <w:szCs w:val="21"/>
                <w:lang w:eastAsia="zh-CN"/>
              </w:rPr>
              <w:t>“三线一单”符合性分析</w:t>
            </w:r>
          </w:p>
          <w:tbl>
            <w:tblPr>
              <w:tblStyle w:val="21"/>
              <w:tblW w:w="85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14"/>
              <w:gridCol w:w="67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814"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内容</w:t>
                  </w:r>
                </w:p>
              </w:tc>
              <w:tc>
                <w:tcPr>
                  <w:tcW w:w="6785"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符合性分析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814"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生态保护红线</w:t>
                  </w:r>
                </w:p>
              </w:tc>
              <w:tc>
                <w:tcPr>
                  <w:tcW w:w="6785" w:type="dxa"/>
                  <w:vAlign w:val="center"/>
                </w:tcPr>
                <w:p>
                  <w:pPr>
                    <w:spacing w:line="240" w:lineRule="auto"/>
                    <w:ind w:firstLine="0" w:firstLineChars="0"/>
                    <w:jc w:val="center"/>
                    <w:rPr>
                      <w:rFonts w:hAnsi="宋体"/>
                      <w:color w:val="auto"/>
                      <w:kern w:val="0"/>
                      <w:sz w:val="21"/>
                      <w:szCs w:val="21"/>
                    </w:rPr>
                  </w:pPr>
                  <w:r>
                    <w:rPr>
                      <w:rFonts w:hint="eastAsia"/>
                      <w:color w:val="auto"/>
                      <w:sz w:val="21"/>
                      <w:szCs w:val="21"/>
                    </w:rPr>
                    <w:t>本项目周边无自然保护区、饮用水保护区等生态保护目标，符合生态保护红线。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814"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资源利用上线</w:t>
                  </w:r>
                </w:p>
              </w:tc>
              <w:tc>
                <w:tcPr>
                  <w:tcW w:w="6785"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本项目运营过程中消耗一定量的电等资源，项目资源消耗相对区域资源利用总量较少，符合资源利用上线的要求。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611" w:hRule="atLeast"/>
              </w:trPr>
              <w:tc>
                <w:tcPr>
                  <w:tcW w:w="1814"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环境质量底线</w:t>
                  </w:r>
                </w:p>
              </w:tc>
              <w:tc>
                <w:tcPr>
                  <w:tcW w:w="6785"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项目附近大气、声环境均能够满足相应的质量标准；项目生活污水排入旱厕由周边</w:t>
                  </w:r>
                  <w:r>
                    <w:rPr>
                      <w:rFonts w:hint="eastAsia" w:hAnsi="宋体"/>
                      <w:color w:val="auto"/>
                      <w:kern w:val="0"/>
                      <w:sz w:val="21"/>
                      <w:szCs w:val="21"/>
                      <w:lang w:eastAsia="zh-CN"/>
                    </w:rPr>
                    <w:t>村</w:t>
                  </w:r>
                  <w:r>
                    <w:rPr>
                      <w:rFonts w:hint="eastAsia" w:hAnsi="宋体"/>
                      <w:color w:val="auto"/>
                      <w:kern w:val="0"/>
                      <w:sz w:val="21"/>
                      <w:szCs w:val="21"/>
                    </w:rPr>
                    <w:t>民定期清掏用于沤肥，不外排，对周围水环境影响较小；项目主要噪声为设备噪声，经过基础减振，建筑隔声后对周围环境影响较少；项目产生的固废均可按照要求进行处理，故本项目符合环境质量底线的要求。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814" w:type="dxa"/>
                  <w:vAlign w:val="center"/>
                </w:tcPr>
                <w:p>
                  <w:pPr>
                    <w:spacing w:line="240" w:lineRule="auto"/>
                    <w:ind w:firstLine="0" w:firstLineChars="0"/>
                    <w:jc w:val="center"/>
                    <w:rPr>
                      <w:rFonts w:hAnsi="宋体"/>
                      <w:color w:val="auto"/>
                      <w:kern w:val="0"/>
                      <w:sz w:val="21"/>
                      <w:szCs w:val="21"/>
                    </w:rPr>
                  </w:pPr>
                  <w:r>
                    <w:rPr>
                      <w:rFonts w:hint="eastAsia" w:hAnsi="宋体"/>
                      <w:color w:val="auto"/>
                      <w:kern w:val="0"/>
                      <w:sz w:val="21"/>
                      <w:szCs w:val="21"/>
                    </w:rPr>
                    <w:t>负面清单</w:t>
                  </w:r>
                </w:p>
              </w:tc>
              <w:tc>
                <w:tcPr>
                  <w:tcW w:w="6785" w:type="dxa"/>
                  <w:vAlign w:val="center"/>
                </w:tcPr>
                <w:p>
                  <w:pPr>
                    <w:spacing w:line="240" w:lineRule="auto"/>
                    <w:ind w:firstLine="0" w:firstLineChars="0"/>
                    <w:jc w:val="center"/>
                    <w:rPr>
                      <w:rFonts w:hAnsi="宋体"/>
                      <w:color w:val="auto"/>
                      <w:kern w:val="0"/>
                      <w:sz w:val="21"/>
                      <w:szCs w:val="21"/>
                    </w:rPr>
                  </w:pPr>
                  <w:r>
                    <w:rPr>
                      <w:rFonts w:hint="eastAsia"/>
                      <w:color w:val="auto"/>
                      <w:sz w:val="21"/>
                      <w:szCs w:val="21"/>
                    </w:rPr>
                    <w:t>本项目</w:t>
                  </w:r>
                  <w:r>
                    <w:rPr>
                      <w:rFonts w:hint="eastAsia" w:hAnsi="宋体"/>
                      <w:color w:val="auto"/>
                      <w:kern w:val="0"/>
                      <w:sz w:val="21"/>
                      <w:szCs w:val="21"/>
                    </w:rPr>
                    <w:t>不在所在区域功能区负面清单内。</w:t>
                  </w:r>
                </w:p>
              </w:tc>
            </w:tr>
          </w:tbl>
          <w:p>
            <w:pPr>
              <w:ind w:firstLine="480"/>
              <w:rPr>
                <w:color w:val="auto"/>
              </w:rPr>
            </w:pPr>
            <w:r>
              <w:rPr>
                <w:rFonts w:hint="eastAsia"/>
                <w:color w:val="auto"/>
              </w:rPr>
              <w:t>（</w:t>
            </w:r>
            <w:r>
              <w:rPr>
                <w:rFonts w:hint="eastAsia"/>
                <w:color w:val="auto"/>
                <w:lang w:val="en-US" w:eastAsia="zh-CN"/>
              </w:rPr>
              <w:t>3</w:t>
            </w:r>
            <w:r>
              <w:rPr>
                <w:rFonts w:hint="eastAsia"/>
                <w:color w:val="auto"/>
              </w:rPr>
              <w:t>）选址可行性</w:t>
            </w:r>
          </w:p>
          <w:p>
            <w:pPr>
              <w:ind w:firstLine="480"/>
              <w:rPr>
                <w:color w:val="auto"/>
              </w:rPr>
            </w:pPr>
            <w:r>
              <w:rPr>
                <w:color w:val="auto"/>
              </w:rPr>
              <w:t>本项目位于</w:t>
            </w:r>
            <w:bookmarkStart w:id="2" w:name="_Ref303096042"/>
            <w:r>
              <w:rPr>
                <w:rFonts w:hint="eastAsia"/>
                <w:color w:val="auto"/>
                <w:lang w:eastAsia="zh-CN"/>
              </w:rPr>
              <w:t>西咸新区泾河新城永乐镇铁孟村18号</w:t>
            </w:r>
            <w:r>
              <w:rPr>
                <w:rFonts w:hint="eastAsia"/>
                <w:color w:val="auto"/>
              </w:rPr>
              <w:t>，</w:t>
            </w:r>
            <w:r>
              <w:rPr>
                <w:color w:val="auto"/>
              </w:rPr>
              <w:t>企业已取得大荔县</w:t>
            </w:r>
            <w:r>
              <w:rPr>
                <w:rFonts w:hint="eastAsia"/>
                <w:color w:val="auto"/>
              </w:rPr>
              <w:t>不动产登记局</w:t>
            </w:r>
            <w:r>
              <w:rPr>
                <w:color w:val="auto"/>
              </w:rPr>
              <w:t>出具的土地</w:t>
            </w:r>
            <w:r>
              <w:rPr>
                <w:rFonts w:hint="eastAsia"/>
                <w:color w:val="auto"/>
              </w:rPr>
              <w:t>文件</w:t>
            </w:r>
            <w:r>
              <w:rPr>
                <w:color w:val="auto"/>
              </w:rPr>
              <w:t>（详见附件3），</w:t>
            </w:r>
            <w:r>
              <w:rPr>
                <w:rFonts w:hint="eastAsia"/>
                <w:color w:val="auto"/>
                <w:lang w:eastAsia="zh-CN"/>
              </w:rPr>
              <w:t>用地性质为</w:t>
            </w:r>
            <w:r>
              <w:rPr>
                <w:rFonts w:hint="eastAsia"/>
                <w:color w:val="auto"/>
              </w:rPr>
              <w:t>工业用地，</w:t>
            </w:r>
            <w:r>
              <w:rPr>
                <w:color w:val="auto"/>
              </w:rPr>
              <w:t>项目选址符合相关政策。</w:t>
            </w:r>
            <w:bookmarkEnd w:id="2"/>
            <w:r>
              <w:rPr>
                <w:color w:val="auto"/>
              </w:rPr>
              <w:t>选址合理性的分析见表</w:t>
            </w:r>
            <w:r>
              <w:rPr>
                <w:rFonts w:hint="eastAsia"/>
                <w:color w:val="auto"/>
                <w:lang w:val="en-US" w:eastAsia="zh-CN"/>
              </w:rPr>
              <w:t>1-4</w:t>
            </w:r>
            <w:r>
              <w:rPr>
                <w:color w:val="auto"/>
              </w:rPr>
              <w:t>。</w:t>
            </w:r>
          </w:p>
          <w:p>
            <w:pPr>
              <w:spacing w:line="240" w:lineRule="auto"/>
              <w:ind w:firstLine="527" w:firstLineChars="250"/>
              <w:jc w:val="center"/>
              <w:rPr>
                <w:snapToGrid w:val="0"/>
                <w:color w:val="auto"/>
                <w:kern w:val="0"/>
                <w:sz w:val="21"/>
                <w:szCs w:val="21"/>
              </w:rPr>
            </w:pPr>
            <w:r>
              <w:rPr>
                <w:b/>
                <w:snapToGrid w:val="0"/>
                <w:color w:val="auto"/>
                <w:kern w:val="0"/>
                <w:sz w:val="21"/>
                <w:szCs w:val="21"/>
              </w:rPr>
              <w:t>表</w:t>
            </w:r>
            <w:r>
              <w:rPr>
                <w:rFonts w:hint="eastAsia"/>
                <w:b/>
                <w:snapToGrid w:val="0"/>
                <w:color w:val="auto"/>
                <w:kern w:val="0"/>
                <w:sz w:val="21"/>
                <w:szCs w:val="21"/>
                <w:lang w:val="en-US" w:eastAsia="zh-CN"/>
              </w:rPr>
              <w:t>1-4</w:t>
            </w:r>
            <w:r>
              <w:rPr>
                <w:b/>
                <w:snapToGrid w:val="0"/>
                <w:color w:val="auto"/>
                <w:kern w:val="0"/>
                <w:sz w:val="21"/>
                <w:szCs w:val="21"/>
              </w:rPr>
              <w:t xml:space="preserve"> </w:t>
            </w:r>
            <w:r>
              <w:rPr>
                <w:rFonts w:hint="eastAsia"/>
                <w:b/>
                <w:snapToGrid w:val="0"/>
                <w:color w:val="auto"/>
                <w:kern w:val="0"/>
                <w:sz w:val="21"/>
                <w:szCs w:val="21"/>
                <w:lang w:val="en-US" w:eastAsia="zh-CN"/>
              </w:rPr>
              <w:t xml:space="preserve">  </w:t>
            </w:r>
            <w:r>
              <w:rPr>
                <w:b/>
                <w:snapToGrid w:val="0"/>
                <w:color w:val="auto"/>
                <w:kern w:val="0"/>
                <w:sz w:val="21"/>
                <w:szCs w:val="21"/>
              </w:rPr>
              <w:t xml:space="preserve"> 项目选址合理性分析</w:t>
            </w:r>
          </w:p>
          <w:tbl>
            <w:tblPr>
              <w:tblStyle w:val="20"/>
              <w:tblW w:w="8599"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44"/>
              <w:gridCol w:w="1415"/>
              <w:gridCol w:w="654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7" w:hRule="atLeast"/>
                <w:jc w:val="center"/>
              </w:trPr>
              <w:tc>
                <w:tcPr>
                  <w:tcW w:w="644"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序号</w:t>
                  </w:r>
                </w:p>
              </w:tc>
              <w:tc>
                <w:tcPr>
                  <w:tcW w:w="1415"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选址因素</w:t>
                  </w:r>
                </w:p>
              </w:tc>
              <w:tc>
                <w:tcPr>
                  <w:tcW w:w="6540"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选址条件</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7" w:hRule="atLeast"/>
                <w:jc w:val="center"/>
              </w:trPr>
              <w:tc>
                <w:tcPr>
                  <w:tcW w:w="644"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1</w:t>
                  </w:r>
                </w:p>
              </w:tc>
              <w:tc>
                <w:tcPr>
                  <w:tcW w:w="1415"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建设地点</w:t>
                  </w:r>
                </w:p>
              </w:tc>
              <w:tc>
                <w:tcPr>
                  <w:tcW w:w="6540"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本项目位于</w:t>
                  </w:r>
                  <w:r>
                    <w:rPr>
                      <w:rFonts w:hint="eastAsia"/>
                      <w:snapToGrid w:val="0"/>
                      <w:color w:val="auto"/>
                      <w:kern w:val="0"/>
                      <w:sz w:val="21"/>
                      <w:szCs w:val="21"/>
                      <w:lang w:eastAsia="zh-CN"/>
                    </w:rPr>
                    <w:t>陕西省西咸新区泾河新城永乐镇铁孟村18号</w:t>
                  </w:r>
                  <w:r>
                    <w:rPr>
                      <w:snapToGrid w:val="0"/>
                      <w:color w:val="auto"/>
                      <w:kern w:val="0"/>
                      <w:sz w:val="21"/>
                      <w:szCs w:val="21"/>
                    </w:rPr>
                    <w:t>，评范围价内无《建设项目环境影响评价分类管理名录》中第五条规定的（一）、（二）类环境保护区，如自然保护区、风景名胜区、世界文化和自然遗产地、饮用水水源保护区、基本农田保护区等，不在国家、地方规划的重点生态功能区的敏感区域内</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7" w:hRule="atLeast"/>
                <w:jc w:val="center"/>
              </w:trPr>
              <w:tc>
                <w:tcPr>
                  <w:tcW w:w="644"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2</w:t>
                  </w:r>
                </w:p>
              </w:tc>
              <w:tc>
                <w:tcPr>
                  <w:tcW w:w="1415"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规划相符性</w:t>
                  </w:r>
                </w:p>
              </w:tc>
              <w:tc>
                <w:tcPr>
                  <w:tcW w:w="6540"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本项目</w:t>
                  </w:r>
                  <w:r>
                    <w:rPr>
                      <w:rFonts w:hint="eastAsia"/>
                      <w:snapToGrid w:val="0"/>
                      <w:color w:val="auto"/>
                      <w:kern w:val="0"/>
                      <w:sz w:val="21"/>
                      <w:szCs w:val="21"/>
                    </w:rPr>
                    <w:t>已取得</w:t>
                  </w:r>
                  <w:r>
                    <w:rPr>
                      <w:rFonts w:hint="eastAsia"/>
                      <w:snapToGrid w:val="0"/>
                      <w:color w:val="auto"/>
                      <w:kern w:val="0"/>
                      <w:sz w:val="21"/>
                      <w:szCs w:val="21"/>
                      <w:lang w:eastAsia="zh-CN"/>
                    </w:rPr>
                    <w:t>泾阳县土地管理局</w:t>
                  </w:r>
                  <w:r>
                    <w:rPr>
                      <w:rFonts w:hint="eastAsia"/>
                      <w:snapToGrid w:val="0"/>
                      <w:color w:val="auto"/>
                      <w:kern w:val="0"/>
                      <w:sz w:val="21"/>
                      <w:szCs w:val="21"/>
                    </w:rPr>
                    <w:t>出具的《</w:t>
                  </w:r>
                  <w:r>
                    <w:rPr>
                      <w:rFonts w:hint="eastAsia"/>
                      <w:snapToGrid w:val="0"/>
                      <w:color w:val="auto"/>
                      <w:kern w:val="0"/>
                      <w:sz w:val="21"/>
                      <w:szCs w:val="21"/>
                      <w:lang w:eastAsia="zh-CN"/>
                    </w:rPr>
                    <w:t>集体土地建设用地使用证</w:t>
                  </w:r>
                  <w:r>
                    <w:rPr>
                      <w:rFonts w:hint="eastAsia"/>
                      <w:snapToGrid w:val="0"/>
                      <w:color w:val="auto"/>
                      <w:kern w:val="0"/>
                      <w:sz w:val="21"/>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7" w:hRule="atLeast"/>
                <w:jc w:val="center"/>
              </w:trPr>
              <w:tc>
                <w:tcPr>
                  <w:tcW w:w="644"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3</w:t>
                  </w:r>
                </w:p>
              </w:tc>
              <w:tc>
                <w:tcPr>
                  <w:tcW w:w="1415"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土地利用</w:t>
                  </w:r>
                </w:p>
              </w:tc>
              <w:tc>
                <w:tcPr>
                  <w:tcW w:w="6540"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用地性质属</w:t>
                  </w:r>
                  <w:r>
                    <w:rPr>
                      <w:rFonts w:hint="eastAsia"/>
                      <w:snapToGrid w:val="0"/>
                      <w:color w:val="auto"/>
                      <w:kern w:val="0"/>
                      <w:sz w:val="21"/>
                      <w:szCs w:val="21"/>
                      <w:lang w:eastAsia="zh-CN"/>
                    </w:rPr>
                    <w:t>工业用地</w:t>
                  </w:r>
                  <w:r>
                    <w:rPr>
                      <w:rFonts w:hint="eastAsia"/>
                      <w:snapToGrid w:val="0"/>
                      <w:color w:val="auto"/>
                      <w:kern w:val="0"/>
                      <w:sz w:val="21"/>
                      <w:szCs w:val="21"/>
                    </w:rPr>
                    <w:t>（详见附件3）</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7" w:hRule="atLeast"/>
                <w:jc w:val="center"/>
              </w:trPr>
              <w:tc>
                <w:tcPr>
                  <w:tcW w:w="644"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4</w:t>
                  </w:r>
                </w:p>
              </w:tc>
              <w:tc>
                <w:tcPr>
                  <w:tcW w:w="1415"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环境现状</w:t>
                  </w:r>
                </w:p>
              </w:tc>
              <w:tc>
                <w:tcPr>
                  <w:tcW w:w="6540"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现状监测结果表明，评价区环境质量现状良好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7" w:hRule="atLeast"/>
                <w:jc w:val="center"/>
              </w:trPr>
              <w:tc>
                <w:tcPr>
                  <w:tcW w:w="644"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5</w:t>
                  </w:r>
                </w:p>
              </w:tc>
              <w:tc>
                <w:tcPr>
                  <w:tcW w:w="1415"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环境功能区</w:t>
                  </w:r>
                </w:p>
              </w:tc>
              <w:tc>
                <w:tcPr>
                  <w:tcW w:w="6540" w:type="dxa"/>
                  <w:vAlign w:val="center"/>
                </w:tcPr>
                <w:p>
                  <w:pPr>
                    <w:spacing w:line="240" w:lineRule="auto"/>
                    <w:ind w:firstLine="0" w:firstLineChars="0"/>
                    <w:jc w:val="center"/>
                    <w:rPr>
                      <w:snapToGrid w:val="0"/>
                      <w:color w:val="auto"/>
                      <w:kern w:val="0"/>
                      <w:sz w:val="21"/>
                      <w:szCs w:val="21"/>
                    </w:rPr>
                  </w:pPr>
                  <w:r>
                    <w:rPr>
                      <w:snapToGrid w:val="0"/>
                      <w:color w:val="auto"/>
                      <w:kern w:val="0"/>
                      <w:sz w:val="21"/>
                      <w:szCs w:val="21"/>
                    </w:rPr>
                    <w:t>项目建成后正常工况下，废气、废水及噪声排放均可满足标准要求，可以满足评价区的环境功能要求</w:t>
                  </w:r>
                </w:p>
              </w:tc>
            </w:tr>
          </w:tbl>
          <w:p>
            <w:pPr>
              <w:spacing w:beforeLines="50"/>
              <w:ind w:firstLine="480"/>
              <w:rPr>
                <w:color w:val="0000FF"/>
                <w:kern w:val="0"/>
              </w:rPr>
            </w:pPr>
            <w:r>
              <w:rPr>
                <w:color w:val="auto"/>
                <w:kern w:val="0"/>
                <w:highlight w:val="none"/>
                <w:shd w:val="clear" w:color="auto" w:fill="auto"/>
              </w:rPr>
              <w:t>经实地调查</w:t>
            </w:r>
            <w:r>
              <w:rPr>
                <w:rFonts w:hint="eastAsia"/>
                <w:color w:val="auto"/>
                <w:kern w:val="0"/>
                <w:highlight w:val="none"/>
                <w:shd w:val="clear" w:color="auto" w:fill="auto"/>
              </w:rPr>
              <w:t>发现</w:t>
            </w:r>
            <w:r>
              <w:rPr>
                <w:color w:val="auto"/>
                <w:kern w:val="0"/>
                <w:highlight w:val="none"/>
                <w:shd w:val="clear" w:color="auto" w:fill="auto"/>
              </w:rPr>
              <w:t>，项目涉及的主要环境敏感目标为周边居民，距本项目最近的居民点为</w:t>
            </w:r>
            <w:r>
              <w:rPr>
                <w:rFonts w:hint="eastAsia"/>
                <w:color w:val="auto"/>
                <w:kern w:val="0"/>
                <w:highlight w:val="none"/>
                <w:shd w:val="clear" w:color="auto" w:fill="auto"/>
              </w:rPr>
              <w:t>厂界</w:t>
            </w:r>
            <w:r>
              <w:rPr>
                <w:rFonts w:hint="eastAsia"/>
                <w:color w:val="auto"/>
                <w:kern w:val="0"/>
                <w:highlight w:val="none"/>
                <w:shd w:val="clear" w:color="auto" w:fill="auto"/>
                <w:lang w:eastAsia="zh-CN"/>
              </w:rPr>
              <w:t>南</w:t>
            </w:r>
            <w:r>
              <w:rPr>
                <w:rFonts w:hint="eastAsia"/>
                <w:color w:val="auto"/>
                <w:kern w:val="0"/>
                <w:highlight w:val="none"/>
                <w:shd w:val="clear" w:color="auto" w:fill="auto"/>
              </w:rPr>
              <w:t>侧</w:t>
            </w:r>
            <w:r>
              <w:rPr>
                <w:rFonts w:hint="eastAsia"/>
                <w:color w:val="auto"/>
                <w:kern w:val="0"/>
                <w:highlight w:val="none"/>
                <w:shd w:val="clear" w:color="auto" w:fill="auto"/>
                <w:lang w:val="en-US" w:eastAsia="zh-CN"/>
              </w:rPr>
              <w:t>85m</w:t>
            </w:r>
            <w:r>
              <w:rPr>
                <w:rFonts w:hint="eastAsia"/>
                <w:color w:val="auto"/>
                <w:kern w:val="0"/>
                <w:highlight w:val="none"/>
                <w:shd w:val="clear" w:color="auto" w:fill="auto"/>
              </w:rPr>
              <w:t>的</w:t>
            </w:r>
            <w:r>
              <w:rPr>
                <w:rFonts w:hint="eastAsia"/>
                <w:color w:val="auto"/>
                <w:kern w:val="0"/>
                <w:highlight w:val="none"/>
                <w:shd w:val="clear" w:color="auto" w:fill="auto"/>
                <w:lang w:eastAsia="zh-CN"/>
              </w:rPr>
              <w:t>铁孟村</w:t>
            </w:r>
            <w:r>
              <w:rPr>
                <w:snapToGrid w:val="0"/>
                <w:color w:val="auto"/>
                <w:kern w:val="0"/>
                <w:highlight w:val="none"/>
                <w:shd w:val="clear" w:color="auto" w:fill="auto"/>
              </w:rPr>
              <w:t>。</w:t>
            </w:r>
            <w:r>
              <w:rPr>
                <w:snapToGrid w:val="0"/>
                <w:color w:val="auto"/>
                <w:kern w:val="0"/>
                <w:highlight w:val="none"/>
              </w:rPr>
              <w:t>项目评价范围内无《建设项目环境影响评价分类管理名录》中第五条规定的（一）、</w:t>
            </w:r>
            <w:r>
              <w:rPr>
                <w:snapToGrid w:val="0"/>
                <w:color w:val="auto"/>
                <w:kern w:val="0"/>
              </w:rPr>
              <w:t>（二）类环境保护区，如自然保护区、风景名胜区、世界文化和自然遗产地、饮用水水源保护区等，不在国家、地方规划的重点生态功能区的敏感区域内，拟建地自然环境及社会环境条件较为优越，环境空气、声环境质量状较好，有利于项目建设。项目在采取相应的污染防治措施后，运营期间各类污染物均能达标排放，对环境的影响可以接受。因此，在严格落实本报告提出的环保措施后，项目的建设和运行不会对外环境产生较大影响，从满足环境质量目标要求分析，选址可行。</w:t>
            </w:r>
          </w:p>
          <w:p>
            <w:pPr>
              <w:ind w:firstLine="482"/>
              <w:rPr>
                <w:b/>
              </w:rPr>
            </w:pPr>
            <w:r>
              <w:rPr>
                <w:rFonts w:hint="eastAsia"/>
                <w:b/>
              </w:rPr>
              <w:t>4、关注的主要环境问题及环境影响</w:t>
            </w:r>
          </w:p>
          <w:p>
            <w:pPr>
              <w:ind w:firstLine="480"/>
              <w:rPr>
                <w:color w:val="auto"/>
              </w:rPr>
            </w:pPr>
            <w:r>
              <w:rPr>
                <w:rFonts w:hint="eastAsia"/>
                <w:color w:val="FF0000"/>
              </w:rPr>
              <w:t>本项目</w:t>
            </w:r>
            <w:r>
              <w:rPr>
                <w:rFonts w:hint="eastAsia"/>
                <w:color w:val="FF0000"/>
                <w:lang w:eastAsia="zh-CN"/>
              </w:rPr>
              <w:t>无施工期，</w:t>
            </w:r>
            <w:r>
              <w:rPr>
                <w:rFonts w:hint="eastAsia"/>
                <w:color w:val="auto"/>
              </w:rPr>
              <w:t>营运期主要为粉尘和设备运行时产生的噪声等对环境的影响，项目采取环评提出的各项污染防治措施后，对环境的不利影响可降至当地环境可接受的程度。</w:t>
            </w:r>
          </w:p>
          <w:p>
            <w:pPr>
              <w:ind w:firstLine="482"/>
              <w:rPr>
                <w:b/>
              </w:rPr>
            </w:pPr>
            <w:r>
              <w:rPr>
                <w:rFonts w:hint="eastAsia"/>
                <w:b/>
              </w:rPr>
              <w:t>5、环境影响评价的主要结论</w:t>
            </w:r>
          </w:p>
          <w:p>
            <w:pPr>
              <w:ind w:firstLine="480"/>
              <w:rPr>
                <w:color w:val="auto"/>
              </w:rPr>
            </w:pPr>
            <w:r>
              <w:rPr>
                <w:rFonts w:hint="eastAsia"/>
                <w:color w:val="auto"/>
              </w:rPr>
              <w:t>项目符合相关政策、国家产业政策，选址符合相关要求，污染物治理措施可行。在落实项目环评报告提出的各项环保措施后，污染物可实现达标排放，从满足环境质量目标要求分析，项目建设可行。</w:t>
            </w:r>
          </w:p>
          <w:p>
            <w:pPr>
              <w:ind w:firstLine="0" w:firstLineChars="0"/>
              <w:rPr>
                <w:b/>
              </w:rPr>
            </w:pPr>
            <w:r>
              <w:rPr>
                <w:rFonts w:hint="eastAsia"/>
                <w:b/>
              </w:rPr>
              <w:t>二、项目概况</w:t>
            </w:r>
          </w:p>
          <w:p>
            <w:pPr>
              <w:ind w:firstLine="480"/>
              <w:rPr>
                <w:b w:val="0"/>
                <w:bCs w:val="0"/>
                <w:color w:val="auto"/>
              </w:rPr>
            </w:pPr>
            <w:r>
              <w:rPr>
                <w:rFonts w:hint="eastAsia"/>
                <w:b w:val="0"/>
                <w:bCs w:val="0"/>
                <w:color w:val="auto"/>
              </w:rPr>
              <w:t>1、项目基本情况</w:t>
            </w:r>
          </w:p>
          <w:p>
            <w:pPr>
              <w:ind w:firstLine="480"/>
              <w:rPr>
                <w:rFonts w:hint="eastAsia" w:eastAsia="宋体"/>
                <w:color w:val="auto"/>
                <w:lang w:eastAsia="zh-CN"/>
              </w:rPr>
            </w:pPr>
            <w:r>
              <w:rPr>
                <w:rFonts w:hint="eastAsia"/>
                <w:color w:val="auto"/>
              </w:rPr>
              <w:t>（1）项目名称：</w:t>
            </w:r>
            <w:r>
              <w:rPr>
                <w:rFonts w:hint="eastAsia"/>
                <w:color w:val="auto"/>
                <w:lang w:eastAsia="zh-CN"/>
              </w:rPr>
              <w:t>陕西润业工贸防冻液生产项目</w:t>
            </w:r>
          </w:p>
          <w:p>
            <w:pPr>
              <w:ind w:firstLine="480"/>
              <w:rPr>
                <w:rFonts w:hint="eastAsia" w:eastAsia="宋体"/>
                <w:color w:val="auto"/>
                <w:lang w:eastAsia="zh-CN"/>
              </w:rPr>
            </w:pPr>
            <w:r>
              <w:rPr>
                <w:rFonts w:hint="eastAsia"/>
                <w:color w:val="auto"/>
              </w:rPr>
              <w:t>（2）建设单位：</w:t>
            </w:r>
            <w:r>
              <w:rPr>
                <w:rFonts w:hint="eastAsia"/>
                <w:color w:val="auto"/>
                <w:lang w:eastAsia="zh-CN"/>
              </w:rPr>
              <w:t>陕西润业工贸有限公司</w:t>
            </w:r>
          </w:p>
          <w:p>
            <w:pPr>
              <w:ind w:firstLine="480"/>
              <w:rPr>
                <w:color w:val="auto"/>
              </w:rPr>
            </w:pPr>
            <w:r>
              <w:rPr>
                <w:rFonts w:hint="eastAsia"/>
                <w:color w:val="auto"/>
              </w:rPr>
              <w:t>（3）建设性质：新建</w:t>
            </w:r>
          </w:p>
          <w:p>
            <w:pPr>
              <w:ind w:firstLine="480"/>
              <w:rPr>
                <w:rFonts w:hint="eastAsia" w:eastAsia="宋体"/>
                <w:color w:val="auto"/>
                <w:lang w:eastAsia="zh-CN"/>
              </w:rPr>
            </w:pPr>
            <w:r>
              <w:rPr>
                <w:rFonts w:hint="eastAsia"/>
                <w:color w:val="auto"/>
              </w:rPr>
              <w:t>（4）建设地点：</w:t>
            </w:r>
            <w:r>
              <w:rPr>
                <w:rFonts w:hint="eastAsia"/>
                <w:color w:val="auto"/>
                <w:lang w:eastAsia="zh-CN"/>
              </w:rPr>
              <w:t>陕西省西咸新区泾河新城永乐镇铁孟村18号</w:t>
            </w:r>
          </w:p>
          <w:p>
            <w:pPr>
              <w:ind w:firstLine="480"/>
              <w:rPr>
                <w:color w:val="auto"/>
              </w:rPr>
            </w:pPr>
            <w:r>
              <w:rPr>
                <w:rFonts w:hint="eastAsia"/>
                <w:color w:val="auto"/>
              </w:rPr>
              <w:t>（5）总投资：100万元</w:t>
            </w:r>
          </w:p>
          <w:p>
            <w:pPr>
              <w:ind w:firstLine="480"/>
              <w:rPr>
                <w:b w:val="0"/>
                <w:bCs w:val="0"/>
                <w:color w:val="auto"/>
              </w:rPr>
            </w:pPr>
            <w:r>
              <w:rPr>
                <w:rFonts w:hint="eastAsia"/>
                <w:b w:val="0"/>
                <w:bCs w:val="0"/>
                <w:color w:val="auto"/>
              </w:rPr>
              <w:t>2、项目厂区四周概况</w:t>
            </w:r>
          </w:p>
          <w:p>
            <w:pPr>
              <w:ind w:firstLine="480"/>
              <w:jc w:val="both"/>
              <w:rPr>
                <w:color w:val="auto"/>
                <w:highlight w:val="none"/>
              </w:rPr>
            </w:pPr>
            <w:r>
              <w:rPr>
                <w:rFonts w:hint="eastAsia"/>
                <w:color w:val="auto"/>
                <w:highlight w:val="none"/>
              </w:rPr>
              <w:t>本项目位于</w:t>
            </w:r>
            <w:r>
              <w:rPr>
                <w:rFonts w:hint="eastAsia"/>
                <w:color w:val="auto"/>
                <w:highlight w:val="none"/>
                <w:lang w:eastAsia="zh-CN"/>
              </w:rPr>
              <w:t>陕西省西咸新区泾河新城永乐镇铁孟村18号</w:t>
            </w:r>
            <w:r>
              <w:rPr>
                <w:rFonts w:hint="eastAsia"/>
                <w:color w:val="auto"/>
                <w:highlight w:val="none"/>
              </w:rPr>
              <w:t>，</w:t>
            </w:r>
            <w:r>
              <w:rPr>
                <w:color w:val="auto"/>
                <w:highlight w:val="none"/>
              </w:rPr>
              <w:t>项目地理坐标为N</w:t>
            </w:r>
            <w:r>
              <w:rPr>
                <w:rFonts w:hint="eastAsia"/>
                <w:color w:val="auto"/>
                <w:highlight w:val="none"/>
              </w:rPr>
              <w:t>34.</w:t>
            </w:r>
            <w:r>
              <w:rPr>
                <w:rFonts w:hint="eastAsia"/>
                <w:color w:val="auto"/>
                <w:highlight w:val="none"/>
                <w:lang w:val="en-US" w:eastAsia="zh-CN"/>
              </w:rPr>
              <w:t>548423</w:t>
            </w:r>
            <w:r>
              <w:rPr>
                <w:rFonts w:hint="eastAsia"/>
                <w:color w:val="auto"/>
                <w:highlight w:val="none"/>
              </w:rPr>
              <w:t>°</w:t>
            </w:r>
            <w:r>
              <w:rPr>
                <w:color w:val="auto"/>
                <w:highlight w:val="none"/>
              </w:rPr>
              <w:t>，E</w:t>
            </w:r>
            <w:r>
              <w:rPr>
                <w:rFonts w:hint="eastAsia"/>
                <w:color w:val="auto"/>
                <w:highlight w:val="none"/>
              </w:rPr>
              <w:t>10</w:t>
            </w:r>
            <w:r>
              <w:rPr>
                <w:rFonts w:hint="eastAsia"/>
                <w:color w:val="auto"/>
                <w:highlight w:val="none"/>
                <w:lang w:val="en-US" w:eastAsia="zh-CN"/>
              </w:rPr>
              <w:t>8.934931</w:t>
            </w:r>
            <w:r>
              <w:rPr>
                <w:rFonts w:hint="eastAsia"/>
                <w:color w:val="auto"/>
                <w:highlight w:val="none"/>
              </w:rPr>
              <w:t>°</w:t>
            </w:r>
            <w:r>
              <w:rPr>
                <w:color w:val="auto"/>
                <w:highlight w:val="none"/>
              </w:rPr>
              <w:t>。</w:t>
            </w:r>
            <w:r>
              <w:rPr>
                <w:rFonts w:hint="eastAsia"/>
                <w:color w:val="auto"/>
                <w:highlight w:val="none"/>
                <w:lang w:eastAsia="zh-CN"/>
              </w:rPr>
              <w:t>项目东侧紧邻三永路（永乐镇南关正街），南侧为空地</w:t>
            </w:r>
            <w:r>
              <w:rPr>
                <w:rFonts w:hint="eastAsia"/>
                <w:color w:val="auto"/>
                <w:highlight w:val="none"/>
                <w:lang w:val="en-US" w:eastAsia="zh-CN"/>
              </w:rPr>
              <w:t>，西侧为闲置厂房和水渠，北侧为闲置厂房</w:t>
            </w:r>
            <w:r>
              <w:rPr>
                <w:rFonts w:hint="eastAsia"/>
                <w:color w:val="auto"/>
                <w:highlight w:val="none"/>
              </w:rPr>
              <w:t>。</w:t>
            </w:r>
          </w:p>
          <w:p>
            <w:pPr>
              <w:ind w:firstLine="480"/>
              <w:rPr>
                <w:color w:val="auto"/>
              </w:rPr>
            </w:pPr>
            <w:r>
              <w:rPr>
                <w:rFonts w:hint="eastAsia"/>
                <w:color w:val="auto"/>
              </w:rPr>
              <w:t>项目地理位置图见附图1，四邻关系图见附图2。</w:t>
            </w:r>
          </w:p>
          <w:p>
            <w:pPr>
              <w:ind w:firstLine="480"/>
              <w:rPr>
                <w:b w:val="0"/>
                <w:bCs w:val="0"/>
              </w:rPr>
            </w:pPr>
            <w:r>
              <w:rPr>
                <w:rFonts w:hint="eastAsia"/>
                <w:b w:val="0"/>
                <w:bCs w:val="0"/>
              </w:rPr>
              <w:t>3、项目主要建设内容及规模</w:t>
            </w:r>
          </w:p>
          <w:p>
            <w:pPr>
              <w:ind w:firstLine="480"/>
              <w:rPr>
                <w:color w:val="auto"/>
              </w:rPr>
            </w:pPr>
            <w:r>
              <w:rPr>
                <w:rFonts w:hint="eastAsia"/>
                <w:color w:val="auto"/>
              </w:rPr>
              <w:t>本项目年产</w:t>
            </w:r>
            <w:r>
              <w:rPr>
                <w:rFonts w:hint="eastAsia"/>
                <w:color w:val="auto"/>
                <w:lang w:val="en-US" w:eastAsia="zh-CN"/>
              </w:rPr>
              <w:t>2000吨汽车专用防冻液</w:t>
            </w:r>
            <w:r>
              <w:rPr>
                <w:rFonts w:hint="eastAsia"/>
                <w:color w:val="auto"/>
              </w:rPr>
              <w:t>，项目</w:t>
            </w:r>
            <w:r>
              <w:rPr>
                <w:color w:val="auto"/>
              </w:rPr>
              <w:t>总占地</w:t>
            </w:r>
            <w:r>
              <w:rPr>
                <w:rFonts w:hint="eastAsia"/>
                <w:color w:val="auto"/>
                <w:lang w:eastAsia="zh-CN"/>
              </w:rPr>
              <w:t>3300</w:t>
            </w:r>
            <w:r>
              <w:rPr>
                <w:color w:val="auto"/>
              </w:rPr>
              <w:t>m</w:t>
            </w:r>
            <w:r>
              <w:rPr>
                <w:color w:val="auto"/>
                <w:vertAlign w:val="superscript"/>
              </w:rPr>
              <w:t>2</w:t>
            </w:r>
            <w:r>
              <w:rPr>
                <w:color w:val="auto"/>
              </w:rPr>
              <w:t>。</w:t>
            </w:r>
            <w:r>
              <w:rPr>
                <w:rFonts w:hint="eastAsia"/>
                <w:color w:val="auto"/>
                <w:lang w:eastAsia="zh-CN"/>
              </w:rPr>
              <w:t>建设有</w:t>
            </w:r>
            <w:r>
              <w:rPr>
                <w:rFonts w:hint="eastAsia"/>
                <w:color w:val="auto"/>
              </w:rPr>
              <w:t>生产车间、库房及</w:t>
            </w:r>
            <w:r>
              <w:rPr>
                <w:rFonts w:hint="eastAsia"/>
                <w:color w:val="auto"/>
                <w:lang w:eastAsia="zh-CN"/>
              </w:rPr>
              <w:t>办公和其他</w:t>
            </w:r>
            <w:r>
              <w:rPr>
                <w:rFonts w:hint="eastAsia"/>
                <w:color w:val="auto"/>
              </w:rPr>
              <w:t>配套设施等。项目组成表见表</w:t>
            </w:r>
            <w:r>
              <w:rPr>
                <w:rFonts w:hint="eastAsia"/>
                <w:color w:val="auto"/>
                <w:lang w:val="en-US" w:eastAsia="zh-CN"/>
              </w:rPr>
              <w:t>1-5</w:t>
            </w:r>
            <w:r>
              <w:rPr>
                <w:rFonts w:hint="eastAsia"/>
                <w:color w:val="auto"/>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1-5</w:t>
            </w:r>
            <w:r>
              <w:rPr>
                <w:rFonts w:hint="eastAsia" w:ascii="Times New Roman" w:hAnsi="Times New Roman" w:eastAsia="宋体" w:cs="Times New Roman"/>
                <w:b/>
                <w:bCs/>
                <w:color w:val="auto"/>
                <w:sz w:val="21"/>
                <w:szCs w:val="21"/>
                <w:lang w:eastAsia="zh-CN"/>
              </w:rPr>
              <w:t xml:space="preserve">  </w:t>
            </w:r>
            <w:r>
              <w:rPr>
                <w:rFonts w:hint="eastAsia" w:ascii="Times New Roman" w:hAnsi="Times New Roman" w:eastAsia="宋体" w:cs="Times New Roman"/>
                <w:b/>
                <w:bCs/>
                <w:color w:val="auto"/>
                <w:sz w:val="21"/>
                <w:szCs w:val="21"/>
                <w:lang w:val="en-US" w:eastAsia="zh-CN"/>
              </w:rPr>
              <w:t xml:space="preserve">  </w:t>
            </w:r>
            <w:r>
              <w:rPr>
                <w:rFonts w:hint="eastAsia" w:ascii="Times New Roman" w:hAnsi="Times New Roman" w:eastAsia="宋体" w:cs="Times New Roman"/>
                <w:b/>
                <w:bCs/>
                <w:color w:val="auto"/>
                <w:sz w:val="21"/>
                <w:szCs w:val="21"/>
                <w:lang w:eastAsia="zh-CN"/>
              </w:rPr>
              <w:t>工程主要建设内容一览表</w:t>
            </w:r>
          </w:p>
          <w:tbl>
            <w:tblPr>
              <w:tblStyle w:val="21"/>
              <w:tblW w:w="8600"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63"/>
              <w:gridCol w:w="1065"/>
              <w:gridCol w:w="5880"/>
              <w:gridCol w:w="992"/>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1728" w:type="dxa"/>
                  <w:gridSpan w:val="2"/>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工程名称</w:t>
                  </w:r>
                </w:p>
              </w:tc>
              <w:tc>
                <w:tcPr>
                  <w:tcW w:w="588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工程内容</w:t>
                  </w:r>
                </w:p>
              </w:tc>
              <w:tc>
                <w:tcPr>
                  <w:tcW w:w="992"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备注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主体工程</w:t>
                  </w:r>
                </w:p>
              </w:tc>
              <w:tc>
                <w:tcPr>
                  <w:tcW w:w="106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lang w:eastAsia="zh-CN"/>
                    </w:rPr>
                    <w:t>生产</w:t>
                  </w:r>
                  <w:r>
                    <w:rPr>
                      <w:rFonts w:hint="eastAsia"/>
                      <w:color w:val="auto"/>
                      <w:sz w:val="21"/>
                      <w:szCs w:val="21"/>
                    </w:rPr>
                    <w:t>车间</w:t>
                  </w:r>
                </w:p>
              </w:tc>
              <w:tc>
                <w:tcPr>
                  <w:tcW w:w="588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lang w:eastAsia="zh-CN"/>
                    </w:rPr>
                    <w:t>主要生产汽车专用防冻液，生产工序主要为混液搅拌、灌装工序。</w:t>
                  </w:r>
                  <w:r>
                    <w:rPr>
                      <w:color w:val="auto"/>
                      <w:sz w:val="21"/>
                      <w:szCs w:val="21"/>
                    </w:rPr>
                    <w:t>一层</w:t>
                  </w:r>
                  <w:r>
                    <w:rPr>
                      <w:rFonts w:hint="eastAsia"/>
                      <w:color w:val="auto"/>
                      <w:sz w:val="21"/>
                      <w:szCs w:val="21"/>
                      <w:lang w:eastAsia="zh-CN"/>
                    </w:rPr>
                    <w:t>砖混</w:t>
                  </w:r>
                  <w:r>
                    <w:rPr>
                      <w:color w:val="auto"/>
                      <w:sz w:val="21"/>
                      <w:szCs w:val="21"/>
                    </w:rPr>
                    <w:t>结构，</w:t>
                  </w:r>
                  <w:r>
                    <w:rPr>
                      <w:bCs/>
                      <w:color w:val="auto"/>
                      <w:sz w:val="21"/>
                      <w:szCs w:val="21"/>
                    </w:rPr>
                    <w:t>建筑面积</w:t>
                  </w:r>
                  <w:r>
                    <w:rPr>
                      <w:rFonts w:hint="eastAsia"/>
                      <w:bCs/>
                      <w:color w:val="auto"/>
                      <w:sz w:val="21"/>
                      <w:szCs w:val="21"/>
                      <w:lang w:val="en-US" w:eastAsia="zh-CN"/>
                    </w:rPr>
                    <w:t>532</w:t>
                  </w:r>
                  <w:r>
                    <w:rPr>
                      <w:color w:val="auto"/>
                      <w:sz w:val="21"/>
                      <w:szCs w:val="21"/>
                    </w:rPr>
                    <w:t>m</w:t>
                  </w:r>
                  <w:r>
                    <w:rPr>
                      <w:color w:val="auto"/>
                      <w:sz w:val="21"/>
                      <w:szCs w:val="21"/>
                      <w:vertAlign w:val="superscript"/>
                    </w:rPr>
                    <w:t>2</w:t>
                  </w:r>
                </w:p>
              </w:tc>
              <w:tc>
                <w:tcPr>
                  <w:tcW w:w="992"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restart"/>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辅助工程</w:t>
                  </w:r>
                </w:p>
              </w:tc>
              <w:tc>
                <w:tcPr>
                  <w:tcW w:w="1065"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库房</w:t>
                  </w:r>
                </w:p>
              </w:tc>
              <w:tc>
                <w:tcPr>
                  <w:tcW w:w="588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lang w:eastAsia="zh-CN"/>
                    </w:rPr>
                    <w:t>存储成品汽车专用防冻液，</w:t>
                  </w:r>
                  <w:r>
                    <w:rPr>
                      <w:color w:val="auto"/>
                      <w:sz w:val="21"/>
                      <w:szCs w:val="21"/>
                    </w:rPr>
                    <w:t>一层</w:t>
                  </w:r>
                  <w:r>
                    <w:rPr>
                      <w:rFonts w:hint="eastAsia"/>
                      <w:color w:val="auto"/>
                      <w:sz w:val="21"/>
                      <w:szCs w:val="21"/>
                      <w:lang w:eastAsia="zh-CN"/>
                    </w:rPr>
                    <w:t>砖混</w:t>
                  </w:r>
                  <w:r>
                    <w:rPr>
                      <w:color w:val="auto"/>
                      <w:sz w:val="21"/>
                      <w:szCs w:val="21"/>
                    </w:rPr>
                    <w:t>结构</w:t>
                  </w:r>
                  <w:r>
                    <w:rPr>
                      <w:rFonts w:hint="eastAsia"/>
                      <w:color w:val="auto"/>
                      <w:sz w:val="21"/>
                      <w:szCs w:val="21"/>
                    </w:rPr>
                    <w:t>，</w:t>
                  </w:r>
                  <w:r>
                    <w:rPr>
                      <w:rFonts w:hint="eastAsia"/>
                      <w:color w:val="auto"/>
                      <w:sz w:val="21"/>
                      <w:szCs w:val="21"/>
                      <w:lang w:eastAsia="zh-CN"/>
                    </w:rPr>
                    <w:t>建筑面积</w:t>
                  </w:r>
                  <w:r>
                    <w:rPr>
                      <w:rFonts w:hint="eastAsia"/>
                      <w:color w:val="auto"/>
                      <w:sz w:val="21"/>
                      <w:szCs w:val="21"/>
                      <w:lang w:val="en-US" w:eastAsia="zh-CN"/>
                    </w:rPr>
                    <w:t>200</w:t>
                  </w:r>
                  <w:r>
                    <w:rPr>
                      <w:rFonts w:hint="eastAsia"/>
                      <w:color w:val="auto"/>
                      <w:sz w:val="21"/>
                      <w:szCs w:val="21"/>
                    </w:rPr>
                    <w:t>m</w:t>
                  </w:r>
                  <w:r>
                    <w:rPr>
                      <w:rFonts w:hint="eastAsia"/>
                      <w:color w:val="auto"/>
                      <w:sz w:val="21"/>
                      <w:szCs w:val="21"/>
                      <w:vertAlign w:val="superscript"/>
                    </w:rPr>
                    <w:t>2</w:t>
                  </w:r>
                </w:p>
              </w:tc>
              <w:tc>
                <w:tcPr>
                  <w:tcW w:w="992" w:type="dxa"/>
                  <w:tcBorders>
                    <w:tl2br w:val="nil"/>
                    <w:tr2bl w:val="nil"/>
                  </w:tcBorders>
                  <w:vAlign w:val="center"/>
                </w:tcPr>
                <w:p>
                  <w:pPr>
                    <w:spacing w:line="240" w:lineRule="auto"/>
                    <w:ind w:left="0" w:leftChars="0" w:firstLine="0" w:firstLineChars="0"/>
                    <w:jc w:val="center"/>
                    <w:rPr>
                      <w:rFonts w:hint="eastAsia" w:eastAsia="宋体"/>
                      <w:color w:val="auto"/>
                      <w:sz w:val="21"/>
                      <w:szCs w:val="21"/>
                      <w:lang w:eastAsia="zh-CN"/>
                    </w:rPr>
                  </w:pPr>
                  <w:r>
                    <w:rPr>
                      <w:rFonts w:hint="eastAsia"/>
                      <w:color w:val="auto"/>
                      <w:sz w:val="21"/>
                      <w:szCs w:val="21"/>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auto"/>
                    </w:rPr>
                  </w:pPr>
                </w:p>
              </w:tc>
              <w:tc>
                <w:tcPr>
                  <w:tcW w:w="1065"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办公用房</w:t>
                  </w:r>
                </w:p>
              </w:tc>
              <w:tc>
                <w:tcPr>
                  <w:tcW w:w="5880"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eastAsia="zh-CN"/>
                    </w:rPr>
                    <w:t>一层砖混结构，建筑面积</w:t>
                  </w:r>
                  <w:r>
                    <w:rPr>
                      <w:rFonts w:hint="eastAsia"/>
                      <w:color w:val="auto"/>
                      <w:sz w:val="21"/>
                      <w:szCs w:val="21"/>
                      <w:lang w:val="en-US" w:eastAsia="zh-CN"/>
                    </w:rPr>
                    <w:t>210</w:t>
                  </w:r>
                  <w:r>
                    <w:rPr>
                      <w:rFonts w:hint="eastAsia"/>
                      <w:color w:val="auto"/>
                      <w:sz w:val="21"/>
                      <w:szCs w:val="21"/>
                    </w:rPr>
                    <w:t>m</w:t>
                  </w:r>
                  <w:r>
                    <w:rPr>
                      <w:rFonts w:hint="eastAsia"/>
                      <w:color w:val="auto"/>
                      <w:sz w:val="21"/>
                      <w:szCs w:val="21"/>
                      <w:vertAlign w:val="superscript"/>
                    </w:rPr>
                    <w:t>2</w:t>
                  </w:r>
                  <w:r>
                    <w:rPr>
                      <w:rFonts w:ascii="Times New Roman" w:hAnsi="Times New Roman"/>
                      <w:color w:val="auto"/>
                      <w:sz w:val="21"/>
                      <w:szCs w:val="21"/>
                    </w:rPr>
                    <w:t>，用于日常办公</w:t>
                  </w:r>
                </w:p>
              </w:tc>
              <w:tc>
                <w:tcPr>
                  <w:tcW w:w="992" w:type="dxa"/>
                  <w:tcBorders>
                    <w:tl2br w:val="nil"/>
                    <w:tr2bl w:val="nil"/>
                  </w:tcBorders>
                  <w:vAlign w:val="center"/>
                </w:tcPr>
                <w:p>
                  <w:pPr>
                    <w:spacing w:line="240" w:lineRule="auto"/>
                    <w:ind w:left="0" w:leftChars="0" w:firstLine="0" w:firstLineChars="0"/>
                    <w:jc w:val="center"/>
                    <w:rPr>
                      <w:rFonts w:hint="eastAsia" w:eastAsia="宋体"/>
                      <w:color w:val="auto"/>
                      <w:sz w:val="21"/>
                      <w:szCs w:val="21"/>
                      <w:lang w:eastAsia="zh-CN"/>
                    </w:rPr>
                  </w:pPr>
                  <w:r>
                    <w:rPr>
                      <w:rFonts w:hint="eastAsia"/>
                      <w:color w:val="auto"/>
                      <w:sz w:val="21"/>
                      <w:szCs w:val="21"/>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auto"/>
                      <w:sz w:val="21"/>
                      <w:szCs w:val="21"/>
                    </w:rPr>
                  </w:pPr>
                </w:p>
              </w:tc>
              <w:tc>
                <w:tcPr>
                  <w:tcW w:w="1065" w:type="dxa"/>
                  <w:tcBorders>
                    <w:tl2br w:val="nil"/>
                    <w:tr2bl w:val="nil"/>
                  </w:tcBorders>
                  <w:vAlign w:val="center"/>
                </w:tcPr>
                <w:p>
                  <w:pPr>
                    <w:spacing w:line="240" w:lineRule="auto"/>
                    <w:ind w:firstLine="0" w:firstLineChars="0"/>
                    <w:jc w:val="center"/>
                    <w:rPr>
                      <w:rFonts w:hint="eastAsia"/>
                      <w:color w:val="auto"/>
                      <w:sz w:val="21"/>
                      <w:szCs w:val="21"/>
                      <w:lang w:eastAsia="zh-CN"/>
                    </w:rPr>
                  </w:pPr>
                  <w:r>
                    <w:rPr>
                      <w:rFonts w:hint="eastAsia"/>
                      <w:color w:val="auto"/>
                      <w:sz w:val="21"/>
                      <w:szCs w:val="21"/>
                      <w:lang w:eastAsia="zh-CN"/>
                    </w:rPr>
                    <w:t>生活区</w:t>
                  </w:r>
                </w:p>
              </w:tc>
              <w:tc>
                <w:tcPr>
                  <w:tcW w:w="5880" w:type="dxa"/>
                  <w:tcBorders>
                    <w:tl2br w:val="nil"/>
                    <w:tr2bl w:val="nil"/>
                  </w:tcBorders>
                  <w:vAlign w:val="center"/>
                </w:tcPr>
                <w:p>
                  <w:pPr>
                    <w:spacing w:line="240" w:lineRule="auto"/>
                    <w:ind w:firstLine="0" w:firstLineChars="0"/>
                    <w:jc w:val="center"/>
                    <w:rPr>
                      <w:rFonts w:hint="eastAsia"/>
                      <w:color w:val="auto"/>
                      <w:sz w:val="21"/>
                      <w:szCs w:val="21"/>
                      <w:lang w:eastAsia="zh-CN"/>
                    </w:rPr>
                  </w:pPr>
                  <w:r>
                    <w:rPr>
                      <w:rFonts w:hint="eastAsia"/>
                      <w:color w:val="auto"/>
                      <w:sz w:val="21"/>
                      <w:szCs w:val="21"/>
                      <w:lang w:eastAsia="zh-CN"/>
                    </w:rPr>
                    <w:t>一层砖混结构，建筑面积</w:t>
                  </w:r>
                  <w:r>
                    <w:rPr>
                      <w:rFonts w:hint="eastAsia"/>
                      <w:color w:val="auto"/>
                      <w:sz w:val="21"/>
                      <w:szCs w:val="21"/>
                      <w:lang w:val="en-US" w:eastAsia="zh-CN"/>
                    </w:rPr>
                    <w:t>200</w:t>
                  </w:r>
                  <w:r>
                    <w:rPr>
                      <w:rFonts w:hint="eastAsia"/>
                      <w:color w:val="auto"/>
                      <w:sz w:val="21"/>
                      <w:szCs w:val="21"/>
                    </w:rPr>
                    <w:t>m</w:t>
                  </w:r>
                  <w:r>
                    <w:rPr>
                      <w:rFonts w:hint="eastAsia"/>
                      <w:color w:val="auto"/>
                      <w:sz w:val="21"/>
                      <w:szCs w:val="21"/>
                      <w:vertAlign w:val="superscript"/>
                    </w:rPr>
                    <w:t>2</w:t>
                  </w:r>
                </w:p>
              </w:tc>
              <w:tc>
                <w:tcPr>
                  <w:tcW w:w="992" w:type="dxa"/>
                  <w:tcBorders>
                    <w:tl2br w:val="nil"/>
                    <w:tr2bl w:val="nil"/>
                  </w:tcBorders>
                  <w:vAlign w:val="center"/>
                </w:tcPr>
                <w:p>
                  <w:pPr>
                    <w:spacing w:line="240" w:lineRule="auto"/>
                    <w:ind w:left="0" w:leftChars="0" w:firstLine="0" w:firstLineChars="0"/>
                    <w:jc w:val="center"/>
                    <w:rPr>
                      <w:rFonts w:hint="eastAsia"/>
                      <w:color w:val="auto"/>
                      <w:sz w:val="21"/>
                      <w:szCs w:val="21"/>
                      <w:lang w:eastAsia="zh-CN"/>
                    </w:rPr>
                  </w:pPr>
                  <w:r>
                    <w:rPr>
                      <w:rFonts w:hint="eastAsia"/>
                      <w:color w:val="auto"/>
                      <w:sz w:val="21"/>
                      <w:szCs w:val="21"/>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auto"/>
                      <w:sz w:val="21"/>
                      <w:szCs w:val="21"/>
                    </w:rPr>
                  </w:pPr>
                </w:p>
              </w:tc>
              <w:tc>
                <w:tcPr>
                  <w:tcW w:w="1065" w:type="dxa"/>
                  <w:tcBorders>
                    <w:tl2br w:val="nil"/>
                    <w:tr2bl w:val="nil"/>
                  </w:tcBorders>
                  <w:vAlign w:val="center"/>
                </w:tcPr>
                <w:p>
                  <w:pPr>
                    <w:spacing w:line="240" w:lineRule="auto"/>
                    <w:ind w:firstLine="0" w:firstLineChars="0"/>
                    <w:jc w:val="center"/>
                    <w:rPr>
                      <w:rFonts w:hint="eastAsia"/>
                      <w:color w:val="auto"/>
                      <w:sz w:val="21"/>
                      <w:szCs w:val="21"/>
                      <w:lang w:eastAsia="zh-CN"/>
                    </w:rPr>
                  </w:pPr>
                  <w:r>
                    <w:rPr>
                      <w:rFonts w:hint="eastAsia"/>
                      <w:color w:val="auto"/>
                      <w:sz w:val="21"/>
                      <w:szCs w:val="21"/>
                      <w:lang w:eastAsia="zh-CN"/>
                    </w:rPr>
                    <w:t>原料车间</w:t>
                  </w:r>
                </w:p>
              </w:tc>
              <w:tc>
                <w:tcPr>
                  <w:tcW w:w="5880" w:type="dxa"/>
                  <w:tcBorders>
                    <w:tl2br w:val="nil"/>
                    <w:tr2bl w:val="nil"/>
                  </w:tcBorders>
                  <w:vAlign w:val="center"/>
                </w:tcPr>
                <w:p>
                  <w:pPr>
                    <w:spacing w:line="240" w:lineRule="auto"/>
                    <w:ind w:firstLine="0" w:firstLineChars="0"/>
                    <w:jc w:val="center"/>
                    <w:rPr>
                      <w:rFonts w:hint="eastAsia"/>
                      <w:color w:val="auto"/>
                      <w:sz w:val="21"/>
                      <w:szCs w:val="21"/>
                      <w:lang w:eastAsia="zh-CN"/>
                    </w:rPr>
                  </w:pPr>
                  <w:r>
                    <w:rPr>
                      <w:rFonts w:hint="eastAsia"/>
                      <w:color w:val="auto"/>
                      <w:sz w:val="21"/>
                      <w:szCs w:val="21"/>
                      <w:lang w:eastAsia="zh-CN"/>
                    </w:rPr>
                    <w:t>存放原材料，一层砖混结构，建筑面积</w:t>
                  </w:r>
                  <w:r>
                    <w:rPr>
                      <w:rFonts w:hint="eastAsia"/>
                      <w:color w:val="auto"/>
                      <w:sz w:val="21"/>
                      <w:szCs w:val="21"/>
                      <w:lang w:val="en-US" w:eastAsia="zh-CN"/>
                    </w:rPr>
                    <w:t>220</w:t>
                  </w:r>
                  <w:r>
                    <w:rPr>
                      <w:rFonts w:hint="eastAsia"/>
                      <w:color w:val="auto"/>
                      <w:sz w:val="21"/>
                      <w:szCs w:val="21"/>
                    </w:rPr>
                    <w:t>m</w:t>
                  </w:r>
                  <w:r>
                    <w:rPr>
                      <w:rFonts w:hint="eastAsia"/>
                      <w:color w:val="auto"/>
                      <w:sz w:val="21"/>
                      <w:szCs w:val="21"/>
                      <w:vertAlign w:val="superscript"/>
                    </w:rPr>
                    <w:t>2</w:t>
                  </w:r>
                </w:p>
              </w:tc>
              <w:tc>
                <w:tcPr>
                  <w:tcW w:w="992" w:type="dxa"/>
                  <w:tcBorders>
                    <w:tl2br w:val="nil"/>
                    <w:tr2bl w:val="nil"/>
                  </w:tcBorders>
                  <w:vAlign w:val="center"/>
                </w:tcPr>
                <w:p>
                  <w:pPr>
                    <w:spacing w:line="240" w:lineRule="auto"/>
                    <w:ind w:left="0" w:leftChars="0" w:firstLine="0" w:firstLineChars="0"/>
                    <w:jc w:val="center"/>
                    <w:rPr>
                      <w:rFonts w:hint="eastAsia"/>
                      <w:color w:val="auto"/>
                      <w:sz w:val="21"/>
                      <w:szCs w:val="21"/>
                      <w:lang w:eastAsia="zh-CN"/>
                    </w:rPr>
                  </w:pPr>
                  <w:r>
                    <w:rPr>
                      <w:rFonts w:hint="eastAsia"/>
                      <w:color w:val="auto"/>
                      <w:sz w:val="21"/>
                      <w:szCs w:val="21"/>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auto"/>
                      <w:sz w:val="21"/>
                      <w:szCs w:val="21"/>
                    </w:rPr>
                  </w:pPr>
                </w:p>
              </w:tc>
              <w:tc>
                <w:tcPr>
                  <w:tcW w:w="1065"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成品周转棚</w:t>
                  </w:r>
                </w:p>
              </w:tc>
              <w:tc>
                <w:tcPr>
                  <w:tcW w:w="5880" w:type="dxa"/>
                  <w:tcBorders>
                    <w:tl2br w:val="nil"/>
                    <w:tr2bl w:val="nil"/>
                  </w:tcBorders>
                  <w:vAlign w:val="center"/>
                </w:tcPr>
                <w:p>
                  <w:pPr>
                    <w:spacing w:line="240" w:lineRule="auto"/>
                    <w:ind w:firstLine="0" w:firstLineChars="0"/>
                    <w:jc w:val="center"/>
                    <w:rPr>
                      <w:rFonts w:hint="eastAsia" w:eastAsia="宋体"/>
                      <w:color w:val="auto"/>
                      <w:sz w:val="21"/>
                      <w:szCs w:val="21"/>
                      <w:vertAlign w:val="baseline"/>
                      <w:lang w:val="en-US" w:eastAsia="zh-CN"/>
                    </w:rPr>
                  </w:pPr>
                  <w:r>
                    <w:rPr>
                      <w:rFonts w:hint="eastAsia"/>
                      <w:color w:val="auto"/>
                      <w:sz w:val="21"/>
                      <w:szCs w:val="21"/>
                      <w:lang w:eastAsia="zh-CN"/>
                    </w:rPr>
                    <w:t>一层彩钢结构，建筑面积</w:t>
                  </w:r>
                  <w:r>
                    <w:rPr>
                      <w:rFonts w:hint="eastAsia"/>
                      <w:color w:val="auto"/>
                      <w:sz w:val="21"/>
                      <w:szCs w:val="21"/>
                      <w:lang w:val="en-US" w:eastAsia="zh-CN"/>
                    </w:rPr>
                    <w:t>100</w:t>
                  </w:r>
                  <w:r>
                    <w:rPr>
                      <w:rFonts w:hint="eastAsia"/>
                      <w:color w:val="auto"/>
                      <w:sz w:val="21"/>
                      <w:szCs w:val="21"/>
                    </w:rPr>
                    <w:t>m</w:t>
                  </w:r>
                  <w:r>
                    <w:rPr>
                      <w:rFonts w:hint="eastAsia"/>
                      <w:color w:val="auto"/>
                      <w:sz w:val="21"/>
                      <w:szCs w:val="21"/>
                      <w:vertAlign w:val="superscript"/>
                    </w:rPr>
                    <w:t>2</w:t>
                  </w:r>
                </w:p>
              </w:tc>
              <w:tc>
                <w:tcPr>
                  <w:tcW w:w="992" w:type="dxa"/>
                  <w:tcBorders>
                    <w:tl2br w:val="nil"/>
                    <w:tr2bl w:val="nil"/>
                  </w:tcBorders>
                  <w:vAlign w:val="center"/>
                </w:tcPr>
                <w:p>
                  <w:pPr>
                    <w:spacing w:line="240" w:lineRule="auto"/>
                    <w:ind w:left="0" w:leftChars="0" w:firstLine="0" w:firstLineChars="0"/>
                    <w:jc w:val="center"/>
                    <w:rPr>
                      <w:rFonts w:hint="eastAsia"/>
                      <w:color w:val="auto"/>
                      <w:sz w:val="21"/>
                      <w:szCs w:val="21"/>
                      <w:lang w:eastAsia="zh-CN"/>
                    </w:rPr>
                  </w:pPr>
                  <w:r>
                    <w:rPr>
                      <w:rFonts w:hint="eastAsia"/>
                      <w:color w:val="auto"/>
                      <w:sz w:val="21"/>
                      <w:szCs w:val="21"/>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restart"/>
                  <w:tcBorders>
                    <w:tl2br w:val="nil"/>
                    <w:tr2bl w:val="nil"/>
                  </w:tcBorders>
                  <w:vAlign w:val="center"/>
                </w:tcPr>
                <w:p>
                  <w:pPr>
                    <w:spacing w:line="240" w:lineRule="auto"/>
                    <w:ind w:firstLine="0" w:firstLineChars="0"/>
                    <w:jc w:val="center"/>
                    <w:rPr>
                      <w:color w:val="0000FF"/>
                      <w:sz w:val="21"/>
                      <w:szCs w:val="21"/>
                    </w:rPr>
                  </w:pPr>
                  <w:r>
                    <w:rPr>
                      <w:rFonts w:hint="eastAsia"/>
                      <w:color w:val="auto"/>
                      <w:sz w:val="21"/>
                      <w:szCs w:val="21"/>
                    </w:rPr>
                    <w:t>公用工程</w:t>
                  </w:r>
                </w:p>
              </w:tc>
              <w:tc>
                <w:tcPr>
                  <w:tcW w:w="106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供电</w:t>
                  </w:r>
                </w:p>
              </w:tc>
              <w:tc>
                <w:tcPr>
                  <w:tcW w:w="588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当地电网接入</w:t>
                  </w:r>
                </w:p>
              </w:tc>
              <w:tc>
                <w:tcPr>
                  <w:tcW w:w="992"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依托</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0000FF"/>
                      <w:sz w:val="21"/>
                      <w:szCs w:val="21"/>
                    </w:rPr>
                  </w:pPr>
                </w:p>
              </w:tc>
              <w:tc>
                <w:tcPr>
                  <w:tcW w:w="1065" w:type="dxa"/>
                  <w:tcBorders>
                    <w:tl2br w:val="nil"/>
                    <w:tr2bl w:val="nil"/>
                  </w:tcBorders>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rPr>
                    <w:t>供水</w:t>
                  </w:r>
                </w:p>
              </w:tc>
              <w:tc>
                <w:tcPr>
                  <w:tcW w:w="5880"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color w:val="auto"/>
                      <w:sz w:val="21"/>
                      <w:szCs w:val="21"/>
                      <w:highlight w:val="none"/>
                    </w:rPr>
                    <w:t>用水</w:t>
                  </w:r>
                  <w:r>
                    <w:rPr>
                      <w:rFonts w:hint="eastAsia"/>
                      <w:color w:val="auto"/>
                      <w:sz w:val="21"/>
                      <w:szCs w:val="21"/>
                      <w:highlight w:val="none"/>
                      <w:lang w:eastAsia="zh-CN"/>
                    </w:rPr>
                    <w:t>为自来水</w:t>
                  </w:r>
                </w:p>
              </w:tc>
              <w:tc>
                <w:tcPr>
                  <w:tcW w:w="992"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依托</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0000FF"/>
                      <w:sz w:val="21"/>
                      <w:szCs w:val="21"/>
                    </w:rPr>
                  </w:pPr>
                </w:p>
              </w:tc>
              <w:tc>
                <w:tcPr>
                  <w:tcW w:w="1065" w:type="dxa"/>
                  <w:tcBorders>
                    <w:tl2br w:val="nil"/>
                    <w:tr2bl w:val="nil"/>
                  </w:tcBorders>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rPr>
                    <w:t>排水</w:t>
                  </w:r>
                </w:p>
              </w:tc>
              <w:tc>
                <w:tcPr>
                  <w:tcW w:w="5880"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生活用水排入旱厕，用于肥田不外排</w:t>
                  </w:r>
                </w:p>
              </w:tc>
              <w:tc>
                <w:tcPr>
                  <w:tcW w:w="992"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0000FF"/>
                      <w:sz w:val="21"/>
                      <w:szCs w:val="21"/>
                    </w:rPr>
                  </w:pPr>
                </w:p>
              </w:tc>
              <w:tc>
                <w:tcPr>
                  <w:tcW w:w="106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采暖制冷</w:t>
                  </w:r>
                </w:p>
              </w:tc>
              <w:tc>
                <w:tcPr>
                  <w:tcW w:w="5880"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color w:val="auto"/>
                      <w:sz w:val="21"/>
                      <w:szCs w:val="21"/>
                    </w:rPr>
                    <w:t>生产车间</w:t>
                  </w:r>
                  <w:r>
                    <w:rPr>
                      <w:rFonts w:hint="eastAsia"/>
                      <w:color w:val="auto"/>
                      <w:sz w:val="21"/>
                      <w:szCs w:val="21"/>
                    </w:rPr>
                    <w:t>及</w:t>
                  </w:r>
                  <w:r>
                    <w:rPr>
                      <w:rFonts w:hint="eastAsia"/>
                      <w:color w:val="auto"/>
                      <w:sz w:val="21"/>
                      <w:szCs w:val="21"/>
                      <w:lang w:eastAsia="zh-CN"/>
                    </w:rPr>
                    <w:t>库房</w:t>
                  </w:r>
                  <w:r>
                    <w:rPr>
                      <w:color w:val="auto"/>
                      <w:sz w:val="21"/>
                      <w:szCs w:val="21"/>
                    </w:rPr>
                    <w:t>无采暖制冷措施</w:t>
                  </w:r>
                  <w:r>
                    <w:rPr>
                      <w:rFonts w:hint="eastAsia"/>
                      <w:color w:val="auto"/>
                      <w:sz w:val="21"/>
                      <w:szCs w:val="21"/>
                      <w:lang w:eastAsia="zh-CN"/>
                    </w:rPr>
                    <w:t>，办公室采用分体式空调</w:t>
                  </w:r>
                </w:p>
              </w:tc>
              <w:tc>
                <w:tcPr>
                  <w:tcW w:w="992"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highlight w:val="none"/>
                      <w:lang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0" w:hRule="atLeast"/>
              </w:trPr>
              <w:tc>
                <w:tcPr>
                  <w:tcW w:w="663" w:type="dxa"/>
                  <w:vMerge w:val="continue"/>
                  <w:tcBorders>
                    <w:tl2br w:val="nil"/>
                    <w:tr2bl w:val="nil"/>
                  </w:tcBorders>
                  <w:vAlign w:val="center"/>
                </w:tcPr>
                <w:p>
                  <w:pPr>
                    <w:spacing w:line="240" w:lineRule="auto"/>
                    <w:ind w:firstLine="0" w:firstLineChars="0"/>
                    <w:jc w:val="center"/>
                    <w:rPr>
                      <w:color w:val="0000FF"/>
                      <w:sz w:val="21"/>
                      <w:szCs w:val="21"/>
                    </w:rPr>
                  </w:pPr>
                </w:p>
              </w:tc>
              <w:tc>
                <w:tcPr>
                  <w:tcW w:w="106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废水</w:t>
                  </w:r>
                </w:p>
              </w:tc>
              <w:tc>
                <w:tcPr>
                  <w:tcW w:w="5880" w:type="dxa"/>
                  <w:tcBorders>
                    <w:tl2br w:val="nil"/>
                    <w:tr2bl w:val="nil"/>
                  </w:tcBorders>
                  <w:vAlign w:val="center"/>
                </w:tcPr>
                <w:p>
                  <w:pPr>
                    <w:spacing w:line="240" w:lineRule="auto"/>
                    <w:ind w:firstLine="0" w:firstLineChars="0"/>
                    <w:jc w:val="center"/>
                    <w:rPr>
                      <w:rFonts w:hint="eastAsia"/>
                      <w:color w:val="auto"/>
                      <w:sz w:val="21"/>
                      <w:szCs w:val="21"/>
                    </w:rPr>
                  </w:pPr>
                  <w:r>
                    <w:rPr>
                      <w:rFonts w:hint="eastAsia"/>
                      <w:color w:val="auto"/>
                      <w:sz w:val="21"/>
                      <w:szCs w:val="21"/>
                      <w:lang w:eastAsia="zh-CN"/>
                    </w:rPr>
                    <w:t>厂区设旱厕，盥洗废水厂区泼洒抑尘，旱厕</w:t>
                  </w:r>
                  <w:r>
                    <w:rPr>
                      <w:rFonts w:hint="eastAsia"/>
                      <w:color w:val="auto"/>
                      <w:sz w:val="21"/>
                      <w:szCs w:val="21"/>
                    </w:rPr>
                    <w:t>定期清掏用作农肥不外排</w:t>
                  </w:r>
                </w:p>
              </w:tc>
              <w:tc>
                <w:tcPr>
                  <w:tcW w:w="992" w:type="dxa"/>
                  <w:tcBorders>
                    <w:tl2br w:val="nil"/>
                    <w:tr2bl w:val="nil"/>
                  </w:tcBorders>
                  <w:vAlign w:val="center"/>
                </w:tcPr>
                <w:p>
                  <w:pPr>
                    <w:spacing w:line="240" w:lineRule="auto"/>
                    <w:ind w:firstLine="0" w:firstLineChars="0"/>
                    <w:jc w:val="center"/>
                    <w:rPr>
                      <w:rFonts w:hint="eastAsia"/>
                      <w:color w:val="0000FF"/>
                      <w:sz w:val="21"/>
                      <w:szCs w:val="21"/>
                    </w:rPr>
                  </w:pPr>
                  <w:r>
                    <w:rPr>
                      <w:rFonts w:hint="eastAsia"/>
                      <w:color w:val="auto"/>
                      <w:sz w:val="21"/>
                      <w:szCs w:val="21"/>
                      <w:lang w:val="en-US"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0000FF"/>
                      <w:sz w:val="21"/>
                      <w:szCs w:val="21"/>
                    </w:rPr>
                  </w:pPr>
                </w:p>
              </w:tc>
              <w:tc>
                <w:tcPr>
                  <w:tcW w:w="106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噪声</w:t>
                  </w:r>
                </w:p>
              </w:tc>
              <w:tc>
                <w:tcPr>
                  <w:tcW w:w="588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采用选用低噪声设备、基础减震、主要产噪设备布设远离敏感点一侧的室内等</w:t>
                  </w:r>
                </w:p>
              </w:tc>
              <w:tc>
                <w:tcPr>
                  <w:tcW w:w="992" w:type="dxa"/>
                  <w:tcBorders>
                    <w:tl2br w:val="nil"/>
                    <w:tr2bl w:val="nil"/>
                  </w:tcBorders>
                  <w:vAlign w:val="center"/>
                </w:tcPr>
                <w:p>
                  <w:pPr>
                    <w:spacing w:line="240" w:lineRule="auto"/>
                    <w:ind w:firstLine="0" w:firstLineChars="0"/>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已建</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63" w:type="dxa"/>
                  <w:vMerge w:val="continue"/>
                  <w:tcBorders>
                    <w:tl2br w:val="nil"/>
                    <w:tr2bl w:val="nil"/>
                  </w:tcBorders>
                  <w:vAlign w:val="center"/>
                </w:tcPr>
                <w:p>
                  <w:pPr>
                    <w:spacing w:line="240" w:lineRule="auto"/>
                    <w:ind w:firstLine="0" w:firstLineChars="0"/>
                    <w:jc w:val="center"/>
                    <w:rPr>
                      <w:color w:val="0000FF"/>
                      <w:sz w:val="21"/>
                      <w:szCs w:val="21"/>
                    </w:rPr>
                  </w:pPr>
                </w:p>
              </w:tc>
              <w:tc>
                <w:tcPr>
                  <w:tcW w:w="106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固废</w:t>
                  </w:r>
                </w:p>
              </w:tc>
              <w:tc>
                <w:tcPr>
                  <w:tcW w:w="5880" w:type="dxa"/>
                  <w:tcBorders>
                    <w:tl2br w:val="nil"/>
                    <w:tr2bl w:val="nil"/>
                  </w:tcBorders>
                  <w:vAlign w:val="center"/>
                </w:tcPr>
                <w:p>
                  <w:pPr>
                    <w:spacing w:line="240" w:lineRule="auto"/>
                    <w:ind w:firstLine="0" w:firstLineChars="0"/>
                    <w:jc w:val="left"/>
                    <w:rPr>
                      <w:rFonts w:hint="eastAsia"/>
                      <w:color w:val="auto"/>
                      <w:kern w:val="0"/>
                      <w:sz w:val="21"/>
                      <w:szCs w:val="21"/>
                    </w:rPr>
                  </w:pPr>
                  <w:r>
                    <w:rPr>
                      <w:rFonts w:hint="eastAsia"/>
                      <w:color w:val="auto"/>
                      <w:sz w:val="21"/>
                      <w:szCs w:val="21"/>
                    </w:rPr>
                    <w:t>生活垃圾</w:t>
                  </w:r>
                  <w:r>
                    <w:rPr>
                      <w:rFonts w:hint="eastAsia"/>
                      <w:color w:val="auto"/>
                      <w:sz w:val="21"/>
                      <w:szCs w:val="21"/>
                      <w:lang w:eastAsia="zh-CN"/>
                    </w:rPr>
                    <w:t>定期收集后交由环卫部门统一清运处理；项目在生产过程中使用的苯甲酸钠和荧光素会产生废弃包装物，为危险固体废物废包装物的产生量约0.1t/a，集中收集后暂存在危废暂存间，由有资质的单位定期回收处理。</w:t>
                  </w:r>
                  <w:r>
                    <w:rPr>
                      <w:rFonts w:hint="eastAsia"/>
                      <w:color w:val="auto"/>
                      <w:sz w:val="21"/>
                      <w:szCs w:val="21"/>
                      <w:highlight w:val="none"/>
                      <w:lang w:eastAsia="zh-CN"/>
                    </w:rPr>
                    <w:t>乙二醇包装空桶暂存于危废暂存间，并由厂家定期回收。</w:t>
                  </w:r>
                </w:p>
              </w:tc>
              <w:tc>
                <w:tcPr>
                  <w:tcW w:w="992" w:type="dxa"/>
                  <w:tcBorders>
                    <w:tl2br w:val="nil"/>
                    <w:tr2bl w:val="nil"/>
                  </w:tcBorders>
                  <w:vAlign w:val="center"/>
                </w:tcPr>
                <w:p>
                  <w:pPr>
                    <w:spacing w:line="240" w:lineRule="auto"/>
                    <w:ind w:firstLine="0" w:firstLineChars="0"/>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已建</w:t>
                  </w:r>
                </w:p>
              </w:tc>
            </w:tr>
          </w:tbl>
          <w:p>
            <w:pPr>
              <w:ind w:firstLine="480"/>
              <w:rPr>
                <w:color w:val="auto"/>
              </w:rPr>
            </w:pPr>
            <w:r>
              <w:rPr>
                <w:rFonts w:hint="eastAsia"/>
                <w:color w:val="auto"/>
              </w:rPr>
              <w:t>4、主要设备设施</w:t>
            </w:r>
          </w:p>
          <w:p>
            <w:pPr>
              <w:ind w:firstLine="480"/>
              <w:rPr>
                <w:color w:val="auto"/>
              </w:rPr>
            </w:pPr>
            <w:r>
              <w:rPr>
                <w:rFonts w:hint="eastAsia"/>
                <w:color w:val="auto"/>
              </w:rPr>
              <w:t>项目生产设备见表</w:t>
            </w:r>
            <w:r>
              <w:rPr>
                <w:rFonts w:hint="eastAsia"/>
                <w:color w:val="auto"/>
                <w:lang w:val="en-US" w:eastAsia="zh-CN"/>
              </w:rPr>
              <w:t>1-6</w:t>
            </w:r>
            <w:r>
              <w:rPr>
                <w:rFonts w:hint="eastAsia"/>
                <w:color w:val="auto"/>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1-6</w:t>
            </w:r>
            <w:r>
              <w:rPr>
                <w:rFonts w:hint="eastAsia" w:ascii="Times New Roman" w:hAnsi="Times New Roman" w:eastAsia="宋体" w:cs="Times New Roman"/>
                <w:b/>
                <w:bCs/>
                <w:color w:val="auto"/>
                <w:sz w:val="21"/>
                <w:szCs w:val="21"/>
                <w:lang w:val="en-US" w:eastAsia="zh-CN"/>
              </w:rPr>
              <w:t xml:space="preserve"> </w:t>
            </w:r>
            <w:r>
              <w:rPr>
                <w:rFonts w:hint="eastAsia" w:ascii="Times New Roman" w:hAnsi="Times New Roman" w:eastAsia="宋体" w:cs="Times New Roman"/>
                <w:b/>
                <w:bCs/>
                <w:color w:val="auto"/>
                <w:sz w:val="21"/>
                <w:szCs w:val="21"/>
                <w:lang w:eastAsia="zh-CN"/>
              </w:rPr>
              <w:t xml:space="preserve">  主要设备、设施一览表</w:t>
            </w:r>
          </w:p>
          <w:tbl>
            <w:tblPr>
              <w:tblStyle w:val="21"/>
              <w:tblW w:w="8619"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3"/>
              <w:gridCol w:w="1170"/>
              <w:gridCol w:w="1590"/>
              <w:gridCol w:w="825"/>
              <w:gridCol w:w="930"/>
              <w:gridCol w:w="340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3"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序号</w:t>
                  </w:r>
                </w:p>
              </w:tc>
              <w:tc>
                <w:tcPr>
                  <w:tcW w:w="117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设备名称</w:t>
                  </w:r>
                </w:p>
              </w:tc>
              <w:tc>
                <w:tcPr>
                  <w:tcW w:w="159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型号及规模</w:t>
                  </w:r>
                </w:p>
              </w:tc>
              <w:tc>
                <w:tcPr>
                  <w:tcW w:w="82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数量</w:t>
                  </w:r>
                </w:p>
              </w:tc>
              <w:tc>
                <w:tcPr>
                  <w:tcW w:w="93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单位</w:t>
                  </w:r>
                </w:p>
              </w:tc>
              <w:tc>
                <w:tcPr>
                  <w:tcW w:w="3401"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备注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3"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1</w:t>
                  </w:r>
                </w:p>
              </w:tc>
              <w:tc>
                <w:tcPr>
                  <w:tcW w:w="1170"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水槽</w:t>
                  </w:r>
                </w:p>
              </w:tc>
              <w:tc>
                <w:tcPr>
                  <w:tcW w:w="1590"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6m</w:t>
                  </w:r>
                  <w:r>
                    <w:rPr>
                      <w:rFonts w:hint="default" w:ascii="Arial" w:hAnsi="Arial" w:cs="Arial"/>
                      <w:color w:val="auto"/>
                      <w:sz w:val="21"/>
                      <w:szCs w:val="21"/>
                      <w:lang w:val="en-US" w:eastAsia="zh-CN"/>
                    </w:rPr>
                    <w:t>×</w:t>
                  </w:r>
                  <w:r>
                    <w:rPr>
                      <w:rFonts w:hint="eastAsia"/>
                      <w:color w:val="auto"/>
                      <w:sz w:val="21"/>
                      <w:szCs w:val="21"/>
                      <w:lang w:val="en-US" w:eastAsia="zh-CN"/>
                    </w:rPr>
                    <w:t>2m</w:t>
                  </w:r>
                  <w:r>
                    <w:rPr>
                      <w:rFonts w:hint="default" w:ascii="Arial" w:hAnsi="Arial" w:cs="Arial"/>
                      <w:color w:val="auto"/>
                      <w:sz w:val="21"/>
                      <w:szCs w:val="21"/>
                      <w:lang w:val="en-US" w:eastAsia="zh-CN"/>
                    </w:rPr>
                    <w:t>×</w:t>
                  </w:r>
                  <w:r>
                    <w:rPr>
                      <w:rFonts w:hint="eastAsia"/>
                      <w:color w:val="auto"/>
                      <w:sz w:val="21"/>
                      <w:szCs w:val="21"/>
                      <w:lang w:val="en-US" w:eastAsia="zh-CN"/>
                    </w:rPr>
                    <w:t>2m</w:t>
                  </w:r>
                </w:p>
              </w:tc>
              <w:tc>
                <w:tcPr>
                  <w:tcW w:w="825"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val="en-US" w:eastAsia="zh-CN"/>
                    </w:rPr>
                    <w:t>1</w:t>
                  </w:r>
                </w:p>
              </w:tc>
              <w:tc>
                <w:tcPr>
                  <w:tcW w:w="930"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台</w:t>
                  </w:r>
                </w:p>
              </w:tc>
              <w:tc>
                <w:tcPr>
                  <w:tcW w:w="3401"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自制设备，由钢板焊接而成</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3" w:type="dxa"/>
                  <w:tcBorders>
                    <w:tl2br w:val="nil"/>
                    <w:tr2bl w:val="nil"/>
                  </w:tcBorders>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rPr>
                    <w:t>2</w:t>
                  </w:r>
                </w:p>
              </w:tc>
              <w:tc>
                <w:tcPr>
                  <w:tcW w:w="1170"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乙二醇槽</w:t>
                  </w:r>
                </w:p>
              </w:tc>
              <w:tc>
                <w:tcPr>
                  <w:tcW w:w="1590" w:type="dxa"/>
                  <w:tcBorders>
                    <w:tl2br w:val="nil"/>
                    <w:tr2bl w:val="nil"/>
                  </w:tcBorders>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lang w:val="en-US" w:eastAsia="zh-CN"/>
                    </w:rPr>
                    <w:t>6m</w:t>
                  </w:r>
                  <w:r>
                    <w:rPr>
                      <w:rFonts w:hint="default" w:ascii="Arial" w:hAnsi="Arial" w:cs="Arial"/>
                      <w:color w:val="auto"/>
                      <w:sz w:val="21"/>
                      <w:szCs w:val="21"/>
                      <w:highlight w:val="none"/>
                      <w:lang w:val="en-US" w:eastAsia="zh-CN"/>
                    </w:rPr>
                    <w:t>×</w:t>
                  </w:r>
                  <w:r>
                    <w:rPr>
                      <w:rFonts w:hint="eastAsia"/>
                      <w:color w:val="auto"/>
                      <w:sz w:val="21"/>
                      <w:szCs w:val="21"/>
                      <w:highlight w:val="none"/>
                      <w:lang w:val="en-US" w:eastAsia="zh-CN"/>
                    </w:rPr>
                    <w:t>2m</w:t>
                  </w:r>
                  <w:r>
                    <w:rPr>
                      <w:rFonts w:hint="default" w:ascii="Arial" w:hAnsi="Arial" w:cs="Arial"/>
                      <w:color w:val="auto"/>
                      <w:sz w:val="21"/>
                      <w:szCs w:val="21"/>
                      <w:highlight w:val="none"/>
                      <w:lang w:val="en-US" w:eastAsia="zh-CN"/>
                    </w:rPr>
                    <w:t>×</w:t>
                  </w:r>
                  <w:r>
                    <w:rPr>
                      <w:rFonts w:hint="eastAsia"/>
                      <w:color w:val="auto"/>
                      <w:sz w:val="21"/>
                      <w:szCs w:val="21"/>
                      <w:highlight w:val="none"/>
                      <w:lang w:val="en-US" w:eastAsia="zh-CN"/>
                    </w:rPr>
                    <w:t>2m</w:t>
                  </w:r>
                </w:p>
              </w:tc>
              <w:tc>
                <w:tcPr>
                  <w:tcW w:w="825"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val="en-US" w:eastAsia="zh-CN"/>
                    </w:rPr>
                    <w:t>3</w:t>
                  </w:r>
                </w:p>
              </w:tc>
              <w:tc>
                <w:tcPr>
                  <w:tcW w:w="930" w:type="dxa"/>
                  <w:tcBorders>
                    <w:tl2br w:val="nil"/>
                    <w:tr2bl w:val="nil"/>
                  </w:tcBorders>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rPr>
                    <w:t>台</w:t>
                  </w:r>
                </w:p>
              </w:tc>
              <w:tc>
                <w:tcPr>
                  <w:tcW w:w="3401"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val="en-US" w:eastAsia="zh-CN"/>
                    </w:rPr>
                    <w:t>自制设备，由钢板焊接而成</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3"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3</w:t>
                  </w:r>
                </w:p>
              </w:tc>
              <w:tc>
                <w:tcPr>
                  <w:tcW w:w="1170"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搅拌釜</w:t>
                  </w:r>
                </w:p>
              </w:tc>
              <w:tc>
                <w:tcPr>
                  <w:tcW w:w="1590"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val="en-US" w:eastAsia="zh-CN"/>
                    </w:rPr>
                  </w:pPr>
                  <w:r>
                    <w:rPr>
                      <w:rFonts w:hint="eastAsia"/>
                      <w:color w:val="auto"/>
                      <w:sz w:val="21"/>
                      <w:szCs w:val="21"/>
                      <w:lang w:val="en-US" w:eastAsia="zh-CN"/>
                    </w:rPr>
                    <w:t>6m</w:t>
                  </w:r>
                  <w:r>
                    <w:rPr>
                      <w:rFonts w:hint="default" w:ascii="Arial" w:hAnsi="Arial" w:cs="Arial"/>
                      <w:color w:val="auto"/>
                      <w:sz w:val="21"/>
                      <w:szCs w:val="21"/>
                      <w:lang w:val="en-US" w:eastAsia="zh-CN"/>
                    </w:rPr>
                    <w:t>×</w:t>
                  </w:r>
                  <w:r>
                    <w:rPr>
                      <w:rFonts w:hint="eastAsia"/>
                      <w:color w:val="auto"/>
                      <w:sz w:val="21"/>
                      <w:szCs w:val="21"/>
                      <w:lang w:val="en-US" w:eastAsia="zh-CN"/>
                    </w:rPr>
                    <w:t>2m</w:t>
                  </w:r>
                  <w:r>
                    <w:rPr>
                      <w:rFonts w:hint="default" w:ascii="Arial" w:hAnsi="Arial" w:cs="Arial"/>
                      <w:color w:val="auto"/>
                      <w:sz w:val="21"/>
                      <w:szCs w:val="21"/>
                      <w:lang w:val="en-US" w:eastAsia="zh-CN"/>
                    </w:rPr>
                    <w:t>×</w:t>
                  </w:r>
                  <w:r>
                    <w:rPr>
                      <w:rFonts w:hint="eastAsia"/>
                      <w:color w:val="auto"/>
                      <w:sz w:val="21"/>
                      <w:szCs w:val="21"/>
                      <w:lang w:val="en-US" w:eastAsia="zh-CN"/>
                    </w:rPr>
                    <w:t>2m</w:t>
                  </w:r>
                </w:p>
              </w:tc>
              <w:tc>
                <w:tcPr>
                  <w:tcW w:w="825"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1</w:t>
                  </w:r>
                </w:p>
              </w:tc>
              <w:tc>
                <w:tcPr>
                  <w:tcW w:w="930"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台</w:t>
                  </w:r>
                </w:p>
              </w:tc>
              <w:tc>
                <w:tcPr>
                  <w:tcW w:w="3401"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lang w:val="en-US" w:eastAsia="zh-CN"/>
                    </w:rPr>
                    <w:t>自制设备，由钢板焊接而成</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3"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4</w:t>
                  </w:r>
                </w:p>
              </w:tc>
              <w:tc>
                <w:tcPr>
                  <w:tcW w:w="117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highlight w:val="none"/>
                      <w:lang w:eastAsia="zh-CN"/>
                    </w:rPr>
                    <w:t>水泵</w:t>
                  </w:r>
                </w:p>
              </w:tc>
              <w:tc>
                <w:tcPr>
                  <w:tcW w:w="1590"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3kw</w:t>
                  </w:r>
                </w:p>
              </w:tc>
              <w:tc>
                <w:tcPr>
                  <w:tcW w:w="825"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3</w:t>
                  </w:r>
                </w:p>
              </w:tc>
              <w:tc>
                <w:tcPr>
                  <w:tcW w:w="93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rPr>
                    <w:t>台</w:t>
                  </w:r>
                </w:p>
              </w:tc>
              <w:tc>
                <w:tcPr>
                  <w:tcW w:w="3401"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用于将超纯水输送至搅拌釜</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3"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5</w:t>
                  </w:r>
                </w:p>
              </w:tc>
              <w:tc>
                <w:tcPr>
                  <w:tcW w:w="117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highlight w:val="none"/>
                      <w:lang w:eastAsia="zh-CN"/>
                    </w:rPr>
                    <w:t>乙二醇泵</w:t>
                  </w:r>
                </w:p>
              </w:tc>
              <w:tc>
                <w:tcPr>
                  <w:tcW w:w="1590" w:type="dxa"/>
                  <w:tcBorders>
                    <w:tl2br w:val="nil"/>
                    <w:tr2bl w:val="nil"/>
                  </w:tcBorders>
                  <w:vAlign w:val="center"/>
                </w:tcPr>
                <w:p>
                  <w:pPr>
                    <w:spacing w:line="240" w:lineRule="auto"/>
                    <w:ind w:left="0" w:leftChars="0"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3kw</w:t>
                  </w:r>
                </w:p>
              </w:tc>
              <w:tc>
                <w:tcPr>
                  <w:tcW w:w="825"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4</w:t>
                  </w:r>
                </w:p>
              </w:tc>
              <w:tc>
                <w:tcPr>
                  <w:tcW w:w="93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rPr>
                    <w:t>台</w:t>
                  </w:r>
                </w:p>
              </w:tc>
              <w:tc>
                <w:tcPr>
                  <w:tcW w:w="3401" w:type="dxa"/>
                  <w:tcBorders>
                    <w:tl2br w:val="nil"/>
                    <w:tr2bl w:val="nil"/>
                  </w:tcBorders>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lang w:eastAsia="zh-CN"/>
                    </w:rPr>
                    <w:t>用于将乙二醇输送至搅拌釜</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PrEx>
              <w:trPr>
                <w:trHeight w:val="397" w:hRule="atLeast"/>
              </w:trPr>
              <w:tc>
                <w:tcPr>
                  <w:tcW w:w="703"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6</w:t>
                  </w:r>
                </w:p>
              </w:tc>
              <w:tc>
                <w:tcPr>
                  <w:tcW w:w="117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highlight w:val="none"/>
                      <w:lang w:eastAsia="zh-CN"/>
                    </w:rPr>
                    <w:t>成品泵</w:t>
                  </w:r>
                </w:p>
              </w:tc>
              <w:tc>
                <w:tcPr>
                  <w:tcW w:w="1590" w:type="dxa"/>
                  <w:tcBorders>
                    <w:tl2br w:val="nil"/>
                    <w:tr2bl w:val="nil"/>
                  </w:tcBorders>
                  <w:vAlign w:val="center"/>
                </w:tcPr>
                <w:p>
                  <w:pPr>
                    <w:spacing w:line="240" w:lineRule="auto"/>
                    <w:ind w:left="0" w:leftChars="0"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3kw</w:t>
                  </w:r>
                </w:p>
              </w:tc>
              <w:tc>
                <w:tcPr>
                  <w:tcW w:w="825"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2</w:t>
                  </w:r>
                </w:p>
              </w:tc>
              <w:tc>
                <w:tcPr>
                  <w:tcW w:w="93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highlight w:val="none"/>
                      <w:lang w:eastAsia="zh-CN"/>
                    </w:rPr>
                    <w:t>台</w:t>
                  </w:r>
                </w:p>
              </w:tc>
              <w:tc>
                <w:tcPr>
                  <w:tcW w:w="3401"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用于将成品泵进防冻液箱</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3"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7</w:t>
                  </w:r>
                </w:p>
              </w:tc>
              <w:tc>
                <w:tcPr>
                  <w:tcW w:w="117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highlight w:val="none"/>
                      <w:lang w:eastAsia="zh-CN"/>
                    </w:rPr>
                    <w:t>叉车</w:t>
                  </w:r>
                </w:p>
              </w:tc>
              <w:tc>
                <w:tcPr>
                  <w:tcW w:w="1590"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HELI-30</w:t>
                  </w:r>
                </w:p>
              </w:tc>
              <w:tc>
                <w:tcPr>
                  <w:tcW w:w="825"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1</w:t>
                  </w:r>
                </w:p>
              </w:tc>
              <w:tc>
                <w:tcPr>
                  <w:tcW w:w="930"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rPr>
                    <w:t>台</w:t>
                  </w:r>
                </w:p>
              </w:tc>
              <w:tc>
                <w:tcPr>
                  <w:tcW w:w="3401"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将成品运至库房</w:t>
                  </w:r>
                </w:p>
              </w:tc>
            </w:tr>
          </w:tbl>
          <w:p>
            <w:pPr>
              <w:ind w:firstLine="480"/>
              <w:rPr>
                <w:szCs w:val="24"/>
                <w:highlight w:val="none"/>
              </w:rPr>
            </w:pPr>
            <w:r>
              <w:rPr>
                <w:rFonts w:hint="eastAsia"/>
                <w:szCs w:val="24"/>
                <w:highlight w:val="none"/>
              </w:rPr>
              <w:t>5、原辅材料消耗</w:t>
            </w:r>
          </w:p>
          <w:p>
            <w:pPr>
              <w:ind w:firstLine="480"/>
              <w:rPr>
                <w:szCs w:val="24"/>
                <w:highlight w:val="none"/>
              </w:rPr>
            </w:pPr>
            <w:r>
              <w:rPr>
                <w:rFonts w:hint="eastAsia"/>
                <w:szCs w:val="24"/>
                <w:highlight w:val="none"/>
              </w:rPr>
              <w:t>项目主要原辅材料见表</w:t>
            </w:r>
            <w:r>
              <w:rPr>
                <w:rFonts w:hint="eastAsia"/>
                <w:szCs w:val="24"/>
                <w:highlight w:val="none"/>
                <w:lang w:val="en-US" w:eastAsia="zh-CN"/>
              </w:rPr>
              <w:t>1-7</w:t>
            </w:r>
            <w:r>
              <w:rPr>
                <w:rFonts w:hint="eastAsia"/>
                <w:szCs w:val="24"/>
                <w:highlight w:val="none"/>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highlight w:val="none"/>
                <w:lang w:eastAsia="zh-CN"/>
              </w:rPr>
            </w:pPr>
            <w:r>
              <w:rPr>
                <w:rFonts w:hint="eastAsia" w:ascii="Times New Roman" w:hAnsi="Times New Roman" w:eastAsia="宋体" w:cs="Times New Roman"/>
                <w:b/>
                <w:bCs/>
                <w:color w:val="auto"/>
                <w:sz w:val="21"/>
                <w:szCs w:val="21"/>
                <w:highlight w:val="none"/>
                <w:lang w:eastAsia="zh-CN"/>
              </w:rPr>
              <w:t>表</w:t>
            </w:r>
            <w:r>
              <w:rPr>
                <w:rFonts w:hint="eastAsia" w:eastAsia="宋体" w:cs="Times New Roman"/>
                <w:b/>
                <w:bCs/>
                <w:color w:val="auto"/>
                <w:sz w:val="21"/>
                <w:szCs w:val="21"/>
                <w:highlight w:val="none"/>
                <w:lang w:val="en-US" w:eastAsia="zh-CN"/>
              </w:rPr>
              <w:t>1-7</w:t>
            </w:r>
            <w:r>
              <w:rPr>
                <w:rFonts w:hint="eastAsia" w:ascii="Times New Roman" w:hAnsi="Times New Roman" w:eastAsia="宋体" w:cs="Times New Roman"/>
                <w:b/>
                <w:bCs/>
                <w:color w:val="auto"/>
                <w:sz w:val="21"/>
                <w:szCs w:val="21"/>
                <w:highlight w:val="none"/>
                <w:lang w:val="en-US" w:eastAsia="zh-CN"/>
              </w:rPr>
              <w:t xml:space="preserve"> </w:t>
            </w:r>
            <w:r>
              <w:rPr>
                <w:rFonts w:hint="eastAsia" w:ascii="Times New Roman" w:hAnsi="Times New Roman" w:eastAsia="宋体" w:cs="Times New Roman"/>
                <w:b/>
                <w:bCs/>
                <w:color w:val="auto"/>
                <w:sz w:val="21"/>
                <w:szCs w:val="21"/>
                <w:highlight w:val="none"/>
                <w:lang w:eastAsia="zh-CN"/>
              </w:rPr>
              <w:t xml:space="preserve">   项目原辅材料消耗一览表</w:t>
            </w:r>
          </w:p>
          <w:tbl>
            <w:tblPr>
              <w:tblStyle w:val="21"/>
              <w:tblW w:w="8599"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024"/>
              <w:gridCol w:w="1609"/>
              <w:gridCol w:w="1589"/>
              <w:gridCol w:w="1841"/>
              <w:gridCol w:w="2536"/>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1024"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rPr>
                    <w:t>序号</w:t>
                  </w:r>
                </w:p>
              </w:tc>
              <w:tc>
                <w:tcPr>
                  <w:tcW w:w="1609"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rPr>
                    <w:t>项目</w:t>
                  </w:r>
                </w:p>
              </w:tc>
              <w:tc>
                <w:tcPr>
                  <w:tcW w:w="1589"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rPr>
                    <w:t>单位</w:t>
                  </w:r>
                </w:p>
              </w:tc>
              <w:tc>
                <w:tcPr>
                  <w:tcW w:w="1841"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rPr>
                    <w:t>年用量</w:t>
                  </w:r>
                </w:p>
              </w:tc>
              <w:tc>
                <w:tcPr>
                  <w:tcW w:w="2536"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rPr>
                    <w:t>备注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1024"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rPr>
                    <w:t>1</w:t>
                  </w:r>
                </w:p>
              </w:tc>
              <w:tc>
                <w:tcPr>
                  <w:tcW w:w="1609" w:type="dxa"/>
                  <w:tcBorders>
                    <w:tl2br w:val="nil"/>
                    <w:tr2bl w:val="nil"/>
                  </w:tcBorders>
                  <w:vAlign w:val="center"/>
                </w:tcPr>
                <w:p>
                  <w:pPr>
                    <w:spacing w:line="240" w:lineRule="auto"/>
                    <w:ind w:firstLine="0" w:firstLineChars="0"/>
                    <w:jc w:val="center"/>
                    <w:rPr>
                      <w:rFonts w:hint="eastAsia" w:eastAsia="宋体"/>
                      <w:sz w:val="21"/>
                      <w:szCs w:val="21"/>
                      <w:highlight w:val="none"/>
                      <w:lang w:eastAsia="zh-CN"/>
                    </w:rPr>
                  </w:pPr>
                  <w:r>
                    <w:rPr>
                      <w:rFonts w:hint="eastAsia"/>
                      <w:sz w:val="21"/>
                      <w:szCs w:val="21"/>
                      <w:highlight w:val="none"/>
                      <w:lang w:eastAsia="zh-CN"/>
                    </w:rPr>
                    <w:t>超纯水</w:t>
                  </w:r>
                </w:p>
              </w:tc>
              <w:tc>
                <w:tcPr>
                  <w:tcW w:w="1589" w:type="dxa"/>
                  <w:tcBorders>
                    <w:tl2br w:val="nil"/>
                    <w:tr2bl w:val="nil"/>
                  </w:tcBorders>
                  <w:vAlign w:val="center"/>
                </w:tcPr>
                <w:p>
                  <w:pPr>
                    <w:spacing w:line="240" w:lineRule="auto"/>
                    <w:ind w:firstLine="0" w:firstLineChars="0"/>
                    <w:jc w:val="center"/>
                    <w:rPr>
                      <w:rFonts w:hint="eastAsia" w:eastAsia="宋体"/>
                      <w:sz w:val="21"/>
                      <w:szCs w:val="21"/>
                      <w:highlight w:val="none"/>
                      <w:lang w:eastAsia="zh-CN"/>
                    </w:rPr>
                  </w:pPr>
                  <w:r>
                    <w:rPr>
                      <w:rFonts w:hint="eastAsia"/>
                      <w:sz w:val="21"/>
                      <w:szCs w:val="21"/>
                      <w:highlight w:val="none"/>
                      <w:lang w:val="en-US" w:eastAsia="zh-CN"/>
                    </w:rPr>
                    <w:t>t</w:t>
                  </w:r>
                </w:p>
              </w:tc>
              <w:tc>
                <w:tcPr>
                  <w:tcW w:w="1841"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998</w:t>
                  </w:r>
                </w:p>
              </w:tc>
              <w:tc>
                <w:tcPr>
                  <w:tcW w:w="2536"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外购</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1024"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rPr>
                    <w:t>2</w:t>
                  </w:r>
                </w:p>
              </w:tc>
              <w:tc>
                <w:tcPr>
                  <w:tcW w:w="1609" w:type="dxa"/>
                  <w:tcBorders>
                    <w:tl2br w:val="nil"/>
                    <w:tr2bl w:val="nil"/>
                  </w:tcBorders>
                  <w:vAlign w:val="center"/>
                </w:tcPr>
                <w:p>
                  <w:pPr>
                    <w:spacing w:line="240" w:lineRule="auto"/>
                    <w:ind w:firstLine="0" w:firstLineChars="0"/>
                    <w:jc w:val="center"/>
                    <w:rPr>
                      <w:rFonts w:hint="eastAsia" w:eastAsia="宋体"/>
                      <w:sz w:val="21"/>
                      <w:szCs w:val="21"/>
                      <w:highlight w:val="none"/>
                      <w:lang w:eastAsia="zh-CN"/>
                    </w:rPr>
                  </w:pPr>
                  <w:r>
                    <w:rPr>
                      <w:rFonts w:hint="eastAsia"/>
                      <w:sz w:val="21"/>
                      <w:szCs w:val="21"/>
                      <w:highlight w:val="none"/>
                      <w:lang w:eastAsia="zh-CN"/>
                    </w:rPr>
                    <w:t>乙二醇</w:t>
                  </w:r>
                </w:p>
              </w:tc>
              <w:tc>
                <w:tcPr>
                  <w:tcW w:w="1589" w:type="dxa"/>
                  <w:tcBorders>
                    <w:tl2br w:val="nil"/>
                    <w:tr2bl w:val="nil"/>
                  </w:tcBorders>
                  <w:vAlign w:val="center"/>
                </w:tcPr>
                <w:p>
                  <w:pPr>
                    <w:spacing w:line="240" w:lineRule="auto"/>
                    <w:ind w:firstLine="0" w:firstLineChars="0"/>
                    <w:jc w:val="center"/>
                    <w:rPr>
                      <w:sz w:val="21"/>
                      <w:szCs w:val="21"/>
                      <w:highlight w:val="none"/>
                    </w:rPr>
                  </w:pPr>
                  <w:r>
                    <w:rPr>
                      <w:rFonts w:hint="eastAsia"/>
                      <w:sz w:val="21"/>
                      <w:szCs w:val="21"/>
                      <w:highlight w:val="none"/>
                      <w:lang w:val="en-US" w:eastAsia="zh-CN"/>
                    </w:rPr>
                    <w:t>t</w:t>
                  </w:r>
                </w:p>
              </w:tc>
              <w:tc>
                <w:tcPr>
                  <w:tcW w:w="1841"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998</w:t>
                  </w:r>
                </w:p>
              </w:tc>
              <w:tc>
                <w:tcPr>
                  <w:tcW w:w="2536"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储存于进行防渗处理的原料车间</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1024"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3</w:t>
                  </w:r>
                </w:p>
              </w:tc>
              <w:tc>
                <w:tcPr>
                  <w:tcW w:w="1609" w:type="dxa"/>
                  <w:tcBorders>
                    <w:tl2br w:val="nil"/>
                    <w:tr2bl w:val="nil"/>
                  </w:tcBorders>
                  <w:vAlign w:val="center"/>
                </w:tcPr>
                <w:p>
                  <w:pPr>
                    <w:spacing w:line="240" w:lineRule="auto"/>
                    <w:ind w:firstLine="0" w:firstLineChars="0"/>
                    <w:jc w:val="center"/>
                    <w:rPr>
                      <w:rFonts w:hint="eastAsia" w:eastAsia="宋体"/>
                      <w:sz w:val="21"/>
                      <w:szCs w:val="21"/>
                      <w:highlight w:val="none"/>
                      <w:lang w:eastAsia="zh-CN"/>
                    </w:rPr>
                  </w:pPr>
                  <w:r>
                    <w:rPr>
                      <w:rFonts w:hint="eastAsia"/>
                      <w:sz w:val="21"/>
                      <w:szCs w:val="21"/>
                      <w:highlight w:val="none"/>
                      <w:lang w:eastAsia="zh-CN"/>
                    </w:rPr>
                    <w:t>苯甲酸钠</w:t>
                  </w:r>
                </w:p>
              </w:tc>
              <w:tc>
                <w:tcPr>
                  <w:tcW w:w="1589"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t</w:t>
                  </w:r>
                </w:p>
              </w:tc>
              <w:tc>
                <w:tcPr>
                  <w:tcW w:w="1841"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4</w:t>
                  </w:r>
                </w:p>
              </w:tc>
              <w:tc>
                <w:tcPr>
                  <w:tcW w:w="2536" w:type="dxa"/>
                  <w:tcBorders>
                    <w:tl2br w:val="nil"/>
                    <w:tr2bl w:val="nil"/>
                  </w:tcBorders>
                  <w:vAlign w:val="center"/>
                </w:tcPr>
                <w:p>
                  <w:pPr>
                    <w:spacing w:line="240" w:lineRule="auto"/>
                    <w:ind w:firstLine="0" w:firstLineChars="0"/>
                    <w:jc w:val="center"/>
                    <w:rPr>
                      <w:rFonts w:hint="eastAsia" w:eastAsia="宋体"/>
                      <w:sz w:val="21"/>
                      <w:szCs w:val="21"/>
                      <w:highlight w:val="none"/>
                      <w:lang w:val="en-US" w:eastAsia="zh-CN"/>
                    </w:rPr>
                  </w:pPr>
                  <w:r>
                    <w:rPr>
                      <w:rFonts w:hint="eastAsia"/>
                      <w:sz w:val="21"/>
                      <w:szCs w:val="21"/>
                      <w:highlight w:val="none"/>
                      <w:lang w:val="en-US" w:eastAsia="zh-CN"/>
                    </w:rPr>
                    <w:t>防腐剂，外购</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1024" w:type="dxa"/>
                  <w:tcBorders>
                    <w:tl2br w:val="nil"/>
                    <w:tr2bl w:val="nil"/>
                  </w:tcBorders>
                  <w:vAlign w:val="center"/>
                </w:tcPr>
                <w:p>
                  <w:pPr>
                    <w:spacing w:line="240" w:lineRule="auto"/>
                    <w:ind w:firstLine="0" w:firstLineChars="0"/>
                    <w:jc w:val="center"/>
                    <w:rPr>
                      <w:rFonts w:hint="eastAsia"/>
                      <w:sz w:val="21"/>
                      <w:szCs w:val="21"/>
                      <w:highlight w:val="none"/>
                      <w:lang w:val="en-US" w:eastAsia="zh-CN"/>
                    </w:rPr>
                  </w:pPr>
                  <w:r>
                    <w:rPr>
                      <w:rFonts w:hint="eastAsia"/>
                      <w:sz w:val="21"/>
                      <w:szCs w:val="21"/>
                      <w:highlight w:val="none"/>
                      <w:lang w:val="en-US" w:eastAsia="zh-CN"/>
                    </w:rPr>
                    <w:t>4</w:t>
                  </w:r>
                </w:p>
              </w:tc>
              <w:tc>
                <w:tcPr>
                  <w:tcW w:w="1609" w:type="dxa"/>
                  <w:tcBorders>
                    <w:tl2br w:val="nil"/>
                    <w:tr2bl w:val="nil"/>
                  </w:tcBorders>
                  <w:vAlign w:val="center"/>
                </w:tcPr>
                <w:p>
                  <w:pPr>
                    <w:spacing w:line="240" w:lineRule="auto"/>
                    <w:ind w:firstLine="0" w:firstLineChars="0"/>
                    <w:jc w:val="center"/>
                    <w:rPr>
                      <w:rFonts w:hint="eastAsia"/>
                      <w:sz w:val="21"/>
                      <w:szCs w:val="21"/>
                      <w:highlight w:val="none"/>
                      <w:lang w:eastAsia="zh-CN"/>
                    </w:rPr>
                  </w:pPr>
                  <w:r>
                    <w:rPr>
                      <w:rFonts w:hint="eastAsia"/>
                      <w:sz w:val="21"/>
                      <w:szCs w:val="21"/>
                      <w:highlight w:val="none"/>
                      <w:lang w:eastAsia="zh-CN"/>
                    </w:rPr>
                    <w:t>荧光素</w:t>
                  </w:r>
                </w:p>
              </w:tc>
              <w:tc>
                <w:tcPr>
                  <w:tcW w:w="1589" w:type="dxa"/>
                  <w:tcBorders>
                    <w:tl2br w:val="nil"/>
                    <w:tr2bl w:val="nil"/>
                  </w:tcBorders>
                  <w:vAlign w:val="center"/>
                </w:tcPr>
                <w:p>
                  <w:pPr>
                    <w:spacing w:line="240" w:lineRule="auto"/>
                    <w:ind w:firstLine="0" w:firstLineChars="0"/>
                    <w:jc w:val="center"/>
                    <w:rPr>
                      <w:rFonts w:hint="eastAsia"/>
                      <w:sz w:val="21"/>
                      <w:szCs w:val="21"/>
                      <w:highlight w:val="none"/>
                      <w:lang w:val="en-US" w:eastAsia="zh-CN"/>
                    </w:rPr>
                  </w:pPr>
                  <w:r>
                    <w:rPr>
                      <w:rFonts w:hint="eastAsia"/>
                      <w:sz w:val="21"/>
                      <w:szCs w:val="21"/>
                      <w:highlight w:val="none"/>
                      <w:lang w:val="en-US" w:eastAsia="zh-CN"/>
                    </w:rPr>
                    <w:t>kg</w:t>
                  </w:r>
                </w:p>
              </w:tc>
              <w:tc>
                <w:tcPr>
                  <w:tcW w:w="1841" w:type="dxa"/>
                  <w:tcBorders>
                    <w:tl2br w:val="nil"/>
                    <w:tr2bl w:val="nil"/>
                  </w:tcBorders>
                  <w:vAlign w:val="center"/>
                </w:tcPr>
                <w:p>
                  <w:pPr>
                    <w:spacing w:line="240" w:lineRule="auto"/>
                    <w:ind w:firstLine="0" w:firstLineChars="0"/>
                    <w:jc w:val="center"/>
                    <w:rPr>
                      <w:rFonts w:hint="eastAsia"/>
                      <w:sz w:val="21"/>
                      <w:szCs w:val="21"/>
                      <w:highlight w:val="none"/>
                      <w:lang w:val="en-US" w:eastAsia="zh-CN"/>
                    </w:rPr>
                  </w:pPr>
                  <w:r>
                    <w:rPr>
                      <w:rFonts w:hint="eastAsia"/>
                      <w:sz w:val="21"/>
                      <w:szCs w:val="21"/>
                      <w:highlight w:val="none"/>
                      <w:lang w:val="en-US" w:eastAsia="zh-CN"/>
                    </w:rPr>
                    <w:t>40</w:t>
                  </w:r>
                </w:p>
              </w:tc>
              <w:tc>
                <w:tcPr>
                  <w:tcW w:w="2536" w:type="dxa"/>
                  <w:tcBorders>
                    <w:tl2br w:val="nil"/>
                    <w:tr2bl w:val="nil"/>
                  </w:tcBorders>
                  <w:vAlign w:val="center"/>
                </w:tcPr>
                <w:p>
                  <w:pPr>
                    <w:spacing w:line="240" w:lineRule="auto"/>
                    <w:ind w:firstLine="0" w:firstLineChars="0"/>
                    <w:jc w:val="center"/>
                    <w:rPr>
                      <w:rFonts w:hint="eastAsia"/>
                      <w:sz w:val="21"/>
                      <w:szCs w:val="21"/>
                      <w:highlight w:val="none"/>
                      <w:lang w:val="en-US" w:eastAsia="zh-CN"/>
                    </w:rPr>
                  </w:pPr>
                  <w:r>
                    <w:rPr>
                      <w:rFonts w:hint="eastAsia" w:cs="Times New Roman"/>
                      <w:color w:val="auto"/>
                      <w:sz w:val="21"/>
                      <w:szCs w:val="21"/>
                      <w:lang w:val="en-US" w:eastAsia="zh-CN"/>
                    </w:rPr>
                    <w:t>用于</w:t>
                  </w:r>
                  <w:r>
                    <w:rPr>
                      <w:rFonts w:hint="eastAsia" w:ascii="Times New Roman" w:eastAsia="宋体" w:cs="Times New Roman"/>
                      <w:color w:val="auto"/>
                      <w:sz w:val="21"/>
                      <w:szCs w:val="21"/>
                      <w:lang w:val="en-US" w:eastAsia="zh-CN"/>
                    </w:rPr>
                    <w:t>区别不同的</w:t>
                  </w:r>
                  <w:r>
                    <w:rPr>
                      <w:rFonts w:hint="eastAsia" w:cs="Times New Roman"/>
                      <w:color w:val="auto"/>
                      <w:sz w:val="21"/>
                      <w:szCs w:val="21"/>
                      <w:lang w:val="en-US" w:eastAsia="zh-CN"/>
                    </w:rPr>
                    <w:t>品牌</w:t>
                  </w:r>
                  <w:r>
                    <w:rPr>
                      <w:rFonts w:hint="eastAsia" w:ascii="Times New Roman" w:eastAsia="宋体" w:cs="Times New Roman"/>
                      <w:color w:val="auto"/>
                      <w:sz w:val="21"/>
                      <w:szCs w:val="21"/>
                      <w:lang w:val="en-US" w:eastAsia="zh-CN"/>
                    </w:rPr>
                    <w:t>和有无渗漏</w:t>
                  </w:r>
                  <w:r>
                    <w:rPr>
                      <w:rFonts w:hint="eastAsia"/>
                      <w:sz w:val="21"/>
                      <w:szCs w:val="21"/>
                      <w:highlight w:val="none"/>
                      <w:lang w:val="en-US" w:eastAsia="zh-CN"/>
                    </w:rPr>
                    <w:t>，外购</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1024"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5</w:t>
                  </w:r>
                </w:p>
              </w:tc>
              <w:tc>
                <w:tcPr>
                  <w:tcW w:w="1609" w:type="dxa"/>
                  <w:tcBorders>
                    <w:tl2br w:val="nil"/>
                    <w:tr2bl w:val="nil"/>
                  </w:tcBorders>
                  <w:vAlign w:val="center"/>
                </w:tcPr>
                <w:p>
                  <w:pPr>
                    <w:spacing w:line="240" w:lineRule="auto"/>
                    <w:ind w:firstLine="0" w:firstLineChars="0"/>
                    <w:jc w:val="center"/>
                    <w:rPr>
                      <w:rFonts w:hint="eastAsia"/>
                      <w:color w:val="auto"/>
                      <w:sz w:val="21"/>
                      <w:szCs w:val="21"/>
                      <w:highlight w:val="none"/>
                      <w:lang w:eastAsia="zh-CN"/>
                    </w:rPr>
                  </w:pPr>
                  <w:r>
                    <w:rPr>
                      <w:rFonts w:hint="eastAsia"/>
                      <w:color w:val="auto"/>
                      <w:sz w:val="21"/>
                      <w:szCs w:val="21"/>
                      <w:highlight w:val="none"/>
                      <w:lang w:eastAsia="zh-CN"/>
                    </w:rPr>
                    <w:t>成品箱</w:t>
                  </w:r>
                </w:p>
              </w:tc>
              <w:tc>
                <w:tcPr>
                  <w:tcW w:w="1589"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个</w:t>
                  </w:r>
                </w:p>
              </w:tc>
              <w:tc>
                <w:tcPr>
                  <w:tcW w:w="1841" w:type="dxa"/>
                  <w:tcBorders>
                    <w:tl2br w:val="nil"/>
                    <w:tr2bl w:val="nil"/>
                  </w:tcBorders>
                  <w:vAlign w:val="center"/>
                </w:tcPr>
                <w:p>
                  <w:pPr>
                    <w:spacing w:line="240" w:lineRule="auto"/>
                    <w:ind w:firstLine="0" w:firstLineChars="0"/>
                    <w:jc w:val="center"/>
                    <w:rPr>
                      <w:rFonts w:hint="eastAsia"/>
                      <w:color w:val="auto"/>
                      <w:sz w:val="21"/>
                      <w:szCs w:val="21"/>
                      <w:highlight w:val="none"/>
                      <w:lang w:val="en-US" w:eastAsia="zh-CN"/>
                    </w:rPr>
                  </w:pPr>
                  <w:r>
                    <w:rPr>
                      <w:rFonts w:hint="eastAsia"/>
                      <w:color w:val="auto"/>
                      <w:sz w:val="21"/>
                      <w:szCs w:val="21"/>
                      <w:highlight w:val="none"/>
                      <w:lang w:val="en-US" w:eastAsia="zh-CN"/>
                    </w:rPr>
                    <w:t>2000</w:t>
                  </w:r>
                </w:p>
              </w:tc>
              <w:tc>
                <w:tcPr>
                  <w:tcW w:w="2536" w:type="dxa"/>
                  <w:tcBorders>
                    <w:tl2br w:val="nil"/>
                    <w:tr2bl w:val="nil"/>
                  </w:tcBorders>
                  <w:vAlign w:val="center"/>
                </w:tcPr>
                <w:p>
                  <w:pPr>
                    <w:spacing w:line="240" w:lineRule="auto"/>
                    <w:ind w:firstLine="0" w:firstLineChars="0"/>
                    <w:jc w:val="center"/>
                    <w:rPr>
                      <w:rFonts w:hint="eastAsia" w:ascii="Times New Roman" w:eastAsia="宋体" w:cs="Times New Roman"/>
                      <w:color w:val="auto"/>
                      <w:sz w:val="21"/>
                      <w:szCs w:val="21"/>
                      <w:lang w:val="en-US" w:eastAsia="zh-CN"/>
                    </w:rPr>
                  </w:pPr>
                  <w:r>
                    <w:rPr>
                      <w:rFonts w:hint="eastAsia" w:cs="Times New Roman"/>
                      <w:color w:val="auto"/>
                      <w:sz w:val="21"/>
                      <w:szCs w:val="21"/>
                      <w:lang w:val="en-US" w:eastAsia="zh-CN"/>
                    </w:rPr>
                    <w:t>外购</w:t>
                  </w:r>
                </w:p>
              </w:tc>
            </w:tr>
          </w:tbl>
          <w:p>
            <w:pPr>
              <w:spacing w:line="300" w:lineRule="exact"/>
              <w:ind w:firstLine="602" w:firstLineChars="250"/>
              <w:jc w:val="center"/>
              <w:rPr>
                <w:b/>
                <w:color w:val="auto"/>
                <w:sz w:val="24"/>
                <w:szCs w:val="24"/>
              </w:rPr>
            </w:pPr>
            <w:r>
              <w:rPr>
                <w:b/>
                <w:color w:val="auto"/>
                <w:sz w:val="24"/>
                <w:szCs w:val="24"/>
              </w:rPr>
              <w:t>表1-</w:t>
            </w:r>
            <w:r>
              <w:rPr>
                <w:rFonts w:hint="eastAsia"/>
                <w:b/>
                <w:color w:val="auto"/>
                <w:sz w:val="24"/>
                <w:szCs w:val="24"/>
                <w:lang w:val="en-US" w:eastAsia="zh-CN"/>
              </w:rPr>
              <w:t>8</w:t>
            </w:r>
            <w:r>
              <w:rPr>
                <w:b/>
                <w:color w:val="auto"/>
                <w:sz w:val="24"/>
                <w:szCs w:val="24"/>
              </w:rPr>
              <w:t xml:space="preserve"> 原材料理化性质表</w:t>
            </w:r>
          </w:p>
          <w:tbl>
            <w:tblPr>
              <w:tblStyle w:val="21"/>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7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6" w:type="dxa"/>
                  <w:vAlign w:val="top"/>
                </w:tcPr>
                <w:p>
                  <w:pPr>
                    <w:pStyle w:val="22"/>
                    <w:jc w:val="center"/>
                    <w:rPr>
                      <w:rFonts w:ascii="Times New Roman" w:eastAsia="宋体" w:cs="Times New Roman"/>
                      <w:bCs/>
                      <w:color w:val="auto"/>
                      <w:sz w:val="21"/>
                      <w:szCs w:val="21"/>
                    </w:rPr>
                  </w:pPr>
                  <w:r>
                    <w:rPr>
                      <w:rFonts w:ascii="Times New Roman" w:eastAsia="宋体" w:cs="Times New Roman"/>
                      <w:bCs/>
                      <w:color w:val="auto"/>
                      <w:sz w:val="21"/>
                      <w:szCs w:val="21"/>
                    </w:rPr>
                    <w:t>名称</w:t>
                  </w:r>
                </w:p>
              </w:tc>
              <w:tc>
                <w:tcPr>
                  <w:tcW w:w="7428" w:type="dxa"/>
                  <w:vAlign w:val="top"/>
                </w:tcPr>
                <w:p>
                  <w:pPr>
                    <w:pStyle w:val="22"/>
                    <w:jc w:val="center"/>
                    <w:rPr>
                      <w:rFonts w:ascii="Times New Roman" w:eastAsia="宋体" w:cs="Times New Roman"/>
                      <w:bCs/>
                      <w:color w:val="auto"/>
                      <w:sz w:val="21"/>
                      <w:szCs w:val="21"/>
                    </w:rPr>
                  </w:pPr>
                  <w:r>
                    <w:rPr>
                      <w:rFonts w:ascii="Times New Roman" w:eastAsia="宋体" w:cs="Times New Roman"/>
                      <w:bCs/>
                      <w:color w:val="auto"/>
                      <w:sz w:val="21"/>
                      <w:szCs w:val="21"/>
                    </w:rPr>
                    <w:t>理化性质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9" w:hRule="atLeast"/>
                <w:jc w:val="center"/>
              </w:trPr>
              <w:tc>
                <w:tcPr>
                  <w:tcW w:w="1076" w:type="dxa"/>
                  <w:vAlign w:val="top"/>
                </w:tcPr>
                <w:p>
                  <w:pPr>
                    <w:pStyle w:val="22"/>
                    <w:keepNext w:val="0"/>
                    <w:keepLines w:val="0"/>
                    <w:pageBreakBefore w:val="0"/>
                    <w:widowControl w:val="0"/>
                    <w:kinsoku/>
                    <w:wordWrap/>
                    <w:overflowPunct/>
                    <w:topLinePunct w:val="0"/>
                    <w:autoSpaceDE w:val="0"/>
                    <w:autoSpaceDN w:val="0"/>
                    <w:bidi w:val="0"/>
                    <w:adjustRightInd w:val="0"/>
                    <w:snapToGrid/>
                    <w:spacing w:line="1440" w:lineRule="auto"/>
                    <w:jc w:val="both"/>
                    <w:textAlignment w:val="auto"/>
                    <w:outlineLvl w:val="9"/>
                    <w:rPr>
                      <w:rFonts w:hint="eastAsia" w:ascii="Times New Roman" w:eastAsia="宋体" w:cs="Times New Roman"/>
                      <w:color w:val="auto"/>
                      <w:sz w:val="21"/>
                      <w:szCs w:val="21"/>
                      <w:lang w:eastAsia="zh-CN"/>
                    </w:rPr>
                  </w:pPr>
                  <w:r>
                    <w:rPr>
                      <w:rFonts w:hint="eastAsia" w:ascii="Times New Roman" w:eastAsia="宋体" w:cs="Times New Roman"/>
                      <w:color w:val="auto"/>
                      <w:sz w:val="21"/>
                      <w:szCs w:val="21"/>
                      <w:lang w:eastAsia="zh-CN"/>
                    </w:rPr>
                    <w:t>乙二醇</w:t>
                  </w:r>
                </w:p>
              </w:tc>
              <w:tc>
                <w:tcPr>
                  <w:tcW w:w="7428" w:type="dxa"/>
                  <w:vAlign w:val="top"/>
                </w:tcPr>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外观与形状：</w:t>
                  </w:r>
                  <w:r>
                    <w:rPr>
                      <w:rFonts w:hint="eastAsia" w:ascii="Times New Roman" w:eastAsia="宋体" w:cs="Times New Roman"/>
                      <w:color w:val="auto"/>
                      <w:sz w:val="21"/>
                      <w:szCs w:val="21"/>
                      <w:lang w:val="en-US" w:eastAsia="zh-CN"/>
                    </w:rPr>
                    <w:t>无色、有甜味、粘稠液体。</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溶解性：</w:t>
                  </w:r>
                  <w:r>
                    <w:rPr>
                      <w:rFonts w:hint="eastAsia" w:ascii="Times New Roman" w:eastAsia="宋体" w:cs="Times New Roman"/>
                      <w:color w:val="auto"/>
                      <w:sz w:val="21"/>
                      <w:szCs w:val="21"/>
                      <w:lang w:val="en-US" w:eastAsia="zh-CN"/>
                    </w:rPr>
                    <w:t>与水、乙醇、病痛、醋酸甘油吡啶等混溶，微溶于乙醚，不溶于石油烃及油类。浓度较高时易吸潮。</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用途：</w:t>
                  </w:r>
                  <w:r>
                    <w:rPr>
                      <w:rFonts w:hint="eastAsia" w:ascii="Times New Roman" w:eastAsia="宋体" w:cs="Times New Roman"/>
                      <w:color w:val="auto"/>
                      <w:sz w:val="21"/>
                      <w:szCs w:val="21"/>
                      <w:lang w:val="en-US" w:eastAsia="zh-CN"/>
                    </w:rPr>
                    <w:t>除用作汽车防冻剂外，还用于工业冷量的输送，一般称呼为载冷剂，同时，也可与水一样用作冷凝剂。</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燃烧性：</w:t>
                  </w:r>
                  <w:r>
                    <w:rPr>
                      <w:rFonts w:hint="eastAsia" w:ascii="Times New Roman" w:eastAsia="宋体" w:cs="Times New Roman"/>
                      <w:color w:val="auto"/>
                      <w:sz w:val="21"/>
                      <w:szCs w:val="21"/>
                      <w:lang w:val="en-US" w:eastAsia="zh-CN"/>
                    </w:rPr>
                    <w:t>遇明火、高热可燃。</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毒性：</w:t>
                  </w:r>
                  <w:r>
                    <w:rPr>
                      <w:rFonts w:hint="eastAsia" w:ascii="Times New Roman" w:eastAsia="宋体" w:cs="Times New Roman"/>
                      <w:color w:val="auto"/>
                      <w:sz w:val="21"/>
                      <w:szCs w:val="21"/>
                      <w:lang w:val="en-US" w:eastAsia="zh-CN"/>
                    </w:rPr>
                    <w:t>大鼠经口LD50=5.8ml/kg，小鼠经口LD50=1.31-13.8ml/kg。</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侵入途径：</w:t>
                  </w:r>
                  <w:r>
                    <w:rPr>
                      <w:rFonts w:hint="eastAsia" w:ascii="Times New Roman" w:eastAsia="宋体" w:cs="Times New Roman"/>
                      <w:color w:val="auto"/>
                      <w:sz w:val="21"/>
                      <w:szCs w:val="21"/>
                      <w:lang w:val="en-US" w:eastAsia="zh-CN"/>
                    </w:rPr>
                    <w:t>吸入、食入、经皮吸收。</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健康危害：</w:t>
                  </w:r>
                  <w:r>
                    <w:rPr>
                      <w:rFonts w:hint="eastAsia" w:ascii="Times New Roman" w:eastAsia="宋体" w:cs="Times New Roman"/>
                      <w:color w:val="auto"/>
                      <w:sz w:val="21"/>
                      <w:szCs w:val="21"/>
                      <w:lang w:val="en-US" w:eastAsia="zh-CN"/>
                    </w:rPr>
                    <w:t>国内尚未见本品急慢性中毒报道。国外的急性中毒多系因误服。吸入中毒表现为反复发作性昏厥，并可有眼球震颤，淋巴细胞增多。口服后急性中毒分三个阶段：第一阶段主要为中枢神经系统症状，轻者似乙醇中毒表现，重者迅速产生昏迷抽搐，最后死亡；第二阶段，心肺症状明显，严重病例可有肺水肿，支气管肺炎，心力衰竭；第三阶段主要表现为不同程度肾功能衰竭。人的本品一次口服致死量估计为1.4ml/kg(1.56g/kg)。</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急救措施皮肤接触：脱去污染的衣着，用大量流动清水冲洗。眼睛接触：提起眼睑，用流动清水或生理盐水冲洗。就医。</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吸入：迅速脱离现场至空气新鲜处。保持呼吸道通畅。如呼吸困难，给输氧。如呼吸停止，立即进行人工呼吸，就医。</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食入：饮足量温水，催吐。洗胃，导泄。就医。如呼吸停止，立即进行人工呼吸。就医。</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储存注意事项：按易燃化学品规定贮运。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9" w:hRule="atLeast"/>
                <w:jc w:val="center"/>
              </w:trPr>
              <w:tc>
                <w:tcPr>
                  <w:tcW w:w="1076" w:type="dxa"/>
                  <w:vAlign w:val="top"/>
                </w:tcPr>
                <w:p>
                  <w:pPr>
                    <w:pStyle w:val="22"/>
                    <w:keepNext w:val="0"/>
                    <w:keepLines w:val="0"/>
                    <w:pageBreakBefore w:val="0"/>
                    <w:widowControl w:val="0"/>
                    <w:kinsoku/>
                    <w:wordWrap/>
                    <w:overflowPunct/>
                    <w:topLinePunct w:val="0"/>
                    <w:autoSpaceDE w:val="0"/>
                    <w:autoSpaceDN w:val="0"/>
                    <w:bidi w:val="0"/>
                    <w:adjustRightInd w:val="0"/>
                    <w:snapToGrid/>
                    <w:spacing w:line="1440" w:lineRule="auto"/>
                    <w:jc w:val="both"/>
                    <w:textAlignment w:val="auto"/>
                    <w:outlineLvl w:val="9"/>
                    <w:rPr>
                      <w:rFonts w:hint="eastAsia" w:ascii="Times New Roman" w:eastAsia="宋体" w:cs="Times New Roman"/>
                      <w:color w:val="auto"/>
                      <w:sz w:val="21"/>
                      <w:szCs w:val="21"/>
                      <w:lang w:eastAsia="zh-CN"/>
                    </w:rPr>
                  </w:pPr>
                  <w:r>
                    <w:rPr>
                      <w:rFonts w:hint="eastAsia" w:ascii="Times New Roman" w:eastAsia="宋体" w:cs="Times New Roman"/>
                      <w:color w:val="auto"/>
                      <w:sz w:val="21"/>
                      <w:szCs w:val="21"/>
                      <w:lang w:eastAsia="zh-CN"/>
                    </w:rPr>
                    <w:t>苯甲酸钠</w:t>
                  </w:r>
                </w:p>
              </w:tc>
              <w:tc>
                <w:tcPr>
                  <w:tcW w:w="7428" w:type="dxa"/>
                  <w:vAlign w:val="top"/>
                </w:tcPr>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分子式：C</w:t>
                  </w:r>
                  <w:r>
                    <w:rPr>
                      <w:rFonts w:hint="eastAsia" w:ascii="Times New Roman" w:eastAsia="宋体" w:cs="Times New Roman"/>
                      <w:color w:val="auto"/>
                      <w:sz w:val="21"/>
                      <w:szCs w:val="21"/>
                      <w:vertAlign w:val="subscript"/>
                      <w:lang w:val="en-US" w:eastAsia="zh-CN"/>
                    </w:rPr>
                    <w:t>7</w:t>
                  </w:r>
                  <w:r>
                    <w:rPr>
                      <w:rFonts w:hint="eastAsia" w:ascii="Times New Roman" w:eastAsia="宋体" w:cs="Times New Roman"/>
                      <w:color w:val="auto"/>
                      <w:sz w:val="21"/>
                      <w:szCs w:val="21"/>
                      <w:lang w:val="en-US" w:eastAsia="zh-CN"/>
                    </w:rPr>
                    <w:t>H</w:t>
                  </w:r>
                  <w:r>
                    <w:rPr>
                      <w:rFonts w:hint="eastAsia" w:ascii="Times New Roman" w:eastAsia="宋体" w:cs="Times New Roman"/>
                      <w:color w:val="auto"/>
                      <w:sz w:val="21"/>
                      <w:szCs w:val="21"/>
                      <w:vertAlign w:val="subscript"/>
                      <w:lang w:val="en-US" w:eastAsia="zh-CN"/>
                    </w:rPr>
                    <w:t>6</w:t>
                  </w:r>
                  <w:r>
                    <w:rPr>
                      <w:rFonts w:hint="eastAsia" w:ascii="Times New Roman" w:eastAsia="宋体" w:cs="Times New Roman"/>
                      <w:color w:val="auto"/>
                      <w:sz w:val="21"/>
                      <w:szCs w:val="21"/>
                      <w:lang w:val="en-US" w:eastAsia="zh-CN"/>
                    </w:rPr>
                    <w:t>O</w:t>
                  </w:r>
                  <w:r>
                    <w:rPr>
                      <w:rFonts w:hint="eastAsia" w:ascii="Times New Roman" w:eastAsia="宋体" w:cs="Times New Roman"/>
                      <w:color w:val="auto"/>
                      <w:sz w:val="21"/>
                      <w:szCs w:val="21"/>
                      <w:vertAlign w:val="subscript"/>
                      <w:lang w:val="en-US" w:eastAsia="zh-CN"/>
                    </w:rPr>
                    <w:t>2</w:t>
                  </w:r>
                  <w:r>
                    <w:rPr>
                      <w:rFonts w:hint="eastAsia" w:ascii="Times New Roman" w:eastAsia="宋体" w:cs="Times New Roman"/>
                      <w:color w:val="auto"/>
                      <w:sz w:val="21"/>
                      <w:szCs w:val="21"/>
                      <w:lang w:val="en-US" w:eastAsia="zh-CN"/>
                    </w:rPr>
                    <w:t>Na 分子量：122.12 熔点：122-123</w:t>
                  </w:r>
                  <w:r>
                    <w:rPr>
                      <w:rFonts w:hint="eastAsia" w:ascii="宋体" w:hAnsi="宋体" w:eastAsia="宋体" w:cs="宋体"/>
                      <w:color w:val="auto"/>
                      <w:sz w:val="21"/>
                      <w:szCs w:val="21"/>
                      <w:lang w:val="en-US" w:eastAsia="zh-CN"/>
                    </w:rPr>
                    <w:t>℃</w:t>
                  </w:r>
                  <w:r>
                    <w:rPr>
                      <w:rFonts w:hint="eastAsia" w:ascii="Times New Roman" w:eastAsia="宋体" w:cs="Times New Roman"/>
                      <w:color w:val="auto"/>
                      <w:sz w:val="21"/>
                      <w:szCs w:val="21"/>
                      <w:lang w:val="en-US" w:eastAsia="zh-CN"/>
                    </w:rPr>
                    <w:t xml:space="preserve"> ，</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性状描述：</w:t>
                  </w:r>
                  <w:r>
                    <w:rPr>
                      <w:rFonts w:hint="eastAsia" w:ascii="Times New Roman" w:eastAsia="宋体" w:cs="Times New Roman"/>
                      <w:color w:val="auto"/>
                      <w:sz w:val="21"/>
                      <w:szCs w:val="21"/>
                      <w:lang w:val="en-US" w:eastAsia="zh-CN"/>
                    </w:rPr>
                    <w:t>鳞片状或针状结晶，具有苯或甲醛的气味，易燃，相对密度1.2659，熔点122.4</w:t>
                  </w:r>
                  <w:r>
                    <w:rPr>
                      <w:rFonts w:hint="eastAsia" w:ascii="宋体" w:hAnsi="宋体" w:eastAsia="宋体" w:cs="宋体"/>
                      <w:color w:val="auto"/>
                      <w:sz w:val="21"/>
                      <w:szCs w:val="21"/>
                      <w:lang w:val="en-US" w:eastAsia="zh-CN"/>
                    </w:rPr>
                    <w:t>℃</w:t>
                  </w:r>
                  <w:r>
                    <w:rPr>
                      <w:rFonts w:hint="eastAsia" w:ascii="Times New Roman" w:eastAsia="宋体" w:cs="Times New Roman"/>
                      <w:color w:val="auto"/>
                      <w:sz w:val="21"/>
                      <w:szCs w:val="21"/>
                      <w:lang w:val="en-US" w:eastAsia="zh-CN"/>
                    </w:rPr>
                    <w:t>，折射率1.504.蒸汽易挥发。可溶于水，水溶液呈弱碱性，溶于乙醇、甲醇、乙醚、氯仿、苯、甲苯、二硫化碳、四氯化碳和松节油。</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主要用作食品防腐剂，也可用于制药、染料等。使用时转化为有效形式苯甲酸。</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存储注意事项：存于密封容器内，至于凉爽通风处。</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b/>
                      <w:bCs/>
                      <w:color w:val="auto"/>
                      <w:sz w:val="21"/>
                      <w:szCs w:val="21"/>
                      <w:lang w:val="en-US" w:eastAsia="zh-CN"/>
                    </w:rPr>
                    <w:t>健康危害 ：</w:t>
                  </w:r>
                  <w:r>
                    <w:rPr>
                      <w:rFonts w:hint="eastAsia" w:ascii="Times New Roman" w:eastAsia="宋体" w:cs="Times New Roman"/>
                      <w:color w:val="auto"/>
                      <w:sz w:val="21"/>
                      <w:szCs w:val="21"/>
                      <w:lang w:val="en-US" w:eastAsia="zh-CN"/>
                    </w:rPr>
                    <w:t>苯甲酸钠的急性毒性较小，动物最大无作用计量(MNL)为500mg/kg体重。但其在人体肠道的酸环境下可转化为毒性较强的苯甲酸。小鼠摄入苯甲酸及其钠盐，会导致体重下降、腹泻、出血、瘫痪甚至死亡。苯甲酸的毒性是通过改变细胞膜的通透性，抑制细胞膜对氨基酸的吸收，并透过细胞膜抑制脂肪酶等酶的活性，是ATP合成受阻实现的。 苯甲酸没有慢性毒性。大鼠喂食苯甲酸连续8周，结果表明小鼠子代的生长、繁殖和形态没有异常的变化。其他实验也表明苯甲酸无蓄积性、致畸、致癌和致突变和抗原作用  。 苯甲酸在动物体内会很快降解，苯甲酸(99%)主要与甘氨酸结合形成马尿酸，其余与葡萄糖醛酸结合形成1-本家先葡萄糖醛酸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76" w:type="dxa"/>
                  <w:vAlign w:val="top"/>
                </w:tcPr>
                <w:p>
                  <w:pPr>
                    <w:pStyle w:val="22"/>
                    <w:keepNext w:val="0"/>
                    <w:keepLines w:val="0"/>
                    <w:pageBreakBefore w:val="0"/>
                    <w:widowControl w:val="0"/>
                    <w:kinsoku/>
                    <w:wordWrap/>
                    <w:overflowPunct/>
                    <w:topLinePunct w:val="0"/>
                    <w:autoSpaceDE w:val="0"/>
                    <w:autoSpaceDN w:val="0"/>
                    <w:bidi w:val="0"/>
                    <w:adjustRightInd w:val="0"/>
                    <w:snapToGrid/>
                    <w:spacing w:line="1440" w:lineRule="auto"/>
                    <w:jc w:val="center"/>
                    <w:textAlignment w:val="auto"/>
                    <w:outlineLvl w:val="9"/>
                    <w:rPr>
                      <w:rFonts w:hint="eastAsia" w:ascii="Times New Roman" w:eastAsia="宋体" w:cs="Times New Roman"/>
                      <w:color w:val="auto"/>
                      <w:sz w:val="21"/>
                      <w:szCs w:val="21"/>
                      <w:lang w:eastAsia="zh-CN"/>
                    </w:rPr>
                  </w:pPr>
                  <w:r>
                    <w:rPr>
                      <w:rFonts w:hint="eastAsia" w:ascii="Times New Roman" w:eastAsia="宋体" w:cs="Times New Roman"/>
                      <w:color w:val="auto"/>
                      <w:sz w:val="21"/>
                      <w:szCs w:val="21"/>
                      <w:lang w:eastAsia="zh-CN"/>
                    </w:rPr>
                    <w:t>荧光素</w:t>
                  </w:r>
                </w:p>
              </w:tc>
              <w:tc>
                <w:tcPr>
                  <w:tcW w:w="7428" w:type="dxa"/>
                  <w:vAlign w:val="top"/>
                </w:tcPr>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常用的防冻液染色剂是荧光素，又叫荧光黄，它是一种橙色粉末，不溶于水，可溶于醇类，加入到乙二醇中，显绿色，并有荧光，因此作为防冻液的颜料而广泛应用。其他的染色剂有罗丹明B、次甲基蓝等，罗丹明B溶于乙二醇中显示粉红色，次甲基蓝溶于乙二醇中显示出蓝色。</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荧光本身是不会发光的，不是发光体，需要光照条件；水溶性极好，于水中无任何沉淀；添加量小，用量在万分之一以下；颜色深浅根据添加量有稍微差异。</w:t>
                  </w:r>
                </w:p>
                <w:p>
                  <w:pPr>
                    <w:pStyle w:val="22"/>
                    <w:jc w:val="both"/>
                    <w:rPr>
                      <w:rFonts w:hint="eastAsia" w:ascii="Times New Roman" w:eastAsia="宋体" w:cs="Times New Roman"/>
                      <w:b/>
                      <w:bCs/>
                      <w:color w:val="auto"/>
                      <w:sz w:val="21"/>
                      <w:szCs w:val="21"/>
                      <w:lang w:val="en-US" w:eastAsia="zh-CN"/>
                    </w:rPr>
                  </w:pPr>
                  <w:r>
                    <w:rPr>
                      <w:rFonts w:hint="eastAsia" w:ascii="Times New Roman" w:eastAsia="宋体" w:cs="Times New Roman"/>
                      <w:b/>
                      <w:bCs/>
                      <w:color w:val="auto"/>
                      <w:sz w:val="21"/>
                      <w:szCs w:val="21"/>
                      <w:lang w:val="en-US" w:eastAsia="zh-CN"/>
                    </w:rPr>
                    <w:t>健康危害：</w:t>
                  </w:r>
                </w:p>
                <w:p>
                  <w:pPr>
                    <w:pStyle w:val="22"/>
                    <w:jc w:val="both"/>
                    <w:rPr>
                      <w:rFonts w:hint="eastAsia" w:ascii="Times New Roman" w:eastAsia="宋体" w:cs="Times New Roman"/>
                      <w:b w:val="0"/>
                      <w:bCs w:val="0"/>
                      <w:color w:val="auto"/>
                      <w:sz w:val="21"/>
                      <w:szCs w:val="21"/>
                      <w:lang w:val="en-US" w:eastAsia="zh-CN"/>
                    </w:rPr>
                  </w:pPr>
                  <w:r>
                    <w:rPr>
                      <w:rFonts w:hint="eastAsia" w:ascii="Times New Roman" w:eastAsia="宋体" w:cs="Times New Roman"/>
                      <w:b w:val="0"/>
                      <w:bCs w:val="0"/>
                      <w:color w:val="auto"/>
                      <w:sz w:val="21"/>
                      <w:szCs w:val="21"/>
                      <w:lang w:val="en-US" w:eastAsia="zh-CN"/>
                    </w:rPr>
                    <w:t>急性毒性</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大鼠腹腔LDLo： 600 mg/kg；</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小鼠静脉LC50：300 mg/kg；</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小鼠LCLo：600 mg/kg；</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兔子静脉LDLo;300 mg/kg；</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豚鼠LDLo;400 mg/kg。</w:t>
                  </w:r>
                </w:p>
                <w:p>
                  <w:pPr>
                    <w:pStyle w:val="22"/>
                    <w:jc w:val="both"/>
                    <w:rPr>
                      <w:rFonts w:hint="eastAsia" w:ascii="Times New Roman" w:eastAsia="宋体" w:cs="Times New Roman"/>
                      <w:b w:val="0"/>
                      <w:bCs w:val="0"/>
                      <w:color w:val="auto"/>
                      <w:sz w:val="21"/>
                      <w:szCs w:val="21"/>
                      <w:lang w:val="en-US" w:eastAsia="zh-CN"/>
                    </w:rPr>
                  </w:pPr>
                  <w:r>
                    <w:rPr>
                      <w:rFonts w:hint="eastAsia" w:ascii="Times New Roman" w:eastAsia="宋体" w:cs="Times New Roman"/>
                      <w:b w:val="0"/>
                      <w:bCs w:val="0"/>
                      <w:color w:val="auto"/>
                      <w:sz w:val="21"/>
                      <w:szCs w:val="21"/>
                      <w:lang w:val="en-US" w:eastAsia="zh-CN"/>
                    </w:rPr>
                    <w:t>致突变性</w:t>
                  </w:r>
                </w:p>
                <w:p>
                  <w:pPr>
                    <w:pStyle w:val="22"/>
                    <w:jc w:val="both"/>
                    <w:rPr>
                      <w:rFonts w:hint="eastAsia" w:ascii="Times New Roman" w:eastAsia="宋体" w:cs="Times New Roman"/>
                      <w:color w:val="auto"/>
                      <w:sz w:val="21"/>
                      <w:szCs w:val="21"/>
                      <w:lang w:val="en-US" w:eastAsia="zh-CN"/>
                    </w:rPr>
                  </w:pPr>
                  <w:r>
                    <w:rPr>
                      <w:rFonts w:hint="eastAsia" w:ascii="Times New Roman" w:eastAsia="宋体" w:cs="Times New Roman"/>
                      <w:color w:val="auto"/>
                      <w:sz w:val="21"/>
                      <w:szCs w:val="21"/>
                      <w:lang w:val="en-US" w:eastAsia="zh-CN"/>
                    </w:rPr>
                    <w:t>DNA加合物检测系统：细菌—大肠杆菌：15umol/L。</w:t>
                  </w:r>
                </w:p>
              </w:tc>
            </w:tr>
          </w:tbl>
          <w:p>
            <w:pPr>
              <w:ind w:firstLine="480"/>
              <w:rPr>
                <w:color w:val="auto"/>
                <w:highlight w:val="none"/>
              </w:rPr>
            </w:pPr>
            <w:r>
              <w:rPr>
                <w:rFonts w:hint="eastAsia"/>
                <w:color w:val="auto"/>
                <w:highlight w:val="none"/>
              </w:rPr>
              <w:t>6、产品方案</w:t>
            </w:r>
          </w:p>
          <w:p>
            <w:pPr>
              <w:ind w:firstLine="480"/>
              <w:rPr>
                <w:color w:val="auto"/>
                <w:highlight w:val="none"/>
              </w:rPr>
            </w:pPr>
            <w:r>
              <w:rPr>
                <w:rFonts w:hint="eastAsia"/>
                <w:color w:val="auto"/>
                <w:highlight w:val="none"/>
              </w:rPr>
              <w:t>项目产品方案见表</w:t>
            </w:r>
            <w:r>
              <w:rPr>
                <w:rFonts w:hint="eastAsia"/>
                <w:color w:val="auto"/>
                <w:highlight w:val="none"/>
                <w:lang w:val="en-US" w:eastAsia="zh-CN"/>
              </w:rPr>
              <w:t>1-9</w:t>
            </w:r>
            <w:r>
              <w:rPr>
                <w:rFonts w:hint="eastAsia"/>
                <w:color w:val="auto"/>
                <w:highlight w:val="none"/>
              </w:rPr>
              <w:t>。</w:t>
            </w:r>
          </w:p>
          <w:tbl>
            <w:tblPr>
              <w:tblStyle w:val="21"/>
              <w:tblpPr w:leftFromText="180" w:rightFromText="180" w:vertAnchor="text" w:horzAnchor="page" w:tblpXSpec="center" w:tblpY="273"/>
              <w:tblOverlap w:val="never"/>
              <w:tblW w:w="8504" w:type="dxa"/>
              <w:jc w:val="center"/>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206"/>
              <w:gridCol w:w="1225"/>
              <w:gridCol w:w="5073"/>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jc w:val="center"/>
              </w:trPr>
              <w:tc>
                <w:tcPr>
                  <w:tcW w:w="2206" w:type="dxa"/>
                  <w:tcBorders>
                    <w:tl2br w:val="nil"/>
                    <w:tr2bl w:val="nil"/>
                  </w:tcBorders>
                  <w:vAlign w:val="center"/>
                </w:tcPr>
                <w:p>
                  <w:pPr>
                    <w:spacing w:line="240" w:lineRule="auto"/>
                    <w:ind w:firstLine="0" w:firstLineChars="0"/>
                    <w:jc w:val="center"/>
                    <w:rPr>
                      <w:color w:val="auto"/>
                      <w:sz w:val="21"/>
                      <w:szCs w:val="21"/>
                      <w:highlight w:val="none"/>
                    </w:rPr>
                  </w:pPr>
                  <w:r>
                    <w:rPr>
                      <w:color w:val="auto"/>
                      <w:sz w:val="21"/>
                      <w:szCs w:val="21"/>
                      <w:highlight w:val="none"/>
                    </w:rPr>
                    <w:t>产品名称</w:t>
                  </w:r>
                </w:p>
              </w:tc>
              <w:tc>
                <w:tcPr>
                  <w:tcW w:w="1225"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val="en-US" w:eastAsia="zh-CN"/>
                    </w:rPr>
                  </w:pPr>
                  <w:r>
                    <w:rPr>
                      <w:color w:val="auto"/>
                      <w:sz w:val="21"/>
                      <w:szCs w:val="21"/>
                      <w:highlight w:val="none"/>
                    </w:rPr>
                    <w:t>产量</w:t>
                  </w:r>
                  <w:r>
                    <w:rPr>
                      <w:rFonts w:hint="eastAsia"/>
                      <w:color w:val="auto"/>
                      <w:sz w:val="21"/>
                      <w:szCs w:val="21"/>
                      <w:highlight w:val="none"/>
                      <w:lang w:val="en-US" w:eastAsia="zh-CN"/>
                    </w:rPr>
                    <w:t>/t</w:t>
                  </w:r>
                </w:p>
              </w:tc>
              <w:tc>
                <w:tcPr>
                  <w:tcW w:w="5073" w:type="dxa"/>
                  <w:tcBorders>
                    <w:tl2br w:val="nil"/>
                    <w:tr2bl w:val="nil"/>
                  </w:tcBorders>
                  <w:vAlign w:val="center"/>
                </w:tcPr>
                <w:p>
                  <w:pPr>
                    <w:spacing w:line="240" w:lineRule="auto"/>
                    <w:ind w:firstLine="0" w:firstLineChars="0"/>
                    <w:jc w:val="center"/>
                    <w:rPr>
                      <w:color w:val="auto"/>
                      <w:sz w:val="21"/>
                      <w:szCs w:val="21"/>
                      <w:highlight w:val="none"/>
                    </w:rPr>
                  </w:pPr>
                  <w:r>
                    <w:rPr>
                      <w:color w:val="auto"/>
                      <w:sz w:val="21"/>
                      <w:szCs w:val="21"/>
                      <w:highlight w:val="none"/>
                    </w:rPr>
                    <w:t>备注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jc w:val="center"/>
              </w:trPr>
              <w:tc>
                <w:tcPr>
                  <w:tcW w:w="2206"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eastAsia="zh-CN"/>
                    </w:rPr>
                  </w:pPr>
                  <w:r>
                    <w:rPr>
                      <w:rFonts w:hint="eastAsia"/>
                      <w:color w:val="auto"/>
                      <w:sz w:val="21"/>
                      <w:szCs w:val="21"/>
                      <w:highlight w:val="none"/>
                      <w:lang w:eastAsia="zh-CN"/>
                    </w:rPr>
                    <w:t>汽车专用防冻液</w:t>
                  </w:r>
                </w:p>
              </w:tc>
              <w:tc>
                <w:tcPr>
                  <w:tcW w:w="1225"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2000</w:t>
                  </w:r>
                </w:p>
              </w:tc>
              <w:tc>
                <w:tcPr>
                  <w:tcW w:w="5073" w:type="dxa"/>
                  <w:tcBorders>
                    <w:tl2br w:val="nil"/>
                    <w:tr2bl w:val="nil"/>
                  </w:tcBorders>
                  <w:vAlign w:val="center"/>
                </w:tcPr>
                <w:p>
                  <w:pPr>
                    <w:spacing w:line="240" w:lineRule="auto"/>
                    <w:ind w:firstLine="0" w:firstLineChars="0"/>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桶装，每桶一吨；生产过程为单纯混合分装</w:t>
                  </w:r>
                </w:p>
              </w:tc>
            </w:tr>
          </w:tbl>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highlight w:val="none"/>
                <w:lang w:eastAsia="zh-CN"/>
              </w:rPr>
            </w:pPr>
            <w:r>
              <w:rPr>
                <w:rFonts w:hint="eastAsia" w:ascii="Times New Roman" w:hAnsi="Times New Roman" w:eastAsia="宋体" w:cs="Times New Roman"/>
                <w:b/>
                <w:bCs/>
                <w:color w:val="auto"/>
                <w:sz w:val="21"/>
                <w:szCs w:val="21"/>
                <w:highlight w:val="none"/>
                <w:lang w:eastAsia="zh-CN"/>
              </w:rPr>
              <w:t>表</w:t>
            </w:r>
            <w:r>
              <w:rPr>
                <w:rFonts w:hint="eastAsia" w:eastAsia="宋体" w:cs="Times New Roman"/>
                <w:b/>
                <w:bCs/>
                <w:color w:val="auto"/>
                <w:sz w:val="21"/>
                <w:szCs w:val="21"/>
                <w:highlight w:val="none"/>
                <w:lang w:val="en-US" w:eastAsia="zh-CN"/>
              </w:rPr>
              <w:t>1-9</w:t>
            </w:r>
            <w:r>
              <w:rPr>
                <w:rFonts w:hint="eastAsia" w:ascii="Times New Roman" w:hAnsi="Times New Roman" w:eastAsia="宋体" w:cs="Times New Roman"/>
                <w:b/>
                <w:bCs/>
                <w:color w:val="auto"/>
                <w:sz w:val="21"/>
                <w:szCs w:val="21"/>
                <w:highlight w:val="none"/>
                <w:lang w:eastAsia="zh-CN"/>
              </w:rPr>
              <w:t xml:space="preserve">  项目产品方案一览表</w:t>
            </w:r>
          </w:p>
          <w:p>
            <w:pPr>
              <w:ind w:firstLine="480"/>
              <w:rPr>
                <w:color w:val="auto"/>
              </w:rPr>
            </w:pPr>
            <w:r>
              <w:rPr>
                <w:rFonts w:hint="eastAsia"/>
                <w:color w:val="auto"/>
              </w:rPr>
              <w:t>7、主要经济技术指标</w:t>
            </w:r>
          </w:p>
          <w:p>
            <w:pPr>
              <w:ind w:firstLine="480"/>
              <w:rPr>
                <w:color w:val="auto"/>
              </w:rPr>
            </w:pPr>
            <w:r>
              <w:rPr>
                <w:rFonts w:hint="eastAsia"/>
                <w:color w:val="auto"/>
              </w:rPr>
              <w:t>项目总投资100万元，其主要技术经济指标见表</w:t>
            </w:r>
            <w:r>
              <w:rPr>
                <w:rFonts w:hint="eastAsia"/>
                <w:color w:val="auto"/>
                <w:lang w:val="en-US" w:eastAsia="zh-CN"/>
              </w:rPr>
              <w:t>1-10</w:t>
            </w:r>
            <w:r>
              <w:rPr>
                <w:rFonts w:hint="eastAsia"/>
                <w:color w:val="auto"/>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1-10</w:t>
            </w:r>
            <w:r>
              <w:rPr>
                <w:rFonts w:hint="eastAsia" w:ascii="Times New Roman" w:hAnsi="Times New Roman" w:eastAsia="宋体" w:cs="Times New Roman"/>
                <w:b/>
                <w:bCs/>
                <w:color w:val="auto"/>
                <w:sz w:val="21"/>
                <w:szCs w:val="21"/>
                <w:lang w:val="en-US" w:eastAsia="zh-CN"/>
              </w:rPr>
              <w:t xml:space="preserve">  </w:t>
            </w:r>
            <w:r>
              <w:rPr>
                <w:rFonts w:hint="eastAsia" w:ascii="Times New Roman" w:hAnsi="Times New Roman" w:eastAsia="宋体" w:cs="Times New Roman"/>
                <w:b/>
                <w:bCs/>
                <w:color w:val="auto"/>
                <w:sz w:val="21"/>
                <w:szCs w:val="21"/>
                <w:lang w:eastAsia="zh-CN"/>
              </w:rPr>
              <w:t xml:space="preserve">  项目主要经济技术指标</w:t>
            </w:r>
          </w:p>
          <w:tbl>
            <w:tblPr>
              <w:tblStyle w:val="21"/>
              <w:tblW w:w="8619"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500"/>
              <w:gridCol w:w="1155"/>
              <w:gridCol w:w="1575"/>
              <w:gridCol w:w="3680"/>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9"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序号</w:t>
                  </w:r>
                </w:p>
              </w:tc>
              <w:tc>
                <w:tcPr>
                  <w:tcW w:w="150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名称</w:t>
                  </w:r>
                </w:p>
              </w:tc>
              <w:tc>
                <w:tcPr>
                  <w:tcW w:w="1155"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单位</w:t>
                  </w:r>
                </w:p>
              </w:tc>
              <w:tc>
                <w:tcPr>
                  <w:tcW w:w="1575"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数量</w:t>
                  </w:r>
                </w:p>
              </w:tc>
              <w:tc>
                <w:tcPr>
                  <w:tcW w:w="368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备注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9"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1</w:t>
                  </w:r>
                </w:p>
              </w:tc>
              <w:tc>
                <w:tcPr>
                  <w:tcW w:w="150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总投资</w:t>
                  </w:r>
                </w:p>
              </w:tc>
              <w:tc>
                <w:tcPr>
                  <w:tcW w:w="115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万元</w:t>
                  </w:r>
                </w:p>
              </w:tc>
              <w:tc>
                <w:tcPr>
                  <w:tcW w:w="1575"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10</w:t>
                  </w:r>
                  <w:r>
                    <w:rPr>
                      <w:rFonts w:hint="eastAsia"/>
                      <w:color w:val="auto"/>
                      <w:sz w:val="21"/>
                      <w:szCs w:val="21"/>
                    </w:rPr>
                    <w:t>0</w:t>
                  </w:r>
                </w:p>
              </w:tc>
              <w:tc>
                <w:tcPr>
                  <w:tcW w:w="368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企业自筹</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9"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2</w:t>
                  </w:r>
                </w:p>
              </w:tc>
              <w:tc>
                <w:tcPr>
                  <w:tcW w:w="150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总占地面积</w:t>
                  </w:r>
                </w:p>
              </w:tc>
              <w:tc>
                <w:tcPr>
                  <w:tcW w:w="115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m</w:t>
                  </w:r>
                  <w:r>
                    <w:rPr>
                      <w:rFonts w:hint="eastAsia"/>
                      <w:color w:val="auto"/>
                      <w:sz w:val="21"/>
                      <w:szCs w:val="21"/>
                      <w:vertAlign w:val="superscript"/>
                    </w:rPr>
                    <w:t>2</w:t>
                  </w:r>
                </w:p>
              </w:tc>
              <w:tc>
                <w:tcPr>
                  <w:tcW w:w="1575"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3300</w:t>
                  </w:r>
                </w:p>
              </w:tc>
              <w:tc>
                <w:tcPr>
                  <w:tcW w:w="3680" w:type="dxa"/>
                  <w:tcBorders>
                    <w:tl2br w:val="nil"/>
                    <w:tr2bl w:val="nil"/>
                  </w:tcBorders>
                  <w:vAlign w:val="center"/>
                </w:tcPr>
                <w:p>
                  <w:pPr>
                    <w:spacing w:line="240" w:lineRule="auto"/>
                    <w:ind w:firstLine="0" w:firstLineChars="0"/>
                    <w:jc w:val="center"/>
                    <w:rPr>
                      <w:color w:val="auto"/>
                      <w:sz w:val="21"/>
                      <w:szCs w:val="21"/>
                      <w:highlight w:val="yellow"/>
                    </w:rPr>
                  </w:pPr>
                  <w:r>
                    <w:rPr>
                      <w:rFonts w:hint="eastAsia"/>
                      <w:color w:val="auto"/>
                      <w:sz w:val="21"/>
                      <w:szCs w:val="21"/>
                    </w:rPr>
                    <w:t>/</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9"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3</w:t>
                  </w:r>
                </w:p>
              </w:tc>
              <w:tc>
                <w:tcPr>
                  <w:tcW w:w="150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建筑面积</w:t>
                  </w:r>
                </w:p>
              </w:tc>
              <w:tc>
                <w:tcPr>
                  <w:tcW w:w="115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m</w:t>
                  </w:r>
                  <w:r>
                    <w:rPr>
                      <w:rFonts w:hint="eastAsia"/>
                      <w:color w:val="auto"/>
                      <w:sz w:val="21"/>
                      <w:szCs w:val="21"/>
                      <w:vertAlign w:val="superscript"/>
                    </w:rPr>
                    <w:t>2</w:t>
                  </w:r>
                </w:p>
              </w:tc>
              <w:tc>
                <w:tcPr>
                  <w:tcW w:w="1575"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1462</w:t>
                  </w:r>
                </w:p>
              </w:tc>
              <w:tc>
                <w:tcPr>
                  <w:tcW w:w="3680" w:type="dxa"/>
                  <w:tcBorders>
                    <w:tl2br w:val="nil"/>
                    <w:tr2bl w:val="nil"/>
                  </w:tcBorders>
                  <w:vAlign w:val="center"/>
                </w:tcPr>
                <w:p>
                  <w:pPr>
                    <w:spacing w:line="240" w:lineRule="auto"/>
                    <w:ind w:firstLine="0" w:firstLineChars="0"/>
                    <w:jc w:val="center"/>
                    <w:rPr>
                      <w:rFonts w:hint="eastAsia" w:eastAsia="宋体"/>
                      <w:color w:val="auto"/>
                      <w:sz w:val="21"/>
                      <w:szCs w:val="21"/>
                      <w:highlight w:val="yellow"/>
                      <w:lang w:val="en-US" w:eastAsia="zh-CN"/>
                    </w:rPr>
                  </w:pPr>
                  <w:r>
                    <w:rPr>
                      <w:rFonts w:hint="eastAsia"/>
                      <w:color w:val="auto"/>
                      <w:sz w:val="21"/>
                      <w:szCs w:val="21"/>
                    </w:rPr>
                    <w:t>生产车间</w:t>
                  </w:r>
                  <w:r>
                    <w:rPr>
                      <w:rFonts w:hint="eastAsia"/>
                      <w:color w:val="auto"/>
                      <w:sz w:val="21"/>
                      <w:szCs w:val="21"/>
                      <w:lang w:val="en-US" w:eastAsia="zh-CN"/>
                    </w:rPr>
                    <w:t>532</w:t>
                  </w:r>
                  <w:r>
                    <w:rPr>
                      <w:rFonts w:hint="eastAsia"/>
                      <w:color w:val="auto"/>
                      <w:sz w:val="21"/>
                      <w:szCs w:val="21"/>
                    </w:rPr>
                    <w:t>m</w:t>
                  </w:r>
                  <w:r>
                    <w:rPr>
                      <w:rFonts w:hint="eastAsia"/>
                      <w:color w:val="auto"/>
                      <w:sz w:val="21"/>
                      <w:szCs w:val="21"/>
                      <w:vertAlign w:val="superscript"/>
                    </w:rPr>
                    <w:t>2</w:t>
                  </w:r>
                  <w:r>
                    <w:rPr>
                      <w:rFonts w:hint="eastAsia"/>
                      <w:color w:val="auto"/>
                      <w:sz w:val="21"/>
                      <w:szCs w:val="21"/>
                      <w:lang w:eastAsia="zh-CN"/>
                    </w:rPr>
                    <w:t>、成品库房</w:t>
                  </w:r>
                  <w:r>
                    <w:rPr>
                      <w:rFonts w:hint="eastAsia"/>
                      <w:color w:val="auto"/>
                      <w:sz w:val="21"/>
                      <w:szCs w:val="21"/>
                      <w:lang w:val="en-US" w:eastAsia="zh-CN"/>
                    </w:rPr>
                    <w:t>200</w:t>
                  </w:r>
                  <w:r>
                    <w:rPr>
                      <w:rFonts w:hint="eastAsia"/>
                      <w:color w:val="auto"/>
                      <w:sz w:val="21"/>
                      <w:szCs w:val="21"/>
                    </w:rPr>
                    <w:t>m</w:t>
                  </w:r>
                  <w:r>
                    <w:rPr>
                      <w:rFonts w:hint="eastAsia"/>
                      <w:color w:val="auto"/>
                      <w:sz w:val="21"/>
                      <w:szCs w:val="21"/>
                      <w:vertAlign w:val="superscript"/>
                    </w:rPr>
                    <w:t>2</w:t>
                  </w:r>
                  <w:r>
                    <w:rPr>
                      <w:rFonts w:hint="eastAsia"/>
                      <w:color w:val="auto"/>
                      <w:sz w:val="21"/>
                      <w:szCs w:val="21"/>
                    </w:rPr>
                    <w:t>，</w:t>
                  </w:r>
                  <w:r>
                    <w:rPr>
                      <w:rFonts w:hint="eastAsia"/>
                      <w:color w:val="auto"/>
                      <w:sz w:val="21"/>
                      <w:szCs w:val="21"/>
                      <w:lang w:eastAsia="zh-CN"/>
                    </w:rPr>
                    <w:t>原料车间</w:t>
                  </w:r>
                  <w:r>
                    <w:rPr>
                      <w:rFonts w:hint="eastAsia"/>
                      <w:color w:val="auto"/>
                      <w:sz w:val="21"/>
                      <w:szCs w:val="21"/>
                      <w:lang w:val="en-US" w:eastAsia="zh-CN"/>
                    </w:rPr>
                    <w:t>220</w:t>
                  </w:r>
                  <w:r>
                    <w:rPr>
                      <w:rFonts w:hint="eastAsia"/>
                      <w:color w:val="auto"/>
                      <w:sz w:val="21"/>
                      <w:szCs w:val="21"/>
                      <w:lang w:eastAsia="zh-CN"/>
                    </w:rPr>
                    <w:t>办公用房</w:t>
                  </w:r>
                  <w:r>
                    <w:rPr>
                      <w:rFonts w:hint="eastAsia"/>
                      <w:color w:val="auto"/>
                      <w:sz w:val="21"/>
                      <w:szCs w:val="21"/>
                      <w:lang w:val="en-US" w:eastAsia="zh-CN"/>
                    </w:rPr>
                    <w:t>21</w:t>
                  </w:r>
                  <w:r>
                    <w:rPr>
                      <w:rFonts w:hint="eastAsia"/>
                      <w:color w:val="auto"/>
                      <w:sz w:val="21"/>
                      <w:szCs w:val="21"/>
                    </w:rPr>
                    <w:t>0m</w:t>
                  </w:r>
                  <w:r>
                    <w:rPr>
                      <w:rFonts w:hint="eastAsia"/>
                      <w:color w:val="auto"/>
                      <w:sz w:val="21"/>
                      <w:szCs w:val="21"/>
                      <w:vertAlign w:val="superscript"/>
                    </w:rPr>
                    <w:t>2</w:t>
                  </w:r>
                  <w:r>
                    <w:rPr>
                      <w:rFonts w:hint="eastAsia"/>
                      <w:color w:val="auto"/>
                      <w:sz w:val="21"/>
                      <w:szCs w:val="21"/>
                      <w:vertAlign w:val="baseline"/>
                      <w:lang w:eastAsia="zh-CN"/>
                    </w:rPr>
                    <w:t>，生活区</w:t>
                  </w:r>
                  <w:r>
                    <w:rPr>
                      <w:rFonts w:hint="eastAsia"/>
                      <w:color w:val="auto"/>
                      <w:sz w:val="21"/>
                      <w:szCs w:val="21"/>
                      <w:vertAlign w:val="baseline"/>
                      <w:lang w:val="en-US" w:eastAsia="zh-CN"/>
                    </w:rPr>
                    <w:t>200</w:t>
                  </w:r>
                  <w:r>
                    <w:rPr>
                      <w:rFonts w:hint="eastAsia"/>
                      <w:color w:val="auto"/>
                      <w:sz w:val="21"/>
                      <w:szCs w:val="21"/>
                    </w:rPr>
                    <w:t>m</w:t>
                  </w:r>
                  <w:r>
                    <w:rPr>
                      <w:rFonts w:hint="eastAsia"/>
                      <w:color w:val="auto"/>
                      <w:sz w:val="21"/>
                      <w:szCs w:val="21"/>
                      <w:vertAlign w:val="superscript"/>
                    </w:rPr>
                    <w:t>2</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9"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4</w:t>
                  </w:r>
                </w:p>
              </w:tc>
              <w:tc>
                <w:tcPr>
                  <w:tcW w:w="150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年工作日</w:t>
                  </w:r>
                </w:p>
              </w:tc>
              <w:tc>
                <w:tcPr>
                  <w:tcW w:w="1155"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天</w:t>
                  </w:r>
                </w:p>
              </w:tc>
              <w:tc>
                <w:tcPr>
                  <w:tcW w:w="1575"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300</w:t>
                  </w:r>
                </w:p>
              </w:tc>
              <w:tc>
                <w:tcPr>
                  <w:tcW w:w="3680" w:type="dxa"/>
                  <w:tcBorders>
                    <w:tl2br w:val="nil"/>
                    <w:tr2bl w:val="nil"/>
                  </w:tcBorders>
                  <w:vAlign w:val="center"/>
                </w:tcPr>
                <w:p>
                  <w:pPr>
                    <w:spacing w:line="240" w:lineRule="auto"/>
                    <w:ind w:firstLine="0" w:firstLineChars="0"/>
                    <w:jc w:val="center"/>
                    <w:rPr>
                      <w:rFonts w:hint="eastAsia" w:eastAsia="宋体"/>
                      <w:color w:val="auto"/>
                      <w:sz w:val="21"/>
                      <w:szCs w:val="21"/>
                      <w:highlight w:val="yellow"/>
                      <w:lang w:eastAsia="zh-CN"/>
                    </w:rPr>
                  </w:pPr>
                  <w:r>
                    <w:rPr>
                      <w:rFonts w:hint="eastAsia"/>
                      <w:color w:val="auto"/>
                      <w:sz w:val="21"/>
                      <w:szCs w:val="21"/>
                      <w:lang w:val="en-US" w:eastAsia="zh-CN"/>
                    </w:rPr>
                    <w:t>10</w:t>
                  </w:r>
                  <w:r>
                    <w:rPr>
                      <w:rFonts w:hint="eastAsia"/>
                      <w:color w:val="auto"/>
                      <w:sz w:val="21"/>
                      <w:szCs w:val="21"/>
                    </w:rPr>
                    <w:t>h/</w:t>
                  </w:r>
                  <w:r>
                    <w:rPr>
                      <w:rFonts w:hint="eastAsia"/>
                      <w:color w:val="auto"/>
                      <w:sz w:val="21"/>
                      <w:szCs w:val="21"/>
                      <w:lang w:val="en-US" w:eastAsia="zh-CN"/>
                    </w:rPr>
                    <w:t>d</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709"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5</w:t>
                  </w:r>
                </w:p>
              </w:tc>
              <w:tc>
                <w:tcPr>
                  <w:tcW w:w="1500"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劳动定员</w:t>
                  </w:r>
                </w:p>
              </w:tc>
              <w:tc>
                <w:tcPr>
                  <w:tcW w:w="1155" w:type="dxa"/>
                  <w:tcBorders>
                    <w:tl2br w:val="nil"/>
                    <w:tr2bl w:val="nil"/>
                  </w:tcBorders>
                  <w:vAlign w:val="center"/>
                </w:tcPr>
                <w:p>
                  <w:pPr>
                    <w:spacing w:line="240" w:lineRule="auto"/>
                    <w:ind w:firstLine="0" w:firstLineChars="0"/>
                    <w:jc w:val="center"/>
                    <w:rPr>
                      <w:color w:val="auto"/>
                      <w:sz w:val="21"/>
                      <w:szCs w:val="21"/>
                    </w:rPr>
                  </w:pPr>
                  <w:r>
                    <w:rPr>
                      <w:color w:val="auto"/>
                      <w:sz w:val="21"/>
                      <w:szCs w:val="21"/>
                    </w:rPr>
                    <w:t>人</w:t>
                  </w:r>
                </w:p>
              </w:tc>
              <w:tc>
                <w:tcPr>
                  <w:tcW w:w="1575"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val="en-US" w:eastAsia="zh-CN"/>
                    </w:rPr>
                    <w:t>7</w:t>
                  </w:r>
                </w:p>
              </w:tc>
              <w:tc>
                <w:tcPr>
                  <w:tcW w:w="3680" w:type="dxa"/>
                  <w:tcBorders>
                    <w:tl2br w:val="nil"/>
                    <w:tr2bl w:val="nil"/>
                  </w:tcBorders>
                  <w:vAlign w:val="center"/>
                </w:tcPr>
                <w:p>
                  <w:pPr>
                    <w:spacing w:line="240" w:lineRule="auto"/>
                    <w:ind w:firstLine="0" w:firstLineChars="0"/>
                    <w:jc w:val="center"/>
                    <w:rPr>
                      <w:rFonts w:hint="eastAsia" w:eastAsia="宋体"/>
                      <w:color w:val="auto"/>
                      <w:sz w:val="21"/>
                      <w:szCs w:val="21"/>
                      <w:highlight w:val="yellow"/>
                      <w:lang w:eastAsia="zh-CN"/>
                    </w:rPr>
                  </w:pPr>
                  <w:r>
                    <w:rPr>
                      <w:color w:val="auto"/>
                      <w:sz w:val="21"/>
                      <w:szCs w:val="21"/>
                    </w:rPr>
                    <w:t>均为当地村民</w:t>
                  </w:r>
                  <w:r>
                    <w:rPr>
                      <w:rFonts w:hint="eastAsia"/>
                      <w:color w:val="auto"/>
                      <w:sz w:val="21"/>
                      <w:szCs w:val="21"/>
                    </w:rPr>
                    <w:t>，</w:t>
                  </w:r>
                  <w:r>
                    <w:rPr>
                      <w:rFonts w:hint="eastAsia"/>
                      <w:color w:val="auto"/>
                      <w:sz w:val="21"/>
                      <w:szCs w:val="21"/>
                      <w:lang w:eastAsia="zh-CN"/>
                    </w:rPr>
                    <w:t>有宿舍，不设食堂</w:t>
                  </w:r>
                </w:p>
              </w:tc>
            </w:tr>
          </w:tbl>
          <w:p>
            <w:pPr>
              <w:ind w:firstLine="0" w:firstLineChars="0"/>
              <w:rPr>
                <w:b/>
                <w:color w:val="auto"/>
                <w:szCs w:val="24"/>
                <w:highlight w:val="none"/>
              </w:rPr>
            </w:pPr>
            <w:r>
              <w:rPr>
                <w:rFonts w:hint="eastAsia"/>
                <w:b/>
                <w:color w:val="auto"/>
                <w:szCs w:val="24"/>
                <w:highlight w:val="none"/>
              </w:rPr>
              <w:t>三、公用工程</w:t>
            </w:r>
          </w:p>
          <w:p>
            <w:pPr>
              <w:ind w:firstLine="480"/>
              <w:rPr>
                <w:color w:val="auto"/>
                <w:highlight w:val="none"/>
              </w:rPr>
            </w:pPr>
            <w:r>
              <w:rPr>
                <w:rFonts w:hint="eastAsia"/>
                <w:color w:val="auto"/>
                <w:highlight w:val="none"/>
              </w:rPr>
              <w:t>1、</w:t>
            </w:r>
            <w:r>
              <w:rPr>
                <w:color w:val="auto"/>
                <w:highlight w:val="none"/>
              </w:rPr>
              <w:t>给水</w:t>
            </w:r>
          </w:p>
          <w:p>
            <w:pPr>
              <w:ind w:firstLine="480"/>
              <w:rPr>
                <w:color w:val="auto"/>
                <w:highlight w:val="none"/>
              </w:rPr>
            </w:pPr>
            <w:r>
              <w:rPr>
                <w:color w:val="auto"/>
                <w:highlight w:val="none"/>
              </w:rPr>
              <w:t>本项目</w:t>
            </w:r>
            <w:r>
              <w:rPr>
                <w:rFonts w:hint="eastAsia"/>
                <w:color w:val="auto"/>
                <w:highlight w:val="none"/>
                <w:lang w:eastAsia="zh-CN"/>
              </w:rPr>
              <w:t>生产用水为混液工序所用的超纯水，全部进行外购。生活</w:t>
            </w:r>
            <w:r>
              <w:rPr>
                <w:rFonts w:hint="eastAsia"/>
                <w:color w:val="auto"/>
                <w:highlight w:val="none"/>
              </w:rPr>
              <w:t>用水</w:t>
            </w:r>
            <w:r>
              <w:rPr>
                <w:rFonts w:hint="eastAsia"/>
                <w:color w:val="auto"/>
                <w:highlight w:val="none"/>
                <w:lang w:eastAsia="zh-CN"/>
              </w:rPr>
              <w:t>依托自来水。</w:t>
            </w:r>
          </w:p>
          <w:p>
            <w:pPr>
              <w:ind w:firstLine="480"/>
              <w:rPr>
                <w:rFonts w:hint="eastAsia" w:eastAsia="宋体"/>
                <w:color w:val="auto"/>
                <w:lang w:eastAsia="zh-CN"/>
              </w:rPr>
            </w:pPr>
            <w:r>
              <w:rPr>
                <w:rFonts w:hint="eastAsia"/>
                <w:color w:val="auto"/>
                <w:lang w:eastAsia="zh-CN"/>
              </w:rPr>
              <w:t>生活用水</w:t>
            </w:r>
          </w:p>
          <w:p>
            <w:pPr>
              <w:ind w:firstLine="480"/>
              <w:rPr>
                <w:rFonts w:hint="eastAsia" w:eastAsia="宋体"/>
                <w:color w:val="auto"/>
                <w:lang w:eastAsia="zh-CN"/>
              </w:rPr>
            </w:pPr>
            <w:r>
              <w:rPr>
                <w:rFonts w:hint="eastAsia"/>
                <w:color w:val="auto"/>
              </w:rPr>
              <w:t>本项目劳动定员</w:t>
            </w:r>
            <w:r>
              <w:rPr>
                <w:rFonts w:hint="eastAsia"/>
                <w:color w:val="auto"/>
                <w:lang w:val="en-US" w:eastAsia="zh-CN"/>
              </w:rPr>
              <w:t>7</w:t>
            </w:r>
            <w:r>
              <w:rPr>
                <w:rFonts w:hint="eastAsia"/>
                <w:color w:val="auto"/>
              </w:rPr>
              <w:t>人，</w:t>
            </w:r>
            <w:r>
              <w:rPr>
                <w:rFonts w:hint="eastAsia"/>
                <w:color w:val="auto"/>
                <w:lang w:eastAsia="zh-CN"/>
              </w:rPr>
              <w:t>厂内有宿舍可进行住宿，不设食堂</w:t>
            </w:r>
            <w:r>
              <w:rPr>
                <w:rFonts w:hint="eastAsia"/>
                <w:color w:val="auto"/>
              </w:rPr>
              <w:t>。根据《行业用水定额》（陕西省地方标准DB61/T943—2014）生活用水量按</w:t>
            </w:r>
            <w:r>
              <w:rPr>
                <w:rFonts w:hint="eastAsia"/>
                <w:color w:val="auto"/>
                <w:lang w:val="en-US" w:eastAsia="zh-CN"/>
              </w:rPr>
              <w:t>70</w:t>
            </w:r>
            <w:r>
              <w:rPr>
                <w:rFonts w:hint="eastAsia"/>
                <w:color w:val="auto"/>
              </w:rPr>
              <w:t>L/人•d计，则项目生活用水量为0.</w:t>
            </w:r>
            <w:r>
              <w:rPr>
                <w:rFonts w:hint="eastAsia"/>
                <w:color w:val="auto"/>
                <w:lang w:val="en-US" w:eastAsia="zh-CN"/>
              </w:rPr>
              <w:t>49</w:t>
            </w:r>
            <w:r>
              <w:rPr>
                <w:rFonts w:hint="eastAsia"/>
                <w:color w:val="auto"/>
              </w:rPr>
              <w:t>m</w:t>
            </w:r>
            <w:r>
              <w:rPr>
                <w:rFonts w:hint="eastAsia"/>
                <w:color w:val="auto"/>
                <w:vertAlign w:val="superscript"/>
              </w:rPr>
              <w:t>3</w:t>
            </w:r>
            <w:r>
              <w:rPr>
                <w:rFonts w:hint="eastAsia"/>
                <w:color w:val="auto"/>
              </w:rPr>
              <w:t>/d（</w:t>
            </w:r>
            <w:r>
              <w:rPr>
                <w:rFonts w:hint="eastAsia"/>
                <w:color w:val="auto"/>
                <w:lang w:val="en-US" w:eastAsia="zh-CN"/>
              </w:rPr>
              <w:t>147</w:t>
            </w:r>
            <w:r>
              <w:rPr>
                <w:rFonts w:hint="eastAsia"/>
                <w:color w:val="auto"/>
              </w:rPr>
              <w:t>m</w:t>
            </w:r>
            <w:r>
              <w:rPr>
                <w:rFonts w:hint="eastAsia"/>
                <w:color w:val="auto"/>
                <w:vertAlign w:val="superscript"/>
              </w:rPr>
              <w:t>3</w:t>
            </w:r>
            <w:r>
              <w:rPr>
                <w:rFonts w:hint="eastAsia"/>
                <w:color w:val="auto"/>
              </w:rPr>
              <w:t>/a）</w:t>
            </w:r>
            <w:r>
              <w:rPr>
                <w:rFonts w:hint="eastAsia"/>
                <w:color w:val="auto"/>
                <w:lang w:eastAsia="zh-CN"/>
              </w:rPr>
              <w:t>。</w:t>
            </w:r>
          </w:p>
          <w:p>
            <w:pPr>
              <w:ind w:firstLine="480"/>
              <w:rPr>
                <w:color w:val="auto"/>
              </w:rPr>
            </w:pPr>
            <w:r>
              <w:rPr>
                <w:rFonts w:hint="eastAsia"/>
                <w:color w:val="auto"/>
              </w:rPr>
              <w:t>2、排水</w:t>
            </w:r>
          </w:p>
          <w:p>
            <w:pPr>
              <w:ind w:firstLine="480"/>
              <w:rPr>
                <w:color w:val="auto"/>
              </w:rPr>
            </w:pPr>
            <w:r>
              <w:rPr>
                <w:rFonts w:hint="eastAsia"/>
                <w:color w:val="auto"/>
              </w:rPr>
              <w:t>项目废水为生活污水。</w:t>
            </w:r>
          </w:p>
          <w:p>
            <w:pPr>
              <w:ind w:firstLine="480"/>
              <w:rPr>
                <w:color w:val="auto"/>
              </w:rPr>
            </w:pPr>
            <w:r>
              <w:rPr>
                <w:rFonts w:hint="eastAsia"/>
                <w:color w:val="auto"/>
                <w:szCs w:val="24"/>
              </w:rPr>
              <w:t>生活用水量为</w:t>
            </w:r>
            <w:r>
              <w:rPr>
                <w:rFonts w:hint="eastAsia"/>
                <w:color w:val="auto"/>
                <w:szCs w:val="24"/>
                <w:lang w:val="en-US" w:eastAsia="zh-CN"/>
              </w:rPr>
              <w:t>0.49m</w:t>
            </w:r>
            <w:r>
              <w:rPr>
                <w:rFonts w:hint="eastAsia"/>
                <w:color w:val="auto"/>
                <w:szCs w:val="24"/>
                <w:vertAlign w:val="superscript"/>
                <w:lang w:val="en-US" w:eastAsia="zh-CN"/>
              </w:rPr>
              <w:t>3</w:t>
            </w:r>
            <w:r>
              <w:rPr>
                <w:rFonts w:hint="eastAsia"/>
                <w:color w:val="auto"/>
                <w:szCs w:val="24"/>
                <w:lang w:val="en-US" w:eastAsia="zh-CN"/>
              </w:rPr>
              <w:t>/d（147m</w:t>
            </w:r>
            <w:r>
              <w:rPr>
                <w:rFonts w:hint="eastAsia"/>
                <w:color w:val="auto"/>
                <w:szCs w:val="24"/>
                <w:vertAlign w:val="superscript"/>
                <w:lang w:val="en-US" w:eastAsia="zh-CN"/>
              </w:rPr>
              <w:t>3</w:t>
            </w:r>
            <w:r>
              <w:rPr>
                <w:rFonts w:hint="eastAsia"/>
                <w:color w:val="auto"/>
                <w:szCs w:val="24"/>
                <w:lang w:val="en-US" w:eastAsia="zh-CN"/>
              </w:rPr>
              <w:t>/a）</w:t>
            </w:r>
            <w:r>
              <w:rPr>
                <w:rFonts w:hint="eastAsia"/>
                <w:color w:val="auto"/>
                <w:szCs w:val="24"/>
              </w:rPr>
              <w:t>，排水系数取0.8，生活污水量为</w:t>
            </w:r>
            <w:r>
              <w:rPr>
                <w:rFonts w:hint="eastAsia"/>
                <w:color w:val="auto"/>
                <w:szCs w:val="24"/>
                <w:lang w:val="en-US" w:eastAsia="zh-CN"/>
              </w:rPr>
              <w:t>0.392</w:t>
            </w:r>
            <w:r>
              <w:rPr>
                <w:rFonts w:hint="eastAsia"/>
                <w:color w:val="auto"/>
                <w:szCs w:val="24"/>
              </w:rPr>
              <w:t>m</w:t>
            </w:r>
            <w:r>
              <w:rPr>
                <w:rFonts w:hint="eastAsia"/>
                <w:color w:val="auto"/>
                <w:szCs w:val="24"/>
                <w:vertAlign w:val="superscript"/>
              </w:rPr>
              <w:t>3</w:t>
            </w:r>
            <w:r>
              <w:rPr>
                <w:rFonts w:hint="eastAsia"/>
                <w:color w:val="auto"/>
                <w:szCs w:val="24"/>
              </w:rPr>
              <w:t>/d（</w:t>
            </w:r>
            <w:r>
              <w:rPr>
                <w:rFonts w:hint="eastAsia"/>
                <w:color w:val="auto"/>
                <w:szCs w:val="24"/>
                <w:lang w:val="en-US" w:eastAsia="zh-CN"/>
              </w:rPr>
              <w:t>117.6</w:t>
            </w:r>
            <w:r>
              <w:rPr>
                <w:rFonts w:hint="eastAsia"/>
                <w:color w:val="auto"/>
                <w:szCs w:val="24"/>
              </w:rPr>
              <w:t>m</w:t>
            </w:r>
            <w:r>
              <w:rPr>
                <w:rFonts w:hint="eastAsia"/>
                <w:color w:val="auto"/>
                <w:szCs w:val="24"/>
                <w:vertAlign w:val="superscript"/>
              </w:rPr>
              <w:t>3</w:t>
            </w:r>
            <w:r>
              <w:rPr>
                <w:rFonts w:hint="eastAsia"/>
                <w:color w:val="auto"/>
                <w:szCs w:val="24"/>
              </w:rPr>
              <w:t>/a）。</w:t>
            </w:r>
            <w:r>
              <w:rPr>
                <w:rFonts w:hint="eastAsia"/>
                <w:color w:val="auto"/>
                <w:lang w:eastAsia="zh-CN"/>
              </w:rPr>
              <w:t>厂区设旱厕，盥洗废水收集后厂区泼洒抑尘，</w:t>
            </w:r>
            <w:r>
              <w:rPr>
                <w:rFonts w:hint="eastAsia"/>
                <w:color w:val="auto"/>
              </w:rPr>
              <w:t>旱厕由周边居民定期清掏用于沤肥。</w:t>
            </w:r>
          </w:p>
          <w:p>
            <w:pPr>
              <w:ind w:firstLine="480"/>
              <w:rPr>
                <w:color w:val="0000FF"/>
                <w:szCs w:val="24"/>
              </w:rPr>
            </w:pPr>
            <w:r>
              <w:rPr>
                <w:rFonts w:hint="eastAsia"/>
                <w:color w:val="auto"/>
              </w:rPr>
              <w:t>项目给排水情况见表</w:t>
            </w:r>
            <w:r>
              <w:rPr>
                <w:rFonts w:hint="eastAsia"/>
                <w:color w:val="auto"/>
                <w:lang w:val="en-US" w:eastAsia="zh-CN"/>
              </w:rPr>
              <w:t>1-11</w:t>
            </w:r>
            <w:r>
              <w:rPr>
                <w:rFonts w:hint="eastAsia"/>
                <w:color w:val="auto"/>
              </w:rPr>
              <w:t>，项目具体水平衡图见图1。</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1-11</w:t>
            </w:r>
            <w:r>
              <w:rPr>
                <w:rFonts w:hint="eastAsia" w:ascii="Times New Roman" w:hAnsi="Times New Roman" w:eastAsia="宋体" w:cs="Times New Roman"/>
                <w:b/>
                <w:bCs/>
                <w:color w:val="auto"/>
                <w:sz w:val="21"/>
                <w:szCs w:val="21"/>
                <w:lang w:val="en-US" w:eastAsia="zh-CN"/>
              </w:rPr>
              <w:t xml:space="preserve">  </w:t>
            </w:r>
            <w:r>
              <w:rPr>
                <w:rFonts w:hint="eastAsia" w:ascii="Times New Roman" w:hAnsi="Times New Roman" w:eastAsia="宋体" w:cs="Times New Roman"/>
                <w:b/>
                <w:bCs/>
                <w:color w:val="auto"/>
                <w:sz w:val="21"/>
                <w:szCs w:val="21"/>
                <w:lang w:eastAsia="zh-CN"/>
              </w:rPr>
              <w:t xml:space="preserve">  主要给排水一览表</w:t>
            </w:r>
          </w:p>
          <w:tbl>
            <w:tblPr>
              <w:tblStyle w:val="21"/>
              <w:tblW w:w="8599"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53"/>
              <w:gridCol w:w="1660"/>
              <w:gridCol w:w="1425"/>
              <w:gridCol w:w="1215"/>
              <w:gridCol w:w="1050"/>
              <w:gridCol w:w="1125"/>
              <w:gridCol w:w="147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53"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序号</w:t>
                  </w:r>
                </w:p>
              </w:tc>
              <w:tc>
                <w:tcPr>
                  <w:tcW w:w="1660"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rPr>
                    <w:t>用水</w:t>
                  </w:r>
                  <w:r>
                    <w:rPr>
                      <w:rFonts w:hint="eastAsia"/>
                      <w:color w:val="auto"/>
                      <w:sz w:val="21"/>
                      <w:szCs w:val="21"/>
                      <w:lang w:eastAsia="zh-CN"/>
                    </w:rPr>
                    <w:t>项目</w:t>
                  </w:r>
                </w:p>
              </w:tc>
              <w:tc>
                <w:tcPr>
                  <w:tcW w:w="142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lang w:eastAsia="zh-CN"/>
                    </w:rPr>
                    <w:t>新鲜</w:t>
                  </w:r>
                  <w:r>
                    <w:rPr>
                      <w:rFonts w:hint="eastAsia"/>
                      <w:color w:val="auto"/>
                      <w:sz w:val="21"/>
                      <w:szCs w:val="21"/>
                    </w:rPr>
                    <w:t>水量</w:t>
                  </w:r>
                </w:p>
                <w:p>
                  <w:pPr>
                    <w:spacing w:line="240" w:lineRule="auto"/>
                    <w:ind w:firstLine="0" w:firstLineChars="0"/>
                    <w:jc w:val="center"/>
                    <w:rPr>
                      <w:color w:val="auto"/>
                      <w:sz w:val="21"/>
                      <w:szCs w:val="21"/>
                    </w:rPr>
                  </w:pPr>
                  <w:r>
                    <w:rPr>
                      <w:rFonts w:hint="eastAsia"/>
                      <w:color w:val="auto"/>
                      <w:sz w:val="21"/>
                      <w:szCs w:val="21"/>
                    </w:rPr>
                    <w:t>（m</w:t>
                  </w:r>
                  <w:r>
                    <w:rPr>
                      <w:rFonts w:hint="eastAsia"/>
                      <w:color w:val="auto"/>
                      <w:sz w:val="21"/>
                      <w:szCs w:val="21"/>
                      <w:vertAlign w:val="superscript"/>
                    </w:rPr>
                    <w:t>3</w:t>
                  </w:r>
                  <w:r>
                    <w:rPr>
                      <w:rFonts w:hint="eastAsia"/>
                      <w:color w:val="auto"/>
                      <w:sz w:val="21"/>
                      <w:szCs w:val="21"/>
                    </w:rPr>
                    <w:t>/d）</w:t>
                  </w:r>
                </w:p>
              </w:tc>
              <w:tc>
                <w:tcPr>
                  <w:tcW w:w="121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消耗量</w:t>
                  </w:r>
                </w:p>
                <w:p>
                  <w:pPr>
                    <w:spacing w:line="240" w:lineRule="auto"/>
                    <w:ind w:firstLine="0" w:firstLineChars="0"/>
                    <w:jc w:val="center"/>
                    <w:rPr>
                      <w:color w:val="auto"/>
                      <w:sz w:val="21"/>
                      <w:szCs w:val="21"/>
                    </w:rPr>
                  </w:pPr>
                  <w:r>
                    <w:rPr>
                      <w:rFonts w:hint="eastAsia"/>
                      <w:color w:val="auto"/>
                      <w:sz w:val="21"/>
                      <w:szCs w:val="21"/>
                    </w:rPr>
                    <w:t>（m</w:t>
                  </w:r>
                  <w:r>
                    <w:rPr>
                      <w:rFonts w:hint="eastAsia"/>
                      <w:color w:val="auto"/>
                      <w:sz w:val="21"/>
                      <w:szCs w:val="21"/>
                      <w:vertAlign w:val="superscript"/>
                    </w:rPr>
                    <w:t>3</w:t>
                  </w:r>
                  <w:r>
                    <w:rPr>
                      <w:rFonts w:hint="eastAsia"/>
                      <w:color w:val="auto"/>
                      <w:sz w:val="21"/>
                      <w:szCs w:val="21"/>
                    </w:rPr>
                    <w:t>/d）</w:t>
                  </w:r>
                </w:p>
              </w:tc>
              <w:tc>
                <w:tcPr>
                  <w:tcW w:w="1050"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eastAsia="zh-CN"/>
                    </w:rPr>
                    <w:t>循环量（</w:t>
                  </w:r>
                  <w:r>
                    <w:rPr>
                      <w:rFonts w:hint="eastAsia"/>
                      <w:color w:val="auto"/>
                      <w:sz w:val="21"/>
                      <w:szCs w:val="21"/>
                    </w:rPr>
                    <w:t>m</w:t>
                  </w:r>
                  <w:r>
                    <w:rPr>
                      <w:rFonts w:hint="eastAsia"/>
                      <w:color w:val="auto"/>
                      <w:sz w:val="21"/>
                      <w:szCs w:val="21"/>
                      <w:vertAlign w:val="superscript"/>
                    </w:rPr>
                    <w:t>3</w:t>
                  </w:r>
                  <w:r>
                    <w:rPr>
                      <w:rFonts w:hint="eastAsia"/>
                      <w:color w:val="auto"/>
                      <w:sz w:val="21"/>
                      <w:szCs w:val="21"/>
                    </w:rPr>
                    <w:t>/d</w:t>
                  </w:r>
                  <w:r>
                    <w:rPr>
                      <w:rFonts w:hint="eastAsia"/>
                      <w:color w:val="auto"/>
                      <w:sz w:val="21"/>
                      <w:szCs w:val="21"/>
                      <w:lang w:eastAsia="zh-CN"/>
                    </w:rPr>
                    <w:t>）</w:t>
                  </w:r>
                </w:p>
              </w:tc>
              <w:tc>
                <w:tcPr>
                  <w:tcW w:w="1125"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排水量</w:t>
                  </w:r>
                </w:p>
                <w:p>
                  <w:pPr>
                    <w:spacing w:line="240" w:lineRule="auto"/>
                    <w:ind w:firstLine="0" w:firstLineChars="0"/>
                    <w:jc w:val="center"/>
                    <w:rPr>
                      <w:color w:val="auto"/>
                      <w:sz w:val="21"/>
                      <w:szCs w:val="21"/>
                    </w:rPr>
                  </w:pPr>
                  <w:r>
                    <w:rPr>
                      <w:rFonts w:hint="eastAsia"/>
                      <w:color w:val="auto"/>
                      <w:sz w:val="21"/>
                      <w:szCs w:val="21"/>
                    </w:rPr>
                    <w:t>（m</w:t>
                  </w:r>
                  <w:r>
                    <w:rPr>
                      <w:rFonts w:hint="eastAsia"/>
                      <w:color w:val="auto"/>
                      <w:sz w:val="21"/>
                      <w:szCs w:val="21"/>
                      <w:vertAlign w:val="superscript"/>
                    </w:rPr>
                    <w:t>3</w:t>
                  </w:r>
                  <w:r>
                    <w:rPr>
                      <w:rFonts w:hint="eastAsia"/>
                      <w:color w:val="auto"/>
                      <w:sz w:val="21"/>
                      <w:szCs w:val="21"/>
                    </w:rPr>
                    <w:t>/d）</w:t>
                  </w:r>
                </w:p>
              </w:tc>
              <w:tc>
                <w:tcPr>
                  <w:tcW w:w="1471"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备注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7" w:hRule="atLeast"/>
              </w:trPr>
              <w:tc>
                <w:tcPr>
                  <w:tcW w:w="653" w:type="dxa"/>
                  <w:tcBorders>
                    <w:tl2br w:val="nil"/>
                    <w:tr2bl w:val="nil"/>
                  </w:tcBorders>
                  <w:vAlign w:val="center"/>
                </w:tcPr>
                <w:p>
                  <w:pPr>
                    <w:spacing w:line="240" w:lineRule="auto"/>
                    <w:ind w:firstLine="0" w:firstLineChars="0"/>
                    <w:jc w:val="center"/>
                    <w:rPr>
                      <w:color w:val="auto"/>
                      <w:sz w:val="21"/>
                      <w:szCs w:val="21"/>
                    </w:rPr>
                  </w:pPr>
                  <w:r>
                    <w:rPr>
                      <w:rFonts w:hint="eastAsia"/>
                      <w:color w:val="auto"/>
                      <w:sz w:val="21"/>
                      <w:szCs w:val="21"/>
                    </w:rPr>
                    <w:t>1</w:t>
                  </w:r>
                </w:p>
              </w:tc>
              <w:tc>
                <w:tcPr>
                  <w:tcW w:w="1660"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rPr>
                    <w:t>生活用水</w:t>
                  </w:r>
                </w:p>
              </w:tc>
              <w:tc>
                <w:tcPr>
                  <w:tcW w:w="1425"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rPr>
                    <w:t>0.</w:t>
                  </w:r>
                  <w:r>
                    <w:rPr>
                      <w:rFonts w:hint="eastAsia"/>
                      <w:color w:val="auto"/>
                      <w:sz w:val="21"/>
                      <w:szCs w:val="21"/>
                      <w:lang w:val="en-US" w:eastAsia="zh-CN"/>
                    </w:rPr>
                    <w:t>49</w:t>
                  </w:r>
                </w:p>
              </w:tc>
              <w:tc>
                <w:tcPr>
                  <w:tcW w:w="1215"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rPr>
                    <w:t>0.0</w:t>
                  </w:r>
                  <w:r>
                    <w:rPr>
                      <w:rFonts w:hint="eastAsia"/>
                      <w:color w:val="auto"/>
                      <w:sz w:val="21"/>
                      <w:szCs w:val="21"/>
                      <w:lang w:val="en-US" w:eastAsia="zh-CN"/>
                    </w:rPr>
                    <w:t>98</w:t>
                  </w:r>
                </w:p>
              </w:tc>
              <w:tc>
                <w:tcPr>
                  <w:tcW w:w="1050"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lang w:val="en-US" w:eastAsia="zh-CN"/>
                    </w:rPr>
                    <w:t>0</w:t>
                  </w:r>
                </w:p>
              </w:tc>
              <w:tc>
                <w:tcPr>
                  <w:tcW w:w="1125" w:type="dxa"/>
                  <w:tcBorders>
                    <w:tl2br w:val="nil"/>
                    <w:tr2bl w:val="nil"/>
                  </w:tcBorders>
                  <w:vAlign w:val="center"/>
                </w:tcPr>
                <w:p>
                  <w:pPr>
                    <w:spacing w:line="240" w:lineRule="auto"/>
                    <w:ind w:firstLine="0" w:firstLineChars="0"/>
                    <w:jc w:val="center"/>
                    <w:rPr>
                      <w:rFonts w:hint="eastAsia" w:eastAsia="宋体"/>
                      <w:color w:val="auto"/>
                      <w:sz w:val="21"/>
                      <w:szCs w:val="21"/>
                      <w:lang w:val="en-US" w:eastAsia="zh-CN"/>
                    </w:rPr>
                  </w:pPr>
                  <w:r>
                    <w:rPr>
                      <w:rFonts w:hint="eastAsia"/>
                      <w:color w:val="auto"/>
                      <w:sz w:val="21"/>
                      <w:szCs w:val="21"/>
                    </w:rPr>
                    <w:t>0</w:t>
                  </w:r>
                  <w:r>
                    <w:rPr>
                      <w:rFonts w:hint="eastAsia"/>
                      <w:color w:val="auto"/>
                      <w:sz w:val="21"/>
                      <w:szCs w:val="21"/>
                      <w:lang w:val="en-US" w:eastAsia="zh-CN"/>
                    </w:rPr>
                    <w:t>392</w:t>
                  </w:r>
                </w:p>
              </w:tc>
              <w:tc>
                <w:tcPr>
                  <w:tcW w:w="1471" w:type="dxa"/>
                  <w:tcBorders>
                    <w:tl2br w:val="nil"/>
                    <w:tr2bl w:val="nil"/>
                  </w:tcBorders>
                  <w:vAlign w:val="center"/>
                </w:tcPr>
                <w:p>
                  <w:pPr>
                    <w:spacing w:line="240" w:lineRule="auto"/>
                    <w:ind w:firstLine="0" w:firstLineChars="0"/>
                    <w:jc w:val="center"/>
                    <w:rPr>
                      <w:rFonts w:hint="eastAsia" w:eastAsia="宋体"/>
                      <w:color w:val="auto"/>
                      <w:sz w:val="21"/>
                      <w:szCs w:val="21"/>
                      <w:lang w:eastAsia="zh-CN"/>
                    </w:rPr>
                  </w:pPr>
                  <w:r>
                    <w:rPr>
                      <w:rFonts w:hint="eastAsia"/>
                      <w:color w:val="auto"/>
                      <w:sz w:val="21"/>
                      <w:szCs w:val="21"/>
                      <w:lang w:val="en-US" w:eastAsia="zh-CN"/>
                    </w:rPr>
                    <w:t>7</w:t>
                  </w:r>
                  <w:r>
                    <w:rPr>
                      <w:rFonts w:hint="eastAsia"/>
                      <w:color w:val="auto"/>
                      <w:sz w:val="21"/>
                      <w:szCs w:val="21"/>
                    </w:rPr>
                    <w:t>人</w:t>
                  </w:r>
                </w:p>
              </w:tc>
            </w:tr>
          </w:tbl>
          <w:p>
            <w:pPr>
              <w:pStyle w:val="11"/>
              <w:ind w:left="0" w:leftChars="0" w:firstLine="0" w:firstLineChars="0"/>
              <w:jc w:val="both"/>
              <w:rPr>
                <w:rFonts w:hint="eastAsia" w:eastAsia="宋体"/>
                <w:lang w:eastAsia="zh-CN"/>
              </w:rPr>
            </w:pPr>
            <w:r>
              <w:rPr>
                <w:sz w:val="21"/>
              </w:rPr>
              <mc:AlternateContent>
                <mc:Choice Requires="wpc">
                  <w:drawing>
                    <wp:inline distT="0" distB="0" distL="114300" distR="114300">
                      <wp:extent cx="5532120" cy="1068070"/>
                      <wp:effectExtent l="0" t="0" r="0" b="0"/>
                      <wp:docPr id="47" name="画布 47"/>
                      <wp:cNvGraphicFramePr/>
                      <a:graphic xmlns:a="http://schemas.openxmlformats.org/drawingml/2006/main">
                        <a:graphicData uri="http://schemas.microsoft.com/office/word/2010/wordprocessingCanvas">
                          <wpc:wpc>
                            <wpc:bg/>
                            <wpc:whole>
                              <a:ln>
                                <a:noFill/>
                                <a:prstDash val="sysDot"/>
                              </a:ln>
                            </wpc:whole>
                            <wps:wsp>
                              <wps:cNvPr id="134" name="文本框 44"/>
                              <wps:cNvSpPr txBox="1"/>
                              <wps:spPr>
                                <a:xfrm>
                                  <a:off x="306070" y="307340"/>
                                  <a:ext cx="622300" cy="273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新鲜水</w:t>
                                    </w:r>
                                  </w:p>
                                </w:txbxContent>
                              </wps:txbx>
                              <wps:bodyPr upright="1"/>
                            </wps:wsp>
                            <wps:wsp>
                              <wps:cNvPr id="135" name="直接连接符 90"/>
                              <wps:cNvCnPr/>
                              <wps:spPr>
                                <a:xfrm flipH="1" flipV="1">
                                  <a:off x="910590" y="444500"/>
                                  <a:ext cx="481330" cy="6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6" name="文本框 44"/>
                              <wps:cNvSpPr txBox="1"/>
                              <wps:spPr>
                                <a:xfrm>
                                  <a:off x="913130" y="184785"/>
                                  <a:ext cx="633095" cy="274320"/>
                                </a:xfrm>
                                <a:prstGeom prst="rect">
                                  <a:avLst/>
                                </a:prstGeom>
                                <a:noFill/>
                                <a:ln w="9525" cap="flat" cmpd="sng">
                                  <a:noFill/>
                                  <a:prstDash val="solid"/>
                                  <a:miter/>
                                  <a:headEnd type="none" w="med" len="med"/>
                                  <a:tailEnd type="none" w="med" len="med"/>
                                </a:ln>
                              </wps:spPr>
                              <wps:txbx>
                                <w:txbxContent>
                                  <w:p>
                                    <w:pPr>
                                      <w:ind w:left="0" w:leftChars="0" w:firstLine="0" w:firstLineChars="0"/>
                                      <w:rPr>
                                        <w:rFonts w:hint="eastAsia" w:eastAsia="宋体"/>
                                        <w:sz w:val="21"/>
                                        <w:szCs w:val="16"/>
                                        <w:lang w:val="en-US" w:eastAsia="zh-CN"/>
                                      </w:rPr>
                                    </w:pPr>
                                    <w:r>
                                      <w:rPr>
                                        <w:rFonts w:hint="eastAsia" w:eastAsia="宋体"/>
                                        <w:sz w:val="21"/>
                                        <w:szCs w:val="16"/>
                                        <w:lang w:val="en-US" w:eastAsia="zh-CN"/>
                                      </w:rPr>
                                      <w:t>0.</w:t>
                                    </w:r>
                                    <w:r>
                                      <w:rPr>
                                        <w:rFonts w:hint="eastAsia"/>
                                        <w:sz w:val="21"/>
                                        <w:szCs w:val="16"/>
                                        <w:lang w:val="en-US" w:eastAsia="zh-CN"/>
                                      </w:rPr>
                                      <w:t>49</w:t>
                                    </w:r>
                                  </w:p>
                                </w:txbxContent>
                              </wps:txbx>
                              <wps:bodyPr upright="1"/>
                            </wps:wsp>
                            <wps:wsp>
                              <wps:cNvPr id="137" name="文本框 44"/>
                              <wps:cNvSpPr txBox="1"/>
                              <wps:spPr>
                                <a:xfrm>
                                  <a:off x="1405255" y="314960"/>
                                  <a:ext cx="739140" cy="263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生活用水</w:t>
                                    </w:r>
                                  </w:p>
                                </w:txbxContent>
                              </wps:txbx>
                              <wps:bodyPr upright="1"/>
                            </wps:wsp>
                            <wps:wsp>
                              <wps:cNvPr id="138" name="直接箭头连接符 100"/>
                              <wps:cNvCnPr/>
                              <wps:spPr>
                                <a:xfrm flipV="1">
                                  <a:off x="1936115" y="158750"/>
                                  <a:ext cx="300990" cy="151130"/>
                                </a:xfrm>
                                <a:prstGeom prst="straightConnector1">
                                  <a:avLst/>
                                </a:prstGeom>
                                <a:ln>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139" name="文本框 44"/>
                              <wps:cNvSpPr txBox="1"/>
                              <wps:spPr>
                                <a:xfrm>
                                  <a:off x="2200910" y="0"/>
                                  <a:ext cx="622300" cy="263525"/>
                                </a:xfrm>
                                <a:prstGeom prst="rect">
                                  <a:avLst/>
                                </a:prstGeom>
                                <a:noFill/>
                                <a:ln w="9525" cap="flat" cmpd="sng">
                                  <a:noFill/>
                                  <a:prstDash val="solid"/>
                                  <a:miter/>
                                  <a:headEnd type="none" w="med" len="med"/>
                                  <a:tailEnd type="none" w="med" len="med"/>
                                </a:ln>
                              </wps:spPr>
                              <wps:txbx>
                                <w:txbxContent>
                                  <w:p>
                                    <w:pPr>
                                      <w:ind w:left="0" w:leftChars="0" w:firstLine="0" w:firstLineChars="0"/>
                                      <w:rPr>
                                        <w:rFonts w:hint="eastAsia" w:eastAsia="宋体"/>
                                        <w:sz w:val="21"/>
                                        <w:szCs w:val="16"/>
                                        <w:lang w:val="en-US" w:eastAsia="zh-CN"/>
                                      </w:rPr>
                                    </w:pPr>
                                    <w:r>
                                      <w:rPr>
                                        <w:rFonts w:hint="eastAsia" w:eastAsia="宋体"/>
                                        <w:sz w:val="21"/>
                                        <w:szCs w:val="16"/>
                                        <w:lang w:val="en-US" w:eastAsia="zh-CN"/>
                                      </w:rPr>
                                      <w:t>0.0</w:t>
                                    </w:r>
                                    <w:r>
                                      <w:rPr>
                                        <w:rFonts w:hint="eastAsia"/>
                                        <w:sz w:val="21"/>
                                        <w:szCs w:val="16"/>
                                        <w:lang w:val="en-US" w:eastAsia="zh-CN"/>
                                      </w:rPr>
                                      <w:t>9</w:t>
                                    </w:r>
                                    <w:r>
                                      <w:rPr>
                                        <w:rFonts w:hint="eastAsia" w:eastAsia="宋体"/>
                                        <w:sz w:val="21"/>
                                        <w:szCs w:val="16"/>
                                        <w:lang w:val="en-US" w:eastAsia="zh-CN"/>
                                      </w:rPr>
                                      <w:t>8</w:t>
                                    </w:r>
                                  </w:p>
                                </w:txbxContent>
                              </wps:txbx>
                              <wps:bodyPr upright="1"/>
                            </wps:wsp>
                            <wps:wsp>
                              <wps:cNvPr id="140" name="文本框 44"/>
                              <wps:cNvSpPr txBox="1"/>
                              <wps:spPr>
                                <a:xfrm>
                                  <a:off x="2114550" y="262255"/>
                                  <a:ext cx="622300" cy="263525"/>
                                </a:xfrm>
                                <a:prstGeom prst="rect">
                                  <a:avLst/>
                                </a:prstGeom>
                                <a:noFill/>
                                <a:ln w="9525" cap="flat" cmpd="sng">
                                  <a:noFill/>
                                  <a:prstDash val="solid"/>
                                  <a:miter/>
                                  <a:headEnd type="none" w="med" len="med"/>
                                  <a:tailEnd type="none" w="med" len="med"/>
                                </a:ln>
                              </wps:spPr>
                              <wps:txbx>
                                <w:txbxContent>
                                  <w:p>
                                    <w:pPr>
                                      <w:ind w:left="0" w:leftChars="0" w:firstLine="0" w:firstLineChars="0"/>
                                      <w:rPr>
                                        <w:rFonts w:hint="eastAsia" w:eastAsia="宋体"/>
                                        <w:sz w:val="21"/>
                                        <w:szCs w:val="16"/>
                                        <w:lang w:val="en-US" w:eastAsia="zh-CN"/>
                                      </w:rPr>
                                    </w:pPr>
                                    <w:r>
                                      <w:rPr>
                                        <w:rFonts w:hint="eastAsia" w:eastAsia="宋体"/>
                                        <w:sz w:val="21"/>
                                        <w:szCs w:val="16"/>
                                        <w:lang w:val="en-US" w:eastAsia="zh-CN"/>
                                      </w:rPr>
                                      <w:t>0.</w:t>
                                    </w:r>
                                    <w:r>
                                      <w:rPr>
                                        <w:rFonts w:hint="eastAsia"/>
                                        <w:sz w:val="21"/>
                                        <w:szCs w:val="16"/>
                                        <w:lang w:val="en-US" w:eastAsia="zh-CN"/>
                                      </w:rPr>
                                      <w:t>39</w:t>
                                    </w:r>
                                    <w:r>
                                      <w:rPr>
                                        <w:rFonts w:hint="eastAsia" w:eastAsia="宋体"/>
                                        <w:sz w:val="21"/>
                                        <w:szCs w:val="16"/>
                                        <w:lang w:val="en-US" w:eastAsia="zh-CN"/>
                                      </w:rPr>
                                      <w:t>2</w:t>
                                    </w:r>
                                  </w:p>
                                </w:txbxContent>
                              </wps:txbx>
                              <wps:bodyPr upright="1"/>
                            </wps:wsp>
                            <wps:wsp>
                              <wps:cNvPr id="141" name="直接箭头连接符 104"/>
                              <wps:cNvCnPr/>
                              <wps:spPr>
                                <a:xfrm flipV="1">
                                  <a:off x="2515235" y="825500"/>
                                  <a:ext cx="384810" cy="3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2" name="直接连接符 105"/>
                              <wps:cNvCnPr>
                                <a:stCxn id="94" idx="3"/>
                              </wps:cNvCnPr>
                              <wps:spPr>
                                <a:xfrm flipV="1">
                                  <a:off x="2144395" y="443865"/>
                                  <a:ext cx="374015" cy="3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3" name="直接连接符 124"/>
                              <wps:cNvCnPr/>
                              <wps:spPr>
                                <a:xfrm>
                                  <a:off x="2519045" y="240665"/>
                                  <a:ext cx="10160" cy="5924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5" name="直接箭头连接符 125"/>
                              <wps:cNvCnPr/>
                              <wps:spPr>
                                <a:xfrm flipV="1">
                                  <a:off x="2540000" y="264795"/>
                                  <a:ext cx="384810" cy="3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4" name="文本框 44"/>
                              <wps:cNvSpPr txBox="1"/>
                              <wps:spPr>
                                <a:xfrm>
                                  <a:off x="3798570" y="709295"/>
                                  <a:ext cx="739140" cy="263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清掏肥田</w:t>
                                    </w:r>
                                  </w:p>
                                </w:txbxContent>
                              </wps:txbx>
                              <wps:bodyPr upright="1"/>
                            </wps:wsp>
                            <wps:wsp>
                              <wps:cNvPr id="145" name="文本框 44"/>
                              <wps:cNvSpPr txBox="1"/>
                              <wps:spPr>
                                <a:xfrm>
                                  <a:off x="4068445" y="184150"/>
                                  <a:ext cx="739140" cy="263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厂区泼洒</w:t>
                                    </w:r>
                                  </w:p>
                                </w:txbxContent>
                              </wps:txbx>
                              <wps:bodyPr upright="1"/>
                            </wps:wsp>
                            <wps:wsp>
                              <wps:cNvPr id="146" name="文本框 44"/>
                              <wps:cNvSpPr txBox="1"/>
                              <wps:spPr>
                                <a:xfrm>
                                  <a:off x="2908300" y="707390"/>
                                  <a:ext cx="506730" cy="263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旱厕</w:t>
                                    </w:r>
                                  </w:p>
                                </w:txbxContent>
                              </wps:txbx>
                              <wps:bodyPr upright="1"/>
                            </wps:wsp>
                            <wps:wsp>
                              <wps:cNvPr id="147" name="文本框 44"/>
                              <wps:cNvSpPr txBox="1"/>
                              <wps:spPr>
                                <a:xfrm>
                                  <a:off x="2923540" y="150495"/>
                                  <a:ext cx="739140" cy="263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盥洗用水</w:t>
                                    </w:r>
                                  </w:p>
                                </w:txbxContent>
                              </wps:txbx>
                              <wps:bodyPr upright="1"/>
                            </wps:wsp>
                            <wps:wsp>
                              <wps:cNvPr id="148" name="直接箭头连接符 131"/>
                              <wps:cNvCnPr/>
                              <wps:spPr>
                                <a:xfrm flipV="1">
                                  <a:off x="3683000" y="296545"/>
                                  <a:ext cx="384810" cy="3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9" name="直接箭头连接符 132"/>
                              <wps:cNvCnPr/>
                              <wps:spPr>
                                <a:xfrm flipV="1">
                                  <a:off x="3418205" y="846455"/>
                                  <a:ext cx="384810" cy="3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_x0000_s1026" o:spid="_x0000_s1026" o:spt="203" style="height:84.1pt;width:435.6pt;" coordsize="5532120,1068070" editas="canvas" o:gfxdata="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">
                      <o:lock v:ext="edit" aspectratio="f"/>
                      <v:shape id="_x0000_s1026" o:spid="_x0000_s1026" style="position:absolute;left:0;top:0;height:1068070;width:5532120;" filled="f" stroked="f" coordsize="21600,21600" o:gfxdata="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">
                        <v:fill on="f" focussize="0,0"/>
                        <v:stroke on="f" dashstyle="1 1"/>
                        <v:imagedata o:title=""/>
                        <o:lock v:ext="edit" aspectratio="f"/>
                      </v:shape>
                      <v:shape id="文本框 44" o:spid="_x0000_s1026" o:spt="202" type="#_x0000_t202" style="position:absolute;left:306070;top:307340;height:273685;width:622300;" fillcolor="#FFFFFF" filled="t" stroked="t" coordsize="21600,21600" o:gfxdata="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Uv9zNUAAAAFAQAADwAAAAAAAAABACAAAAAiAAAAZHJzL2Rvd25yZXYueG1sUEsB&#10;AhQAFAAAAAgAh07iQK2sSE34AQAA9AMAAA4AAAAAAAAAAQAgAAAAJAEAAGRycy9lMm9Eb2MueG1s&#10;UEsFBgAAAAAGAAYAWQEAAI4FA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新鲜水</w:t>
                              </w:r>
                            </w:p>
                          </w:txbxContent>
                        </v:textbox>
                      </v:shape>
                      <v:line id="直接连接符 90" o:spid="_x0000_s1026" o:spt="20" style="position:absolute;left:910590;top:444500;flip:x y;height:635;width:481330;" filled="f" stroked="t" coordsize="21600,21600" o:gfxdata="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tikLXdUAAAAFAQAADwAAAAAA&#10;AAABACAAAAAiAAAAZHJzL2Rvd25yZXYueG1sUEsBAhQAFAAAAAgAh07iQCR+MuPdAQAAhQMAAA4A&#10;AAAAAAAAAQAgAAAAJAEAAGRycy9lMm9Eb2MueG1sUEsFBgAAAAAGAAYAWQEAAHMFAAAAAA==&#10;">
                        <v:fill on="f" focussize="0,0"/>
                        <v:stroke weight="0.5pt" color="#000000 [3213]" miterlimit="8" joinstyle="miter"/>
                        <v:imagedata o:title=""/>
                        <o:lock v:ext="edit" aspectratio="f"/>
                      </v:line>
                      <v:shape id="文本框 44" o:spid="_x0000_s1026" o:spt="202" type="#_x0000_t202" style="position:absolute;left:913130;top:184785;height:274320;width:633095;" filled="f" stroked="f" coordsize="21600,21600" o:gfxdata="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aeKFx0wAAAAUBAAAP&#10;AAAAAAAAAAEAIAAAACIAAABkcnMvZG93bnJldi54bWxQSwECFAAUAAAACACHTuJAtt0wBuQBAACi&#10;AwAADgAAAAAAAAABACAAAAAiAQAAZHJzL2Uyb0RvYy54bWxQSwUGAAAAAAYABgBZAQAAeAUAAAAA&#10;">
                        <v:fill on="f" focussize="0,0"/>
                        <v:stroke on="f" joinstyle="miter"/>
                        <v:imagedata o:title=""/>
                        <o:lock v:ext="edit" aspectratio="f"/>
                        <v:textbox>
                          <w:txbxContent>
                            <w:p>
                              <w:pPr>
                                <w:ind w:left="0" w:leftChars="0" w:firstLine="0" w:firstLineChars="0"/>
                                <w:rPr>
                                  <w:rFonts w:hint="eastAsia" w:eastAsia="宋体"/>
                                  <w:sz w:val="21"/>
                                  <w:szCs w:val="16"/>
                                  <w:lang w:val="en-US" w:eastAsia="zh-CN"/>
                                </w:rPr>
                              </w:pPr>
                              <w:r>
                                <w:rPr>
                                  <w:rFonts w:hint="eastAsia" w:eastAsia="宋体"/>
                                  <w:sz w:val="21"/>
                                  <w:szCs w:val="16"/>
                                  <w:lang w:val="en-US" w:eastAsia="zh-CN"/>
                                </w:rPr>
                                <w:t>0.</w:t>
                              </w:r>
                              <w:r>
                                <w:rPr>
                                  <w:rFonts w:hint="eastAsia"/>
                                  <w:sz w:val="21"/>
                                  <w:szCs w:val="16"/>
                                  <w:lang w:val="en-US" w:eastAsia="zh-CN"/>
                                </w:rPr>
                                <w:t>49</w:t>
                              </w:r>
                            </w:p>
                          </w:txbxContent>
                        </v:textbox>
                      </v:shape>
                      <v:shape id="文本框 44" o:spid="_x0000_s1026" o:spt="202" type="#_x0000_t202" style="position:absolute;left:1405255;top:314960;height:263525;width:739140;" fillcolor="#FFFFFF" filled="t" stroked="t" coordsize="21600,21600" o:gfxdata="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pS/3M1QAAAAUBAAAPAAAAAAAAAAEAIAAAACIAAABkcnMvZG93bnJldi54bWxQSwEC&#10;FAAUAAAACACHTuJA0wh1qPcBAAD1AwAADgAAAAAAAAABACAAAAAkAQAAZHJzL2Uyb0RvYy54bWxQ&#10;SwUGAAAAAAYABgBZAQAAjQU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生活用水</w:t>
                              </w:r>
                            </w:p>
                          </w:txbxContent>
                        </v:textbox>
                      </v:shape>
                      <v:shape id="直接箭头连接符 100" o:spid="_x0000_s1026" o:spt="32" type="#_x0000_t32" style="position:absolute;left:1936115;top:158750;flip:y;height:151130;width:300990;" filled="f" stroked="t" coordsize="21600,21600" o:gfxdata="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hbMAqNUAAAAFAQAADwAAAAAAAAABACAAAAAiAAAAZHJzL2Rvd25yZXYu&#10;eG1sUEsBAhQAFAAAAAgAh07iQMF9hTH+AQAArAMAAA4AAAAAAAAAAQAgAAAAJAEAAGRycy9lMm9E&#10;b2MueG1sUEsFBgAAAAAGAAYAWQEAAJQFAAAAAA==&#10;">
                        <v:fill on="f" focussize="0,0"/>
                        <v:stroke weight="0.5pt" color="#000000 [3213]" miterlimit="8" joinstyle="miter" dashstyle="dash" endarrow="open"/>
                        <v:imagedata o:title=""/>
                        <o:lock v:ext="edit" aspectratio="f"/>
                      </v:shape>
                      <v:shape id="文本框 44" o:spid="_x0000_s1026" o:spt="202" type="#_x0000_t202" style="position:absolute;left:2200910;top:0;height:263525;width:622300;" filled="f" stroked="f" coordsize="21600,21600" o:gfxdata="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Jp4oXHTAAAABQEAAA8AAAAAAAAA&#10;AQAgAAAAIgAAAGRycy9kb3ducmV2LnhtbFBLAQIUABQAAAAIAIdO4kAWDdP+3QEAAJ4DAAAOAAAA&#10;AAAAAAEAIAAAACIBAABkcnMvZTJvRG9jLnhtbFBLBQYAAAAABgAGAFkBAABxBQAAAAA=&#10;">
                        <v:fill on="f" focussize="0,0"/>
                        <v:stroke on="f" joinstyle="miter"/>
                        <v:imagedata o:title=""/>
                        <o:lock v:ext="edit" aspectratio="f"/>
                        <v:textbox>
                          <w:txbxContent>
                            <w:p>
                              <w:pPr>
                                <w:ind w:left="0" w:leftChars="0" w:firstLine="0" w:firstLineChars="0"/>
                                <w:rPr>
                                  <w:rFonts w:hint="eastAsia" w:eastAsia="宋体"/>
                                  <w:sz w:val="21"/>
                                  <w:szCs w:val="16"/>
                                  <w:lang w:val="en-US" w:eastAsia="zh-CN"/>
                                </w:rPr>
                              </w:pPr>
                              <w:r>
                                <w:rPr>
                                  <w:rFonts w:hint="eastAsia" w:eastAsia="宋体"/>
                                  <w:sz w:val="21"/>
                                  <w:szCs w:val="16"/>
                                  <w:lang w:val="en-US" w:eastAsia="zh-CN"/>
                                </w:rPr>
                                <w:t>0.0</w:t>
                              </w:r>
                              <w:r>
                                <w:rPr>
                                  <w:rFonts w:hint="eastAsia"/>
                                  <w:sz w:val="21"/>
                                  <w:szCs w:val="16"/>
                                  <w:lang w:val="en-US" w:eastAsia="zh-CN"/>
                                </w:rPr>
                                <w:t>9</w:t>
                              </w:r>
                              <w:r>
                                <w:rPr>
                                  <w:rFonts w:hint="eastAsia" w:eastAsia="宋体"/>
                                  <w:sz w:val="21"/>
                                  <w:szCs w:val="16"/>
                                  <w:lang w:val="en-US" w:eastAsia="zh-CN"/>
                                </w:rPr>
                                <w:t>8</w:t>
                              </w:r>
                            </w:p>
                          </w:txbxContent>
                        </v:textbox>
                      </v:shape>
                      <v:shape id="文本框 44" o:spid="_x0000_s1026" o:spt="202" type="#_x0000_t202" style="position:absolute;left:2114550;top:262255;height:263525;width:622300;" filled="f" stroked="f" coordsize="21600,21600" o:gfxdata="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mnihcdMAAAAFAQAADwAAAAAA&#10;AAABACAAAAAiAAAAZHJzL2Rvd25yZXYueG1sUEsBAhQAFAAAAAgAh07iQA8V67bfAQAAowMAAA4A&#10;AAAAAAAAAQAgAAAAIgEAAGRycy9lMm9Eb2MueG1sUEsFBgAAAAAGAAYAWQEAAHMFAAAAAA==&#10;">
                        <v:fill on="f" focussize="0,0"/>
                        <v:stroke on="f" joinstyle="miter"/>
                        <v:imagedata o:title=""/>
                        <o:lock v:ext="edit" aspectratio="f"/>
                        <v:textbox>
                          <w:txbxContent>
                            <w:p>
                              <w:pPr>
                                <w:ind w:left="0" w:leftChars="0" w:firstLine="0" w:firstLineChars="0"/>
                                <w:rPr>
                                  <w:rFonts w:hint="eastAsia" w:eastAsia="宋体"/>
                                  <w:sz w:val="21"/>
                                  <w:szCs w:val="16"/>
                                  <w:lang w:val="en-US" w:eastAsia="zh-CN"/>
                                </w:rPr>
                              </w:pPr>
                              <w:r>
                                <w:rPr>
                                  <w:rFonts w:hint="eastAsia" w:eastAsia="宋体"/>
                                  <w:sz w:val="21"/>
                                  <w:szCs w:val="16"/>
                                  <w:lang w:val="en-US" w:eastAsia="zh-CN"/>
                                </w:rPr>
                                <w:t>0.</w:t>
                              </w:r>
                              <w:r>
                                <w:rPr>
                                  <w:rFonts w:hint="eastAsia"/>
                                  <w:sz w:val="21"/>
                                  <w:szCs w:val="16"/>
                                  <w:lang w:val="en-US" w:eastAsia="zh-CN"/>
                                </w:rPr>
                                <w:t>39</w:t>
                              </w:r>
                              <w:r>
                                <w:rPr>
                                  <w:rFonts w:hint="eastAsia" w:eastAsia="宋体"/>
                                  <w:sz w:val="21"/>
                                  <w:szCs w:val="16"/>
                                  <w:lang w:val="en-US" w:eastAsia="zh-CN"/>
                                </w:rPr>
                                <w:t>2</w:t>
                              </w:r>
                            </w:p>
                          </w:txbxContent>
                        </v:textbox>
                      </v:shape>
                      <v:shape id="直接箭头连接符 104" o:spid="_x0000_s1026" o:spt="32" type="#_x0000_t32" style="position:absolute;left:2515235;top:825500;flip:y;height:3175;width:384810;" filled="f" stroked="t" coordsize="21600,21600" o:gfxdata="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4C7CDVAAAABQEAAA8AAAAAAAAAAQAgAAAAIgAAAGRycy9kb3ducmV2&#10;LnhtbFBLAQIUABQAAAAIAIdO4kDasJ8z/wEAAKsDAAAOAAAAAAAAAAEAIAAAACQBAABkcnMvZTJv&#10;RG9jLnhtbFBLBQYAAAAABgAGAFkBAACVBQAAAAA=&#10;">
                        <v:fill on="f" focussize="0,0"/>
                        <v:stroke weight="0.5pt" color="#000000 [3213]" miterlimit="8" joinstyle="miter" endarrow="open"/>
                        <v:imagedata o:title=""/>
                        <o:lock v:ext="edit" aspectratio="f"/>
                      </v:shape>
                      <v:line id="直接连接符 105" o:spid="_x0000_s1026" o:spt="20" style="position:absolute;left:2144395;top:443865;flip:y;height:3175;width:374015;" filled="f" stroked="t" coordsize="21600,21600" o:gfxdata="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yXxSnVAAAABQEAAA8AAAAAAAAAAQAgAAAAIgAAAGRycy9kb3ducmV2LnhtbFBLAQIUABQAAAAI&#10;AIdO4kDeXruo8AEAAKUDAAAOAAAAAAAAAAEAIAAAACQBAABkcnMvZTJvRG9jLnhtbFBLBQYAAAAA&#10;BgAGAFkBAACGBQAAAAA=&#10;">
                        <v:fill on="f" focussize="0,0"/>
                        <v:stroke weight="0.5pt" color="#000000 [3213]" miterlimit="8" joinstyle="miter"/>
                        <v:imagedata o:title=""/>
                        <o:lock v:ext="edit" aspectratio="f"/>
                      </v:line>
                      <v:line id="直接连接符 124" o:spid="_x0000_s1026" o:spt="20" style="position:absolute;left:2519045;top:240665;height:592455;width:10160;" filled="f" stroked="t" coordsize="21600,21600" o:gfxdata="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uKCh7TAAAABQEAAA8AAAAAAAAAAQAg&#10;AAAAIgAAAGRycy9kb3ducmV2LnhtbFBLAQIUABQAAAAIAIdO4kB1tTom2gEAAHUDAAAOAAAAAAAA&#10;AAEAIAAAACIBAABkcnMvZTJvRG9jLnhtbFBLBQYAAAAABgAGAFkBAABuBQAAAAA=&#10;">
                        <v:fill on="f" focussize="0,0"/>
                        <v:stroke weight="0.5pt" color="#000000 [3213]" miterlimit="8" joinstyle="miter"/>
                        <v:imagedata o:title=""/>
                        <o:lock v:ext="edit" aspectratio="f"/>
                      </v:line>
                      <v:shape id="_x0000_s1026" o:spid="_x0000_s1026" o:spt="32" type="#_x0000_t32" style="position:absolute;left:2540000;top:264795;flip:y;height:3175;width:384810;" filled="f" stroked="t" coordsize="21600,21600" o:gfxdata="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gLsINUAAAAFAQAADwAAAAAAAAABACAAAAAiAAAAZHJzL2Rvd25yZXYueG1s&#10;UEsBAhQAFAAAAAgAh07iQGaTVIH7AQAAqwMAAA4AAAAAAAAAAQAgAAAAJAEAAGRycy9lMm9Eb2Mu&#10;eG1sUEsFBgAAAAAGAAYAWQEAAJEFAAAAAA==&#10;">
                        <v:fill on="f" focussize="0,0"/>
                        <v:stroke weight="0.5pt" color="#000000 [3213]" miterlimit="8" joinstyle="miter" endarrow="open"/>
                        <v:imagedata o:title=""/>
                        <o:lock v:ext="edit" aspectratio="f"/>
                      </v:shape>
                      <v:shape id="文本框 44" o:spid="_x0000_s1026" o:spt="202" type="#_x0000_t202" style="position:absolute;left:3798570;top:709295;height:263525;width:739140;" fillcolor="#FFFFFF" filled="t" stroked="t" coordsize="21600,21600" o:gfxdata="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pS/3M1QAAAAUBAAAPAAAAAAAAAAEAIAAAACIAAABkcnMvZG93bnJldi54&#10;bWxQSwECFAAUAAAACACHTuJAgI1aCP0BAAD1AwAADgAAAAAAAAABACAAAAAkAQAAZHJzL2Uyb0Rv&#10;Yy54bWxQSwUGAAAAAAYABgBZAQAAkwU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清掏肥田</w:t>
                              </w:r>
                            </w:p>
                          </w:txbxContent>
                        </v:textbox>
                      </v:shape>
                      <v:shape id="文本框 44" o:spid="_x0000_s1026" o:spt="202" type="#_x0000_t202" style="position:absolute;left:4068445;top:184150;height:263525;width:739140;" fillcolor="#FFFFFF" filled="t" stroked="t" coordsize="21600,21600" o:gfxdata="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lL/czVAAAABQEAAA8AAAAAAAAAAQAgAAAAIgAAAGRycy9kb3ducmV2LnhtbFBL&#10;AQIUABQAAAAIAIdO4kBoYxDz+QEAAPUDAAAOAAAAAAAAAAEAIAAAACQBAABkcnMvZTJvRG9jLnht&#10;bFBLBQYAAAAABgAGAFkBAACPBQ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厂区泼洒</w:t>
                              </w:r>
                            </w:p>
                          </w:txbxContent>
                        </v:textbox>
                      </v:shape>
                      <v:shape id="文本框 44" o:spid="_x0000_s1026" o:spt="202" type="#_x0000_t202" style="position:absolute;left:2908300;top:707390;height:263525;width:506730;" fillcolor="#FFFFFF" filled="t" stroked="t" coordsize="21600,21600" o:gfxdata="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lL/czVAAAABQEAAA8AAAAAAAAAAQAgAAAAIgAAAGRycy9kb3ducmV2LnhtbFBL&#10;AQIUABQAAAAIAIdO4kAegt6J+QEAAPUDAAAOAAAAAAAAAAEAIAAAACQBAABkcnMvZTJvRG9jLnht&#10;bFBLBQYAAAAABgAGAFkBAACPBQ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旱厕</w:t>
                              </w:r>
                            </w:p>
                          </w:txbxContent>
                        </v:textbox>
                      </v:shape>
                      <v:shape id="文本框 44" o:spid="_x0000_s1026" o:spt="202" type="#_x0000_t202" style="position:absolute;left:2923540;top:150495;height:263525;width:739140;" fillcolor="#FFFFFF" filled="t" stroked="t" coordsize="21600,21600" o:gfxdata="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lL/czVAAAABQEAAA8AAAAAAAAAAQAgAAAAIgAAAGRycy9kb3ducmV2Lnht&#10;bFBLAQIUABQAAAAIAIdO4kBKdsEn/AEAAPUDAAAOAAAAAAAAAAEAIAAAACQBAABkcnMvZTJvRG9j&#10;LnhtbFBLBQYAAAAABgAGAFkBAACSBQ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盥洗用水</w:t>
                              </w:r>
                            </w:p>
                          </w:txbxContent>
                        </v:textbox>
                      </v:shape>
                      <v:shape id="直接箭头连接符 131" o:spid="_x0000_s1026" o:spt="32" type="#_x0000_t32" style="position:absolute;left:3683000;top:296545;flip:y;height:3175;width:384810;" filled="f" stroked="t" coordsize="21600,21600" o:gfxdata="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4C7CDVAAAABQEAAA8AAAAAAAAAAQAgAAAAIgAAAGRycy9kb3ducmV2&#10;LnhtbFBLAQIUABQAAAAIAIdO4kBujw6n/wEAAKsDAAAOAAAAAAAAAAEAIAAAACQBAABkcnMvZTJv&#10;RG9jLnhtbFBLBQYAAAAABgAGAFkBAACVBQAAAAA=&#10;">
                        <v:fill on="f" focussize="0,0"/>
                        <v:stroke weight="0.5pt" color="#000000 [3213]" miterlimit="8" joinstyle="miter" endarrow="open"/>
                        <v:imagedata o:title=""/>
                        <o:lock v:ext="edit" aspectratio="f"/>
                      </v:shape>
                      <v:shape id="直接箭头连接符 132" o:spid="_x0000_s1026" o:spt="32" type="#_x0000_t32" style="position:absolute;left:3418205;top:846455;flip:y;height:3175;width:384810;" filled="f" stroked="t" coordsize="21600,21600" o:gfxdata="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4C7CDVAAAABQEAAA8AAAAAAAAAAQAgAAAAIgAAAGRycy9kb3ducmV2&#10;LnhtbFBLAQIUABQAAAAIAIdO4kAHsB3//wEAAKsDAAAOAAAAAAAAAAEAIAAAACQBAABkcnMvZTJv&#10;RG9jLnhtbFBLBQYAAAAABgAGAFkBAACVBQAAAAA=&#10;">
                        <v:fill on="f" focussize="0,0"/>
                        <v:stroke weight="0.5pt" color="#000000 [3213]" miterlimit="8" joinstyle="miter" endarrow="open"/>
                        <v:imagedata o:title=""/>
                        <o:lock v:ext="edit" aspectratio="f"/>
                      </v:shape>
                      <w10:wrap type="none"/>
                      <w10:anchorlock/>
                    </v:group>
                  </w:pict>
                </mc:Fallback>
              </mc:AlternateContent>
            </w:r>
          </w:p>
          <w:p>
            <w:pPr>
              <w:ind w:firstLine="0" w:firstLineChars="0"/>
              <w:jc w:val="center"/>
              <w:rPr>
                <w:b/>
                <w:bCs/>
                <w:sz w:val="21"/>
                <w:szCs w:val="21"/>
              </w:rPr>
            </w:pPr>
            <w:r>
              <w:rPr>
                <w:b/>
                <w:bCs/>
                <w:sz w:val="21"/>
                <w:szCs w:val="21"/>
              </w:rPr>
              <w:t xml:space="preserve">图1 </w:t>
            </w:r>
            <w:r>
              <w:rPr>
                <w:rFonts w:hint="eastAsia"/>
                <w:b/>
                <w:bCs/>
                <w:sz w:val="21"/>
                <w:szCs w:val="21"/>
                <w:lang w:val="en-US" w:eastAsia="zh-CN"/>
              </w:rPr>
              <w:t xml:space="preserve">  </w:t>
            </w:r>
            <w:r>
              <w:rPr>
                <w:b/>
                <w:bCs/>
                <w:sz w:val="21"/>
                <w:szCs w:val="21"/>
              </w:rPr>
              <w:t xml:space="preserve"> 项目水平衡图（m</w:t>
            </w:r>
            <w:r>
              <w:rPr>
                <w:b/>
                <w:bCs/>
                <w:sz w:val="21"/>
                <w:szCs w:val="21"/>
                <w:vertAlign w:val="superscript"/>
              </w:rPr>
              <w:t>3</w:t>
            </w:r>
            <w:r>
              <w:rPr>
                <w:b/>
                <w:bCs/>
                <w:sz w:val="21"/>
                <w:szCs w:val="21"/>
              </w:rPr>
              <w:t>/d）</w:t>
            </w:r>
          </w:p>
          <w:p>
            <w:pPr>
              <w:ind w:firstLine="480"/>
            </w:pPr>
            <w:r>
              <w:rPr>
                <w:rFonts w:hint="eastAsia"/>
              </w:rPr>
              <w:t>2、供电</w:t>
            </w:r>
          </w:p>
          <w:p>
            <w:pPr>
              <w:ind w:firstLine="480"/>
            </w:pPr>
            <w:r>
              <w:rPr>
                <w:rFonts w:hint="eastAsia"/>
              </w:rPr>
              <w:t>本项目用电由当地电网接入，可满足日常生产生活需要。</w:t>
            </w:r>
          </w:p>
          <w:p>
            <w:pPr>
              <w:ind w:firstLine="480"/>
            </w:pPr>
            <w:r>
              <w:rPr>
                <w:rFonts w:hint="eastAsia"/>
              </w:rPr>
              <w:t>3、采暖、制冷</w:t>
            </w:r>
          </w:p>
          <w:p>
            <w:pPr>
              <w:ind w:firstLine="480"/>
            </w:pPr>
            <w:r>
              <w:rPr>
                <w:rFonts w:hint="eastAsia"/>
                <w:lang w:eastAsia="zh-CN"/>
              </w:rPr>
              <w:t>生产车间及原料储棚</w:t>
            </w:r>
            <w:r>
              <w:rPr>
                <w:rFonts w:hint="eastAsia"/>
              </w:rPr>
              <w:t>无采暖制冷措施</w:t>
            </w:r>
            <w:r>
              <w:rPr>
                <w:rFonts w:hint="eastAsia"/>
                <w:lang w:eastAsia="zh-CN"/>
              </w:rPr>
              <w:t>，办公室采用分体式空调</w:t>
            </w:r>
            <w:r>
              <w:rPr>
                <w:rFonts w:hint="eastAsia"/>
              </w:rPr>
              <w:t>。</w:t>
            </w:r>
          </w:p>
          <w:p>
            <w:pPr>
              <w:ind w:firstLine="0" w:firstLineChars="0"/>
              <w:rPr>
                <w:b/>
                <w:szCs w:val="24"/>
              </w:rPr>
            </w:pPr>
            <w:r>
              <w:rPr>
                <w:rFonts w:hint="eastAsia"/>
                <w:b/>
                <w:szCs w:val="24"/>
              </w:rPr>
              <w:t>四、劳动定员及工作制度</w:t>
            </w:r>
          </w:p>
          <w:p>
            <w:pPr>
              <w:ind w:firstLine="480"/>
            </w:pPr>
            <w:r>
              <w:rPr>
                <w:rFonts w:hint="eastAsia"/>
              </w:rPr>
              <w:t>项目劳动定员为</w:t>
            </w:r>
            <w:r>
              <w:rPr>
                <w:rFonts w:hint="eastAsia"/>
                <w:lang w:val="en-US" w:eastAsia="zh-CN"/>
              </w:rPr>
              <w:t>7</w:t>
            </w:r>
            <w:r>
              <w:rPr>
                <w:rFonts w:hint="eastAsia"/>
              </w:rPr>
              <w:t>人，</w:t>
            </w:r>
            <w:r>
              <w:rPr>
                <w:rFonts w:hint="eastAsia"/>
                <w:color w:val="auto"/>
                <w:lang w:eastAsia="zh-CN"/>
              </w:rPr>
              <w:t>厂内有宿舍可进行住宿，不设食堂</w:t>
            </w:r>
            <w:r>
              <w:rPr>
                <w:rFonts w:hint="eastAsia"/>
              </w:rPr>
              <w:t>。每天工作</w:t>
            </w:r>
            <w:r>
              <w:rPr>
                <w:rFonts w:hint="eastAsia"/>
                <w:lang w:val="en-US" w:eastAsia="zh-CN"/>
              </w:rPr>
              <w:t>10</w:t>
            </w:r>
            <w:r>
              <w:rPr>
                <w:rFonts w:hint="eastAsia"/>
              </w:rPr>
              <w:t>h，年工作天数为</w:t>
            </w:r>
            <w:r>
              <w:rPr>
                <w:rFonts w:hint="eastAsia"/>
                <w:lang w:val="en-US" w:eastAsia="zh-CN"/>
              </w:rPr>
              <w:t>300</w:t>
            </w:r>
            <w:r>
              <w:rPr>
                <w:rFonts w:hint="eastAsia"/>
              </w:rPr>
              <w:t>d。</w:t>
            </w:r>
          </w:p>
          <w:p>
            <w:pPr>
              <w:ind w:left="0" w:leftChars="0" w:firstLine="0" w:firstLineChars="0"/>
              <w:rPr>
                <w:b/>
                <w:szCs w:val="24"/>
              </w:rPr>
            </w:pPr>
            <w:r>
              <w:rPr>
                <w:rFonts w:hint="eastAsia"/>
                <w:b/>
                <w:szCs w:val="24"/>
              </w:rPr>
              <w:t>五、厂区总平面布局合理性分析</w:t>
            </w:r>
          </w:p>
          <w:p>
            <w:pPr>
              <w:tabs>
                <w:tab w:val="left" w:pos="5940"/>
              </w:tabs>
              <w:spacing w:line="348" w:lineRule="auto"/>
              <w:ind w:firstLine="468" w:firstLineChars="195"/>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）功能分区</w:t>
            </w:r>
          </w:p>
          <w:p>
            <w:pPr>
              <w:tabs>
                <w:tab w:val="left" w:pos="5940"/>
              </w:tabs>
              <w:spacing w:line="348" w:lineRule="auto"/>
              <w:ind w:firstLine="468" w:firstLineChars="195"/>
              <w:rPr>
                <w:rFonts w:hint="eastAsia"/>
                <w:color w:val="auto"/>
                <w:highlight w:val="none"/>
              </w:rPr>
            </w:pPr>
            <w:r>
              <w:rPr>
                <w:rFonts w:hint="eastAsia"/>
                <w:color w:val="auto"/>
                <w:highlight w:val="none"/>
              </w:rPr>
              <w:t>总平面布置：项目位于</w:t>
            </w:r>
            <w:r>
              <w:rPr>
                <w:rFonts w:hint="eastAsia"/>
                <w:color w:val="auto"/>
                <w:highlight w:val="none"/>
                <w:lang w:eastAsia="zh-CN"/>
              </w:rPr>
              <w:t>陕西省西咸新区泾河新城永乐镇铁孟村18号</w:t>
            </w:r>
            <w:r>
              <w:rPr>
                <w:rFonts w:hint="eastAsia"/>
                <w:color w:val="auto"/>
                <w:highlight w:val="none"/>
              </w:rPr>
              <w:t>，占地面积约</w:t>
            </w:r>
            <w:r>
              <w:rPr>
                <w:rFonts w:hint="eastAsia"/>
                <w:color w:val="auto"/>
                <w:szCs w:val="24"/>
                <w:highlight w:val="none"/>
                <w:lang w:eastAsia="zh-CN"/>
              </w:rPr>
              <w:t>3300</w:t>
            </w:r>
            <w:r>
              <w:rPr>
                <w:rFonts w:hint="eastAsia"/>
                <w:color w:val="auto"/>
                <w:szCs w:val="24"/>
                <w:highlight w:val="none"/>
              </w:rPr>
              <w:t>m</w:t>
            </w:r>
            <w:r>
              <w:rPr>
                <w:rFonts w:hint="eastAsia"/>
                <w:color w:val="auto"/>
                <w:szCs w:val="24"/>
                <w:highlight w:val="none"/>
                <w:vertAlign w:val="superscript"/>
              </w:rPr>
              <w:t>2</w:t>
            </w:r>
            <w:r>
              <w:rPr>
                <w:rFonts w:hint="eastAsia"/>
                <w:color w:val="auto"/>
                <w:szCs w:val="24"/>
                <w:highlight w:val="none"/>
                <w:lang w:eastAsia="zh-CN"/>
              </w:rPr>
              <w:t>，建筑面积</w:t>
            </w:r>
            <w:r>
              <w:rPr>
                <w:rFonts w:hint="eastAsia"/>
                <w:color w:val="auto"/>
                <w:szCs w:val="24"/>
                <w:highlight w:val="none"/>
                <w:lang w:val="en-US" w:eastAsia="zh-CN"/>
              </w:rPr>
              <w:t>1462</w:t>
            </w:r>
            <w:r>
              <w:rPr>
                <w:rFonts w:hint="eastAsia"/>
                <w:color w:val="auto"/>
                <w:szCs w:val="24"/>
                <w:highlight w:val="none"/>
              </w:rPr>
              <w:t>m</w:t>
            </w:r>
            <w:r>
              <w:rPr>
                <w:rFonts w:hint="eastAsia"/>
                <w:color w:val="auto"/>
                <w:szCs w:val="24"/>
                <w:highlight w:val="none"/>
                <w:vertAlign w:val="superscript"/>
              </w:rPr>
              <w:t>2</w:t>
            </w:r>
            <w:r>
              <w:rPr>
                <w:rFonts w:hint="eastAsia"/>
                <w:color w:val="auto"/>
                <w:szCs w:val="24"/>
                <w:highlight w:val="none"/>
                <w:lang w:val="en-US" w:eastAsia="zh-CN"/>
              </w:rPr>
              <w:t>。</w:t>
            </w:r>
            <w:r>
              <w:rPr>
                <w:rFonts w:hint="eastAsia"/>
                <w:color w:val="auto"/>
                <w:highlight w:val="none"/>
              </w:rPr>
              <w:t>项目平面布置本着充分利用场地，满足工艺及环保要求进行布置，并将对敏感目标的影响降到最低。项目厂区呈</w:t>
            </w:r>
            <w:r>
              <w:rPr>
                <w:rFonts w:hint="eastAsia"/>
                <w:color w:val="auto"/>
                <w:highlight w:val="none"/>
                <w:lang w:eastAsia="zh-CN"/>
              </w:rPr>
              <w:t>东西</w:t>
            </w:r>
            <w:r>
              <w:rPr>
                <w:rFonts w:hint="eastAsia"/>
                <w:color w:val="auto"/>
                <w:highlight w:val="none"/>
              </w:rPr>
              <w:t>建设，项目</w:t>
            </w:r>
            <w:r>
              <w:rPr>
                <w:rFonts w:hint="eastAsia"/>
                <w:color w:val="auto"/>
                <w:highlight w:val="none"/>
                <w:lang w:eastAsia="zh-CN"/>
              </w:rPr>
              <w:t>生产车间、办公用房、成品库房和原料存储车间位于厂区北侧，生活区和货品周转棚</w:t>
            </w:r>
            <w:r>
              <w:rPr>
                <w:rFonts w:hint="eastAsia"/>
                <w:color w:val="auto"/>
                <w:highlight w:val="none"/>
              </w:rPr>
              <w:t>位于厂区</w:t>
            </w:r>
            <w:r>
              <w:rPr>
                <w:rFonts w:hint="eastAsia"/>
                <w:color w:val="auto"/>
                <w:highlight w:val="none"/>
                <w:lang w:eastAsia="zh-CN"/>
              </w:rPr>
              <w:t>南</w:t>
            </w:r>
            <w:r>
              <w:rPr>
                <w:rFonts w:hint="eastAsia"/>
                <w:color w:val="auto"/>
                <w:highlight w:val="none"/>
              </w:rPr>
              <w:t>侧，项目厂区总体布局合理。</w:t>
            </w:r>
          </w:p>
          <w:p>
            <w:pPr>
              <w:tabs>
                <w:tab w:val="left" w:pos="5940"/>
              </w:tabs>
              <w:spacing w:line="348" w:lineRule="auto"/>
              <w:ind w:firstLine="468" w:firstLineChars="195"/>
              <w:rPr>
                <w:color w:val="000000" w:themeColor="text1"/>
                <w:sz w:val="24"/>
                <w14:textFill>
                  <w14:solidFill>
                    <w14:schemeClr w14:val="tx1"/>
                  </w14:solidFill>
                </w14:textFill>
              </w:rPr>
            </w:pPr>
            <w:r>
              <w:rPr>
                <w:color w:val="000000" w:themeColor="text1"/>
                <w:sz w:val="24"/>
                <w14:textFill>
                  <w14:solidFill>
                    <w14:schemeClr w14:val="tx1"/>
                  </w14:solidFill>
                </w14:textFill>
              </w:rPr>
              <w:t>（2）防火要求</w:t>
            </w:r>
          </w:p>
          <w:p>
            <w:pPr>
              <w:tabs>
                <w:tab w:val="left" w:pos="5940"/>
              </w:tabs>
              <w:spacing w:line="348" w:lineRule="auto"/>
              <w:ind w:firstLine="468" w:firstLineChars="195"/>
              <w:rPr>
                <w:color w:val="auto"/>
                <w:highlight w:val="none"/>
              </w:rPr>
            </w:pPr>
            <w:r>
              <w:rPr>
                <w:color w:val="000000" w:themeColor="text1"/>
                <w:sz w:val="24"/>
                <w14:textFill>
                  <w14:solidFill>
                    <w14:schemeClr w14:val="tx1"/>
                  </w14:solidFill>
                </w14:textFill>
              </w:rPr>
              <w:t>根据</w:t>
            </w:r>
            <w:r>
              <w:rPr>
                <w:rFonts w:hint="eastAsia"/>
                <w:color w:val="000000" w:themeColor="text1"/>
                <w:sz w:val="24"/>
                <w14:textFill>
                  <w14:solidFill>
                    <w14:schemeClr w14:val="tx1"/>
                  </w14:solidFill>
                </w14:textFill>
              </w:rPr>
              <w:t>安评知，</w:t>
            </w:r>
            <w:r>
              <w:rPr>
                <w:rFonts w:hint="eastAsia"/>
                <w:color w:val="000000" w:themeColor="text1"/>
                <w:sz w:val="24"/>
                <w:lang w:eastAsia="zh-CN"/>
                <w14:textFill>
                  <w14:solidFill>
                    <w14:schemeClr w14:val="tx1"/>
                  </w14:solidFill>
                </w14:textFill>
              </w:rPr>
              <w:t>项目厂区</w:t>
            </w:r>
            <w:r>
              <w:rPr>
                <w:color w:val="000000" w:themeColor="text1"/>
                <w:sz w:val="24"/>
                <w14:textFill>
                  <w14:solidFill>
                    <w14:schemeClr w14:val="tx1"/>
                  </w14:solidFill>
                </w14:textFill>
              </w:rPr>
              <w:t>内各设施之间满足《</w:t>
            </w:r>
            <w:r>
              <w:rPr>
                <w:rFonts w:hint="eastAsia"/>
                <w:color w:val="000000" w:themeColor="text1"/>
                <w:sz w:val="24"/>
                <w:lang w:eastAsia="zh-CN"/>
                <w14:textFill>
                  <w14:solidFill>
                    <w14:schemeClr w14:val="tx1"/>
                  </w14:solidFill>
                </w14:textFill>
              </w:rPr>
              <w:t>建筑设计防火规范</w:t>
            </w:r>
            <w:r>
              <w:rPr>
                <w:color w:val="000000" w:themeColor="text1"/>
                <w:sz w:val="24"/>
                <w14:textFill>
                  <w14:solidFill>
                    <w14:schemeClr w14:val="tx1"/>
                  </w14:solidFill>
                </w14:textFill>
              </w:rPr>
              <w:t>》防火距离要求</w:t>
            </w:r>
            <w:r>
              <w:rPr>
                <w:rFonts w:hint="eastAsia"/>
                <w:color w:val="000000" w:themeColor="text1"/>
                <w:sz w:val="24"/>
                <w:lang w:eastAsia="zh-CN"/>
                <w14:textFill>
                  <w14:solidFill>
                    <w14:schemeClr w14:val="tx1"/>
                  </w14:solidFill>
                </w14:textFill>
              </w:rPr>
              <w:t>和《工业企业总平面设计规范》中的安全要求</w:t>
            </w:r>
            <w:r>
              <w:rPr>
                <w:color w:val="000000" w:themeColor="text1"/>
                <w:sz w:val="24"/>
                <w14:textFill>
                  <w14:solidFill>
                    <w14:schemeClr w14:val="tx1"/>
                  </w14:solidFill>
                </w14:textFill>
              </w:rPr>
              <w:t>。</w:t>
            </w:r>
          </w:p>
          <w:p>
            <w:pPr>
              <w:ind w:firstLine="480"/>
              <w:rPr>
                <w:b/>
                <w:szCs w:val="24"/>
              </w:rPr>
            </w:pPr>
            <w:r>
              <w:rPr>
                <w:rFonts w:hint="eastAsia"/>
              </w:rPr>
              <w:t>项目平面布置图见附图3。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28" w:hRule="atLeast"/>
          <w:jc w:val="center"/>
        </w:trPr>
        <w:tc>
          <w:tcPr>
            <w:tcW w:w="8845" w:type="dxa"/>
            <w:gridSpan w:val="8"/>
          </w:tcPr>
          <w:p>
            <w:pPr>
              <w:pStyle w:val="5"/>
              <w:widowControl/>
              <w:ind w:firstLine="0" w:firstLineChars="0"/>
              <w:rPr>
                <w:b/>
                <w:bCs/>
                <w:color w:val="auto"/>
              </w:rPr>
            </w:pPr>
            <w:r>
              <w:rPr>
                <w:rFonts w:hint="eastAsia"/>
                <w:b/>
                <w:bCs/>
                <w:color w:val="auto"/>
              </w:rPr>
              <w:t>与本项目有关的原有污染情况及主要环境问题：</w:t>
            </w:r>
          </w:p>
          <w:p>
            <w:pPr>
              <w:ind w:firstLine="480"/>
              <w:rPr>
                <w:color w:val="auto"/>
              </w:rPr>
            </w:pPr>
            <w:r>
              <w:rPr>
                <w:rFonts w:hint="eastAsia"/>
                <w:color w:val="auto"/>
              </w:rPr>
              <w:t>根据现场踏勘，项目始建于</w:t>
            </w:r>
            <w:r>
              <w:rPr>
                <w:rFonts w:hint="eastAsia"/>
                <w:color w:val="auto"/>
                <w:lang w:val="en-US" w:eastAsia="zh-CN"/>
              </w:rPr>
              <w:t>1999</w:t>
            </w:r>
            <w:r>
              <w:rPr>
                <w:rFonts w:hint="eastAsia"/>
                <w:color w:val="auto"/>
                <w:highlight w:val="none"/>
              </w:rPr>
              <w:t>年</w:t>
            </w:r>
            <w:r>
              <w:rPr>
                <w:rFonts w:hint="eastAsia"/>
                <w:color w:val="auto"/>
              </w:rPr>
              <w:t>，</w:t>
            </w:r>
            <w:r>
              <w:rPr>
                <w:rFonts w:hint="eastAsia"/>
                <w:color w:val="auto"/>
                <w:lang w:val="en-US" w:eastAsia="zh-CN"/>
              </w:rPr>
              <w:t>2018年5月搬迁至</w:t>
            </w:r>
            <w:r>
              <w:rPr>
                <w:rFonts w:hint="eastAsia"/>
                <w:color w:val="auto"/>
                <w:highlight w:val="none"/>
                <w:lang w:eastAsia="zh-CN"/>
              </w:rPr>
              <w:t>泾河新城永乐镇铁孟村18号，</w:t>
            </w:r>
            <w:r>
              <w:rPr>
                <w:rFonts w:hint="eastAsia"/>
                <w:color w:val="auto"/>
              </w:rPr>
              <w:t>已</w:t>
            </w:r>
            <w:r>
              <w:rPr>
                <w:rFonts w:hint="eastAsia"/>
                <w:color w:val="auto"/>
                <w:lang w:eastAsia="zh-CN"/>
              </w:rPr>
              <w:t>按</w:t>
            </w:r>
            <w:r>
              <w:rPr>
                <w:rFonts w:hint="eastAsia"/>
                <w:color w:val="auto"/>
              </w:rPr>
              <w:t>要求于2018年</w:t>
            </w:r>
            <w:r>
              <w:rPr>
                <w:rFonts w:hint="eastAsia"/>
                <w:color w:val="auto"/>
                <w:lang w:val="en-US" w:eastAsia="zh-CN"/>
              </w:rPr>
              <w:t>8</w:t>
            </w:r>
            <w:r>
              <w:rPr>
                <w:rFonts w:hint="eastAsia"/>
                <w:color w:val="auto"/>
              </w:rPr>
              <w:t>月停产，建设单位正积极办理环保手续。</w:t>
            </w:r>
          </w:p>
          <w:p>
            <w:pPr>
              <w:ind w:firstLine="480"/>
              <w:rPr>
                <w:color w:val="auto"/>
              </w:rPr>
            </w:pPr>
            <w:r>
              <w:rPr>
                <w:rFonts w:hint="eastAsia"/>
                <w:color w:val="auto"/>
              </w:rPr>
              <w:t>1、项目</w:t>
            </w:r>
            <w:r>
              <w:rPr>
                <w:rFonts w:hint="eastAsia"/>
                <w:color w:val="auto"/>
                <w:lang w:eastAsia="zh-CN"/>
              </w:rPr>
              <w:t>新址</w:t>
            </w:r>
            <w:r>
              <w:rPr>
                <w:rFonts w:hint="eastAsia"/>
                <w:color w:val="auto"/>
              </w:rPr>
              <w:t>已运营工序存在的环境问题：</w:t>
            </w:r>
          </w:p>
          <w:p>
            <w:pPr>
              <w:ind w:firstLine="480"/>
              <w:rPr>
                <w:rFonts w:hint="eastAsia" w:eastAsia="宋体"/>
                <w:color w:val="auto"/>
                <w:lang w:eastAsia="zh-CN"/>
              </w:rPr>
            </w:pPr>
            <w:r>
              <w:rPr>
                <w:rFonts w:hint="eastAsia"/>
                <w:color w:val="auto"/>
                <w:lang w:eastAsia="zh-CN"/>
              </w:rPr>
              <w:t>项目厂区未进行分区防渗。</w:t>
            </w:r>
          </w:p>
          <w:p>
            <w:pPr>
              <w:numPr>
                <w:ilvl w:val="0"/>
                <w:numId w:val="1"/>
              </w:numPr>
              <w:ind w:firstLine="480"/>
              <w:rPr>
                <w:rFonts w:hint="eastAsia"/>
                <w:color w:val="auto"/>
              </w:rPr>
            </w:pPr>
            <w:r>
              <w:rPr>
                <w:rFonts w:hint="eastAsia"/>
                <w:color w:val="auto"/>
              </w:rPr>
              <w:t>整改措施：</w:t>
            </w:r>
          </w:p>
          <w:p>
            <w:pPr>
              <w:ind w:firstLine="480"/>
              <w:rPr>
                <w:rFonts w:hint="eastAsia" w:eastAsia="宋体"/>
                <w:lang w:eastAsia="zh-CN"/>
              </w:rPr>
            </w:pPr>
            <w:r>
              <w:rPr>
                <w:rFonts w:hint="eastAsia"/>
                <w:lang w:eastAsia="zh-CN"/>
              </w:rPr>
              <w:t>建设单位应按照环评提出的要求进行分区防渗。</w:t>
            </w:r>
          </w:p>
          <w:p>
            <w:pPr>
              <w:ind w:firstLine="480"/>
              <w:rPr>
                <w:rFonts w:hint="eastAsia"/>
                <w:color w:val="auto"/>
              </w:rPr>
            </w:pPr>
          </w:p>
          <w:p>
            <w:pPr>
              <w:ind w:left="0" w:leftChars="0" w:firstLine="0" w:firstLineChars="0"/>
              <w:rPr>
                <w:rFonts w:hint="eastAsia"/>
                <w:color w:val="auto"/>
              </w:rPr>
            </w:pPr>
          </w:p>
        </w:tc>
      </w:tr>
    </w:tbl>
    <w:p>
      <w:pPr>
        <w:rPr>
          <w:rFonts w:hint="eastAsia"/>
        </w:rPr>
        <w:sectPr>
          <w:footerReference r:id="rId9" w:type="default"/>
          <w:pgSz w:w="11906" w:h="16838"/>
          <w:pgMar w:top="1701" w:right="1588" w:bottom="1701" w:left="1588" w:header="851" w:footer="1134" w:gutter="0"/>
          <w:pgBorders>
            <w:top w:val="none" w:sz="0" w:space="0"/>
            <w:left w:val="none" w:sz="0" w:space="0"/>
            <w:bottom w:val="none" w:sz="0" w:space="0"/>
            <w:right w:val="none" w:sz="0" w:space="0"/>
          </w:pgBorders>
          <w:pgNumType w:fmt="decimal" w:start="1"/>
          <w:cols w:space="720" w:num="1"/>
          <w:docGrid w:type="lines" w:linePitch="312" w:charSpace="0"/>
        </w:sectPr>
      </w:pPr>
      <w:bookmarkStart w:id="3" w:name="_Toc478030058"/>
    </w:p>
    <w:p>
      <w:pPr>
        <w:pStyle w:val="23"/>
        <w:outlineLvl w:val="0"/>
      </w:pPr>
      <w:r>
        <w:rPr>
          <w:rFonts w:hint="eastAsia"/>
        </w:rPr>
        <w:t>建设项目所在地自然环境简况</w:t>
      </w:r>
      <w:bookmarkEnd w:id="3"/>
    </w:p>
    <w:tbl>
      <w:tblPr>
        <w:tblStyle w:val="20"/>
        <w:tblW w:w="8845"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465" w:hRule="atLeast"/>
          <w:jc w:val="center"/>
        </w:trPr>
        <w:tc>
          <w:tcPr>
            <w:tcW w:w="8845" w:type="dxa"/>
          </w:tcPr>
          <w:p>
            <w:pPr>
              <w:pStyle w:val="5"/>
              <w:widowControl/>
              <w:spacing w:line="600" w:lineRule="exact"/>
              <w:ind w:firstLine="0" w:firstLineChars="0"/>
              <w:rPr>
                <w:b/>
                <w:bCs/>
              </w:rPr>
            </w:pPr>
            <w:r>
              <w:rPr>
                <w:rFonts w:hint="eastAsia"/>
                <w:b/>
                <w:bCs/>
              </w:rPr>
              <w:t>自然环境简况（地形、地貌、地质、气候、水文、植被、生物多样性等）：</w:t>
            </w:r>
          </w:p>
          <w:p>
            <w:pPr>
              <w:pStyle w:val="5"/>
              <w:adjustRightInd w:val="0"/>
              <w:snapToGrid w:val="0"/>
              <w:spacing w:before="0" w:line="360" w:lineRule="auto"/>
              <w:ind w:firstLine="482" w:firstLineChars="200"/>
              <w:rPr>
                <w:rFonts w:ascii="Times New Roman" w:hAnsi="Times New Roman"/>
                <w:b/>
                <w:bCs/>
                <w:sz w:val="24"/>
                <w:szCs w:val="24"/>
              </w:rPr>
            </w:pPr>
            <w:r>
              <w:rPr>
                <w:rFonts w:ascii="Times New Roman" w:hAnsi="Times New Roman"/>
                <w:b/>
                <w:bCs/>
                <w:sz w:val="24"/>
                <w:szCs w:val="24"/>
              </w:rPr>
              <w:t>一、 地理位置</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泾河新城主要包括陕西省泾阳县及其东部片区，位于关中平原中部，泾河下游，包括泾阳县泾干镇、永乐镇、崇文镇三镇全部和高庄镇部分用地，东临高陵县交界，南与秦汉新城接壤，西邻空港新城、底张镇，北与燕王镇、三渠镇相交，全区规划面积146km</w:t>
            </w:r>
            <w:r>
              <w:rPr>
                <w:rFonts w:ascii="Times New Roman" w:hAnsi="Times New Roman"/>
                <w:bCs/>
                <w:sz w:val="24"/>
                <w:szCs w:val="24"/>
                <w:vertAlign w:val="superscript"/>
              </w:rPr>
              <w:t>2</w:t>
            </w:r>
            <w:r>
              <w:rPr>
                <w:rFonts w:ascii="Times New Roman" w:hAnsi="Times New Roman"/>
                <w:bCs/>
                <w:sz w:val="24"/>
                <w:szCs w:val="24"/>
              </w:rPr>
              <w:t>。</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本项目位于泾河新城永乐镇南横流村西侧，具体地理位置详见附图一。</w:t>
            </w:r>
          </w:p>
          <w:p>
            <w:pPr>
              <w:pStyle w:val="5"/>
              <w:adjustRightInd w:val="0"/>
              <w:snapToGrid w:val="0"/>
              <w:spacing w:before="0" w:line="360" w:lineRule="auto"/>
              <w:ind w:firstLine="482" w:firstLineChars="200"/>
              <w:rPr>
                <w:rFonts w:ascii="Times New Roman" w:hAnsi="Times New Roman"/>
                <w:b/>
                <w:bCs/>
                <w:sz w:val="24"/>
                <w:szCs w:val="24"/>
              </w:rPr>
            </w:pPr>
            <w:r>
              <w:rPr>
                <w:rFonts w:ascii="Times New Roman" w:hAnsi="Times New Roman"/>
                <w:b/>
                <w:bCs/>
                <w:sz w:val="24"/>
                <w:szCs w:val="24"/>
              </w:rPr>
              <w:t>二、 地形 地貌</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泾河新城位于关中断陷盆地中部，泾河与渭河交会处的泾河北岸一级阶地和高漫滩上，就规划区地势来看，总体上西北高、东南低（西北高程391.0m，东南为376m）。其中阶地成东南方向展布，南北宽4.0km，地形平坦开阔，向南倾斜，坡度为0.4％；高漫滩宽0.6~1.2km，地形平缓，坡度为0.12％。</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根据现场勘察，项目场地地势相对平坦。</w:t>
            </w:r>
          </w:p>
          <w:p>
            <w:pPr>
              <w:pStyle w:val="5"/>
              <w:adjustRightInd w:val="0"/>
              <w:snapToGrid w:val="0"/>
              <w:spacing w:before="0" w:line="360" w:lineRule="auto"/>
              <w:ind w:firstLine="482" w:firstLineChars="200"/>
              <w:rPr>
                <w:rFonts w:ascii="Times New Roman" w:hAnsi="Times New Roman"/>
                <w:b/>
                <w:bCs/>
                <w:sz w:val="24"/>
                <w:szCs w:val="24"/>
              </w:rPr>
            </w:pPr>
            <w:r>
              <w:rPr>
                <w:rFonts w:ascii="Times New Roman" w:hAnsi="Times New Roman"/>
                <w:b/>
                <w:bCs/>
                <w:sz w:val="24"/>
                <w:szCs w:val="24"/>
              </w:rPr>
              <w:t>三 、气候、气象</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泾河新城所在区域地属暖温带大陆性季风气候，四季冷暖、干湿分明，冬季寒冷干燥，夏季炎热多雨，降水量年际变化很大，七月、九月降水较为集中，年平均气温 13</w:t>
            </w:r>
            <w:r>
              <w:rPr>
                <w:rFonts w:hint="eastAsia" w:ascii="宋体" w:hAnsi="宋体" w:cs="宋体"/>
                <w:bCs/>
                <w:sz w:val="24"/>
                <w:szCs w:val="24"/>
              </w:rPr>
              <w:t>℃</w:t>
            </w:r>
            <w:r>
              <w:rPr>
                <w:rFonts w:ascii="Times New Roman" w:hAnsi="Times New Roman"/>
                <w:bCs/>
                <w:sz w:val="24"/>
                <w:szCs w:val="24"/>
              </w:rPr>
              <w:t>，冬季（1 月）最冷为-13.8</w:t>
            </w:r>
            <w:r>
              <w:rPr>
                <w:rFonts w:hint="eastAsia" w:ascii="宋体" w:hAnsi="宋体" w:cs="宋体"/>
                <w:bCs/>
                <w:sz w:val="24"/>
                <w:szCs w:val="24"/>
              </w:rPr>
              <w:t>℃</w:t>
            </w:r>
            <w:r>
              <w:rPr>
                <w:rFonts w:ascii="Times New Roman" w:hAnsi="Times New Roman"/>
                <w:bCs/>
                <w:sz w:val="24"/>
                <w:szCs w:val="24"/>
              </w:rPr>
              <w:t>，夏季最热（7 月）为 40.9</w:t>
            </w:r>
            <w:r>
              <w:rPr>
                <w:rFonts w:hint="eastAsia" w:ascii="宋体" w:hAnsi="宋体" w:cs="宋体"/>
                <w:bCs/>
                <w:sz w:val="24"/>
                <w:szCs w:val="24"/>
              </w:rPr>
              <w:t>℃</w:t>
            </w:r>
            <w:r>
              <w:rPr>
                <w:rFonts w:ascii="Times New Roman" w:hAnsi="Times New Roman"/>
                <w:bCs/>
                <w:sz w:val="24"/>
                <w:szCs w:val="24"/>
              </w:rPr>
              <w:t>。年均降水量 560.6mm，最多降水量 820.5mm，最少为 349.2mm。日照时数年平均为 2195.2 小时，最多（8 月）为541.6 小时，最少（2 月）为 146.2 小时。无霜期平均为 213~225 天，无霜期年均 213 天；最大冻土深度 0.5m。年主导风向为东北风。</w:t>
            </w:r>
          </w:p>
          <w:p>
            <w:pPr>
              <w:pStyle w:val="5"/>
              <w:adjustRightInd w:val="0"/>
              <w:snapToGrid w:val="0"/>
              <w:spacing w:before="0" w:line="360" w:lineRule="auto"/>
              <w:ind w:firstLine="482" w:firstLineChars="200"/>
              <w:rPr>
                <w:rFonts w:ascii="Times New Roman" w:hAnsi="Times New Roman"/>
                <w:b/>
                <w:bCs/>
                <w:sz w:val="24"/>
                <w:szCs w:val="24"/>
              </w:rPr>
            </w:pPr>
            <w:r>
              <w:rPr>
                <w:rFonts w:ascii="Times New Roman" w:hAnsi="Times New Roman"/>
                <w:b/>
                <w:bCs/>
                <w:sz w:val="24"/>
                <w:szCs w:val="24"/>
              </w:rPr>
              <w:t>四 、 水文</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1、地表水</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泾河新城区域内涉及的河流为泾河，属渭河的一级支流，黄河二级支流。泾河在泾阳县境内从王桥镇谢家沟入境，张家山出谷，东南流至桃源村附近出境。泾阳县境内河长约77km，流域面积634km</w:t>
            </w:r>
            <w:r>
              <w:rPr>
                <w:rFonts w:ascii="Times New Roman" w:hAnsi="Times New Roman"/>
                <w:bCs/>
                <w:sz w:val="24"/>
                <w:szCs w:val="24"/>
                <w:vertAlign w:val="superscript"/>
              </w:rPr>
              <w:t>2</w:t>
            </w:r>
            <w:r>
              <w:rPr>
                <w:rFonts w:ascii="Times New Roman" w:hAnsi="Times New Roman"/>
                <w:bCs/>
                <w:sz w:val="24"/>
                <w:szCs w:val="24"/>
              </w:rPr>
              <w:t>，多年平均径流量18.67亿m</w:t>
            </w:r>
            <w:r>
              <w:rPr>
                <w:rFonts w:ascii="Times New Roman" w:hAnsi="Times New Roman"/>
                <w:bCs/>
                <w:sz w:val="24"/>
                <w:szCs w:val="24"/>
                <w:vertAlign w:val="superscript"/>
              </w:rPr>
              <w:t>3</w:t>
            </w:r>
            <w:r>
              <w:rPr>
                <w:rFonts w:ascii="Times New Roman" w:hAnsi="Times New Roman"/>
                <w:bCs/>
                <w:sz w:val="24"/>
                <w:szCs w:val="24"/>
              </w:rPr>
              <w:t>，平均流量64.1m</w:t>
            </w:r>
            <w:r>
              <w:rPr>
                <w:rFonts w:ascii="Times New Roman" w:hAnsi="Times New Roman"/>
                <w:bCs/>
                <w:sz w:val="24"/>
                <w:szCs w:val="24"/>
                <w:vertAlign w:val="superscript"/>
              </w:rPr>
              <w:t>3</w:t>
            </w:r>
            <w:r>
              <w:rPr>
                <w:rFonts w:ascii="Times New Roman" w:hAnsi="Times New Roman"/>
                <w:bCs/>
                <w:sz w:val="24"/>
                <w:szCs w:val="24"/>
              </w:rPr>
              <w:t>/s，年输沙量2.74亿m</w:t>
            </w:r>
            <w:r>
              <w:rPr>
                <w:rFonts w:ascii="Times New Roman" w:hAnsi="Times New Roman"/>
                <w:bCs/>
                <w:sz w:val="24"/>
                <w:szCs w:val="24"/>
                <w:vertAlign w:val="superscript"/>
              </w:rPr>
              <w:t>3</w:t>
            </w:r>
            <w:r>
              <w:rPr>
                <w:rFonts w:ascii="Times New Roman" w:hAnsi="Times New Roman"/>
                <w:bCs/>
                <w:sz w:val="24"/>
                <w:szCs w:val="24"/>
              </w:rPr>
              <w:t>。新城内泾河长度约为23.50km。</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泾河位于本项目南侧，与本项目直线距离约4.5km。</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2、地下水</w:t>
            </w:r>
          </w:p>
          <w:p>
            <w:pPr>
              <w:pStyle w:val="5"/>
              <w:adjustRightInd w:val="0"/>
              <w:snapToGrid w:val="0"/>
              <w:spacing w:before="0" w:line="360" w:lineRule="auto"/>
              <w:ind w:firstLine="480" w:firstLineChars="200"/>
              <w:rPr>
                <w:rFonts w:ascii="Times New Roman" w:hAnsi="Times New Roman"/>
                <w:bCs/>
                <w:sz w:val="24"/>
                <w:szCs w:val="24"/>
              </w:rPr>
            </w:pPr>
            <w:r>
              <w:rPr>
                <w:rFonts w:ascii="Times New Roman" w:hAnsi="Times New Roman"/>
                <w:bCs/>
                <w:sz w:val="24"/>
                <w:szCs w:val="24"/>
              </w:rPr>
              <w:t>泾河新城所处区域黄土台原区潜水位埋深变化较大，为20～90m。谷区主要富水区分布在泾河漫滩一、二级阶地区，潜水位较浅，一般为 5～30m，含水层岩性为砂、砂砾卵石层，透水性和富水性均好。区域地下水类型以重碳酸型水为主，矿物度小于1g/L，属淡水。</w:t>
            </w:r>
          </w:p>
          <w:p>
            <w:pPr>
              <w:pStyle w:val="5"/>
              <w:adjustRightInd w:val="0"/>
              <w:snapToGrid w:val="0"/>
              <w:spacing w:before="0" w:line="360" w:lineRule="auto"/>
              <w:ind w:firstLine="482" w:firstLineChars="200"/>
              <w:rPr>
                <w:rFonts w:ascii="Times New Roman" w:hAnsi="Times New Roman"/>
                <w:b/>
                <w:bCs/>
                <w:sz w:val="24"/>
                <w:szCs w:val="24"/>
              </w:rPr>
            </w:pPr>
            <w:r>
              <w:rPr>
                <w:rFonts w:ascii="Times New Roman" w:hAnsi="Times New Roman"/>
                <w:b/>
                <w:bCs/>
                <w:sz w:val="24"/>
                <w:szCs w:val="24"/>
              </w:rPr>
              <w:t>五 、植被、生物多样性</w:t>
            </w:r>
          </w:p>
          <w:p>
            <w:pPr>
              <w:ind w:firstLine="480"/>
            </w:pPr>
            <w:r>
              <w:rPr>
                <w:rFonts w:ascii="Times New Roman" w:hAnsi="Times New Roman"/>
                <w:bCs/>
                <w:sz w:val="24"/>
                <w:szCs w:val="24"/>
              </w:rPr>
              <w:t>经现场调查，项目拟建地区域地形较为平坦，植被发育一般，主要为人工栽培的农作物和人工绿化。生物多样性一般，未发现国家及各级保护珍稀植物及野生动植物。</w:t>
            </w:r>
          </w:p>
        </w:tc>
      </w:tr>
    </w:tbl>
    <w:p>
      <w:pPr>
        <w:rPr>
          <w:rFonts w:hint="eastAsia"/>
        </w:rPr>
        <w:sectPr>
          <w:pgSz w:w="11906" w:h="16838"/>
          <w:pgMar w:top="1701" w:right="1588" w:bottom="1701" w:left="1588" w:header="851" w:footer="1134" w:gutter="0"/>
          <w:pgBorders>
            <w:top w:val="none" w:sz="0" w:space="0"/>
            <w:left w:val="none" w:sz="0" w:space="0"/>
            <w:bottom w:val="none" w:sz="0" w:space="0"/>
            <w:right w:val="none" w:sz="0" w:space="0"/>
          </w:pgBorders>
          <w:pgNumType w:fmt="decimal"/>
          <w:cols w:space="720" w:num="1"/>
          <w:docGrid w:type="lines" w:linePitch="312" w:charSpace="0"/>
        </w:sectPr>
      </w:pPr>
      <w:bookmarkStart w:id="4" w:name="_Toc478030059"/>
    </w:p>
    <w:p>
      <w:pPr>
        <w:pStyle w:val="23"/>
        <w:outlineLvl w:val="0"/>
      </w:pPr>
      <w:r>
        <w:rPr>
          <w:rFonts w:hint="eastAsia"/>
        </w:rPr>
        <w:t>环境质量现状</w:t>
      </w:r>
      <w:bookmarkEnd w:id="4"/>
    </w:p>
    <w:tbl>
      <w:tblPr>
        <w:tblStyle w:val="21"/>
        <w:tblW w:w="884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87" w:hRule="atLeast"/>
        </w:trPr>
        <w:tc>
          <w:tcPr>
            <w:tcW w:w="8845" w:type="dxa"/>
            <w:tcBorders>
              <w:tl2br w:val="nil"/>
              <w:tr2bl w:val="nil"/>
            </w:tcBorders>
            <w:vAlign w:val="top"/>
          </w:tcPr>
          <w:p>
            <w:pPr>
              <w:spacing w:line="600" w:lineRule="exact"/>
              <w:ind w:firstLine="0" w:firstLineChars="0"/>
            </w:pPr>
            <w:r>
              <w:rPr>
                <w:rFonts w:hint="eastAsia"/>
              </w:rPr>
              <w:t>建设项目所在地区域环境质量现状及主要环境问题（环境空气、声环境、等）</w:t>
            </w:r>
          </w:p>
          <w:p>
            <w:pPr>
              <w:ind w:firstLine="480"/>
            </w:pPr>
            <w:r>
              <w:rPr>
                <w:rFonts w:hint="eastAsia"/>
              </w:rPr>
              <w:t>为了解项目区的环境质量现状，特委托</w:t>
            </w:r>
            <w:r>
              <w:rPr>
                <w:rFonts w:hint="eastAsia"/>
                <w:lang w:eastAsia="zh-CN"/>
              </w:rPr>
              <w:t>陕西盛中建环境科技有限公司</w:t>
            </w:r>
            <w:r>
              <w:rPr>
                <w:rFonts w:hint="eastAsia"/>
              </w:rPr>
              <w:t>对项目所在地进行了环境现状质量监测，并出具《</w:t>
            </w:r>
            <w:r>
              <w:rPr>
                <w:rFonts w:hint="eastAsia"/>
                <w:lang w:eastAsia="zh-CN"/>
              </w:rPr>
              <w:t>陕西润业工贸有限公司陕西润业工贸防冻液生产项目监测报告</w:t>
            </w:r>
            <w:r>
              <w:rPr>
                <w:rFonts w:hint="eastAsia"/>
              </w:rPr>
              <w:t>》；详见附件4。</w:t>
            </w:r>
          </w:p>
          <w:p>
            <w:pPr>
              <w:numPr>
                <w:ilvl w:val="0"/>
                <w:numId w:val="2"/>
              </w:numPr>
              <w:ind w:firstLine="0" w:firstLineChars="0"/>
            </w:pPr>
            <w:r>
              <w:rPr>
                <w:rFonts w:hint="eastAsia"/>
              </w:rPr>
              <w:t>环境空气质量现状</w:t>
            </w:r>
          </w:p>
          <w:p>
            <w:pPr>
              <w:ind w:firstLine="480" w:firstLineChars="0"/>
            </w:pPr>
            <w:r>
              <w:fldChar w:fldCharType="begin"/>
            </w:r>
            <w:r>
              <w:rPr>
                <w:rFonts w:hint="eastAsia"/>
              </w:rPr>
              <w:instrText xml:space="preserve">= 1 \* GB3</w:instrText>
            </w:r>
            <w:r>
              <w:fldChar w:fldCharType="separate"/>
            </w:r>
            <w:r>
              <w:rPr>
                <w:rFonts w:hint="eastAsia"/>
              </w:rPr>
              <w:t>①</w:t>
            </w:r>
            <w:r>
              <w:fldChar w:fldCharType="end"/>
            </w:r>
            <w:r>
              <w:rPr>
                <w:rFonts w:hint="eastAsia"/>
              </w:rPr>
              <w:t>监测项目：PM</w:t>
            </w:r>
            <w:r>
              <w:rPr>
                <w:rFonts w:hint="eastAsia"/>
                <w:vertAlign w:val="subscript"/>
                <w:lang w:val="en-US" w:eastAsia="zh-CN"/>
              </w:rPr>
              <w:t>10</w:t>
            </w:r>
            <w:r>
              <w:rPr>
                <w:rFonts w:hint="eastAsia"/>
              </w:rPr>
              <w:t>、SO</w:t>
            </w:r>
            <w:r>
              <w:rPr>
                <w:rFonts w:hint="eastAsia"/>
                <w:vertAlign w:val="subscript"/>
              </w:rPr>
              <w:t>2</w:t>
            </w:r>
            <w:r>
              <w:rPr>
                <w:rFonts w:hint="eastAsia"/>
              </w:rPr>
              <w:t>、NO</w:t>
            </w:r>
            <w:r>
              <w:rPr>
                <w:rFonts w:hint="eastAsia"/>
                <w:szCs w:val="22"/>
                <w:vertAlign w:val="subscript"/>
              </w:rPr>
              <w:t>2</w:t>
            </w:r>
            <w:r>
              <w:rPr>
                <w:rFonts w:hint="eastAsia"/>
              </w:rPr>
              <w:t>。</w:t>
            </w:r>
          </w:p>
          <w:p>
            <w:pPr>
              <w:ind w:firstLine="480"/>
            </w:pPr>
            <w:r>
              <w:fldChar w:fldCharType="begin"/>
            </w:r>
            <w:r>
              <w:rPr>
                <w:rFonts w:hint="eastAsia"/>
              </w:rPr>
              <w:instrText xml:space="preserve">= 2 \* GB3</w:instrText>
            </w:r>
            <w:r>
              <w:fldChar w:fldCharType="separate"/>
            </w:r>
            <w:r>
              <w:rPr>
                <w:rFonts w:hint="eastAsia"/>
              </w:rPr>
              <w:t>②</w:t>
            </w:r>
            <w:r>
              <w:fldChar w:fldCharType="end"/>
            </w:r>
            <w:r>
              <w:rPr>
                <w:rFonts w:hint="eastAsia"/>
              </w:rPr>
              <w:t>监测点位：设2个监测点位（分别为</w:t>
            </w:r>
            <w:r>
              <w:rPr>
                <w:rFonts w:hint="eastAsia"/>
                <w:lang w:val="en-US" w:eastAsia="zh-CN"/>
              </w:rPr>
              <w:t>1#</w:t>
            </w:r>
            <w:r>
              <w:rPr>
                <w:rFonts w:hint="eastAsia"/>
                <w:lang w:eastAsia="zh-CN"/>
              </w:rPr>
              <w:t>二青王</w:t>
            </w:r>
            <w:r>
              <w:rPr>
                <w:rFonts w:hint="eastAsia"/>
              </w:rPr>
              <w:t>、</w:t>
            </w:r>
            <w:r>
              <w:rPr>
                <w:rFonts w:hint="eastAsia"/>
                <w:lang w:val="en-US" w:eastAsia="zh-CN"/>
              </w:rPr>
              <w:t>2#</w:t>
            </w:r>
            <w:r>
              <w:rPr>
                <w:rFonts w:hint="eastAsia"/>
                <w:lang w:eastAsia="zh-CN"/>
              </w:rPr>
              <w:t>河南村</w:t>
            </w:r>
            <w:r>
              <w:rPr>
                <w:rFonts w:hint="eastAsia"/>
              </w:rPr>
              <w:t>）；见附图。</w:t>
            </w:r>
          </w:p>
          <w:p>
            <w:pPr>
              <w:ind w:firstLine="480"/>
            </w:pPr>
            <w:r>
              <w:rPr>
                <w:rFonts w:hint="eastAsia"/>
              </w:rPr>
              <w:t>③监测时间及频次：PM</w:t>
            </w:r>
            <w:r>
              <w:rPr>
                <w:rFonts w:hint="eastAsia"/>
                <w:szCs w:val="22"/>
                <w:vertAlign w:val="subscript"/>
                <w:lang w:val="en-US" w:eastAsia="zh-CN"/>
              </w:rPr>
              <w:t>10</w:t>
            </w:r>
            <w:r>
              <w:rPr>
                <w:rFonts w:hint="eastAsia"/>
              </w:rPr>
              <w:t>、SO</w:t>
            </w:r>
            <w:r>
              <w:rPr>
                <w:rFonts w:hint="eastAsia"/>
                <w:vertAlign w:val="subscript"/>
              </w:rPr>
              <w:t>2</w:t>
            </w:r>
            <w:r>
              <w:rPr>
                <w:rFonts w:hint="eastAsia"/>
              </w:rPr>
              <w:t>、NO</w:t>
            </w:r>
            <w:r>
              <w:rPr>
                <w:rFonts w:hint="eastAsia"/>
                <w:szCs w:val="22"/>
                <w:vertAlign w:val="subscript"/>
              </w:rPr>
              <w:t>2</w:t>
            </w:r>
            <w:r>
              <w:rPr>
                <w:rFonts w:hint="eastAsia"/>
              </w:rPr>
              <w:t>连续监测7天。本次空气环境监测时段为2018年</w:t>
            </w:r>
            <w:r>
              <w:rPr>
                <w:rFonts w:hint="eastAsia"/>
                <w:lang w:val="en-US" w:eastAsia="zh-CN"/>
              </w:rPr>
              <w:t>10</w:t>
            </w:r>
            <w:r>
              <w:rPr>
                <w:rFonts w:hint="eastAsia"/>
              </w:rPr>
              <w:t>月2</w:t>
            </w:r>
            <w:r>
              <w:rPr>
                <w:rFonts w:hint="eastAsia"/>
                <w:lang w:val="en-US" w:eastAsia="zh-CN"/>
              </w:rPr>
              <w:t>1</w:t>
            </w:r>
            <w:r>
              <w:rPr>
                <w:rFonts w:hint="eastAsia"/>
              </w:rPr>
              <w:t>日~</w:t>
            </w:r>
            <w:r>
              <w:rPr>
                <w:rFonts w:hint="eastAsia"/>
                <w:lang w:val="en-US" w:eastAsia="zh-CN"/>
              </w:rPr>
              <w:t>10</w:t>
            </w:r>
            <w:r>
              <w:rPr>
                <w:rFonts w:hint="eastAsia"/>
              </w:rPr>
              <w:t>月</w:t>
            </w:r>
            <w:r>
              <w:rPr>
                <w:rFonts w:hint="eastAsia"/>
                <w:lang w:val="en-US" w:eastAsia="zh-CN"/>
              </w:rPr>
              <w:t>27</w:t>
            </w:r>
            <w:r>
              <w:rPr>
                <w:rFonts w:hint="eastAsia"/>
              </w:rPr>
              <w:t>日。</w:t>
            </w:r>
          </w:p>
          <w:p>
            <w:pPr>
              <w:ind w:firstLine="480"/>
            </w:pPr>
            <w:r>
              <w:rPr>
                <w:rFonts w:hint="eastAsia"/>
              </w:rPr>
              <w:t>SO</w:t>
            </w:r>
            <w:r>
              <w:rPr>
                <w:rFonts w:hint="eastAsia"/>
                <w:vertAlign w:val="subscript"/>
              </w:rPr>
              <w:t>2</w:t>
            </w:r>
            <w:r>
              <w:rPr>
                <w:rFonts w:hint="eastAsia"/>
              </w:rPr>
              <w:t>、NO</w:t>
            </w:r>
            <w:r>
              <w:rPr>
                <w:rFonts w:hint="eastAsia"/>
                <w:szCs w:val="22"/>
                <w:vertAlign w:val="subscript"/>
              </w:rPr>
              <w:t>2</w:t>
            </w:r>
            <w:r>
              <w:rPr>
                <w:rFonts w:hint="eastAsia"/>
              </w:rPr>
              <w:t>监测1小时值和24小时均值，PM</w:t>
            </w:r>
            <w:r>
              <w:rPr>
                <w:rFonts w:hint="eastAsia"/>
                <w:vertAlign w:val="subscript"/>
                <w:lang w:val="en-US" w:eastAsia="zh-CN"/>
              </w:rPr>
              <w:t>10</w:t>
            </w:r>
            <w:r>
              <w:rPr>
                <w:rFonts w:hint="eastAsia"/>
              </w:rPr>
              <w:t>只监测24小时均值。</w:t>
            </w:r>
          </w:p>
          <w:p>
            <w:pPr>
              <w:ind w:firstLine="480"/>
            </w:pPr>
            <w:r>
              <w:rPr>
                <w:rFonts w:hint="eastAsia"/>
              </w:rPr>
              <w:t>小时值监测：SO</w:t>
            </w:r>
            <w:r>
              <w:rPr>
                <w:rFonts w:hint="eastAsia"/>
                <w:vertAlign w:val="subscript"/>
              </w:rPr>
              <w:t>2</w:t>
            </w:r>
            <w:r>
              <w:rPr>
                <w:rFonts w:hint="eastAsia"/>
              </w:rPr>
              <w:t>、NO</w:t>
            </w:r>
            <w:r>
              <w:rPr>
                <w:rFonts w:hint="eastAsia"/>
                <w:szCs w:val="22"/>
                <w:vertAlign w:val="subscript"/>
              </w:rPr>
              <w:t>2</w:t>
            </w:r>
            <w:r>
              <w:rPr>
                <w:rFonts w:hint="eastAsia"/>
              </w:rPr>
              <w:t>每天采样4次，采样时间为北京时间</w:t>
            </w:r>
            <w:r>
              <w:t>02：00、08：00、14：00和20：00</w:t>
            </w:r>
            <w:r>
              <w:rPr>
                <w:rFonts w:hint="eastAsia"/>
              </w:rPr>
              <w:t>。每次采样不少于45min；</w:t>
            </w:r>
          </w:p>
          <w:p>
            <w:pPr>
              <w:ind w:firstLine="480"/>
              <w:rPr>
                <w:rFonts w:hint="eastAsia"/>
              </w:rPr>
            </w:pPr>
            <w:r>
              <w:rPr>
                <w:rFonts w:hint="eastAsia"/>
              </w:rPr>
              <w:t>24小时均值监测：SO</w:t>
            </w:r>
            <w:r>
              <w:rPr>
                <w:rFonts w:hint="eastAsia"/>
                <w:vertAlign w:val="subscript"/>
              </w:rPr>
              <w:t>2</w:t>
            </w:r>
            <w:r>
              <w:rPr>
                <w:rFonts w:hint="eastAsia"/>
              </w:rPr>
              <w:t>、NO</w:t>
            </w:r>
            <w:r>
              <w:rPr>
                <w:rFonts w:hint="eastAsia"/>
                <w:szCs w:val="22"/>
                <w:vertAlign w:val="subscript"/>
              </w:rPr>
              <w:t>2</w:t>
            </w:r>
            <w:r>
              <w:rPr>
                <w:rFonts w:hint="eastAsia"/>
              </w:rPr>
              <w:t>、PM</w:t>
            </w:r>
            <w:r>
              <w:rPr>
                <w:rFonts w:hint="eastAsia"/>
                <w:szCs w:val="22"/>
                <w:vertAlign w:val="subscript"/>
                <w:lang w:val="en-US" w:eastAsia="zh-CN"/>
              </w:rPr>
              <w:t>10</w:t>
            </w:r>
            <w:r>
              <w:rPr>
                <w:rFonts w:hint="eastAsia"/>
              </w:rPr>
              <w:t>每天监测连续采20小时样。</w:t>
            </w:r>
          </w:p>
          <w:p>
            <w:pPr>
              <w:ind w:firstLine="480"/>
            </w:pPr>
            <w:r>
              <w:rPr>
                <w:rFonts w:hint="eastAsia"/>
              </w:rPr>
              <w:t>④环境空气质量现状监测结果：具体的监测结果见表</w:t>
            </w:r>
            <w:r>
              <w:rPr>
                <w:rFonts w:hint="eastAsia"/>
                <w:lang w:val="en-US" w:eastAsia="zh-CN"/>
              </w:rPr>
              <w:t>3-1</w:t>
            </w:r>
            <w:r>
              <w:rPr>
                <w:rFonts w:hint="eastAsia"/>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b/>
                <w:bCs/>
                <w:lang w:eastAsia="zh-CN"/>
              </w:rPr>
            </w:pPr>
            <w:r>
              <w:rPr>
                <w:rFonts w:hint="eastAsia"/>
                <w:b/>
                <w:bCs/>
                <w:lang w:eastAsia="zh-CN"/>
              </w:rPr>
              <w:t>表</w:t>
            </w:r>
            <w:r>
              <w:rPr>
                <w:rFonts w:hint="eastAsia"/>
                <w:b/>
                <w:bCs/>
                <w:lang w:val="en-US" w:eastAsia="zh-CN"/>
              </w:rPr>
              <w:t xml:space="preserve">3-1   </w:t>
            </w:r>
            <w:r>
              <w:rPr>
                <w:rFonts w:hint="eastAsia"/>
                <w:b/>
                <w:bCs/>
                <w:lang w:eastAsia="zh-CN"/>
              </w:rPr>
              <w:t>境空气环境质量监测结果（单位：</w:t>
            </w:r>
            <w:r>
              <w:rPr>
                <w:rFonts w:hint="default"/>
                <w:b/>
                <w:bCs/>
                <w:lang w:eastAsia="zh-CN"/>
              </w:rPr>
              <w:t>μ</w:t>
            </w:r>
            <w:r>
              <w:rPr>
                <w:rFonts w:hint="eastAsia"/>
                <w:b/>
                <w:bCs/>
                <w:lang w:eastAsia="zh-CN"/>
              </w:rPr>
              <w:t>g/m</w:t>
            </w:r>
            <w:r>
              <w:rPr>
                <w:rFonts w:hint="eastAsia"/>
                <w:b/>
                <w:bCs/>
                <w:vertAlign w:val="superscript"/>
                <w:lang w:eastAsia="zh-CN"/>
              </w:rPr>
              <w:t>3</w:t>
            </w:r>
            <w:r>
              <w:rPr>
                <w:rFonts w:hint="eastAsia"/>
                <w:b/>
                <w:bCs/>
                <w:lang w:eastAsia="zh-CN"/>
              </w:rPr>
              <w:t>）</w:t>
            </w:r>
          </w:p>
          <w:tbl>
            <w:tblPr>
              <w:tblStyle w:val="20"/>
              <w:tblW w:w="774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427"/>
              <w:gridCol w:w="1"/>
              <w:gridCol w:w="1057"/>
              <w:gridCol w:w="1"/>
              <w:gridCol w:w="1076"/>
              <w:gridCol w:w="1"/>
              <w:gridCol w:w="1"/>
              <w:gridCol w:w="1057"/>
              <w:gridCol w:w="1"/>
              <w:gridCol w:w="1114"/>
              <w:gridCol w:w="2"/>
              <w:gridCol w:w="1"/>
              <w:gridCol w:w="1139"/>
              <w:gridCol w:w="2"/>
              <w:gridCol w:w="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2"/>
                <w:wAfter w:w="3" w:type="dxa"/>
                <w:trHeight w:val="397" w:hRule="atLeast"/>
                <w:jc w:val="center"/>
              </w:trPr>
              <w:tc>
                <w:tcPr>
                  <w:tcW w:w="867" w:type="dxa"/>
                  <w:vMerge w:val="restart"/>
                  <w:tcBorders>
                    <w:tl2br w:val="nil"/>
                    <w:tr2bl w:val="nil"/>
                  </w:tcBorders>
                  <w:vAlign w:val="center"/>
                </w:tcPr>
                <w:p>
                  <w:pPr>
                    <w:autoSpaceDE w:val="0"/>
                    <w:autoSpaceDN w:val="0"/>
                    <w:spacing w:line="240" w:lineRule="auto"/>
                    <w:ind w:firstLine="0" w:firstLineChars="0"/>
                    <w:jc w:val="center"/>
                    <w:rPr>
                      <w:sz w:val="21"/>
                      <w:szCs w:val="21"/>
                    </w:rPr>
                  </w:pPr>
                  <w:r>
                    <w:rPr>
                      <w:sz w:val="21"/>
                      <w:szCs w:val="21"/>
                    </w:rPr>
                    <w:t>监测</w:t>
                  </w:r>
                </w:p>
                <w:p>
                  <w:pPr>
                    <w:autoSpaceDE w:val="0"/>
                    <w:autoSpaceDN w:val="0"/>
                    <w:spacing w:line="240" w:lineRule="auto"/>
                    <w:ind w:firstLine="0" w:firstLineChars="0"/>
                    <w:jc w:val="center"/>
                    <w:rPr>
                      <w:sz w:val="21"/>
                      <w:szCs w:val="21"/>
                    </w:rPr>
                  </w:pPr>
                  <w:r>
                    <w:rPr>
                      <w:sz w:val="21"/>
                      <w:szCs w:val="21"/>
                    </w:rPr>
                    <w:t>点位</w:t>
                  </w:r>
                </w:p>
              </w:tc>
              <w:tc>
                <w:tcPr>
                  <w:tcW w:w="1427" w:type="dxa"/>
                  <w:vMerge w:val="restart"/>
                  <w:tcBorders>
                    <w:tl2br w:val="nil"/>
                    <w:tr2bl w:val="nil"/>
                  </w:tcBorders>
                  <w:vAlign w:val="center"/>
                </w:tcPr>
                <w:p>
                  <w:pPr>
                    <w:autoSpaceDE w:val="0"/>
                    <w:autoSpaceDN w:val="0"/>
                    <w:spacing w:line="240" w:lineRule="auto"/>
                    <w:ind w:firstLine="0" w:firstLineChars="0"/>
                    <w:jc w:val="center"/>
                    <w:rPr>
                      <w:sz w:val="21"/>
                      <w:szCs w:val="21"/>
                    </w:rPr>
                  </w:pPr>
                  <w:r>
                    <w:rPr>
                      <w:sz w:val="21"/>
                      <w:szCs w:val="21"/>
                    </w:rPr>
                    <w:t>监测日期</w:t>
                  </w:r>
                </w:p>
              </w:tc>
              <w:tc>
                <w:tcPr>
                  <w:tcW w:w="2135" w:type="dxa"/>
                  <w:gridSpan w:val="4"/>
                  <w:tcBorders>
                    <w:tl2br w:val="nil"/>
                    <w:tr2bl w:val="nil"/>
                  </w:tcBorders>
                  <w:vAlign w:val="center"/>
                </w:tcPr>
                <w:p>
                  <w:pPr>
                    <w:autoSpaceDE w:val="0"/>
                    <w:autoSpaceDN w:val="0"/>
                    <w:spacing w:line="240" w:lineRule="auto"/>
                    <w:ind w:firstLine="0" w:firstLineChars="0"/>
                    <w:jc w:val="center"/>
                    <w:rPr>
                      <w:sz w:val="21"/>
                      <w:szCs w:val="21"/>
                    </w:rPr>
                  </w:pPr>
                  <w:r>
                    <w:rPr>
                      <w:rFonts w:hint="eastAsia"/>
                    </w:rPr>
                    <w:t>SO</w:t>
                  </w:r>
                  <w:r>
                    <w:rPr>
                      <w:rFonts w:hint="eastAsia"/>
                      <w:vertAlign w:val="subscript"/>
                    </w:rPr>
                    <w:t>2</w:t>
                  </w:r>
                </w:p>
              </w:tc>
              <w:tc>
                <w:tcPr>
                  <w:tcW w:w="2174" w:type="dxa"/>
                  <w:gridSpan w:val="5"/>
                  <w:tcBorders>
                    <w:tl2br w:val="nil"/>
                    <w:tr2bl w:val="nil"/>
                  </w:tcBorders>
                  <w:vAlign w:val="center"/>
                </w:tcPr>
                <w:p>
                  <w:pPr>
                    <w:autoSpaceDE w:val="0"/>
                    <w:autoSpaceDN w:val="0"/>
                    <w:spacing w:line="240" w:lineRule="auto"/>
                    <w:ind w:firstLine="0" w:firstLineChars="0"/>
                    <w:jc w:val="center"/>
                    <w:rPr>
                      <w:sz w:val="21"/>
                      <w:szCs w:val="21"/>
                    </w:rPr>
                  </w:pPr>
                  <w:r>
                    <w:rPr>
                      <w:rFonts w:hint="eastAsia"/>
                    </w:rPr>
                    <w:t>NO</w:t>
                  </w:r>
                  <w:r>
                    <w:rPr>
                      <w:rFonts w:hint="eastAsia"/>
                      <w:szCs w:val="22"/>
                      <w:vertAlign w:val="subscript"/>
                    </w:rPr>
                    <w:t>2</w:t>
                  </w:r>
                </w:p>
              </w:tc>
              <w:tc>
                <w:tcPr>
                  <w:tcW w:w="1142"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sz w:val="21"/>
                      <w:szCs w:val="21"/>
                    </w:rPr>
                    <w:t>PM</w:t>
                  </w:r>
                  <w:r>
                    <w:rPr>
                      <w:rFonts w:hint="eastAsia"/>
                      <w:szCs w:val="22"/>
                      <w:vertAlign w:val="subscript"/>
                      <w:lang w:val="en-US" w:eastAsia="zh-CN"/>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058" w:type="dxa"/>
                  <w:gridSpan w:val="2"/>
                  <w:tcBorders>
                    <w:tl2br w:val="nil"/>
                    <w:tr2bl w:val="nil"/>
                  </w:tcBorders>
                  <w:vAlign w:val="center"/>
                </w:tcPr>
                <w:p>
                  <w:pPr>
                    <w:autoSpaceDE w:val="0"/>
                    <w:autoSpaceDN w:val="0"/>
                    <w:spacing w:line="240" w:lineRule="auto"/>
                    <w:ind w:firstLine="0" w:firstLineChars="0"/>
                    <w:jc w:val="center"/>
                    <w:rPr>
                      <w:sz w:val="21"/>
                      <w:szCs w:val="21"/>
                    </w:rPr>
                  </w:pPr>
                  <w:r>
                    <w:rPr>
                      <w:sz w:val="21"/>
                      <w:szCs w:val="21"/>
                    </w:rPr>
                    <w:t>1小时</w:t>
                  </w:r>
                </w:p>
                <w:p>
                  <w:pPr>
                    <w:autoSpaceDE w:val="0"/>
                    <w:autoSpaceDN w:val="0"/>
                    <w:spacing w:line="240" w:lineRule="auto"/>
                    <w:ind w:firstLine="0" w:firstLineChars="0"/>
                    <w:jc w:val="center"/>
                    <w:rPr>
                      <w:rFonts w:hint="eastAsia"/>
                      <w:sz w:val="21"/>
                      <w:szCs w:val="21"/>
                      <w:lang w:eastAsia="zh-CN"/>
                    </w:rPr>
                  </w:pPr>
                  <w:r>
                    <w:rPr>
                      <w:sz w:val="21"/>
                      <w:szCs w:val="21"/>
                    </w:rPr>
                    <w:t>平均</w:t>
                  </w:r>
                  <w:r>
                    <w:rPr>
                      <w:rFonts w:hint="eastAsia"/>
                      <w:sz w:val="21"/>
                      <w:szCs w:val="21"/>
                    </w:rPr>
                    <w:t>值</w:t>
                  </w:r>
                  <w:r>
                    <w:rPr>
                      <w:rFonts w:hint="eastAsia"/>
                      <w:sz w:val="21"/>
                      <w:szCs w:val="21"/>
                      <w:lang w:eastAsia="zh-CN"/>
                    </w:rPr>
                    <w:t>范围</w:t>
                  </w:r>
                </w:p>
              </w:tc>
              <w:tc>
                <w:tcPr>
                  <w:tcW w:w="1078" w:type="dxa"/>
                  <w:gridSpan w:val="3"/>
                  <w:tcBorders>
                    <w:tl2br w:val="nil"/>
                    <w:tr2bl w:val="nil"/>
                  </w:tcBorders>
                  <w:vAlign w:val="center"/>
                </w:tcPr>
                <w:p>
                  <w:pPr>
                    <w:autoSpaceDE w:val="0"/>
                    <w:autoSpaceDN w:val="0"/>
                    <w:spacing w:line="240" w:lineRule="auto"/>
                    <w:ind w:firstLine="0" w:firstLineChars="0"/>
                    <w:jc w:val="center"/>
                    <w:rPr>
                      <w:sz w:val="21"/>
                      <w:szCs w:val="21"/>
                    </w:rPr>
                  </w:pPr>
                  <w:r>
                    <w:rPr>
                      <w:rFonts w:hint="eastAsia"/>
                      <w:sz w:val="21"/>
                      <w:szCs w:val="21"/>
                    </w:rPr>
                    <w:t>24小时</w:t>
                  </w:r>
                  <w:r>
                    <w:rPr>
                      <w:sz w:val="21"/>
                      <w:szCs w:val="21"/>
                    </w:rPr>
                    <w:t>平均</w:t>
                  </w:r>
                  <w:r>
                    <w:rPr>
                      <w:rFonts w:hint="eastAsia"/>
                      <w:sz w:val="21"/>
                      <w:szCs w:val="21"/>
                    </w:rPr>
                    <w:t>值</w:t>
                  </w:r>
                </w:p>
              </w:tc>
              <w:tc>
                <w:tcPr>
                  <w:tcW w:w="1058" w:type="dxa"/>
                  <w:gridSpan w:val="2"/>
                  <w:tcBorders>
                    <w:tl2br w:val="nil"/>
                    <w:tr2bl w:val="nil"/>
                  </w:tcBorders>
                  <w:vAlign w:val="center"/>
                </w:tcPr>
                <w:p>
                  <w:pPr>
                    <w:autoSpaceDE w:val="0"/>
                    <w:autoSpaceDN w:val="0"/>
                    <w:spacing w:line="240" w:lineRule="auto"/>
                    <w:ind w:firstLine="0" w:firstLineChars="0"/>
                    <w:jc w:val="center"/>
                    <w:rPr>
                      <w:sz w:val="21"/>
                      <w:szCs w:val="21"/>
                    </w:rPr>
                  </w:pPr>
                  <w:r>
                    <w:rPr>
                      <w:sz w:val="21"/>
                      <w:szCs w:val="21"/>
                    </w:rPr>
                    <w:t>1小时</w:t>
                  </w:r>
                </w:p>
                <w:p>
                  <w:pPr>
                    <w:autoSpaceDE w:val="0"/>
                    <w:autoSpaceDN w:val="0"/>
                    <w:spacing w:line="240" w:lineRule="auto"/>
                    <w:ind w:firstLine="0" w:firstLineChars="0"/>
                    <w:jc w:val="center"/>
                    <w:rPr>
                      <w:rFonts w:hint="eastAsia"/>
                      <w:sz w:val="21"/>
                      <w:szCs w:val="21"/>
                      <w:lang w:eastAsia="zh-CN"/>
                    </w:rPr>
                  </w:pPr>
                  <w:r>
                    <w:rPr>
                      <w:sz w:val="21"/>
                      <w:szCs w:val="21"/>
                    </w:rPr>
                    <w:t>平均</w:t>
                  </w:r>
                  <w:r>
                    <w:rPr>
                      <w:rFonts w:hint="eastAsia"/>
                      <w:sz w:val="21"/>
                      <w:szCs w:val="21"/>
                    </w:rPr>
                    <w:t>值</w:t>
                  </w:r>
                  <w:r>
                    <w:rPr>
                      <w:rFonts w:hint="eastAsia"/>
                      <w:sz w:val="21"/>
                      <w:szCs w:val="21"/>
                      <w:lang w:eastAsia="zh-CN"/>
                    </w:rPr>
                    <w:t>范围</w:t>
                  </w:r>
                </w:p>
              </w:tc>
              <w:tc>
                <w:tcPr>
                  <w:tcW w:w="1117" w:type="dxa"/>
                  <w:gridSpan w:val="3"/>
                  <w:tcBorders>
                    <w:tl2br w:val="nil"/>
                    <w:tr2bl w:val="nil"/>
                  </w:tcBorders>
                  <w:vAlign w:val="center"/>
                </w:tcPr>
                <w:p>
                  <w:pPr>
                    <w:autoSpaceDE w:val="0"/>
                    <w:autoSpaceDN w:val="0"/>
                    <w:spacing w:line="240" w:lineRule="auto"/>
                    <w:ind w:firstLine="0" w:firstLineChars="0"/>
                    <w:jc w:val="center"/>
                    <w:rPr>
                      <w:sz w:val="21"/>
                      <w:szCs w:val="21"/>
                    </w:rPr>
                  </w:pPr>
                  <w:r>
                    <w:rPr>
                      <w:rFonts w:hint="eastAsia"/>
                      <w:sz w:val="21"/>
                      <w:szCs w:val="21"/>
                    </w:rPr>
                    <w:t>24小时</w:t>
                  </w:r>
                </w:p>
                <w:p>
                  <w:pPr>
                    <w:autoSpaceDE w:val="0"/>
                    <w:autoSpaceDN w:val="0"/>
                    <w:spacing w:line="240" w:lineRule="auto"/>
                    <w:ind w:firstLine="0" w:firstLineChars="0"/>
                    <w:jc w:val="center"/>
                    <w:rPr>
                      <w:sz w:val="21"/>
                      <w:szCs w:val="21"/>
                    </w:rPr>
                  </w:pPr>
                  <w:r>
                    <w:rPr>
                      <w:sz w:val="21"/>
                      <w:szCs w:val="21"/>
                    </w:rPr>
                    <w:t>平均</w:t>
                  </w:r>
                  <w:r>
                    <w:rPr>
                      <w:rFonts w:hint="eastAsia"/>
                      <w:sz w:val="21"/>
                      <w:szCs w:val="21"/>
                    </w:rPr>
                    <w:t>值</w:t>
                  </w:r>
                </w:p>
              </w:tc>
              <w:tc>
                <w:tcPr>
                  <w:tcW w:w="1142" w:type="dxa"/>
                  <w:gridSpan w:val="3"/>
                  <w:tcBorders>
                    <w:tl2br w:val="nil"/>
                    <w:tr2bl w:val="nil"/>
                  </w:tcBorders>
                  <w:vAlign w:val="center"/>
                </w:tcPr>
                <w:p>
                  <w:pPr>
                    <w:autoSpaceDE w:val="0"/>
                    <w:autoSpaceDN w:val="0"/>
                    <w:spacing w:line="240" w:lineRule="auto"/>
                    <w:ind w:firstLine="0" w:firstLineChars="0"/>
                    <w:jc w:val="center"/>
                    <w:rPr>
                      <w:sz w:val="21"/>
                      <w:szCs w:val="21"/>
                    </w:rPr>
                  </w:pPr>
                  <w:r>
                    <w:rPr>
                      <w:rFonts w:hint="eastAsia"/>
                      <w:sz w:val="21"/>
                      <w:szCs w:val="21"/>
                    </w:rPr>
                    <w:t>24小时</w:t>
                  </w:r>
                  <w:r>
                    <w:rPr>
                      <w:sz w:val="21"/>
                      <w:szCs w:val="21"/>
                    </w:rPr>
                    <w:t>平均</w:t>
                  </w:r>
                  <w:r>
                    <w:rPr>
                      <w:rFonts w:hint="eastAsia"/>
                      <w:sz w:val="21"/>
                      <w:szCs w:val="21"/>
                    </w:rPr>
                    <w:t>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restart"/>
                  <w:tcBorders>
                    <w:tl2br w:val="nil"/>
                    <w:tr2bl w:val="nil"/>
                  </w:tcBorders>
                  <w:vAlign w:val="center"/>
                </w:tcPr>
                <w:p>
                  <w:pPr>
                    <w:autoSpaceDE w:val="0"/>
                    <w:autoSpaceDN w:val="0"/>
                    <w:spacing w:line="240" w:lineRule="auto"/>
                    <w:ind w:firstLine="0" w:firstLineChars="0"/>
                    <w:jc w:val="center"/>
                    <w:rPr>
                      <w:rFonts w:hint="eastAsia"/>
                      <w:sz w:val="21"/>
                      <w:szCs w:val="21"/>
                      <w:lang w:eastAsia="zh-CN"/>
                    </w:rPr>
                  </w:pPr>
                  <w:r>
                    <w:rPr>
                      <w:rFonts w:hint="eastAsia"/>
                      <w:sz w:val="21"/>
                      <w:szCs w:val="21"/>
                      <w:lang w:val="en-US" w:eastAsia="zh-CN"/>
                    </w:rPr>
                    <w:t>1#</w:t>
                  </w:r>
                  <w:r>
                    <w:rPr>
                      <w:rFonts w:hint="eastAsia"/>
                      <w:sz w:val="21"/>
                      <w:szCs w:val="21"/>
                      <w:lang w:eastAsia="zh-CN"/>
                    </w:rPr>
                    <w:t>二青王</w:t>
                  </w: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21</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7~10</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8</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30~39</w:t>
                  </w:r>
                </w:p>
              </w:tc>
              <w:tc>
                <w:tcPr>
                  <w:tcW w:w="1117" w:type="dxa"/>
                  <w:gridSpan w:val="3"/>
                  <w:tcBorders>
                    <w:tl2br w:val="nil"/>
                    <w:tr2bl w:val="nil"/>
                  </w:tcBorders>
                  <w:vAlign w:val="center"/>
                </w:tcPr>
                <w:p>
                  <w:pPr>
                    <w:spacing w:line="280" w:lineRule="exact"/>
                    <w:ind w:left="0" w:leftChars="0" w:firstLine="0" w:firstLineChars="0"/>
                    <w:jc w:val="center"/>
                    <w:rPr>
                      <w:rFonts w:hint="eastAsia"/>
                      <w:sz w:val="21"/>
                      <w:szCs w:val="21"/>
                      <w:lang w:val="en-US" w:eastAsia="zh-CN"/>
                    </w:rPr>
                  </w:pPr>
                  <w:r>
                    <w:rPr>
                      <w:rFonts w:hint="eastAsia"/>
                      <w:sz w:val="21"/>
                      <w:szCs w:val="21"/>
                      <w:lang w:val="en-US" w:eastAsia="zh-CN"/>
                    </w:rPr>
                    <w:t>35</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22</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9~11</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31~43</w:t>
                  </w:r>
                </w:p>
              </w:tc>
              <w:tc>
                <w:tcPr>
                  <w:tcW w:w="1117" w:type="dxa"/>
                  <w:gridSpan w:val="3"/>
                  <w:tcBorders>
                    <w:tl2br w:val="nil"/>
                    <w:tr2bl w:val="nil"/>
                  </w:tcBorders>
                  <w:vAlign w:val="center"/>
                </w:tcPr>
                <w:p>
                  <w:pPr>
                    <w:spacing w:line="280" w:lineRule="exact"/>
                    <w:ind w:left="0" w:leftChars="0" w:firstLine="0" w:firstLineChars="0"/>
                    <w:jc w:val="center"/>
                    <w:rPr>
                      <w:rFonts w:hint="eastAsia"/>
                      <w:sz w:val="21"/>
                      <w:szCs w:val="21"/>
                      <w:lang w:val="en-US" w:eastAsia="zh-CN"/>
                    </w:rPr>
                  </w:pPr>
                  <w:r>
                    <w:rPr>
                      <w:rFonts w:hint="eastAsia"/>
                      <w:sz w:val="21"/>
                      <w:szCs w:val="21"/>
                      <w:lang w:val="en-US" w:eastAsia="zh-CN"/>
                    </w:rPr>
                    <w:t>37</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23</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9~15</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11</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40~50</w:t>
                  </w:r>
                </w:p>
              </w:tc>
              <w:tc>
                <w:tcPr>
                  <w:tcW w:w="1117" w:type="dxa"/>
                  <w:gridSpan w:val="3"/>
                  <w:tcBorders>
                    <w:tl2br w:val="nil"/>
                    <w:tr2bl w:val="nil"/>
                  </w:tcBorders>
                  <w:vAlign w:val="center"/>
                </w:tcPr>
                <w:p>
                  <w:pPr>
                    <w:spacing w:line="280" w:lineRule="exact"/>
                    <w:ind w:left="0" w:leftChars="0" w:firstLine="0" w:firstLineChars="0"/>
                    <w:jc w:val="center"/>
                    <w:rPr>
                      <w:rFonts w:hint="eastAsia"/>
                      <w:sz w:val="21"/>
                      <w:szCs w:val="21"/>
                      <w:lang w:val="en-US" w:eastAsia="zh-CN"/>
                    </w:rPr>
                  </w:pPr>
                  <w:r>
                    <w:rPr>
                      <w:rFonts w:hint="eastAsia"/>
                      <w:sz w:val="21"/>
                      <w:szCs w:val="21"/>
                      <w:lang w:val="en-US" w:eastAsia="zh-CN"/>
                    </w:rPr>
                    <w:t>45</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24</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10~15</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11</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43~53</w:t>
                  </w:r>
                </w:p>
              </w:tc>
              <w:tc>
                <w:tcPr>
                  <w:tcW w:w="1117" w:type="dxa"/>
                  <w:gridSpan w:val="3"/>
                  <w:tcBorders>
                    <w:tl2br w:val="nil"/>
                    <w:tr2bl w:val="nil"/>
                  </w:tcBorders>
                  <w:vAlign w:val="center"/>
                </w:tcPr>
                <w:p>
                  <w:pPr>
                    <w:spacing w:line="280" w:lineRule="exact"/>
                    <w:ind w:left="0" w:leftChars="0" w:firstLine="0" w:firstLineChars="0"/>
                    <w:jc w:val="center"/>
                    <w:rPr>
                      <w:rFonts w:hint="eastAsia"/>
                      <w:sz w:val="21"/>
                      <w:szCs w:val="21"/>
                      <w:lang w:val="en-US" w:eastAsia="zh-CN"/>
                    </w:rPr>
                  </w:pPr>
                  <w:r>
                    <w:rPr>
                      <w:rFonts w:hint="eastAsia"/>
                      <w:sz w:val="21"/>
                      <w:szCs w:val="21"/>
                      <w:lang w:val="en-US" w:eastAsia="zh-CN"/>
                    </w:rPr>
                    <w:t>49</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25</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7~12</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8</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30~41</w:t>
                  </w:r>
                </w:p>
              </w:tc>
              <w:tc>
                <w:tcPr>
                  <w:tcW w:w="1117" w:type="dxa"/>
                  <w:gridSpan w:val="3"/>
                  <w:tcBorders>
                    <w:tl2br w:val="nil"/>
                    <w:tr2bl w:val="nil"/>
                  </w:tcBorders>
                  <w:vAlign w:val="center"/>
                </w:tcPr>
                <w:p>
                  <w:pPr>
                    <w:spacing w:line="280" w:lineRule="exact"/>
                    <w:ind w:left="0" w:leftChars="0" w:firstLine="0" w:firstLineChars="0"/>
                    <w:jc w:val="center"/>
                    <w:rPr>
                      <w:rFonts w:hint="eastAsia"/>
                      <w:sz w:val="21"/>
                      <w:szCs w:val="21"/>
                      <w:lang w:val="en-US" w:eastAsia="zh-CN"/>
                    </w:rPr>
                  </w:pPr>
                  <w:r>
                    <w:rPr>
                      <w:rFonts w:hint="eastAsia"/>
                      <w:sz w:val="21"/>
                      <w:szCs w:val="21"/>
                      <w:lang w:val="en-US" w:eastAsia="zh-CN"/>
                    </w:rPr>
                    <w:t>33</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26</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10~14</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35~47</w:t>
                  </w:r>
                </w:p>
              </w:tc>
              <w:tc>
                <w:tcPr>
                  <w:tcW w:w="1117" w:type="dxa"/>
                  <w:gridSpan w:val="3"/>
                  <w:tcBorders>
                    <w:tl2br w:val="nil"/>
                    <w:tr2bl w:val="nil"/>
                  </w:tcBorders>
                  <w:vAlign w:val="center"/>
                </w:tcPr>
                <w:p>
                  <w:pPr>
                    <w:spacing w:line="280" w:lineRule="exact"/>
                    <w:ind w:left="0" w:leftChars="0" w:firstLine="0" w:firstLineChars="0"/>
                    <w:jc w:val="center"/>
                    <w:rPr>
                      <w:rFonts w:hint="eastAsia"/>
                      <w:sz w:val="21"/>
                      <w:szCs w:val="21"/>
                      <w:lang w:val="en-US" w:eastAsia="zh-CN"/>
                    </w:rPr>
                  </w:pPr>
                  <w:r>
                    <w:rPr>
                      <w:rFonts w:hint="eastAsia"/>
                      <w:sz w:val="21"/>
                      <w:szCs w:val="21"/>
                      <w:lang w:val="en-US" w:eastAsia="zh-CN"/>
                    </w:rPr>
                    <w:t>42</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27</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9~15</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12</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28~45</w:t>
                  </w:r>
                </w:p>
              </w:tc>
              <w:tc>
                <w:tcPr>
                  <w:tcW w:w="1117" w:type="dxa"/>
                  <w:gridSpan w:val="3"/>
                  <w:tcBorders>
                    <w:tl2br w:val="nil"/>
                    <w:tr2bl w:val="nil"/>
                  </w:tcBorders>
                  <w:vAlign w:val="center"/>
                </w:tcPr>
                <w:p>
                  <w:pPr>
                    <w:spacing w:line="280" w:lineRule="exact"/>
                    <w:ind w:left="0" w:leftChars="0" w:firstLine="0" w:firstLineChars="0"/>
                    <w:jc w:val="center"/>
                    <w:rPr>
                      <w:rFonts w:hint="eastAsia"/>
                      <w:sz w:val="21"/>
                      <w:szCs w:val="21"/>
                      <w:lang w:val="en-US" w:eastAsia="zh-CN"/>
                    </w:rPr>
                  </w:pPr>
                  <w:r>
                    <w:rPr>
                      <w:rFonts w:hint="eastAsia"/>
                      <w:sz w:val="21"/>
                      <w:szCs w:val="21"/>
                      <w:lang w:val="en-US" w:eastAsia="zh-CN"/>
                    </w:rPr>
                    <w:t>40</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sz w:val="21"/>
                      <w:szCs w:val="21"/>
                    </w:rPr>
                  </w:pPr>
                  <w:r>
                    <w:rPr>
                      <w:sz w:val="21"/>
                      <w:szCs w:val="21"/>
                    </w:rPr>
                    <w:t>GB3095-2012二级标准限值</w:t>
                  </w:r>
                </w:p>
              </w:tc>
              <w:tc>
                <w:tcPr>
                  <w:tcW w:w="1058" w:type="dxa"/>
                  <w:gridSpan w:val="2"/>
                  <w:tcBorders>
                    <w:tl2br w:val="nil"/>
                    <w:tr2bl w:val="nil"/>
                  </w:tcBorders>
                  <w:vAlign w:val="center"/>
                </w:tcPr>
                <w:p>
                  <w:pPr>
                    <w:spacing w:line="240" w:lineRule="auto"/>
                    <w:ind w:firstLine="0" w:firstLineChars="0"/>
                    <w:jc w:val="center"/>
                    <w:rPr>
                      <w:sz w:val="21"/>
                      <w:szCs w:val="21"/>
                    </w:rPr>
                  </w:pPr>
                  <w:r>
                    <w:rPr>
                      <w:rFonts w:hint="eastAsia"/>
                      <w:sz w:val="21"/>
                      <w:szCs w:val="21"/>
                    </w:rPr>
                    <w:t>500</w:t>
                  </w:r>
                </w:p>
              </w:tc>
              <w:tc>
                <w:tcPr>
                  <w:tcW w:w="1078" w:type="dxa"/>
                  <w:gridSpan w:val="3"/>
                  <w:tcBorders>
                    <w:tl2br w:val="nil"/>
                    <w:tr2bl w:val="nil"/>
                  </w:tcBorders>
                  <w:vAlign w:val="center"/>
                </w:tcPr>
                <w:p>
                  <w:pPr>
                    <w:spacing w:line="240" w:lineRule="auto"/>
                    <w:ind w:firstLine="0" w:firstLineChars="0"/>
                    <w:jc w:val="center"/>
                    <w:rPr>
                      <w:sz w:val="21"/>
                      <w:szCs w:val="21"/>
                    </w:rPr>
                  </w:pPr>
                  <w:r>
                    <w:rPr>
                      <w:rFonts w:hint="eastAsia"/>
                      <w:sz w:val="21"/>
                      <w:szCs w:val="21"/>
                    </w:rPr>
                    <w:t>150</w:t>
                  </w:r>
                </w:p>
              </w:tc>
              <w:tc>
                <w:tcPr>
                  <w:tcW w:w="1058" w:type="dxa"/>
                  <w:gridSpan w:val="2"/>
                  <w:tcBorders>
                    <w:tl2br w:val="nil"/>
                    <w:tr2bl w:val="nil"/>
                  </w:tcBorders>
                  <w:vAlign w:val="center"/>
                </w:tcPr>
                <w:p>
                  <w:pPr>
                    <w:spacing w:line="240" w:lineRule="auto"/>
                    <w:ind w:firstLine="0" w:firstLineChars="0"/>
                    <w:jc w:val="center"/>
                    <w:rPr>
                      <w:sz w:val="21"/>
                      <w:szCs w:val="21"/>
                    </w:rPr>
                  </w:pPr>
                  <w:r>
                    <w:rPr>
                      <w:rFonts w:hint="eastAsia"/>
                      <w:sz w:val="21"/>
                      <w:szCs w:val="21"/>
                    </w:rPr>
                    <w:t>200</w:t>
                  </w:r>
                </w:p>
              </w:tc>
              <w:tc>
                <w:tcPr>
                  <w:tcW w:w="1117" w:type="dxa"/>
                  <w:gridSpan w:val="3"/>
                  <w:tcBorders>
                    <w:tl2br w:val="nil"/>
                    <w:tr2bl w:val="nil"/>
                  </w:tcBorders>
                  <w:vAlign w:val="center"/>
                </w:tcPr>
                <w:p>
                  <w:pPr>
                    <w:spacing w:line="240" w:lineRule="auto"/>
                    <w:ind w:firstLine="0" w:firstLineChars="0"/>
                    <w:jc w:val="center"/>
                    <w:rPr>
                      <w:sz w:val="21"/>
                      <w:szCs w:val="21"/>
                    </w:rPr>
                  </w:pPr>
                  <w:r>
                    <w:rPr>
                      <w:rFonts w:hint="eastAsia"/>
                      <w:sz w:val="21"/>
                      <w:szCs w:val="21"/>
                    </w:rPr>
                    <w:t>80</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sz w:val="21"/>
                      <w:szCs w:val="21"/>
                    </w:rPr>
                  </w:pPr>
                  <w:r>
                    <w:rPr>
                      <w:rFonts w:hint="eastAsia"/>
                      <w:sz w:val="21"/>
                      <w:szCs w:val="21"/>
                    </w:rPr>
                    <w:t>最大浓度占标率</w:t>
                  </w:r>
                  <w:r>
                    <w:rPr>
                      <w:rFonts w:hint="eastAsia"/>
                      <w:sz w:val="21"/>
                      <w:szCs w:val="21"/>
                      <w:lang w:val="en-US" w:eastAsia="zh-CN"/>
                    </w:rPr>
                    <w:t>%</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3.0</w:t>
                  </w:r>
                </w:p>
              </w:tc>
              <w:tc>
                <w:tcPr>
                  <w:tcW w:w="1078"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32.67</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26.5</w:t>
                  </w:r>
                </w:p>
              </w:tc>
              <w:tc>
                <w:tcPr>
                  <w:tcW w:w="1117"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15.0</w:t>
                  </w:r>
                </w:p>
              </w:tc>
              <w:tc>
                <w:tcPr>
                  <w:tcW w:w="1142"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84.67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rPr>
                  </w:pPr>
                  <w:r>
                    <w:rPr>
                      <w:sz w:val="21"/>
                      <w:szCs w:val="21"/>
                    </w:rPr>
                    <w:t>超标率（%）</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0</w:t>
                  </w:r>
                </w:p>
              </w:tc>
              <w:tc>
                <w:tcPr>
                  <w:tcW w:w="1078"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0</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0</w:t>
                  </w:r>
                </w:p>
              </w:tc>
              <w:tc>
                <w:tcPr>
                  <w:tcW w:w="1117"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0</w:t>
                  </w:r>
                </w:p>
              </w:tc>
              <w:tc>
                <w:tcPr>
                  <w:tcW w:w="1142"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rPr>
                  </w:pPr>
                  <w:r>
                    <w:rPr>
                      <w:rFonts w:hint="eastAsia"/>
                      <w:sz w:val="21"/>
                      <w:szCs w:val="21"/>
                      <w:lang w:eastAsia="zh-CN"/>
                    </w:rPr>
                    <w:t>是否达标</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eastAsia="zh-CN"/>
                    </w:rPr>
                    <w:t>达标</w:t>
                  </w:r>
                </w:p>
              </w:tc>
              <w:tc>
                <w:tcPr>
                  <w:tcW w:w="1078" w:type="dxa"/>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rFonts w:hint="eastAsia"/>
                      <w:sz w:val="21"/>
                      <w:szCs w:val="21"/>
                      <w:lang w:val="en-US" w:eastAsia="zh-CN"/>
                    </w:rPr>
                  </w:pPr>
                  <w:r>
                    <w:rPr>
                      <w:rFonts w:hint="eastAsia"/>
                      <w:sz w:val="21"/>
                      <w:szCs w:val="21"/>
                      <w:lang w:eastAsia="zh-CN"/>
                    </w:rPr>
                    <w:t>达标</w:t>
                  </w:r>
                </w:p>
              </w:tc>
              <w:tc>
                <w:tcPr>
                  <w:tcW w:w="1058"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rFonts w:hint="eastAsia"/>
                      <w:sz w:val="21"/>
                      <w:szCs w:val="21"/>
                      <w:lang w:val="en-US" w:eastAsia="zh-CN"/>
                    </w:rPr>
                  </w:pPr>
                  <w:r>
                    <w:rPr>
                      <w:rFonts w:hint="eastAsia"/>
                      <w:sz w:val="21"/>
                      <w:szCs w:val="21"/>
                      <w:lang w:eastAsia="zh-CN"/>
                    </w:rPr>
                    <w:t>达标</w:t>
                  </w:r>
                </w:p>
              </w:tc>
              <w:tc>
                <w:tcPr>
                  <w:tcW w:w="1117" w:type="dxa"/>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rFonts w:hint="eastAsia"/>
                      <w:sz w:val="21"/>
                      <w:szCs w:val="21"/>
                      <w:lang w:val="en-US" w:eastAsia="zh-CN"/>
                    </w:rPr>
                  </w:pPr>
                  <w:r>
                    <w:rPr>
                      <w:rFonts w:hint="eastAsia"/>
                      <w:sz w:val="21"/>
                      <w:szCs w:val="21"/>
                      <w:lang w:eastAsia="zh-CN"/>
                    </w:rPr>
                    <w:t>达标</w:t>
                  </w:r>
                </w:p>
              </w:tc>
              <w:tc>
                <w:tcPr>
                  <w:tcW w:w="1142" w:type="dxa"/>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rFonts w:hint="eastAsia"/>
                      <w:sz w:val="21"/>
                      <w:szCs w:val="21"/>
                      <w:lang w:val="en-US" w:eastAsia="zh-CN"/>
                    </w:rPr>
                  </w:pPr>
                  <w:r>
                    <w:rPr>
                      <w:rFonts w:hint="eastAsia"/>
                      <w:sz w:val="21"/>
                      <w:szCs w:val="21"/>
                      <w:lang w:eastAsia="zh-CN"/>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restart"/>
                  <w:tcBorders>
                    <w:tl2br w:val="nil"/>
                    <w:tr2bl w:val="nil"/>
                  </w:tcBorders>
                  <w:vAlign w:val="center"/>
                </w:tcPr>
                <w:p>
                  <w:pPr>
                    <w:autoSpaceDE w:val="0"/>
                    <w:autoSpaceDN w:val="0"/>
                    <w:spacing w:line="240" w:lineRule="auto"/>
                    <w:ind w:firstLine="0" w:firstLineChars="0"/>
                    <w:jc w:val="center"/>
                    <w:rPr>
                      <w:rFonts w:hint="eastAsia"/>
                      <w:sz w:val="21"/>
                      <w:szCs w:val="21"/>
                      <w:lang w:eastAsia="zh-CN"/>
                    </w:rPr>
                  </w:pPr>
                  <w:r>
                    <w:rPr>
                      <w:rFonts w:hint="eastAsia"/>
                      <w:sz w:val="21"/>
                      <w:szCs w:val="21"/>
                      <w:lang w:val="en-US" w:eastAsia="zh-CN"/>
                    </w:rPr>
                    <w:t>2#河南村</w:t>
                  </w: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21</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8~15</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34~43</w:t>
                  </w:r>
                </w:p>
              </w:tc>
              <w:tc>
                <w:tcPr>
                  <w:tcW w:w="1117"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41</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22</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7~13</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33~46</w:t>
                  </w:r>
                </w:p>
              </w:tc>
              <w:tc>
                <w:tcPr>
                  <w:tcW w:w="1117"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41</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23</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9~16</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12</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32~43</w:t>
                  </w:r>
                </w:p>
              </w:tc>
              <w:tc>
                <w:tcPr>
                  <w:tcW w:w="1117"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39</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24</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8~13</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8</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36~47</w:t>
                  </w:r>
                </w:p>
              </w:tc>
              <w:tc>
                <w:tcPr>
                  <w:tcW w:w="1117"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40</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25</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8~14</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28~36</w:t>
                  </w:r>
                </w:p>
              </w:tc>
              <w:tc>
                <w:tcPr>
                  <w:tcW w:w="1117"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33</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26</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9~17</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11</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36~44</w:t>
                  </w:r>
                </w:p>
              </w:tc>
              <w:tc>
                <w:tcPr>
                  <w:tcW w:w="1117"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42</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867" w:type="dxa"/>
                  <w:vMerge w:val="continue"/>
                  <w:tcBorders>
                    <w:tl2br w:val="nil"/>
                    <w:tr2bl w:val="nil"/>
                  </w:tcBorders>
                  <w:vAlign w:val="center"/>
                </w:tcPr>
                <w:p>
                  <w:pPr>
                    <w:autoSpaceDE w:val="0"/>
                    <w:autoSpaceDN w:val="0"/>
                    <w:spacing w:line="240" w:lineRule="auto"/>
                    <w:ind w:firstLine="0" w:firstLineChars="0"/>
                    <w:jc w:val="center"/>
                    <w:rPr>
                      <w:sz w:val="21"/>
                      <w:szCs w:val="21"/>
                    </w:rPr>
                  </w:pPr>
                </w:p>
              </w:tc>
              <w:tc>
                <w:tcPr>
                  <w:tcW w:w="1427" w:type="dxa"/>
                  <w:tcBorders>
                    <w:tl2br w:val="nil"/>
                    <w:tr2bl w:val="nil"/>
                  </w:tcBorders>
                  <w:vAlign w:val="center"/>
                </w:tcPr>
                <w:p>
                  <w:pPr>
                    <w:spacing w:line="240" w:lineRule="auto"/>
                    <w:ind w:firstLine="0" w:firstLineChars="0"/>
                    <w:jc w:val="center"/>
                    <w:rPr>
                      <w:sz w:val="21"/>
                      <w:szCs w:val="21"/>
                    </w:rPr>
                  </w:pPr>
                  <w:r>
                    <w:rPr>
                      <w:rFonts w:hint="eastAsia"/>
                      <w:sz w:val="21"/>
                      <w:szCs w:val="21"/>
                    </w:rPr>
                    <w:t>2018年</w:t>
                  </w:r>
                  <w:r>
                    <w:rPr>
                      <w:rFonts w:hint="eastAsia"/>
                      <w:sz w:val="21"/>
                      <w:szCs w:val="21"/>
                      <w:lang w:val="en-US" w:eastAsia="zh-CN"/>
                    </w:rPr>
                    <w:t>10</w:t>
                  </w:r>
                  <w:r>
                    <w:rPr>
                      <w:rFonts w:hint="eastAsia"/>
                      <w:sz w:val="21"/>
                      <w:szCs w:val="21"/>
                    </w:rPr>
                    <w:t>月</w:t>
                  </w:r>
                  <w:r>
                    <w:rPr>
                      <w:rFonts w:hint="eastAsia"/>
                      <w:sz w:val="21"/>
                      <w:szCs w:val="21"/>
                      <w:lang w:val="en-US" w:eastAsia="zh-CN"/>
                    </w:rPr>
                    <w:t>27</w:t>
                  </w:r>
                  <w:r>
                    <w:rPr>
                      <w:rFonts w:hint="eastAsia"/>
                      <w:sz w:val="21"/>
                      <w:szCs w:val="21"/>
                    </w:rPr>
                    <w:t>日</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8~13</w:t>
                  </w:r>
                </w:p>
              </w:tc>
              <w:tc>
                <w:tcPr>
                  <w:tcW w:w="1078"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9</w:t>
                  </w:r>
                </w:p>
              </w:tc>
              <w:tc>
                <w:tcPr>
                  <w:tcW w:w="1058" w:type="dxa"/>
                  <w:gridSpan w:val="2"/>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30~40</w:t>
                  </w:r>
                </w:p>
              </w:tc>
              <w:tc>
                <w:tcPr>
                  <w:tcW w:w="1117"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36</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sz w:val="21"/>
                      <w:szCs w:val="21"/>
                    </w:rPr>
                  </w:pPr>
                  <w:r>
                    <w:rPr>
                      <w:sz w:val="21"/>
                      <w:szCs w:val="21"/>
                    </w:rPr>
                    <w:t>GB3095-2012二级标准限值</w:t>
                  </w:r>
                </w:p>
              </w:tc>
              <w:tc>
                <w:tcPr>
                  <w:tcW w:w="1058" w:type="dxa"/>
                  <w:gridSpan w:val="2"/>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500</w:t>
                  </w:r>
                </w:p>
              </w:tc>
              <w:tc>
                <w:tcPr>
                  <w:tcW w:w="1078" w:type="dxa"/>
                  <w:gridSpan w:val="3"/>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150</w:t>
                  </w:r>
                </w:p>
              </w:tc>
              <w:tc>
                <w:tcPr>
                  <w:tcW w:w="1058" w:type="dxa"/>
                  <w:gridSpan w:val="2"/>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200</w:t>
                  </w:r>
                </w:p>
              </w:tc>
              <w:tc>
                <w:tcPr>
                  <w:tcW w:w="1117" w:type="dxa"/>
                  <w:gridSpan w:val="3"/>
                  <w:tcBorders>
                    <w:tl2br w:val="nil"/>
                    <w:tr2bl w:val="nil"/>
                  </w:tcBorders>
                  <w:vAlign w:val="center"/>
                </w:tcPr>
                <w:p>
                  <w:pPr>
                    <w:spacing w:line="240" w:lineRule="auto"/>
                    <w:ind w:firstLine="0" w:firstLineChars="0"/>
                    <w:jc w:val="center"/>
                    <w:rPr>
                      <w:rFonts w:hint="eastAsia"/>
                      <w:sz w:val="21"/>
                      <w:szCs w:val="21"/>
                    </w:rPr>
                  </w:pPr>
                  <w:r>
                    <w:rPr>
                      <w:rFonts w:hint="eastAsia"/>
                      <w:sz w:val="21"/>
                      <w:szCs w:val="21"/>
                    </w:rPr>
                    <w:t>80</w:t>
                  </w:r>
                </w:p>
              </w:tc>
              <w:tc>
                <w:tcPr>
                  <w:tcW w:w="1142" w:type="dxa"/>
                  <w:gridSpan w:val="3"/>
                  <w:tcBorders>
                    <w:tl2br w:val="nil"/>
                    <w:tr2bl w:val="nil"/>
                  </w:tcBorders>
                  <w:vAlign w:val="center"/>
                </w:tcPr>
                <w:p>
                  <w:pPr>
                    <w:spacing w:line="240" w:lineRule="auto"/>
                    <w:ind w:firstLine="0" w:firstLineChars="0"/>
                    <w:jc w:val="center"/>
                    <w:rPr>
                      <w:rFonts w:hint="eastAsia"/>
                      <w:sz w:val="21"/>
                      <w:szCs w:val="21"/>
                      <w:lang w:val="en-US" w:eastAsia="zh-CN"/>
                    </w:rPr>
                  </w:pPr>
                  <w:r>
                    <w:rPr>
                      <w:rFonts w:hint="eastAsia"/>
                      <w:sz w:val="21"/>
                      <w:szCs w:val="21"/>
                      <w:lang w:val="en-US" w:eastAsia="zh-CN"/>
                    </w:rPr>
                    <w:t>1</w:t>
                  </w:r>
                  <w:r>
                    <w:rPr>
                      <w:rFonts w:hint="eastAsia"/>
                      <w:sz w:val="21"/>
                      <w:szCs w:val="21"/>
                    </w:rPr>
                    <w:t>5</w:t>
                  </w:r>
                  <w:r>
                    <w:rPr>
                      <w:rFonts w:hint="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rPr>
                    <w:t>最大浓度占标率</w:t>
                  </w:r>
                  <w:r>
                    <w:rPr>
                      <w:rFonts w:hint="eastAsia"/>
                      <w:sz w:val="21"/>
                      <w:szCs w:val="21"/>
                      <w:lang w:val="en-US" w:eastAsia="zh-CN"/>
                    </w:rPr>
                    <w:t>%</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3.4</w:t>
                  </w:r>
                </w:p>
              </w:tc>
              <w:tc>
                <w:tcPr>
                  <w:tcW w:w="1078"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8.0</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23.5</w:t>
                  </w:r>
                </w:p>
              </w:tc>
              <w:tc>
                <w:tcPr>
                  <w:tcW w:w="1117"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52.5</w:t>
                  </w:r>
                </w:p>
              </w:tc>
              <w:tc>
                <w:tcPr>
                  <w:tcW w:w="1142"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val="en-US" w:eastAsia="zh-CN"/>
                    </w:rPr>
                  </w:pPr>
                  <w:r>
                    <w:rPr>
                      <w:rFonts w:hint="eastAsia"/>
                      <w:sz w:val="21"/>
                      <w:szCs w:val="21"/>
                      <w:lang w:val="en-US" w:eastAsia="zh-CN"/>
                    </w:rPr>
                    <w:t>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rPr>
                  </w:pPr>
                  <w:r>
                    <w:rPr>
                      <w:sz w:val="21"/>
                      <w:szCs w:val="21"/>
                    </w:rPr>
                    <w:t>超标率（%）</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rPr>
                  </w:pPr>
                  <w:r>
                    <w:rPr>
                      <w:rFonts w:hint="eastAsia"/>
                      <w:sz w:val="21"/>
                      <w:szCs w:val="21"/>
                      <w:lang w:val="en-US" w:eastAsia="zh-CN"/>
                    </w:rPr>
                    <w:t>0</w:t>
                  </w:r>
                </w:p>
              </w:tc>
              <w:tc>
                <w:tcPr>
                  <w:tcW w:w="1078"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rPr>
                  </w:pPr>
                  <w:r>
                    <w:rPr>
                      <w:rFonts w:hint="eastAsia"/>
                      <w:sz w:val="21"/>
                      <w:szCs w:val="21"/>
                      <w:lang w:val="en-US" w:eastAsia="zh-CN"/>
                    </w:rPr>
                    <w:t>0</w:t>
                  </w:r>
                </w:p>
              </w:tc>
              <w:tc>
                <w:tcPr>
                  <w:tcW w:w="1058" w:type="dxa"/>
                  <w:gridSpan w:val="2"/>
                  <w:tcBorders>
                    <w:tl2br w:val="nil"/>
                    <w:tr2bl w:val="nil"/>
                  </w:tcBorders>
                  <w:vAlign w:val="center"/>
                </w:tcPr>
                <w:p>
                  <w:pPr>
                    <w:autoSpaceDE w:val="0"/>
                    <w:autoSpaceDN w:val="0"/>
                    <w:spacing w:line="240" w:lineRule="auto"/>
                    <w:ind w:firstLine="0" w:firstLineChars="0"/>
                    <w:jc w:val="center"/>
                    <w:rPr>
                      <w:rFonts w:hint="eastAsia"/>
                      <w:sz w:val="21"/>
                      <w:szCs w:val="21"/>
                    </w:rPr>
                  </w:pPr>
                  <w:r>
                    <w:rPr>
                      <w:rFonts w:hint="eastAsia"/>
                      <w:sz w:val="21"/>
                      <w:szCs w:val="21"/>
                      <w:lang w:val="en-US" w:eastAsia="zh-CN"/>
                    </w:rPr>
                    <w:t>0</w:t>
                  </w:r>
                </w:p>
              </w:tc>
              <w:tc>
                <w:tcPr>
                  <w:tcW w:w="1117"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rPr>
                  </w:pPr>
                  <w:r>
                    <w:rPr>
                      <w:rFonts w:hint="eastAsia"/>
                      <w:sz w:val="21"/>
                      <w:szCs w:val="21"/>
                      <w:lang w:val="en-US" w:eastAsia="zh-CN"/>
                    </w:rPr>
                    <w:t>0</w:t>
                  </w:r>
                </w:p>
              </w:tc>
              <w:tc>
                <w:tcPr>
                  <w:tcW w:w="1142"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rPr>
                  </w:pPr>
                  <w:r>
                    <w:rPr>
                      <w:rFonts w:hint="eastAsia"/>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295" w:type="dxa"/>
                  <w:gridSpan w:val="3"/>
                  <w:tcBorders>
                    <w:tl2br w:val="nil"/>
                    <w:tr2bl w:val="nil"/>
                  </w:tcBorders>
                  <w:vAlign w:val="center"/>
                </w:tcPr>
                <w:p>
                  <w:pPr>
                    <w:autoSpaceDE w:val="0"/>
                    <w:autoSpaceDN w:val="0"/>
                    <w:spacing w:line="240" w:lineRule="auto"/>
                    <w:ind w:firstLine="0" w:firstLineChars="0"/>
                    <w:jc w:val="center"/>
                    <w:rPr>
                      <w:rFonts w:hint="eastAsia"/>
                      <w:sz w:val="21"/>
                      <w:szCs w:val="21"/>
                      <w:lang w:eastAsia="zh-CN"/>
                    </w:rPr>
                  </w:pPr>
                  <w:r>
                    <w:rPr>
                      <w:rFonts w:hint="eastAsia"/>
                      <w:sz w:val="21"/>
                      <w:szCs w:val="21"/>
                      <w:lang w:eastAsia="zh-CN"/>
                    </w:rPr>
                    <w:t>是否达标</w:t>
                  </w:r>
                </w:p>
              </w:tc>
              <w:tc>
                <w:tcPr>
                  <w:tcW w:w="1058" w:type="dxa"/>
                  <w:gridSpan w:val="2"/>
                  <w:tcBorders>
                    <w:tl2br w:val="nil"/>
                    <w:tr2bl w:val="nil"/>
                  </w:tcBorders>
                  <w:vAlign w:val="center"/>
                </w:tcPr>
                <w:p>
                  <w:pPr>
                    <w:autoSpaceDE w:val="0"/>
                    <w:autoSpaceDN w:val="0"/>
                    <w:spacing w:line="240" w:lineRule="auto"/>
                    <w:ind w:firstLine="0" w:firstLineChars="0"/>
                    <w:jc w:val="center"/>
                    <w:rPr>
                      <w:sz w:val="21"/>
                      <w:szCs w:val="21"/>
                    </w:rPr>
                  </w:pPr>
                  <w:r>
                    <w:rPr>
                      <w:rFonts w:hint="eastAsia"/>
                      <w:sz w:val="21"/>
                      <w:szCs w:val="21"/>
                      <w:lang w:eastAsia="zh-CN"/>
                    </w:rPr>
                    <w:t>达标</w:t>
                  </w:r>
                </w:p>
              </w:tc>
              <w:tc>
                <w:tcPr>
                  <w:tcW w:w="1078" w:type="dxa"/>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sz w:val="21"/>
                      <w:szCs w:val="21"/>
                    </w:rPr>
                  </w:pPr>
                  <w:r>
                    <w:rPr>
                      <w:rFonts w:hint="eastAsia"/>
                      <w:sz w:val="21"/>
                      <w:szCs w:val="21"/>
                      <w:lang w:eastAsia="zh-CN"/>
                    </w:rPr>
                    <w:t>达标</w:t>
                  </w:r>
                </w:p>
              </w:tc>
              <w:tc>
                <w:tcPr>
                  <w:tcW w:w="1058" w:type="dxa"/>
                  <w:gridSpan w:val="2"/>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sz w:val="21"/>
                      <w:szCs w:val="21"/>
                    </w:rPr>
                  </w:pPr>
                  <w:r>
                    <w:rPr>
                      <w:rFonts w:hint="eastAsia"/>
                      <w:sz w:val="21"/>
                      <w:szCs w:val="21"/>
                      <w:lang w:eastAsia="zh-CN"/>
                    </w:rPr>
                    <w:t>达标</w:t>
                  </w:r>
                </w:p>
              </w:tc>
              <w:tc>
                <w:tcPr>
                  <w:tcW w:w="1117" w:type="dxa"/>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sz w:val="21"/>
                      <w:szCs w:val="21"/>
                    </w:rPr>
                  </w:pPr>
                  <w:r>
                    <w:rPr>
                      <w:rFonts w:hint="eastAsia"/>
                      <w:sz w:val="21"/>
                      <w:szCs w:val="21"/>
                      <w:lang w:eastAsia="zh-CN"/>
                    </w:rPr>
                    <w:t>达标</w:t>
                  </w:r>
                </w:p>
              </w:tc>
              <w:tc>
                <w:tcPr>
                  <w:tcW w:w="1142" w:type="dxa"/>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outlineLvl w:val="9"/>
                    <w:rPr>
                      <w:sz w:val="21"/>
                      <w:szCs w:val="21"/>
                    </w:rPr>
                  </w:pPr>
                  <w:r>
                    <w:rPr>
                      <w:rFonts w:hint="eastAsia"/>
                      <w:sz w:val="21"/>
                      <w:szCs w:val="21"/>
                      <w:lang w:eastAsia="zh-CN"/>
                    </w:rPr>
                    <w:t>达标</w:t>
                  </w:r>
                </w:p>
              </w:tc>
            </w:tr>
          </w:tbl>
          <w:p>
            <w:pPr>
              <w:ind w:firstLine="480"/>
            </w:pPr>
            <w:r>
              <w:t>由</w:t>
            </w:r>
            <w:r>
              <w:rPr>
                <w:rFonts w:hint="eastAsia"/>
              </w:rPr>
              <w:t>上表</w:t>
            </w:r>
            <w:r>
              <w:t>可知，评价区域环境空气中</w:t>
            </w:r>
            <w:r>
              <w:rPr>
                <w:rFonts w:hint="eastAsia"/>
              </w:rPr>
              <w:t>SO</w:t>
            </w:r>
            <w:r>
              <w:rPr>
                <w:rFonts w:hint="eastAsia"/>
                <w:vertAlign w:val="subscript"/>
              </w:rPr>
              <w:t>2</w:t>
            </w:r>
            <w:r>
              <w:rPr>
                <w:rFonts w:hint="eastAsia"/>
              </w:rPr>
              <w:t>、NO</w:t>
            </w:r>
            <w:r>
              <w:rPr>
                <w:rFonts w:hint="eastAsia"/>
                <w:szCs w:val="22"/>
                <w:vertAlign w:val="subscript"/>
              </w:rPr>
              <w:t>2</w:t>
            </w:r>
            <w:r>
              <w:t>的1小时</w:t>
            </w:r>
            <w:r>
              <w:rPr>
                <w:rFonts w:hint="eastAsia"/>
              </w:rPr>
              <w:t>平均浓度</w:t>
            </w:r>
            <w:r>
              <w:t>和24小时</w:t>
            </w:r>
            <w:r>
              <w:rPr>
                <w:rFonts w:hint="eastAsia"/>
              </w:rPr>
              <w:t>平均浓度</w:t>
            </w:r>
            <w:r>
              <w:t>均能满足《环境空气质量标准》（GB3095-2012）中二级标准的要求，</w:t>
            </w:r>
            <w:r>
              <w:rPr>
                <w:rFonts w:hint="eastAsia"/>
                <w:lang w:eastAsia="zh-CN"/>
              </w:rPr>
              <w:t>PM</w:t>
            </w:r>
            <w:r>
              <w:rPr>
                <w:rFonts w:hint="eastAsia"/>
                <w:vertAlign w:val="subscript"/>
                <w:lang w:val="en-US" w:eastAsia="zh-CN"/>
              </w:rPr>
              <w:t>10</w:t>
            </w:r>
            <w:r>
              <w:t>的24小</w:t>
            </w:r>
            <w:r>
              <w:rPr>
                <w:rFonts w:hint="eastAsia"/>
              </w:rPr>
              <w:t>平均浓度满足</w:t>
            </w:r>
            <w:r>
              <w:t>《环境空气质量标准》（GB3095-2012）中二级标准</w:t>
            </w:r>
            <w:r>
              <w:rPr>
                <w:rFonts w:hint="eastAsia"/>
              </w:rPr>
              <w:t>项目所在区域环境空气质量状况良好</w:t>
            </w:r>
            <w:r>
              <w:t>。</w:t>
            </w:r>
          </w:p>
          <w:p>
            <w:pPr>
              <w:ind w:firstLine="0" w:firstLineChars="0"/>
            </w:pPr>
            <w:r>
              <w:rPr>
                <w:rFonts w:hint="eastAsia"/>
              </w:rPr>
              <w:t>2、声环境质量现状</w:t>
            </w:r>
          </w:p>
          <w:p>
            <w:pPr>
              <w:ind w:firstLine="480"/>
            </w:pPr>
            <w:r>
              <w:fldChar w:fldCharType="begin"/>
            </w:r>
            <w:r>
              <w:rPr>
                <w:rFonts w:hint="eastAsia"/>
              </w:rPr>
              <w:instrText xml:space="preserve">= 1 \* GB3</w:instrText>
            </w:r>
            <w:r>
              <w:fldChar w:fldCharType="separate"/>
            </w:r>
            <w:r>
              <w:rPr>
                <w:rFonts w:hint="eastAsia"/>
              </w:rPr>
              <w:t>①</w:t>
            </w:r>
            <w:r>
              <w:fldChar w:fldCharType="end"/>
            </w:r>
            <w:r>
              <w:t>监测因子：等效连续A声级Leq（A）。</w:t>
            </w:r>
          </w:p>
          <w:p>
            <w:pPr>
              <w:ind w:firstLine="480"/>
            </w:pPr>
            <w:r>
              <w:fldChar w:fldCharType="begin"/>
            </w:r>
            <w:r>
              <w:rPr>
                <w:rFonts w:hint="eastAsia"/>
              </w:rPr>
              <w:instrText xml:space="preserve">= 2 \* GB3</w:instrText>
            </w:r>
            <w:r>
              <w:fldChar w:fldCharType="separate"/>
            </w:r>
            <w:r>
              <w:rPr>
                <w:rFonts w:hint="eastAsia"/>
              </w:rPr>
              <w:t>②</w:t>
            </w:r>
            <w:r>
              <w:fldChar w:fldCharType="end"/>
            </w:r>
            <w:r>
              <w:t>监测点位：</w:t>
            </w:r>
            <w:r>
              <w:rPr>
                <w:rFonts w:hint="eastAsia"/>
              </w:rPr>
              <w:t>在项目厂界四周外1m处，设4个监测点位。在项目</w:t>
            </w:r>
            <w:r>
              <w:rPr>
                <w:rFonts w:hint="eastAsia"/>
                <w:lang w:eastAsia="zh-CN"/>
              </w:rPr>
              <w:t>南</w:t>
            </w:r>
            <w:r>
              <w:rPr>
                <w:rFonts w:hint="eastAsia"/>
              </w:rPr>
              <w:t>侧敏感点</w:t>
            </w:r>
            <w:r>
              <w:rPr>
                <w:rFonts w:hint="eastAsia"/>
                <w:lang w:eastAsia="zh-CN"/>
              </w:rPr>
              <w:t>铁孟村</w:t>
            </w:r>
            <w:r>
              <w:rPr>
                <w:rFonts w:hint="eastAsia"/>
              </w:rPr>
              <w:t>设1个监测点位。共设5个监测点位。见附图。</w:t>
            </w:r>
          </w:p>
          <w:p>
            <w:pPr>
              <w:ind w:firstLine="480"/>
            </w:pPr>
            <w:r>
              <w:fldChar w:fldCharType="begin"/>
            </w:r>
            <w:r>
              <w:rPr>
                <w:rFonts w:hint="eastAsia"/>
              </w:rPr>
              <w:instrText xml:space="preserve">= 3 \* GB3</w:instrText>
            </w:r>
            <w:r>
              <w:fldChar w:fldCharType="separate"/>
            </w:r>
            <w:r>
              <w:rPr>
                <w:rFonts w:hint="eastAsia"/>
              </w:rPr>
              <w:t>③</w:t>
            </w:r>
            <w:r>
              <w:fldChar w:fldCharType="end"/>
            </w:r>
            <w:r>
              <w:t>监测频次及方法：连续监测2天，昼夜各监测1次。监测时间为201</w:t>
            </w:r>
            <w:r>
              <w:rPr>
                <w:rFonts w:hint="eastAsia"/>
              </w:rPr>
              <w:t>8</w:t>
            </w:r>
            <w:r>
              <w:t>年</w:t>
            </w:r>
            <w:r>
              <w:rPr>
                <w:rFonts w:hint="eastAsia"/>
                <w:lang w:val="en-US" w:eastAsia="zh-CN"/>
              </w:rPr>
              <w:t>10</w:t>
            </w:r>
            <w:r>
              <w:t>月</w:t>
            </w:r>
            <w:r>
              <w:rPr>
                <w:rFonts w:hint="eastAsia"/>
                <w:lang w:val="en-US" w:eastAsia="zh-CN"/>
              </w:rPr>
              <w:t>26</w:t>
            </w:r>
            <w:r>
              <w:t>日~</w:t>
            </w:r>
            <w:r>
              <w:rPr>
                <w:rFonts w:hint="eastAsia"/>
              </w:rPr>
              <w:t>2018年</w:t>
            </w:r>
            <w:r>
              <w:rPr>
                <w:rFonts w:hint="eastAsia"/>
                <w:lang w:val="en-US" w:eastAsia="zh-CN"/>
              </w:rPr>
              <w:t>10</w:t>
            </w:r>
            <w:r>
              <w:t>月</w:t>
            </w:r>
            <w:r>
              <w:rPr>
                <w:rFonts w:hint="eastAsia"/>
                <w:lang w:val="en-US" w:eastAsia="zh-CN"/>
              </w:rPr>
              <w:t>27</w:t>
            </w:r>
            <w:r>
              <w:t>日，监测分析方法按《声环境质量标准》（GB3096-2008）执行。</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b/>
                <w:bCs/>
                <w:szCs w:val="22"/>
                <w:lang w:eastAsia="zh-CN"/>
              </w:rPr>
            </w:pPr>
            <w:r>
              <w:rPr>
                <w:rFonts w:hint="eastAsia"/>
                <w:b/>
                <w:bCs/>
                <w:szCs w:val="22"/>
                <w:lang w:eastAsia="zh-CN"/>
              </w:rPr>
              <w:t>表</w:t>
            </w:r>
            <w:r>
              <w:rPr>
                <w:rFonts w:hint="eastAsia"/>
                <w:b/>
                <w:bCs/>
                <w:szCs w:val="22"/>
                <w:lang w:val="en-US" w:eastAsia="zh-CN"/>
              </w:rPr>
              <w:t xml:space="preserve">3-2    </w:t>
            </w:r>
            <w:r>
              <w:rPr>
                <w:rFonts w:hint="eastAsia"/>
                <w:b/>
                <w:bCs/>
                <w:szCs w:val="22"/>
                <w:lang w:eastAsia="zh-CN"/>
              </w:rPr>
              <w:t>声环境质量监测结果单位</w:t>
            </w:r>
            <w:r>
              <w:rPr>
                <w:rFonts w:hint="eastAsia"/>
                <w:b/>
                <w:bCs/>
                <w:szCs w:val="22"/>
                <w:lang w:val="en-US" w:eastAsia="zh-CN"/>
              </w:rPr>
              <w:t>（</w:t>
            </w:r>
            <w:r>
              <w:rPr>
                <w:rFonts w:hint="eastAsia"/>
                <w:b/>
                <w:bCs/>
                <w:szCs w:val="22"/>
                <w:lang w:eastAsia="zh-CN"/>
              </w:rPr>
              <w:t>dB（A）</w:t>
            </w:r>
            <w:r>
              <w:rPr>
                <w:rFonts w:hint="eastAsia"/>
                <w:b/>
                <w:bCs/>
                <w:szCs w:val="22"/>
                <w:lang w:val="en-US" w:eastAsia="zh-CN"/>
              </w:rPr>
              <w:t>）</w:t>
            </w:r>
          </w:p>
          <w:tbl>
            <w:tblPr>
              <w:tblStyle w:val="20"/>
              <w:tblW w:w="85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53"/>
              <w:gridCol w:w="1528"/>
              <w:gridCol w:w="1445"/>
              <w:gridCol w:w="1558"/>
              <w:gridCol w:w="14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Merge w:val="restart"/>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rPr>
                  </w:pPr>
                  <w:bookmarkStart w:id="5" w:name="_Toc1200"/>
                  <w:r>
                    <w:rPr>
                      <w:rFonts w:hint="eastAsia" w:ascii="Times New Roman" w:hAnsi="Times New Roman" w:eastAsia="宋体" w:cs="Times New Roman"/>
                      <w:sz w:val="21"/>
                      <w:szCs w:val="20"/>
                    </w:rPr>
                    <w:t>位置</w:t>
                  </w:r>
                  <w:bookmarkEnd w:id="5"/>
                </w:p>
              </w:tc>
              <w:tc>
                <w:tcPr>
                  <w:tcW w:w="5946" w:type="dxa"/>
                  <w:gridSpan w:val="4"/>
                  <w:vAlign w:val="center"/>
                </w:tcPr>
                <w:p>
                  <w:pPr>
                    <w:spacing w:line="240" w:lineRule="auto"/>
                    <w:jc w:val="center"/>
                    <w:rPr>
                      <w:sz w:val="21"/>
                      <w:szCs w:val="16"/>
                    </w:rPr>
                  </w:pPr>
                  <w:bookmarkStart w:id="6" w:name="_Toc929"/>
                  <w:r>
                    <w:rPr>
                      <w:sz w:val="21"/>
                      <w:szCs w:val="16"/>
                    </w:rPr>
                    <w:t>监测结果</w:t>
                  </w:r>
                  <w:bookmarkEnd w:id="6"/>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Merge w:val="continue"/>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rPr>
                  </w:pPr>
                </w:p>
              </w:tc>
              <w:tc>
                <w:tcPr>
                  <w:tcW w:w="2973" w:type="dxa"/>
                  <w:gridSpan w:val="2"/>
                  <w:vAlign w:val="center"/>
                </w:tcPr>
                <w:p>
                  <w:pPr>
                    <w:spacing w:line="240" w:lineRule="exact"/>
                    <w:ind w:firstLine="420" w:firstLineChars="200"/>
                    <w:jc w:val="center"/>
                    <w:rPr>
                      <w:sz w:val="21"/>
                      <w:szCs w:val="16"/>
                    </w:rPr>
                  </w:pPr>
                  <w:r>
                    <w:rPr>
                      <w:rFonts w:hint="eastAsia"/>
                      <w:sz w:val="21"/>
                      <w:szCs w:val="16"/>
                      <w:lang w:val="en-US" w:eastAsia="zh-CN"/>
                    </w:rPr>
                    <w:t>2018年10月26日</w:t>
                  </w:r>
                </w:p>
              </w:tc>
              <w:tc>
                <w:tcPr>
                  <w:tcW w:w="2973" w:type="dxa"/>
                  <w:gridSpan w:val="2"/>
                  <w:vAlign w:val="center"/>
                </w:tcPr>
                <w:p>
                  <w:pPr>
                    <w:spacing w:line="240" w:lineRule="exact"/>
                    <w:ind w:firstLine="420" w:firstLineChars="200"/>
                    <w:jc w:val="center"/>
                    <w:rPr>
                      <w:sz w:val="21"/>
                      <w:szCs w:val="16"/>
                    </w:rPr>
                  </w:pPr>
                  <w:r>
                    <w:rPr>
                      <w:rFonts w:hint="eastAsia"/>
                      <w:sz w:val="21"/>
                      <w:szCs w:val="16"/>
                      <w:lang w:val="en-US" w:eastAsia="zh-CN"/>
                    </w:rPr>
                    <w:t>2018年10月27日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Merge w:val="continue"/>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rPr>
                  </w:pPr>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sz w:val="21"/>
                      <w:szCs w:val="16"/>
                    </w:rPr>
                  </w:pPr>
                  <w:r>
                    <w:rPr>
                      <w:rFonts w:hint="eastAsia"/>
                      <w:sz w:val="21"/>
                      <w:szCs w:val="16"/>
                      <w:lang w:val="en-US" w:eastAsia="zh-CN"/>
                    </w:rPr>
                    <w:t>昼间</w:t>
                  </w:r>
                </w:p>
              </w:tc>
              <w:tc>
                <w:tcPr>
                  <w:tcW w:w="144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sz w:val="21"/>
                      <w:szCs w:val="16"/>
                    </w:rPr>
                  </w:pPr>
                  <w:r>
                    <w:rPr>
                      <w:rFonts w:hint="eastAsia"/>
                      <w:sz w:val="21"/>
                      <w:szCs w:val="16"/>
                      <w:lang w:val="en-US" w:eastAsia="zh-CN"/>
                    </w:rPr>
                    <w:t>夜间</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sz w:val="21"/>
                      <w:szCs w:val="16"/>
                    </w:rPr>
                  </w:pPr>
                  <w:r>
                    <w:rPr>
                      <w:rFonts w:hint="eastAsia"/>
                      <w:sz w:val="21"/>
                      <w:szCs w:val="16"/>
                      <w:lang w:val="en-US" w:eastAsia="zh-CN"/>
                    </w:rPr>
                    <w:t>昼间</w:t>
                  </w:r>
                </w:p>
              </w:tc>
              <w:tc>
                <w:tcPr>
                  <w:tcW w:w="141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sz w:val="21"/>
                      <w:szCs w:val="16"/>
                    </w:rPr>
                  </w:pPr>
                  <w:r>
                    <w:rPr>
                      <w:rFonts w:hint="eastAsia"/>
                      <w:sz w:val="21"/>
                      <w:szCs w:val="16"/>
                      <w:lang w:val="en-US" w:eastAsia="zh-CN"/>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rPr>
                  </w:pPr>
                  <w:bookmarkStart w:id="7" w:name="_Toc13328"/>
                  <w:r>
                    <w:rPr>
                      <w:rFonts w:hint="eastAsia" w:ascii="Times New Roman" w:hAnsi="Times New Roman" w:eastAsia="宋体" w:cs="Times New Roman"/>
                      <w:sz w:val="21"/>
                      <w:szCs w:val="20"/>
                    </w:rPr>
                    <w:t>1#东厂界</w:t>
                  </w:r>
                  <w:bookmarkEnd w:id="7"/>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51.8</w:t>
                  </w:r>
                </w:p>
              </w:tc>
              <w:tc>
                <w:tcPr>
                  <w:tcW w:w="144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41.2</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50.2</w:t>
                  </w:r>
                </w:p>
              </w:tc>
              <w:tc>
                <w:tcPr>
                  <w:tcW w:w="141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40.7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rPr>
                  </w:pPr>
                  <w:bookmarkStart w:id="8" w:name="_Toc12860"/>
                  <w:r>
                    <w:rPr>
                      <w:rFonts w:hint="eastAsia" w:ascii="Times New Roman" w:hAnsi="Times New Roman" w:eastAsia="宋体" w:cs="Times New Roman"/>
                      <w:sz w:val="21"/>
                      <w:szCs w:val="20"/>
                    </w:rPr>
                    <w:t>2#</w:t>
                  </w:r>
                  <w:r>
                    <w:rPr>
                      <w:rFonts w:hint="eastAsia" w:ascii="Times New Roman" w:hAnsi="Times New Roman" w:eastAsia="宋体" w:cs="Times New Roman"/>
                      <w:sz w:val="21"/>
                      <w:szCs w:val="20"/>
                      <w:lang w:eastAsia="zh-CN"/>
                    </w:rPr>
                    <w:t>北</w:t>
                  </w:r>
                  <w:r>
                    <w:rPr>
                      <w:rFonts w:hint="eastAsia" w:ascii="Times New Roman" w:hAnsi="Times New Roman" w:eastAsia="宋体" w:cs="Times New Roman"/>
                      <w:sz w:val="21"/>
                      <w:szCs w:val="20"/>
                    </w:rPr>
                    <w:t>厂界</w:t>
                  </w:r>
                  <w:bookmarkEnd w:id="8"/>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53.6</w:t>
                  </w:r>
                </w:p>
              </w:tc>
              <w:tc>
                <w:tcPr>
                  <w:tcW w:w="144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42.3</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52.8</w:t>
                  </w:r>
                </w:p>
              </w:tc>
              <w:tc>
                <w:tcPr>
                  <w:tcW w:w="141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rPr>
                  </w:pPr>
                  <w:bookmarkStart w:id="9" w:name="_Toc22643"/>
                  <w:r>
                    <w:rPr>
                      <w:rFonts w:hint="eastAsia" w:ascii="Times New Roman" w:hAnsi="Times New Roman" w:eastAsia="宋体" w:cs="Times New Roman"/>
                      <w:sz w:val="21"/>
                      <w:szCs w:val="20"/>
                    </w:rPr>
                    <w:t>3#</w:t>
                  </w:r>
                  <w:r>
                    <w:rPr>
                      <w:rFonts w:hint="eastAsia" w:ascii="Times New Roman" w:hAnsi="Times New Roman" w:eastAsia="宋体" w:cs="Times New Roman"/>
                      <w:sz w:val="21"/>
                      <w:szCs w:val="20"/>
                      <w:lang w:eastAsia="zh-CN"/>
                    </w:rPr>
                    <w:t>南</w:t>
                  </w:r>
                  <w:r>
                    <w:rPr>
                      <w:rFonts w:hint="eastAsia" w:ascii="Times New Roman" w:hAnsi="Times New Roman" w:eastAsia="宋体" w:cs="Times New Roman"/>
                      <w:sz w:val="21"/>
                      <w:szCs w:val="20"/>
                    </w:rPr>
                    <w:t>厂界</w:t>
                  </w:r>
                  <w:bookmarkEnd w:id="9"/>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50.1</w:t>
                  </w:r>
                </w:p>
              </w:tc>
              <w:tc>
                <w:tcPr>
                  <w:tcW w:w="144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40.6</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51.6</w:t>
                  </w:r>
                </w:p>
              </w:tc>
              <w:tc>
                <w:tcPr>
                  <w:tcW w:w="141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lang w:val="en-US" w:eastAsia="zh-CN"/>
                    </w:rPr>
                  </w:pPr>
                  <w:r>
                    <w:rPr>
                      <w:rFonts w:hint="eastAsia" w:ascii="Times New Roman" w:hAnsi="Times New Roman" w:eastAsia="宋体" w:cs="Times New Roman"/>
                      <w:sz w:val="21"/>
                      <w:szCs w:val="20"/>
                      <w:lang w:val="en-US" w:eastAsia="zh-CN"/>
                    </w:rPr>
                    <w:t>4#西厂界</w:t>
                  </w:r>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50.5</w:t>
                  </w:r>
                </w:p>
              </w:tc>
              <w:tc>
                <w:tcPr>
                  <w:tcW w:w="144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40.2</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49.8</w:t>
                  </w:r>
                </w:p>
              </w:tc>
              <w:tc>
                <w:tcPr>
                  <w:tcW w:w="141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39.7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lang w:val="en-US" w:eastAsia="zh-CN"/>
                    </w:rPr>
                  </w:pPr>
                  <w:r>
                    <w:rPr>
                      <w:rFonts w:hint="eastAsia" w:ascii="Times New Roman" w:hAnsi="Times New Roman" w:eastAsia="宋体" w:cs="Times New Roman"/>
                      <w:sz w:val="21"/>
                      <w:szCs w:val="20"/>
                      <w:lang w:val="en-US" w:eastAsia="zh-CN"/>
                    </w:rPr>
                    <w:t>5</w:t>
                  </w:r>
                  <w:r>
                    <w:rPr>
                      <w:rFonts w:hint="eastAsia" w:ascii="Times New Roman" w:hAnsi="Times New Roman" w:eastAsia="宋体" w:cs="Times New Roman"/>
                      <w:sz w:val="21"/>
                      <w:szCs w:val="20"/>
                    </w:rPr>
                    <w:t>#</w:t>
                  </w:r>
                  <w:r>
                    <w:rPr>
                      <w:rFonts w:hint="eastAsia" w:ascii="Times New Roman" w:hAnsi="Times New Roman" w:eastAsia="宋体" w:cs="Times New Roman"/>
                      <w:sz w:val="21"/>
                      <w:szCs w:val="20"/>
                      <w:lang w:eastAsia="zh-CN"/>
                    </w:rPr>
                    <w:t>铁孟村</w:t>
                  </w:r>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53.6</w:t>
                  </w:r>
                </w:p>
              </w:tc>
              <w:tc>
                <w:tcPr>
                  <w:tcW w:w="144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42.1</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52.7</w:t>
                  </w:r>
                </w:p>
              </w:tc>
              <w:tc>
                <w:tcPr>
                  <w:tcW w:w="141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sz w:val="21"/>
                      <w:szCs w:val="16"/>
                      <w:lang w:val="en-US" w:eastAsia="zh-CN"/>
                    </w:rPr>
                  </w:pPr>
                  <w:r>
                    <w:rPr>
                      <w:rFonts w:hint="eastAsia"/>
                      <w:sz w:val="21"/>
                      <w:szCs w:val="16"/>
                      <w:lang w:val="en-US" w:eastAsia="zh-CN"/>
                    </w:rPr>
                    <w:t>41.8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53"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0"/>
                    </w:rPr>
                  </w:pPr>
                  <w:r>
                    <w:rPr>
                      <w:rFonts w:hint="eastAsia" w:ascii="Times New Roman" w:hAnsi="Times New Roman" w:eastAsia="宋体" w:cs="Times New Roman"/>
                      <w:sz w:val="21"/>
                      <w:szCs w:val="20"/>
                    </w:rPr>
                    <w:t>2类标准</w:t>
                  </w:r>
                </w:p>
              </w:tc>
              <w:tc>
                <w:tcPr>
                  <w:tcW w:w="5946" w:type="dxa"/>
                  <w:gridSpan w:val="4"/>
                  <w:vAlign w:val="center"/>
                </w:tcPr>
                <w:p>
                  <w:pPr>
                    <w:spacing w:line="240" w:lineRule="auto"/>
                    <w:jc w:val="center"/>
                    <w:rPr>
                      <w:sz w:val="21"/>
                      <w:szCs w:val="16"/>
                    </w:rPr>
                  </w:pPr>
                  <w:r>
                    <w:rPr>
                      <w:sz w:val="21"/>
                      <w:szCs w:val="16"/>
                    </w:rPr>
                    <w:t>昼间：6</w:t>
                  </w:r>
                  <w:r>
                    <w:rPr>
                      <w:rFonts w:hint="eastAsia"/>
                      <w:sz w:val="21"/>
                      <w:szCs w:val="16"/>
                    </w:rPr>
                    <w:t>0</w:t>
                  </w:r>
                  <w:r>
                    <w:rPr>
                      <w:sz w:val="21"/>
                      <w:szCs w:val="16"/>
                    </w:rPr>
                    <w:t>dB（A）      夜间：</w:t>
                  </w:r>
                  <w:r>
                    <w:rPr>
                      <w:rFonts w:hint="eastAsia"/>
                      <w:sz w:val="21"/>
                      <w:szCs w:val="16"/>
                    </w:rPr>
                    <w:t>50</w:t>
                  </w:r>
                  <w:r>
                    <w:rPr>
                      <w:sz w:val="21"/>
                      <w:szCs w:val="16"/>
                    </w:rPr>
                    <w:t>dB（A）</w:t>
                  </w:r>
                </w:p>
              </w:tc>
            </w:tr>
          </w:tbl>
          <w:p>
            <w:pPr>
              <w:ind w:firstLine="480"/>
              <w:rPr>
                <w:rFonts w:hint="eastAsia"/>
              </w:rPr>
            </w:pPr>
            <w:r>
              <w:rPr>
                <w:rFonts w:hint="eastAsia"/>
              </w:rPr>
              <w:t>由上表可知，项目</w:t>
            </w:r>
            <w:r>
              <w:rPr>
                <w:rFonts w:hint="eastAsia"/>
                <w:lang w:eastAsia="zh-CN"/>
              </w:rPr>
              <w:t>各</w:t>
            </w:r>
            <w:r>
              <w:rPr>
                <w:rFonts w:hint="eastAsia"/>
              </w:rPr>
              <w:t>厂界</w:t>
            </w:r>
            <w:r>
              <w:rPr>
                <w:rFonts w:hint="eastAsia"/>
                <w:lang w:eastAsia="zh-CN"/>
              </w:rPr>
              <w:t>及敏感点</w:t>
            </w:r>
            <w:r>
              <w:rPr>
                <w:rFonts w:hint="eastAsia"/>
              </w:rPr>
              <w:t>昼</w:t>
            </w:r>
            <w:r>
              <w:rPr>
                <w:rFonts w:hint="eastAsia"/>
                <w:lang w:eastAsia="zh-CN"/>
              </w:rPr>
              <w:t>、夜</w:t>
            </w:r>
            <w:r>
              <w:rPr>
                <w:rFonts w:hint="eastAsia"/>
              </w:rPr>
              <w:t>间声环境</w:t>
            </w:r>
            <w:r>
              <w:rPr>
                <w:rFonts w:hint="eastAsia"/>
                <w:lang w:eastAsia="zh-CN"/>
              </w:rPr>
              <w:t>质量均</w:t>
            </w:r>
            <w:r>
              <w:rPr>
                <w:rFonts w:hint="eastAsia"/>
              </w:rPr>
              <w:t>满足《声环境质量标准》（GB3096-2008）中的2类标准。</w:t>
            </w:r>
          </w:p>
          <w:p>
            <w:pPr>
              <w:ind w:firstLine="0" w:firstLineChars="0"/>
              <w:rPr>
                <w:rFonts w:hint="eastAsia" w:ascii="Times New Roman" w:hAnsi="Times New Roman" w:eastAsia="宋体" w:cs="Times New Roman"/>
                <w:szCs w:val="22"/>
              </w:rPr>
            </w:pPr>
            <w:r>
              <w:rPr>
                <w:rFonts w:hint="eastAsia" w:ascii="Times New Roman" w:hAnsi="Times New Roman" w:eastAsia="宋体" w:cs="Times New Roman"/>
                <w:szCs w:val="22"/>
                <w:lang w:val="en-US" w:eastAsia="zh-CN"/>
              </w:rPr>
              <w:t>3、</w:t>
            </w:r>
            <w:r>
              <w:rPr>
                <w:rFonts w:hint="eastAsia" w:ascii="Times New Roman" w:hAnsi="Times New Roman" w:eastAsia="宋体" w:cs="Times New Roman"/>
                <w:szCs w:val="22"/>
              </w:rPr>
              <w:t>地下水环境质量现状</w:t>
            </w:r>
          </w:p>
          <w:p>
            <w:pPr>
              <w:spacing w:line="360" w:lineRule="auto"/>
              <w:ind w:firstLine="480" w:firstLineChars="200"/>
              <w:outlineLvl w:val="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（1）监测项目及分析方法</w:t>
            </w:r>
          </w:p>
          <w:p>
            <w:pPr>
              <w:spacing w:line="360" w:lineRule="auto"/>
              <w:ind w:firstLine="480" w:firstLineChars="200"/>
              <w:outlineLvl w:val="0"/>
              <w:rPr>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地下水环境质量现状监测项目分别是</w:t>
            </w:r>
            <w:r>
              <w:rPr>
                <w:color w:val="000000" w:themeColor="text1"/>
                <w:sz w:val="24"/>
                <w14:textFill>
                  <w14:solidFill>
                    <w14:schemeClr w14:val="tx1"/>
                  </w14:solidFill>
                </w14:textFill>
              </w:rPr>
              <w:t>pH、溶解性总固体、挥发</w:t>
            </w:r>
            <w:r>
              <w:rPr>
                <w:rFonts w:hint="eastAsia"/>
                <w:color w:val="000000" w:themeColor="text1"/>
                <w:sz w:val="24"/>
                <w:lang w:eastAsia="zh-CN"/>
                <w14:textFill>
                  <w14:solidFill>
                    <w14:schemeClr w14:val="tx1"/>
                  </w14:solidFill>
                </w14:textFill>
              </w:rPr>
              <w:t>性</w:t>
            </w:r>
            <w:r>
              <w:rPr>
                <w:color w:val="000000" w:themeColor="text1"/>
                <w:sz w:val="24"/>
                <w14:textFill>
                  <w14:solidFill>
                    <w14:schemeClr w14:val="tx1"/>
                  </w14:solidFill>
                </w14:textFill>
              </w:rPr>
              <w:t>酚</w:t>
            </w:r>
            <w:r>
              <w:rPr>
                <w:rFonts w:hint="eastAsia"/>
                <w:color w:val="000000" w:themeColor="text1"/>
                <w:sz w:val="24"/>
                <w:lang w:eastAsia="zh-CN"/>
                <w14:textFill>
                  <w14:solidFill>
                    <w14:schemeClr w14:val="tx1"/>
                  </w14:solidFill>
                </w14:textFill>
              </w:rPr>
              <w:t>类</w:t>
            </w:r>
            <w:r>
              <w:rPr>
                <w:color w:val="000000" w:themeColor="text1"/>
                <w:sz w:val="24"/>
                <w14:textFill>
                  <w14:solidFill>
                    <w14:schemeClr w14:val="tx1"/>
                  </w14:solidFill>
                </w14:textFill>
              </w:rPr>
              <w:t>、高锰酸盐指数、硝酸盐、亚硝酸盐、氨氮、汞、砷、铬</w:t>
            </w:r>
            <w:r>
              <w:rPr>
                <w:rFonts w:hint="eastAsia"/>
                <w:color w:val="000000" w:themeColor="text1"/>
                <w:sz w:val="24"/>
                <w:lang w:eastAsia="zh-CN"/>
                <w14:textFill>
                  <w14:solidFill>
                    <w14:schemeClr w14:val="tx1"/>
                  </w14:solidFill>
                </w14:textFill>
              </w:rPr>
              <w:t>（</w:t>
            </w:r>
            <w:r>
              <w:rPr>
                <w:color w:val="000000" w:themeColor="text1"/>
                <w:sz w:val="24"/>
                <w14:textFill>
                  <w14:solidFill>
                    <w14:schemeClr w14:val="tx1"/>
                  </w14:solidFill>
                </w14:textFill>
              </w:rPr>
              <w:t>六价</w:t>
            </w:r>
            <w:r>
              <w:rPr>
                <w:rFonts w:hint="eastAsia"/>
                <w:color w:val="000000" w:themeColor="text1"/>
                <w:sz w:val="24"/>
                <w:lang w:eastAsia="zh-CN"/>
                <w14:textFill>
                  <w14:solidFill>
                    <w14:schemeClr w14:val="tx1"/>
                  </w14:solidFill>
                </w14:textFill>
              </w:rPr>
              <w:t>）</w:t>
            </w:r>
            <w:r>
              <w:rPr>
                <w:color w:val="000000" w:themeColor="text1"/>
                <w:sz w:val="24"/>
                <w14:textFill>
                  <w14:solidFill>
                    <w14:schemeClr w14:val="tx1"/>
                  </w14:solidFill>
                </w14:textFill>
              </w:rPr>
              <w:t>、总铬、铅、镉、硫化物、K</w:t>
            </w:r>
            <w:r>
              <w:rPr>
                <w:color w:val="000000" w:themeColor="text1"/>
                <w:sz w:val="24"/>
                <w:vertAlign w:val="superscript"/>
                <w14:textFill>
                  <w14:solidFill>
                    <w14:schemeClr w14:val="tx1"/>
                  </w14:solidFill>
                </w14:textFill>
              </w:rPr>
              <w:t>+</w:t>
            </w:r>
            <w:r>
              <w:rPr>
                <w:color w:val="000000" w:themeColor="text1"/>
                <w:sz w:val="24"/>
                <w14:textFill>
                  <w14:solidFill>
                    <w14:schemeClr w14:val="tx1"/>
                  </w14:solidFill>
                </w14:textFill>
              </w:rPr>
              <w:t xml:space="preserve">、 Na </w:t>
            </w:r>
            <w:r>
              <w:rPr>
                <w:color w:val="000000" w:themeColor="text1"/>
                <w:sz w:val="24"/>
                <w:vertAlign w:val="superscript"/>
                <w14:textFill>
                  <w14:solidFill>
                    <w14:schemeClr w14:val="tx1"/>
                  </w14:solidFill>
                </w14:textFill>
              </w:rPr>
              <w:t>+</w:t>
            </w:r>
            <w:r>
              <w:rPr>
                <w:color w:val="000000" w:themeColor="text1"/>
                <w:sz w:val="24"/>
                <w14:textFill>
                  <w14:solidFill>
                    <w14:schemeClr w14:val="tx1"/>
                  </w14:solidFill>
                </w14:textFill>
              </w:rPr>
              <w:t xml:space="preserve"> 、Ca</w:t>
            </w:r>
            <w:r>
              <w:rPr>
                <w:color w:val="000000" w:themeColor="text1"/>
                <w:sz w:val="24"/>
                <w:vertAlign w:val="superscript"/>
                <w14:textFill>
                  <w14:solidFill>
                    <w14:schemeClr w14:val="tx1"/>
                  </w14:solidFill>
                </w14:textFill>
              </w:rPr>
              <w:t xml:space="preserve"> 2+</w:t>
            </w:r>
            <w:r>
              <w:rPr>
                <w:color w:val="000000" w:themeColor="text1"/>
                <w:sz w:val="24"/>
                <w14:textFill>
                  <w14:solidFill>
                    <w14:schemeClr w14:val="tx1"/>
                  </w14:solidFill>
                </w14:textFill>
              </w:rPr>
              <w:t xml:space="preserve"> 、Mg</w:t>
            </w:r>
            <w:r>
              <w:rPr>
                <w:color w:val="000000" w:themeColor="text1"/>
                <w:sz w:val="24"/>
                <w:vertAlign w:val="superscript"/>
                <w14:textFill>
                  <w14:solidFill>
                    <w14:schemeClr w14:val="tx1"/>
                  </w14:solidFill>
                </w14:textFill>
              </w:rPr>
              <w:t xml:space="preserve"> 2+</w:t>
            </w:r>
            <w:r>
              <w:rPr>
                <w:color w:val="000000" w:themeColor="text1"/>
                <w:sz w:val="24"/>
                <w14:textFill>
                  <w14:solidFill>
                    <w14:schemeClr w14:val="tx1"/>
                  </w14:solidFill>
                </w14:textFill>
              </w:rPr>
              <w:t xml:space="preserve"> 、CO </w:t>
            </w:r>
            <w:r>
              <w:rPr>
                <w:color w:val="000000" w:themeColor="text1"/>
                <w:sz w:val="24"/>
                <w:vertAlign w:val="subscript"/>
                <w14:textFill>
                  <w14:solidFill>
                    <w14:schemeClr w14:val="tx1"/>
                  </w14:solidFill>
                </w14:textFill>
              </w:rPr>
              <w:t xml:space="preserve">3 </w:t>
            </w:r>
            <w:r>
              <w:rPr>
                <w:color w:val="000000" w:themeColor="text1"/>
                <w:sz w:val="24"/>
                <w:vertAlign w:val="superscript"/>
                <w14:textFill>
                  <w14:solidFill>
                    <w14:schemeClr w14:val="tx1"/>
                  </w14:solidFill>
                </w14:textFill>
              </w:rPr>
              <w:t>2-</w:t>
            </w:r>
            <w:r>
              <w:rPr>
                <w:color w:val="000000" w:themeColor="text1"/>
                <w:sz w:val="24"/>
                <w14:textFill>
                  <w14:solidFill>
                    <w14:schemeClr w14:val="tx1"/>
                  </w14:solidFill>
                </w14:textFill>
              </w:rPr>
              <w:t xml:space="preserve"> 、HCO</w:t>
            </w:r>
            <w:r>
              <w:rPr>
                <w:color w:val="000000" w:themeColor="text1"/>
                <w:sz w:val="24"/>
                <w:vertAlign w:val="subscript"/>
                <w14:textFill>
                  <w14:solidFill>
                    <w14:schemeClr w14:val="tx1"/>
                  </w14:solidFill>
                </w14:textFill>
              </w:rPr>
              <w:t>3</w:t>
            </w:r>
            <w:r>
              <w:rPr>
                <w:color w:val="000000" w:themeColor="text1"/>
                <w:sz w:val="24"/>
                <w:vertAlign w:val="superscript"/>
                <w14:textFill>
                  <w14:solidFill>
                    <w14:schemeClr w14:val="tx1"/>
                  </w14:solidFill>
                </w14:textFill>
              </w:rPr>
              <w:t xml:space="preserve"> -</w:t>
            </w:r>
            <w:r>
              <w:rPr>
                <w:color w:val="000000" w:themeColor="text1"/>
                <w:sz w:val="24"/>
                <w14:textFill>
                  <w14:solidFill>
                    <w14:schemeClr w14:val="tx1"/>
                  </w14:solidFill>
                </w14:textFill>
              </w:rPr>
              <w:t>、Cl</w:t>
            </w:r>
            <w:r>
              <w:rPr>
                <w:color w:val="000000" w:themeColor="text1"/>
                <w:sz w:val="24"/>
                <w:vertAlign w:val="superscript"/>
                <w14:textFill>
                  <w14:solidFill>
                    <w14:schemeClr w14:val="tx1"/>
                  </w14:solidFill>
                </w14:textFill>
              </w:rPr>
              <w:t>-</w:t>
            </w:r>
            <w:r>
              <w:rPr>
                <w:color w:val="000000" w:themeColor="text1"/>
                <w:sz w:val="24"/>
                <w14:textFill>
                  <w14:solidFill>
                    <w14:schemeClr w14:val="tx1"/>
                  </w14:solidFill>
                </w14:textFill>
              </w:rPr>
              <w:t>、SO</w:t>
            </w:r>
            <w:r>
              <w:rPr>
                <w:color w:val="000000" w:themeColor="text1"/>
                <w:sz w:val="24"/>
                <w:vertAlign w:val="subscript"/>
                <w14:textFill>
                  <w14:solidFill>
                    <w14:schemeClr w14:val="tx1"/>
                  </w14:solidFill>
                </w14:textFill>
              </w:rPr>
              <w:t>4</w:t>
            </w:r>
            <w:r>
              <w:rPr>
                <w:color w:val="000000" w:themeColor="text1"/>
                <w:sz w:val="24"/>
                <w14:textFill>
                  <w14:solidFill>
                    <w14:schemeClr w14:val="tx1"/>
                  </w14:solidFill>
                </w14:textFill>
              </w:rPr>
              <w:t xml:space="preserve"> </w:t>
            </w:r>
            <w:r>
              <w:rPr>
                <w:color w:val="000000" w:themeColor="text1"/>
                <w:sz w:val="24"/>
                <w:vertAlign w:val="superscript"/>
                <w14:textFill>
                  <w14:solidFill>
                    <w14:schemeClr w14:val="tx1"/>
                  </w14:solidFill>
                </w14:textFill>
              </w:rPr>
              <w:t>2-</w:t>
            </w:r>
            <w:r>
              <w:rPr>
                <w:rFonts w:hAnsi="宋体"/>
                <w:color w:val="000000" w:themeColor="text1"/>
                <w:sz w:val="24"/>
                <w14:textFill>
                  <w14:solidFill>
                    <w14:schemeClr w14:val="tx1"/>
                  </w14:solidFill>
                </w14:textFill>
              </w:rPr>
              <w:t>共</w:t>
            </w:r>
            <w:r>
              <w:rPr>
                <w:rFonts w:hint="eastAsia"/>
                <w:color w:val="000000" w:themeColor="text1"/>
                <w:sz w:val="24"/>
                <w14:textFill>
                  <w14:solidFill>
                    <w14:schemeClr w14:val="tx1"/>
                  </w14:solidFill>
                </w14:textFill>
              </w:rPr>
              <w:t>2</w:t>
            </w:r>
            <w:r>
              <w:rPr>
                <w:rFonts w:hint="eastAsia"/>
                <w:color w:val="000000" w:themeColor="text1"/>
                <w:sz w:val="24"/>
                <w:lang w:val="en-US" w:eastAsia="zh-CN"/>
                <w14:textFill>
                  <w14:solidFill>
                    <w14:schemeClr w14:val="tx1"/>
                  </w14:solidFill>
                </w14:textFill>
              </w:rPr>
              <w:t>2</w:t>
            </w:r>
            <w:r>
              <w:rPr>
                <w:rFonts w:hAnsi="宋体"/>
                <w:color w:val="000000" w:themeColor="text1"/>
                <w:sz w:val="24"/>
                <w14:textFill>
                  <w14:solidFill>
                    <w14:schemeClr w14:val="tx1"/>
                  </w14:solidFill>
                </w14:textFill>
              </w:rPr>
              <w:t>项。分析方法及检出限</w:t>
            </w:r>
            <w:r>
              <w:rPr>
                <w:rFonts w:hint="eastAsia" w:hAnsi="宋体"/>
                <w:color w:val="000000" w:themeColor="text1"/>
                <w:sz w:val="24"/>
                <w14:textFill>
                  <w14:solidFill>
                    <w14:schemeClr w14:val="tx1"/>
                  </w14:solidFill>
                </w14:textFill>
              </w:rPr>
              <w:t>详见附件监测报告</w:t>
            </w:r>
            <w:r>
              <w:rPr>
                <w:rFonts w:hAnsi="宋体"/>
                <w:color w:val="000000" w:themeColor="text1"/>
                <w:sz w:val="24"/>
                <w14:textFill>
                  <w14:solidFill>
                    <w14:schemeClr w14:val="tx1"/>
                  </w14:solidFill>
                </w14:textFill>
              </w:rPr>
              <w:t>。</w:t>
            </w:r>
          </w:p>
          <w:p>
            <w:pPr>
              <w:pStyle w:val="31"/>
              <w:spacing w:before="156" w:beforeLines="50"/>
              <w:ind w:left="0" w:leftChars="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（2）监测结果及评价</w:t>
            </w:r>
          </w:p>
          <w:p>
            <w:pPr>
              <w:pStyle w:val="31"/>
              <w:spacing w:before="156" w:beforeLines="50"/>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地下水环境评价执行</w:t>
            </w:r>
            <w:r>
              <w:rPr>
                <w:rFonts w:hint="eastAsia" w:hAnsi="宋体"/>
                <w:color w:val="000000" w:themeColor="text1"/>
                <w14:textFill>
                  <w14:solidFill>
                    <w14:schemeClr w14:val="tx1"/>
                  </w14:solidFill>
                </w14:textFill>
              </w:rPr>
              <w:t>《地下水环境质量标准》（GB/T14848-2017）</w:t>
            </w:r>
            <w:r>
              <w:rPr>
                <w:color w:val="000000" w:themeColor="text1"/>
                <w14:textFill>
                  <w14:solidFill>
                    <w14:schemeClr w14:val="tx1"/>
                  </w14:solidFill>
                </w14:textFill>
              </w:rPr>
              <w:t>III</w:t>
            </w:r>
            <w:r>
              <w:rPr>
                <w:rFonts w:hAnsi="宋体"/>
                <w:color w:val="000000" w:themeColor="text1"/>
                <w14:textFill>
                  <w14:solidFill>
                    <w14:schemeClr w14:val="tx1"/>
                  </w14:solidFill>
                </w14:textFill>
              </w:rPr>
              <w:t>类标准要求</w:t>
            </w:r>
            <w:r>
              <w:rPr>
                <w:rFonts w:hint="eastAsia" w:hAnsi="宋体"/>
                <w:color w:val="000000" w:themeColor="text1"/>
                <w14:textFill>
                  <w14:solidFill>
                    <w14:schemeClr w14:val="tx1"/>
                  </w14:solidFill>
                </w14:textFill>
              </w:rPr>
              <w:t>。地下水监测分析结果见表</w:t>
            </w:r>
            <w:r>
              <w:rPr>
                <w:rFonts w:hint="eastAsia" w:hAnsi="宋体"/>
                <w:color w:val="000000" w:themeColor="text1"/>
                <w:lang w:val="en-US" w:eastAsia="zh-CN"/>
                <w14:textFill>
                  <w14:solidFill>
                    <w14:schemeClr w14:val="tx1"/>
                  </w14:solidFill>
                </w14:textFill>
              </w:rPr>
              <w:t>3-3、3-4</w:t>
            </w:r>
            <w:r>
              <w:rPr>
                <w:rFonts w:hint="eastAsia" w:hAnsi="宋体"/>
                <w:color w:val="000000" w:themeColor="text1"/>
                <w14:textFill>
                  <w14:solidFill>
                    <w14:schemeClr w14:val="tx1"/>
                  </w14:solidFill>
                </w14:textFill>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b/>
                <w:bCs/>
                <w:szCs w:val="22"/>
                <w:lang w:eastAsia="zh-CN"/>
              </w:rPr>
            </w:pPr>
            <w:r>
              <w:rPr>
                <w:rFonts w:hint="eastAsia"/>
                <w:b/>
                <w:bCs/>
                <w:szCs w:val="22"/>
                <w:lang w:eastAsia="zh-CN"/>
              </w:rPr>
              <w:t>表</w:t>
            </w:r>
            <w:r>
              <w:rPr>
                <w:rFonts w:hint="eastAsia"/>
                <w:b/>
                <w:bCs/>
                <w:szCs w:val="22"/>
                <w:lang w:val="en-US" w:eastAsia="zh-CN"/>
              </w:rPr>
              <w:t>3-3</w:t>
            </w:r>
            <w:r>
              <w:rPr>
                <w:rFonts w:hint="eastAsia"/>
                <w:b/>
                <w:bCs/>
                <w:szCs w:val="22"/>
                <w:lang w:eastAsia="zh-CN"/>
              </w:rPr>
              <w:t xml:space="preserve">  地下水监测分析结果</w:t>
            </w:r>
          </w:p>
          <w:tbl>
            <w:tblPr>
              <w:tblStyle w:val="21"/>
              <w:tblW w:w="859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1731"/>
              <w:gridCol w:w="1256"/>
              <w:gridCol w:w="1501"/>
              <w:gridCol w:w="21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Merge w:val="restart"/>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监测项目</w:t>
                  </w:r>
                </w:p>
              </w:tc>
              <w:tc>
                <w:tcPr>
                  <w:tcW w:w="4488" w:type="dxa"/>
                  <w:gridSpan w:val="3"/>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监测结果（mg/L）</w:t>
                  </w:r>
                </w:p>
              </w:tc>
              <w:tc>
                <w:tcPr>
                  <w:tcW w:w="2111" w:type="dxa"/>
                  <w:vMerge w:val="restart"/>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《地下水环境质量标准》（GB/T14848-2017）III类标准限值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Merge w:val="continue"/>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p>
              </w:tc>
              <w:tc>
                <w:tcPr>
                  <w:tcW w:w="4488" w:type="dxa"/>
                  <w:gridSpan w:val="3"/>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2018年11月20日</w:t>
                  </w:r>
                </w:p>
              </w:tc>
              <w:tc>
                <w:tcPr>
                  <w:tcW w:w="2111" w:type="dxa"/>
                  <w:vMerge w:val="continue"/>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Merge w:val="continue"/>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1#小寨</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2#三徐村</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3#档驾桥村</w:t>
                  </w:r>
                </w:p>
              </w:tc>
              <w:tc>
                <w:tcPr>
                  <w:tcW w:w="2111" w:type="dxa"/>
                  <w:vMerge w:val="continue"/>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*K+</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5.26</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4.89</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5.52</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*Na+</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93.5</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90.4</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92.6</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Ca</w:t>
                  </w:r>
                  <w:r>
                    <w:rPr>
                      <w:rFonts w:hint="eastAsia" w:ascii="Times New Roman" w:hAnsi="Times New Roman" w:eastAsia="宋体" w:cs="Times New Roman"/>
                      <w:sz w:val="21"/>
                      <w:szCs w:val="21"/>
                      <w:vertAlign w:val="superscript"/>
                      <w:lang w:val="en-US" w:eastAsia="zh-CN"/>
                    </w:rPr>
                    <w:t>2</w:t>
                  </w:r>
                  <w:r>
                    <w:rPr>
                      <w:rFonts w:hint="eastAsia" w:ascii="Times New Roman" w:hAnsi="Times New Roman" w:eastAsia="宋体" w:cs="Times New Roman"/>
                      <w:sz w:val="21"/>
                      <w:szCs w:val="21"/>
                      <w:lang w:val="en-US" w:eastAsia="zh-CN"/>
                    </w:rPr>
                    <w:t>+</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55.8</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52.9</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56.3</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Mg</w:t>
                  </w:r>
                  <w:r>
                    <w:rPr>
                      <w:rFonts w:hint="eastAsia" w:ascii="Times New Roman" w:hAnsi="Times New Roman" w:eastAsia="宋体" w:cs="Times New Roman"/>
                      <w:sz w:val="21"/>
                      <w:szCs w:val="21"/>
                      <w:vertAlign w:val="superscript"/>
                      <w:lang w:val="en-US" w:eastAsia="zh-CN"/>
                    </w:rPr>
                    <w:t>2</w:t>
                  </w:r>
                  <w:r>
                    <w:rPr>
                      <w:rFonts w:hint="eastAsia" w:ascii="Times New Roman" w:hAnsi="Times New Roman" w:eastAsia="宋体" w:cs="Times New Roman"/>
                      <w:sz w:val="21"/>
                      <w:szCs w:val="21"/>
                      <w:lang w:val="en-US" w:eastAsia="zh-CN"/>
                    </w:rPr>
                    <w:t>+</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68.7</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63.4</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66.7</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CO</w:t>
                  </w:r>
                  <w:r>
                    <w:rPr>
                      <w:rFonts w:hint="eastAsia" w:ascii="Times New Roman" w:hAnsi="Times New Roman" w:eastAsia="宋体" w:cs="Times New Roman"/>
                      <w:sz w:val="21"/>
                      <w:szCs w:val="21"/>
                      <w:vertAlign w:val="subscript"/>
                      <w:lang w:val="en-US" w:eastAsia="zh-CN"/>
                    </w:rPr>
                    <w:t>3</w:t>
                  </w:r>
                  <w:r>
                    <w:rPr>
                      <w:rFonts w:hint="eastAsia" w:ascii="Times New Roman" w:hAnsi="Times New Roman" w:eastAsia="宋体" w:cs="Times New Roman"/>
                      <w:sz w:val="21"/>
                      <w:szCs w:val="21"/>
                      <w:vertAlign w:val="superscript"/>
                      <w:lang w:val="en-US" w:eastAsia="zh-CN"/>
                    </w:rPr>
                    <w:t>2</w:t>
                  </w:r>
                  <w:r>
                    <w:rPr>
                      <w:rFonts w:hint="eastAsia" w:ascii="Times New Roman" w:hAnsi="Times New Roman" w:eastAsia="宋体" w:cs="Times New Roman"/>
                      <w:sz w:val="21"/>
                      <w:szCs w:val="21"/>
                      <w:lang w:val="en-US" w:eastAsia="zh-CN"/>
                    </w:rPr>
                    <w:t>-</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未检出</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未检出</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未检出</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HCO</w:t>
                  </w:r>
                  <w:r>
                    <w:rPr>
                      <w:rFonts w:hint="eastAsia" w:ascii="Times New Roman" w:hAnsi="Times New Roman" w:eastAsia="宋体" w:cs="Times New Roman"/>
                      <w:sz w:val="21"/>
                      <w:szCs w:val="21"/>
                      <w:vertAlign w:val="subscript"/>
                      <w:lang w:val="en-US" w:eastAsia="zh-CN"/>
                    </w:rPr>
                    <w:t>3</w:t>
                  </w:r>
                  <w:r>
                    <w:rPr>
                      <w:rFonts w:hint="eastAsia" w:ascii="Times New Roman" w:hAnsi="Times New Roman" w:eastAsia="宋体" w:cs="Times New Roman"/>
                      <w:sz w:val="21"/>
                      <w:szCs w:val="21"/>
                      <w:lang w:val="en-US" w:eastAsia="zh-CN"/>
                    </w:rPr>
                    <w:t>-</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286.5</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278.6</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287.6</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*Cl-</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75.8</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83.5</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91.7</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*SO</w:t>
                  </w:r>
                  <w:r>
                    <w:rPr>
                      <w:rFonts w:hint="eastAsia" w:ascii="Times New Roman" w:hAnsi="Times New Roman" w:eastAsia="宋体" w:cs="Times New Roman"/>
                      <w:sz w:val="21"/>
                      <w:szCs w:val="21"/>
                      <w:vertAlign w:val="subscript"/>
                      <w:lang w:val="en-US" w:eastAsia="zh-CN"/>
                    </w:rPr>
                    <w:t>4</w:t>
                  </w:r>
                  <w:r>
                    <w:rPr>
                      <w:rFonts w:hint="eastAsia" w:ascii="Times New Roman" w:hAnsi="Times New Roman" w:eastAsia="宋体" w:cs="Times New Roman"/>
                      <w:sz w:val="21"/>
                      <w:szCs w:val="21"/>
                      <w:vertAlign w:val="superscript"/>
                      <w:lang w:val="en-US" w:eastAsia="zh-CN"/>
                    </w:rPr>
                    <w:t>2</w:t>
                  </w:r>
                  <w:r>
                    <w:rPr>
                      <w:rFonts w:hint="eastAsia" w:ascii="Times New Roman" w:hAnsi="Times New Roman" w:eastAsia="宋体" w:cs="Times New Roman"/>
                      <w:sz w:val="21"/>
                      <w:szCs w:val="21"/>
                      <w:lang w:val="en-US" w:eastAsia="zh-CN"/>
                    </w:rPr>
                    <w:t>-</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166</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134</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128</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pH</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7.45</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7.35</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7.62</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6.5~8.5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氨氮</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0.034</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0.028</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0.055</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硝酸盐（以N计）</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4.36</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4.18</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4.06</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亚硝酸盐（以N计）</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0.002</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0.002</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0.001ND</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挥发酚</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ND0.0003</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ND0.0003</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ND0.0003</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高锰酸盐指数</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2.21</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2.15</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2.04</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砷（μg/L）</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0.007ND</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0.007ND</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0.007ND</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汞（μg/L）</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0.01ND</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0.01ND</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0.01ND</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六价铬</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0.028</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0.033</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0.017</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铅</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0.022</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0.016</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0.019</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镉</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0.5ND</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0.5ND</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0.5ND</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溶解性总固体</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674</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592</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627</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99"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硫化物</w:t>
                  </w:r>
                </w:p>
              </w:tc>
              <w:tc>
                <w:tcPr>
                  <w:tcW w:w="173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0.00938.5</w:t>
                  </w:r>
                </w:p>
              </w:tc>
              <w:tc>
                <w:tcPr>
                  <w:tcW w:w="1256"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0.012</w:t>
                  </w:r>
                </w:p>
              </w:tc>
              <w:tc>
                <w:tcPr>
                  <w:tcW w:w="150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0.008</w:t>
                  </w:r>
                </w:p>
              </w:tc>
              <w:tc>
                <w:tcPr>
                  <w:tcW w:w="2111" w:type="dxa"/>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w:t>
                  </w:r>
                </w:p>
              </w:tc>
            </w:tr>
          </w:tbl>
          <w:p>
            <w:pPr>
              <w:pStyle w:val="31"/>
              <w:spacing w:before="156" w:beforeLines="50"/>
              <w:rPr>
                <w:rFonts w:hint="eastAsia" w:hAnsi="宋体" w:eastAsia="宋体"/>
                <w:color w:val="000000" w:themeColor="text1"/>
                <w:lang w:val="en-US" w:eastAsia="zh-CN"/>
                <w14:textFill>
                  <w14:solidFill>
                    <w14:schemeClr w14:val="tx1"/>
                  </w14:solidFill>
                </w14:textFill>
              </w:rPr>
            </w:pPr>
            <w:r>
              <w:rPr>
                <w:rFonts w:hAnsi="宋体"/>
                <w:color w:val="000000" w:themeColor="text1"/>
                <w14:textFill>
                  <w14:solidFill>
                    <w14:schemeClr w14:val="tx1"/>
                  </w14:solidFill>
                </w14:textFill>
              </w:rPr>
              <w:t>由上表监测结果可知，各水质指标均满足</w:t>
            </w:r>
            <w:r>
              <w:rPr>
                <w:rFonts w:hint="eastAsia" w:hAnsi="宋体"/>
                <w:color w:val="000000" w:themeColor="text1"/>
                <w14:textFill>
                  <w14:solidFill>
                    <w14:schemeClr w14:val="tx1"/>
                  </w14:solidFill>
                </w14:textFill>
              </w:rPr>
              <w:t>《地下水环境质量标准》（GB/T14848-2017）</w:t>
            </w:r>
            <w:r>
              <w:rPr>
                <w:rFonts w:ascii="宋体" w:hAnsi="宋体"/>
                <w:color w:val="000000" w:themeColor="text1"/>
                <w14:textFill>
                  <w14:solidFill>
                    <w14:schemeClr w14:val="tx1"/>
                  </w14:solidFill>
                </w14:textFill>
              </w:rPr>
              <w:t>Ⅲ</w:t>
            </w:r>
            <w:r>
              <w:rPr>
                <w:rFonts w:hAnsi="宋体"/>
                <w:color w:val="000000" w:themeColor="text1"/>
                <w14:textFill>
                  <w14:solidFill>
                    <w14:schemeClr w14:val="tx1"/>
                  </w14:solidFill>
                </w14:textFill>
              </w:rPr>
              <w:t>类标准要求</w:t>
            </w:r>
            <w:r>
              <w:rPr>
                <w:rFonts w:hint="eastAsia" w:hAnsi="宋体"/>
                <w:color w:val="000000" w:themeColor="text1"/>
                <w14:textFill>
                  <w14:solidFill>
                    <w14:schemeClr w14:val="tx1"/>
                  </w14:solidFill>
                </w14:textFill>
              </w:rPr>
              <w:t>。</w:t>
            </w:r>
            <w:r>
              <w:rPr>
                <w:rFonts w:hint="eastAsia" w:hAnsi="宋体"/>
                <w:color w:val="000000" w:themeColor="text1"/>
                <w:lang w:val="en-US" w:eastAsia="zh-CN"/>
                <w14:textFill>
                  <w14:solidFill>
                    <w14:schemeClr w14:val="tx1"/>
                  </w14:solidFill>
                </w14:textFill>
              </w:rPr>
              <w:t xml:space="preserve">   </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b/>
                <w:bCs/>
                <w:szCs w:val="22"/>
                <w:lang w:eastAsia="zh-CN"/>
              </w:rPr>
            </w:pPr>
            <w:r>
              <w:rPr>
                <w:rFonts w:hint="eastAsia"/>
                <w:b/>
                <w:bCs/>
                <w:szCs w:val="22"/>
                <w:lang w:eastAsia="zh-CN"/>
              </w:rPr>
              <w:t>表</w:t>
            </w:r>
            <w:r>
              <w:rPr>
                <w:rFonts w:hint="eastAsia"/>
                <w:b/>
                <w:bCs/>
                <w:szCs w:val="22"/>
                <w:lang w:val="en-US" w:eastAsia="zh-CN"/>
              </w:rPr>
              <w:t>3-4</w:t>
            </w:r>
            <w:r>
              <w:rPr>
                <w:rFonts w:hint="eastAsia"/>
                <w:b/>
                <w:bCs/>
                <w:szCs w:val="22"/>
                <w:lang w:eastAsia="zh-CN"/>
              </w:rPr>
              <w:t xml:space="preserve">  地下水位监测结果</w:t>
            </w:r>
          </w:p>
          <w:tbl>
            <w:tblPr>
              <w:tblStyle w:val="21"/>
              <w:tblW w:w="859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22"/>
              <w:gridCol w:w="2126"/>
              <w:gridCol w:w="2125"/>
              <w:gridCol w:w="21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22" w:type="dxa"/>
                  <w:tcBorders>
                    <w:top w:val="single" w:color="auto" w:sz="12" w:space="0"/>
                    <w:left w:val="single" w:color="auto" w:sz="12"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监测点位</w:t>
                  </w:r>
                </w:p>
              </w:tc>
              <w:tc>
                <w:tcPr>
                  <w:tcW w:w="2126" w:type="dxa"/>
                  <w:tcBorders>
                    <w:top w:val="single" w:color="auto" w:sz="12"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井深</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（m）</w:t>
                  </w:r>
                </w:p>
              </w:tc>
              <w:tc>
                <w:tcPr>
                  <w:tcW w:w="2125" w:type="dxa"/>
                  <w:tcBorders>
                    <w:top w:val="single" w:color="auto" w:sz="12"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水位埋深</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（m）</w:t>
                  </w:r>
                </w:p>
              </w:tc>
              <w:tc>
                <w:tcPr>
                  <w:tcW w:w="2125" w:type="dxa"/>
                  <w:tcBorders>
                    <w:top w:val="single" w:color="auto" w:sz="12" w:space="0"/>
                    <w:left w:val="single" w:color="auto" w:sz="4" w:space="0"/>
                    <w:bottom w:val="single" w:color="auto" w:sz="4" w:space="0"/>
                    <w:right w:val="single" w:color="auto" w:sz="12"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经纬度坐标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22" w:type="dxa"/>
                  <w:tcBorders>
                    <w:top w:val="single" w:color="auto" w:sz="4" w:space="0"/>
                    <w:left w:val="single" w:color="auto" w:sz="12"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小寨</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63</w:t>
                  </w: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w:t>
                  </w:r>
                </w:p>
              </w:tc>
              <w:tc>
                <w:tcPr>
                  <w:tcW w:w="2125" w:type="dxa"/>
                  <w:tcBorders>
                    <w:top w:val="single" w:color="auto" w:sz="4" w:space="0"/>
                    <w:left w:val="single" w:color="auto" w:sz="4" w:space="0"/>
                    <w:bottom w:val="single" w:color="auto" w:sz="4" w:space="0"/>
                    <w:right w:val="single" w:color="auto" w:sz="12"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N：109˚2ʹ24.71ʺ</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E：34˚52ʹ59.52ʺ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22" w:type="dxa"/>
                  <w:tcBorders>
                    <w:top w:val="single" w:color="auto" w:sz="4" w:space="0"/>
                    <w:left w:val="single" w:color="auto" w:sz="12"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三徐村</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55</w:t>
                  </w: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18</w:t>
                  </w:r>
                </w:p>
              </w:tc>
              <w:tc>
                <w:tcPr>
                  <w:tcW w:w="2125" w:type="dxa"/>
                  <w:tcBorders>
                    <w:top w:val="single" w:color="auto" w:sz="4" w:space="0"/>
                    <w:left w:val="single" w:color="auto" w:sz="4" w:space="0"/>
                    <w:bottom w:val="single" w:color="auto" w:sz="4" w:space="0"/>
                    <w:right w:val="single" w:color="auto" w:sz="12"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N：109˚2ʹ33.21ʺ</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E：34˚52ʹ24.98ʺ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22" w:type="dxa"/>
                  <w:tcBorders>
                    <w:top w:val="single" w:color="auto" w:sz="4" w:space="0"/>
                    <w:left w:val="single" w:color="auto" w:sz="12"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档驾桥村</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75</w:t>
                  </w: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32</w:t>
                  </w:r>
                </w:p>
              </w:tc>
              <w:tc>
                <w:tcPr>
                  <w:tcW w:w="2125" w:type="dxa"/>
                  <w:tcBorders>
                    <w:top w:val="single" w:color="auto" w:sz="4" w:space="0"/>
                    <w:left w:val="single" w:color="auto" w:sz="4" w:space="0"/>
                    <w:bottom w:val="single" w:color="auto" w:sz="4" w:space="0"/>
                    <w:right w:val="single" w:color="auto" w:sz="12"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N：109˚2ʹ17.52ʺ</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E：34˚52ʹ0.12ʺ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22" w:type="dxa"/>
                  <w:tcBorders>
                    <w:top w:val="single" w:color="auto" w:sz="4" w:space="0"/>
                    <w:left w:val="single" w:color="auto" w:sz="12"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西徐村</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43</w:t>
                  </w: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16</w:t>
                  </w:r>
                </w:p>
              </w:tc>
              <w:tc>
                <w:tcPr>
                  <w:tcW w:w="2125" w:type="dxa"/>
                  <w:tcBorders>
                    <w:top w:val="single" w:color="auto" w:sz="4" w:space="0"/>
                    <w:left w:val="single" w:color="auto" w:sz="4" w:space="0"/>
                    <w:bottom w:val="single" w:color="auto" w:sz="4" w:space="0"/>
                    <w:right w:val="single" w:color="auto" w:sz="12"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N：109˚3ʹ2.52ʺ</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E：34˚52ʹ24.24ʺ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22" w:type="dxa"/>
                  <w:tcBorders>
                    <w:top w:val="single" w:color="auto" w:sz="4" w:space="0"/>
                    <w:left w:val="single" w:color="auto" w:sz="12"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东徐</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50</w:t>
                  </w: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15</w:t>
                  </w:r>
                </w:p>
              </w:tc>
              <w:tc>
                <w:tcPr>
                  <w:tcW w:w="2125" w:type="dxa"/>
                  <w:tcBorders>
                    <w:top w:val="single" w:color="auto" w:sz="4" w:space="0"/>
                    <w:left w:val="single" w:color="auto" w:sz="4" w:space="0"/>
                    <w:bottom w:val="single" w:color="auto" w:sz="4" w:space="0"/>
                    <w:right w:val="single" w:color="auto" w:sz="12"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N：109˚2ʹ34.8ʺ</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E：34˚51ʹ27.72ʺ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22" w:type="dxa"/>
                  <w:tcBorders>
                    <w:top w:val="single" w:color="auto" w:sz="4" w:space="0"/>
                    <w:left w:val="single" w:color="auto" w:sz="12"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铁孟村</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55</w:t>
                  </w:r>
                </w:p>
              </w:tc>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23</w:t>
                  </w:r>
                </w:p>
              </w:tc>
              <w:tc>
                <w:tcPr>
                  <w:tcW w:w="2125" w:type="dxa"/>
                  <w:tcBorders>
                    <w:top w:val="single" w:color="auto" w:sz="4" w:space="0"/>
                    <w:left w:val="single" w:color="auto" w:sz="4" w:space="0"/>
                    <w:bottom w:val="single" w:color="auto" w:sz="4" w:space="0"/>
                    <w:right w:val="single" w:color="auto" w:sz="12" w:space="0"/>
                  </w:tcBorders>
                  <w:shd w:val="clear" w:color="auto" w:fill="auto"/>
                  <w:vAlign w:val="center"/>
                </w:tcPr>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N：109˚1ʹ56.64ʺ</w:t>
                  </w:r>
                </w:p>
                <w:p>
                  <w:pPr>
                    <w:autoSpaceDE w:val="0"/>
                    <w:autoSpaceDN w:val="0"/>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E：34˚51ʹ48.6ʺ</w:t>
                  </w:r>
                </w:p>
              </w:tc>
            </w:tr>
          </w:tbl>
          <w:p>
            <w:pPr>
              <w:pStyle w:val="2"/>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87" w:hRule="atLeast"/>
        </w:trPr>
        <w:tc>
          <w:tcPr>
            <w:tcW w:w="8845" w:type="dxa"/>
            <w:tcBorders>
              <w:tl2br w:val="nil"/>
              <w:tr2bl w:val="nil"/>
            </w:tcBorders>
            <w:vAlign w:val="top"/>
          </w:tcPr>
          <w:p>
            <w:pPr>
              <w:pageBreakBefore/>
              <w:spacing w:line="360" w:lineRule="auto"/>
              <w:ind w:firstLine="0" w:firstLineChars="0"/>
              <w:rPr>
                <w:b/>
                <w:sz w:val="24"/>
                <w:szCs w:val="24"/>
              </w:rPr>
            </w:pPr>
            <w:r>
              <w:rPr>
                <w:rFonts w:hint="eastAsia"/>
                <w:b/>
                <w:sz w:val="24"/>
                <w:szCs w:val="24"/>
              </w:rPr>
              <w:t>主要环境保护目标（列出名单及保护级别）</w:t>
            </w:r>
          </w:p>
          <w:p>
            <w:pPr>
              <w:spacing w:line="360" w:lineRule="auto"/>
              <w:ind w:firstLine="480"/>
            </w:pPr>
            <w:r>
              <w:t>根据《建设项目环境影响评价分类管理名录》敏感因素的界定原则，经调查评价区不属于特殊保护地区、社会关注地区、生态脆弱区和特殊地貌景区。经实地踏勘，评价区内无重点保护文物、古迹、植物、动物及人文景观等，评价保护目标确定为距离场址较近的居民区、村庄</w:t>
            </w:r>
            <w:r>
              <w:rPr>
                <w:rFonts w:hint="eastAsia"/>
                <w:lang w:eastAsia="zh-CN"/>
              </w:rPr>
              <w:t>，</w:t>
            </w:r>
            <w:r>
              <w:t>详见表</w:t>
            </w:r>
            <w:r>
              <w:rPr>
                <w:rFonts w:hint="eastAsia"/>
                <w:lang w:val="en-US" w:eastAsia="zh-CN"/>
              </w:rPr>
              <w:t>3-5</w:t>
            </w:r>
            <w: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 xml:space="preserve">3-5 </w:t>
            </w:r>
            <w:r>
              <w:rPr>
                <w:rFonts w:hint="eastAsia" w:ascii="Times New Roman" w:hAnsi="Times New Roman" w:eastAsia="宋体" w:cs="Times New Roman"/>
                <w:b/>
                <w:bCs/>
                <w:color w:val="auto"/>
                <w:sz w:val="21"/>
                <w:szCs w:val="21"/>
                <w:lang w:eastAsia="zh-CN"/>
              </w:rPr>
              <w:t xml:space="preserve">  本项目主要环境保护目标及保护级别</w:t>
            </w:r>
          </w:p>
          <w:tbl>
            <w:tblPr>
              <w:tblStyle w:val="20"/>
              <w:tblW w:w="861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1656"/>
              <w:gridCol w:w="1332"/>
              <w:gridCol w:w="1117"/>
              <w:gridCol w:w="1170"/>
              <w:gridCol w:w="22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tcBorders>
                    <w:tl2br w:val="nil"/>
                    <w:tr2bl w:val="nil"/>
                  </w:tcBorders>
                  <w:vAlign w:val="center"/>
                </w:tcPr>
                <w:p>
                  <w:pPr>
                    <w:pStyle w:val="2"/>
                    <w:snapToGrid w:val="0"/>
                    <w:spacing w:line="240" w:lineRule="auto"/>
                    <w:jc w:val="center"/>
                    <w:rPr>
                      <w:rFonts w:ascii="Times New Roman" w:hAnsi="Times New Roman"/>
                      <w:szCs w:val="21"/>
                    </w:rPr>
                  </w:pPr>
                  <w:r>
                    <w:rPr>
                      <w:rFonts w:ascii="Times New Roman" w:hAnsi="Times New Roman"/>
                      <w:szCs w:val="21"/>
                    </w:rPr>
                    <w:t>环境因素</w:t>
                  </w:r>
                </w:p>
              </w:tc>
              <w:tc>
                <w:tcPr>
                  <w:tcW w:w="1656" w:type="dxa"/>
                  <w:tcBorders>
                    <w:tl2br w:val="nil"/>
                    <w:tr2bl w:val="nil"/>
                  </w:tcBorders>
                  <w:vAlign w:val="center"/>
                </w:tcPr>
                <w:p>
                  <w:pPr>
                    <w:pStyle w:val="2"/>
                    <w:snapToGrid w:val="0"/>
                    <w:spacing w:line="240" w:lineRule="auto"/>
                    <w:jc w:val="center"/>
                    <w:rPr>
                      <w:rFonts w:ascii="Times New Roman" w:hAnsi="Times New Roman"/>
                      <w:szCs w:val="21"/>
                    </w:rPr>
                  </w:pPr>
                  <w:r>
                    <w:rPr>
                      <w:rFonts w:ascii="Times New Roman" w:hAnsi="Times New Roman"/>
                      <w:szCs w:val="21"/>
                    </w:rPr>
                    <w:t>保护目标</w:t>
                  </w:r>
                </w:p>
              </w:tc>
              <w:tc>
                <w:tcPr>
                  <w:tcW w:w="1332" w:type="dxa"/>
                  <w:tcBorders>
                    <w:tl2br w:val="nil"/>
                    <w:tr2bl w:val="nil"/>
                  </w:tcBorders>
                  <w:vAlign w:val="center"/>
                </w:tcPr>
                <w:p>
                  <w:pPr>
                    <w:pStyle w:val="2"/>
                    <w:snapToGrid w:val="0"/>
                    <w:spacing w:line="240" w:lineRule="auto"/>
                    <w:jc w:val="center"/>
                    <w:rPr>
                      <w:rFonts w:ascii="Times New Roman" w:hAnsi="Times New Roman"/>
                      <w:szCs w:val="21"/>
                    </w:rPr>
                  </w:pPr>
                  <w:r>
                    <w:rPr>
                      <w:rFonts w:ascii="Times New Roman" w:hAnsi="Times New Roman"/>
                      <w:szCs w:val="21"/>
                    </w:rPr>
                    <w:t>方位</w:t>
                  </w:r>
                </w:p>
              </w:tc>
              <w:tc>
                <w:tcPr>
                  <w:tcW w:w="1117" w:type="dxa"/>
                  <w:tcBorders>
                    <w:tl2br w:val="nil"/>
                    <w:tr2bl w:val="nil"/>
                  </w:tcBorders>
                  <w:vAlign w:val="center"/>
                </w:tcPr>
                <w:p>
                  <w:pPr>
                    <w:pStyle w:val="2"/>
                    <w:snapToGrid w:val="0"/>
                    <w:spacing w:line="240" w:lineRule="auto"/>
                    <w:jc w:val="center"/>
                    <w:rPr>
                      <w:rFonts w:ascii="Times New Roman" w:hAnsi="Times New Roman"/>
                      <w:szCs w:val="21"/>
                    </w:rPr>
                  </w:pPr>
                  <w:r>
                    <w:rPr>
                      <w:rFonts w:ascii="Times New Roman" w:hAnsi="Times New Roman"/>
                      <w:szCs w:val="21"/>
                    </w:rPr>
                    <w:t>距离</w:t>
                  </w:r>
                  <w:r>
                    <w:rPr>
                      <w:rFonts w:hint="eastAsia" w:ascii="Times New Roman" w:hAnsi="Times New Roman"/>
                      <w:szCs w:val="21"/>
                    </w:rPr>
                    <w:t>（</w:t>
                  </w:r>
                  <w:r>
                    <w:rPr>
                      <w:rFonts w:ascii="Times New Roman" w:hAnsi="Times New Roman"/>
                      <w:szCs w:val="21"/>
                    </w:rPr>
                    <w:t>m</w:t>
                  </w:r>
                  <w:r>
                    <w:rPr>
                      <w:rFonts w:hint="eastAsia" w:ascii="Times New Roman" w:hAnsi="Times New Roman"/>
                      <w:szCs w:val="21"/>
                    </w:rPr>
                    <w:t>）</w:t>
                  </w:r>
                </w:p>
              </w:tc>
              <w:tc>
                <w:tcPr>
                  <w:tcW w:w="1170" w:type="dxa"/>
                  <w:tcBorders>
                    <w:tl2br w:val="nil"/>
                    <w:tr2bl w:val="nil"/>
                  </w:tcBorders>
                  <w:vAlign w:val="center"/>
                </w:tcPr>
                <w:p>
                  <w:pPr>
                    <w:pStyle w:val="2"/>
                    <w:snapToGrid w:val="0"/>
                    <w:spacing w:line="240" w:lineRule="auto"/>
                    <w:jc w:val="center"/>
                    <w:rPr>
                      <w:rFonts w:ascii="Times New Roman" w:hAnsi="Times New Roman"/>
                      <w:szCs w:val="21"/>
                    </w:rPr>
                  </w:pPr>
                  <w:r>
                    <w:rPr>
                      <w:rFonts w:hint="eastAsia" w:ascii="Times New Roman" w:hAnsi="Times New Roman"/>
                      <w:szCs w:val="21"/>
                      <w:lang w:eastAsia="zh-CN"/>
                    </w:rPr>
                    <w:t>户</w:t>
                  </w:r>
                  <w:r>
                    <w:rPr>
                      <w:rFonts w:hint="eastAsia" w:ascii="Times New Roman" w:hAnsi="Times New Roman"/>
                      <w:szCs w:val="21"/>
                      <w:lang w:val="en-US" w:eastAsia="zh-CN"/>
                    </w:rPr>
                    <w:t>/</w:t>
                  </w:r>
                  <w:r>
                    <w:rPr>
                      <w:rFonts w:hint="eastAsia" w:ascii="Times New Roman" w:hAnsi="Times New Roman"/>
                      <w:szCs w:val="21"/>
                    </w:rPr>
                    <w:t>人</w:t>
                  </w:r>
                </w:p>
              </w:tc>
              <w:tc>
                <w:tcPr>
                  <w:tcW w:w="2212" w:type="dxa"/>
                  <w:tcBorders>
                    <w:tl2br w:val="nil"/>
                    <w:tr2bl w:val="nil"/>
                  </w:tcBorders>
                  <w:vAlign w:val="center"/>
                </w:tcPr>
                <w:p>
                  <w:pPr>
                    <w:pStyle w:val="2"/>
                    <w:snapToGrid w:val="0"/>
                    <w:spacing w:line="240" w:lineRule="auto"/>
                    <w:jc w:val="center"/>
                    <w:rPr>
                      <w:rFonts w:ascii="Times New Roman" w:hAnsi="Times New Roman"/>
                      <w:szCs w:val="21"/>
                    </w:rPr>
                  </w:pPr>
                  <w:r>
                    <w:rPr>
                      <w:rFonts w:hint="eastAsia" w:ascii="Times New Roman" w:hAnsi="Times New Roman"/>
                      <w:szCs w:val="21"/>
                    </w:rPr>
                    <w:t>保护级别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restart"/>
                  <w:tcBorders>
                    <w:tl2br w:val="nil"/>
                    <w:tr2bl w:val="nil"/>
                  </w:tcBorders>
                  <w:vAlign w:val="center"/>
                </w:tcPr>
                <w:p>
                  <w:pPr>
                    <w:pStyle w:val="2"/>
                    <w:snapToGrid w:val="0"/>
                    <w:spacing w:line="240" w:lineRule="auto"/>
                    <w:jc w:val="center"/>
                    <w:rPr>
                      <w:rFonts w:ascii="Times New Roman" w:hAnsi="Times New Roman"/>
                      <w:szCs w:val="21"/>
                    </w:rPr>
                  </w:pPr>
                  <w:r>
                    <w:rPr>
                      <w:rFonts w:ascii="Times New Roman" w:hAnsi="Times New Roman"/>
                      <w:szCs w:val="21"/>
                    </w:rPr>
                    <w:t>环境空气</w:t>
                  </w:r>
                </w:p>
              </w:tc>
              <w:tc>
                <w:tcPr>
                  <w:tcW w:w="1656"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铁孟村</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E</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eastAsia="宋体"/>
                      <w:szCs w:val="21"/>
                      <w:lang w:val="en-US" w:eastAsia="zh-CN"/>
                    </w:rPr>
                  </w:pPr>
                  <w:r>
                    <w:rPr>
                      <w:rFonts w:hint="eastAsia" w:ascii="Times New Roman" w:hAnsi="Times New Roman"/>
                      <w:szCs w:val="21"/>
                      <w:lang w:val="en-US" w:eastAsia="zh-CN"/>
                    </w:rPr>
                    <w:t>85</w:t>
                  </w:r>
                </w:p>
              </w:tc>
              <w:tc>
                <w:tcPr>
                  <w:tcW w:w="1170"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600/2400</w:t>
                  </w:r>
                </w:p>
              </w:tc>
              <w:tc>
                <w:tcPr>
                  <w:tcW w:w="2212" w:type="dxa"/>
                  <w:vMerge w:val="restart"/>
                  <w:tcBorders>
                    <w:tl2br w:val="nil"/>
                    <w:tr2bl w:val="nil"/>
                  </w:tcBorders>
                  <w:vAlign w:val="center"/>
                </w:tcPr>
                <w:p>
                  <w:pPr>
                    <w:pStyle w:val="2"/>
                    <w:snapToGrid w:val="0"/>
                    <w:spacing w:line="240" w:lineRule="auto"/>
                    <w:jc w:val="center"/>
                    <w:rPr>
                      <w:rFonts w:hint="eastAsia" w:ascii="Times New Roman" w:hAnsi="Times New Roman" w:eastAsia="宋体"/>
                      <w:szCs w:val="21"/>
                      <w:lang w:eastAsia="zh-CN"/>
                    </w:rPr>
                  </w:pPr>
                  <w:r>
                    <w:rPr>
                      <w:rFonts w:hint="eastAsia" w:ascii="Times New Roman" w:hAnsi="Times New Roman"/>
                      <w:szCs w:val="21"/>
                    </w:rPr>
                    <w:t>《环境空气质量标准》（GB3095-2012）二</w:t>
                  </w:r>
                  <w:r>
                    <w:rPr>
                      <w:rFonts w:hint="eastAsia" w:ascii="Times New Roman" w:hAnsi="Times New Roman"/>
                      <w:szCs w:val="21"/>
                      <w:lang w:eastAsia="zh-CN"/>
                    </w:rPr>
                    <w:t>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田村</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E</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950</w:t>
                  </w:r>
                </w:p>
              </w:tc>
              <w:tc>
                <w:tcPr>
                  <w:tcW w:w="1170"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280/1120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新村</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SE</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1500</w:t>
                  </w:r>
                </w:p>
              </w:tc>
              <w:tc>
                <w:tcPr>
                  <w:tcW w:w="1170"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200/800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eastAsia="宋体"/>
                      <w:color w:val="000000"/>
                      <w:szCs w:val="21"/>
                      <w:lang w:eastAsia="zh-CN"/>
                    </w:rPr>
                  </w:pPr>
                  <w:r>
                    <w:rPr>
                      <w:rFonts w:hint="eastAsia" w:ascii="Times New Roman" w:hAnsi="Times New Roman"/>
                      <w:color w:val="000000"/>
                      <w:szCs w:val="21"/>
                      <w:lang w:eastAsia="zh-CN"/>
                    </w:rPr>
                    <w:t>石门村</w:t>
                  </w:r>
                </w:p>
              </w:tc>
              <w:tc>
                <w:tcPr>
                  <w:tcW w:w="1332"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SE</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2100</w:t>
                  </w:r>
                </w:p>
              </w:tc>
              <w:tc>
                <w:tcPr>
                  <w:tcW w:w="1170" w:type="dxa"/>
                  <w:tcBorders>
                    <w:tl2br w:val="nil"/>
                    <w:tr2bl w:val="nil"/>
                  </w:tcBorders>
                  <w:vAlign w:val="center"/>
                </w:tcPr>
                <w:p>
                  <w:pPr>
                    <w:pStyle w:val="2"/>
                    <w:snapToGrid w:val="0"/>
                    <w:spacing w:line="240" w:lineRule="auto"/>
                    <w:jc w:val="center"/>
                    <w:rPr>
                      <w:rFonts w:hint="eastAsia" w:ascii="Times New Roman" w:hAnsi="Times New Roman" w:eastAsia="宋体"/>
                      <w:color w:val="000000"/>
                      <w:szCs w:val="21"/>
                      <w:lang w:val="en-US" w:eastAsia="zh-CN"/>
                    </w:rPr>
                  </w:pPr>
                  <w:r>
                    <w:rPr>
                      <w:rFonts w:hint="eastAsia" w:ascii="Times New Roman" w:hAnsi="Times New Roman"/>
                      <w:color w:val="000000"/>
                      <w:szCs w:val="21"/>
                      <w:lang w:val="en-US" w:eastAsia="zh-CN"/>
                    </w:rPr>
                    <w:t>350/1400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西徐村</w:t>
                  </w:r>
                </w:p>
              </w:tc>
              <w:tc>
                <w:tcPr>
                  <w:tcW w:w="1332"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S</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450</w:t>
                  </w:r>
                </w:p>
              </w:tc>
              <w:tc>
                <w:tcPr>
                  <w:tcW w:w="1170"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250/1000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永乐镇</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S</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1350</w:t>
                  </w:r>
                </w:p>
              </w:tc>
              <w:tc>
                <w:tcPr>
                  <w:tcW w:w="1170"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1500/6000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西流村</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SW</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1400</w:t>
                  </w:r>
                </w:p>
              </w:tc>
              <w:tc>
                <w:tcPr>
                  <w:tcW w:w="1170"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650/2600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北横流村</w:t>
                  </w:r>
                </w:p>
              </w:tc>
              <w:tc>
                <w:tcPr>
                  <w:tcW w:w="1332" w:type="dxa"/>
                  <w:tcBorders>
                    <w:tl2br w:val="nil"/>
                    <w:tr2bl w:val="nil"/>
                  </w:tcBorders>
                  <w:vAlign w:val="center"/>
                </w:tcPr>
                <w:p>
                  <w:pPr>
                    <w:snapToGrid w:val="0"/>
                    <w:spacing w:line="240" w:lineRule="auto"/>
                    <w:ind w:left="0" w:leftChars="0" w:firstLine="0" w:firstLineChars="0"/>
                    <w:jc w:val="center"/>
                    <w:rPr>
                      <w:rFonts w:hint="eastAsia" w:ascii="Times New Roman" w:hAnsi="Times New Roman"/>
                      <w:color w:val="000000"/>
                      <w:sz w:val="22"/>
                      <w:szCs w:val="20"/>
                      <w:lang w:val="en-US" w:eastAsia="zh-CN"/>
                    </w:rPr>
                  </w:pPr>
                  <w:r>
                    <w:rPr>
                      <w:rFonts w:hint="eastAsia" w:ascii="Times New Roman" w:hAnsi="Times New Roman"/>
                      <w:color w:val="000000"/>
                      <w:sz w:val="22"/>
                      <w:szCs w:val="20"/>
                      <w:lang w:val="en-US" w:eastAsia="zh-CN"/>
                    </w:rPr>
                    <w:t>SW</w:t>
                  </w:r>
                </w:p>
              </w:tc>
              <w:tc>
                <w:tcPr>
                  <w:tcW w:w="1117"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1720</w:t>
                  </w:r>
                </w:p>
              </w:tc>
              <w:tc>
                <w:tcPr>
                  <w:tcW w:w="1170"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350/1400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河南村</w:t>
                  </w:r>
                </w:p>
              </w:tc>
              <w:tc>
                <w:tcPr>
                  <w:tcW w:w="1332" w:type="dxa"/>
                  <w:tcBorders>
                    <w:tl2br w:val="nil"/>
                    <w:tr2bl w:val="nil"/>
                  </w:tcBorders>
                  <w:vAlign w:val="center"/>
                </w:tcPr>
                <w:p>
                  <w:pPr>
                    <w:snapToGrid w:val="0"/>
                    <w:spacing w:line="240" w:lineRule="auto"/>
                    <w:ind w:left="0" w:leftChars="0" w:firstLine="0" w:firstLineChars="0"/>
                    <w:jc w:val="center"/>
                    <w:rPr>
                      <w:rFonts w:hint="eastAsia" w:ascii="Times New Roman" w:hAnsi="Times New Roman"/>
                      <w:color w:val="000000"/>
                      <w:sz w:val="22"/>
                      <w:szCs w:val="20"/>
                      <w:lang w:val="en-US" w:eastAsia="zh-CN"/>
                    </w:rPr>
                  </w:pPr>
                  <w:r>
                    <w:rPr>
                      <w:rFonts w:hint="eastAsia" w:ascii="Times New Roman" w:hAnsi="Times New Roman"/>
                      <w:color w:val="000000"/>
                      <w:sz w:val="22"/>
                      <w:szCs w:val="20"/>
                      <w:lang w:val="en-US" w:eastAsia="zh-CN"/>
                    </w:rPr>
                    <w:t>SW</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420</w:t>
                  </w:r>
                </w:p>
              </w:tc>
              <w:tc>
                <w:tcPr>
                  <w:tcW w:w="1170"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250/1000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小寨</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color w:val="000000"/>
                      <w:sz w:val="20"/>
                      <w:szCs w:val="20"/>
                      <w:lang w:val="en-US" w:eastAsia="zh-CN"/>
                    </w:rPr>
                  </w:pPr>
                  <w:r>
                    <w:rPr>
                      <w:rFonts w:hint="eastAsia" w:ascii="Times New Roman" w:hAnsi="Times New Roman"/>
                      <w:color w:val="000000"/>
                      <w:sz w:val="20"/>
                      <w:szCs w:val="20"/>
                      <w:lang w:val="en-US" w:eastAsia="zh-CN"/>
                    </w:rPr>
                    <w:t>NW</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870</w:t>
                  </w:r>
                </w:p>
              </w:tc>
              <w:tc>
                <w:tcPr>
                  <w:tcW w:w="1170"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150/600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三徐村</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 w:val="20"/>
                      <w:szCs w:val="20"/>
                      <w:lang w:val="en-US" w:eastAsia="zh-CN"/>
                    </w:rPr>
                    <w:t>NW</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460</w:t>
                  </w:r>
                </w:p>
              </w:tc>
              <w:tc>
                <w:tcPr>
                  <w:tcW w:w="1170"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650/2600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同官张村</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NE</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1770</w:t>
                  </w:r>
                </w:p>
              </w:tc>
              <w:tc>
                <w:tcPr>
                  <w:tcW w:w="1170"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600/2400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c>
                <w:tcPr>
                  <w:tcW w:w="1656"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eastAsia="zh-CN"/>
                    </w:rPr>
                  </w:pPr>
                  <w:r>
                    <w:rPr>
                      <w:rFonts w:hint="eastAsia" w:ascii="Times New Roman" w:hAnsi="Times New Roman"/>
                      <w:color w:val="000000"/>
                      <w:szCs w:val="21"/>
                      <w:lang w:eastAsia="zh-CN"/>
                    </w:rPr>
                    <w:t>二青王</w:t>
                  </w:r>
                </w:p>
              </w:tc>
              <w:tc>
                <w:tcPr>
                  <w:tcW w:w="1332"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NE</w:t>
                  </w:r>
                </w:p>
              </w:tc>
              <w:tc>
                <w:tcPr>
                  <w:tcW w:w="1117" w:type="dxa"/>
                  <w:tcBorders>
                    <w:tl2br w:val="nil"/>
                    <w:tr2bl w:val="nil"/>
                  </w:tcBorders>
                  <w:vAlign w:val="center"/>
                </w:tcPr>
                <w:p>
                  <w:pPr>
                    <w:pStyle w:val="2"/>
                    <w:snapToGrid w:val="0"/>
                    <w:spacing w:line="240" w:lineRule="auto"/>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670</w:t>
                  </w:r>
                </w:p>
              </w:tc>
              <w:tc>
                <w:tcPr>
                  <w:tcW w:w="1170" w:type="dxa"/>
                  <w:tcBorders>
                    <w:tl2br w:val="nil"/>
                    <w:tr2bl w:val="nil"/>
                  </w:tcBorders>
                  <w:vAlign w:val="center"/>
                </w:tcPr>
                <w:p>
                  <w:pPr>
                    <w:pStyle w:val="2"/>
                    <w:snapToGrid w:val="0"/>
                    <w:spacing w:line="240" w:lineRule="auto"/>
                    <w:ind w:firstLine="0" w:firstLineChars="0"/>
                    <w:jc w:val="center"/>
                    <w:rPr>
                      <w:rFonts w:hint="eastAsia" w:ascii="Times New Roman" w:hAnsi="Times New Roman"/>
                      <w:color w:val="000000"/>
                      <w:szCs w:val="21"/>
                      <w:lang w:val="en-US" w:eastAsia="zh-CN"/>
                    </w:rPr>
                  </w:pPr>
                  <w:r>
                    <w:rPr>
                      <w:rFonts w:hint="eastAsia" w:ascii="Times New Roman" w:hAnsi="Times New Roman"/>
                      <w:color w:val="000000"/>
                      <w:szCs w:val="21"/>
                      <w:lang w:val="en-US" w:eastAsia="zh-CN"/>
                    </w:rPr>
                    <w:t>280/1120</w:t>
                  </w:r>
                </w:p>
              </w:tc>
              <w:tc>
                <w:tcPr>
                  <w:tcW w:w="2212" w:type="dxa"/>
                  <w:vMerge w:val="continue"/>
                  <w:tcBorders>
                    <w:tl2br w:val="nil"/>
                    <w:tr2bl w:val="nil"/>
                  </w:tcBorders>
                  <w:vAlign w:val="center"/>
                </w:tcPr>
                <w:p>
                  <w:pPr>
                    <w:pStyle w:val="2"/>
                    <w:snapToGrid w:val="0"/>
                    <w:spacing w:line="240" w:lineRule="auto"/>
                    <w:jc w:val="center"/>
                    <w:rPr>
                      <w:rFonts w:hint="eastAsia"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126" w:type="dxa"/>
                  <w:tcBorders>
                    <w:tl2br w:val="nil"/>
                    <w:tr2bl w:val="nil"/>
                  </w:tcBorders>
                  <w:vAlign w:val="center"/>
                </w:tcPr>
                <w:p>
                  <w:pPr>
                    <w:spacing w:line="240" w:lineRule="auto"/>
                    <w:ind w:firstLine="0" w:firstLineChars="0"/>
                    <w:jc w:val="center"/>
                    <w:rPr>
                      <w:rFonts w:hint="eastAsia" w:eastAsia="宋体"/>
                      <w:sz w:val="21"/>
                      <w:szCs w:val="21"/>
                      <w:lang w:eastAsia="zh-CN"/>
                    </w:rPr>
                  </w:pPr>
                  <w:r>
                    <w:rPr>
                      <w:rFonts w:hint="eastAsia"/>
                      <w:sz w:val="21"/>
                      <w:szCs w:val="21"/>
                    </w:rPr>
                    <w:t>声</w:t>
                  </w:r>
                  <w:r>
                    <w:rPr>
                      <w:rFonts w:hint="eastAsia"/>
                      <w:sz w:val="21"/>
                      <w:szCs w:val="21"/>
                      <w:lang w:eastAsia="zh-CN"/>
                    </w:rPr>
                    <w:t>环境</w:t>
                  </w:r>
                </w:p>
              </w:tc>
              <w:tc>
                <w:tcPr>
                  <w:tcW w:w="1656" w:type="dxa"/>
                  <w:tcBorders>
                    <w:tl2br w:val="nil"/>
                    <w:tr2bl w:val="nil"/>
                  </w:tcBorders>
                  <w:vAlign w:val="center"/>
                </w:tcPr>
                <w:p>
                  <w:pPr>
                    <w:pStyle w:val="2"/>
                    <w:snapToGrid w:val="0"/>
                    <w:spacing w:line="240" w:lineRule="auto"/>
                    <w:ind w:firstLine="0" w:firstLineChars="0"/>
                    <w:jc w:val="center"/>
                    <w:rPr>
                      <w:rFonts w:ascii="Times New Roman" w:hAnsi="Times New Roman"/>
                      <w:color w:val="000000"/>
                      <w:szCs w:val="21"/>
                    </w:rPr>
                  </w:pPr>
                  <w:r>
                    <w:rPr>
                      <w:rFonts w:hint="eastAsia" w:ascii="Times New Roman" w:hAnsi="Times New Roman"/>
                      <w:color w:val="000000"/>
                      <w:szCs w:val="21"/>
                      <w:lang w:eastAsia="zh-CN"/>
                    </w:rPr>
                    <w:t>铁孟村</w:t>
                  </w:r>
                </w:p>
              </w:tc>
              <w:tc>
                <w:tcPr>
                  <w:tcW w:w="1332" w:type="dxa"/>
                  <w:tcBorders>
                    <w:tl2br w:val="nil"/>
                    <w:tr2bl w:val="nil"/>
                  </w:tcBorders>
                  <w:vAlign w:val="center"/>
                </w:tcPr>
                <w:p>
                  <w:pPr>
                    <w:pStyle w:val="2"/>
                    <w:snapToGrid w:val="0"/>
                    <w:spacing w:line="240" w:lineRule="auto"/>
                    <w:ind w:firstLine="0" w:firstLineChars="0"/>
                    <w:jc w:val="center"/>
                    <w:rPr>
                      <w:rFonts w:ascii="Times New Roman" w:hAnsi="Times New Roman"/>
                      <w:color w:val="000000"/>
                      <w:szCs w:val="21"/>
                    </w:rPr>
                  </w:pPr>
                  <w:r>
                    <w:rPr>
                      <w:rFonts w:hint="eastAsia" w:ascii="Times New Roman" w:hAnsi="Times New Roman"/>
                      <w:color w:val="000000"/>
                      <w:szCs w:val="21"/>
                      <w:lang w:val="en-US" w:eastAsia="zh-CN"/>
                    </w:rPr>
                    <w:t>E</w:t>
                  </w:r>
                </w:p>
              </w:tc>
              <w:tc>
                <w:tcPr>
                  <w:tcW w:w="1117" w:type="dxa"/>
                  <w:tcBorders>
                    <w:tl2br w:val="nil"/>
                    <w:tr2bl w:val="nil"/>
                  </w:tcBorders>
                  <w:vAlign w:val="center"/>
                </w:tcPr>
                <w:p>
                  <w:pPr>
                    <w:pStyle w:val="2"/>
                    <w:snapToGrid w:val="0"/>
                    <w:spacing w:line="240" w:lineRule="auto"/>
                    <w:ind w:firstLine="0" w:firstLineChars="0"/>
                    <w:jc w:val="center"/>
                    <w:rPr>
                      <w:rFonts w:ascii="Times New Roman" w:hAnsi="Times New Roman"/>
                      <w:color w:val="000000"/>
                      <w:szCs w:val="21"/>
                    </w:rPr>
                  </w:pPr>
                  <w:r>
                    <w:rPr>
                      <w:rFonts w:hint="eastAsia" w:ascii="Times New Roman" w:hAnsi="Times New Roman"/>
                      <w:szCs w:val="21"/>
                      <w:lang w:val="en-US" w:eastAsia="zh-CN"/>
                    </w:rPr>
                    <w:t>85</w:t>
                  </w:r>
                </w:p>
              </w:tc>
              <w:tc>
                <w:tcPr>
                  <w:tcW w:w="1170" w:type="dxa"/>
                  <w:tcBorders>
                    <w:tl2br w:val="nil"/>
                    <w:tr2bl w:val="nil"/>
                  </w:tcBorders>
                  <w:vAlign w:val="center"/>
                </w:tcPr>
                <w:p>
                  <w:pPr>
                    <w:pStyle w:val="2"/>
                    <w:snapToGrid w:val="0"/>
                    <w:spacing w:line="240" w:lineRule="auto"/>
                    <w:ind w:firstLine="0" w:firstLineChars="0"/>
                    <w:jc w:val="center"/>
                    <w:rPr>
                      <w:rFonts w:ascii="Times New Roman" w:hAnsi="Times New Roman"/>
                      <w:color w:val="000000"/>
                      <w:szCs w:val="21"/>
                    </w:rPr>
                  </w:pPr>
                  <w:r>
                    <w:rPr>
                      <w:rFonts w:hint="eastAsia" w:ascii="Times New Roman" w:hAnsi="Times New Roman"/>
                      <w:color w:val="000000"/>
                      <w:szCs w:val="21"/>
                      <w:lang w:val="en-US" w:eastAsia="zh-CN"/>
                    </w:rPr>
                    <w:t>600/2400</w:t>
                  </w:r>
                </w:p>
              </w:tc>
              <w:tc>
                <w:tcPr>
                  <w:tcW w:w="2212" w:type="dxa"/>
                  <w:tcBorders>
                    <w:tl2br w:val="nil"/>
                    <w:tr2bl w:val="nil"/>
                  </w:tcBorders>
                  <w:vAlign w:val="center"/>
                </w:tcPr>
                <w:p>
                  <w:pPr>
                    <w:pStyle w:val="2"/>
                    <w:snapToGrid w:val="0"/>
                    <w:spacing w:line="240" w:lineRule="auto"/>
                    <w:jc w:val="center"/>
                    <w:rPr>
                      <w:rFonts w:ascii="Times New Roman" w:hAnsi="Times New Roman"/>
                      <w:szCs w:val="21"/>
                    </w:rPr>
                  </w:pPr>
                  <w:r>
                    <w:rPr>
                      <w:rFonts w:hint="eastAsia" w:ascii="Times New Roman" w:hAnsi="Times New Roman"/>
                      <w:szCs w:val="21"/>
                    </w:rPr>
                    <w:t>《声环境质量标准》（GB3096-2008）2类</w:t>
                  </w:r>
                </w:p>
              </w:tc>
            </w:tr>
          </w:tbl>
          <w:p>
            <w:pPr>
              <w:ind w:firstLine="480"/>
              <w:rPr>
                <w:rFonts w:hint="eastAsia"/>
              </w:rPr>
            </w:pPr>
          </w:p>
        </w:tc>
      </w:tr>
    </w:tbl>
    <w:p>
      <w:pPr>
        <w:ind w:firstLine="602"/>
        <w:rPr>
          <w:b/>
          <w:sz w:val="30"/>
        </w:rPr>
        <w:sectPr>
          <w:pgSz w:w="11906" w:h="16838"/>
          <w:pgMar w:top="1701" w:right="1588" w:bottom="1701" w:left="1588" w:header="851" w:footer="1134" w:gutter="0"/>
          <w:pgBorders>
            <w:top w:val="none" w:sz="0" w:space="0"/>
            <w:left w:val="none" w:sz="0" w:space="0"/>
            <w:bottom w:val="none" w:sz="0" w:space="0"/>
            <w:right w:val="none" w:sz="0" w:space="0"/>
          </w:pgBorders>
          <w:pgNumType w:fmt="decimal"/>
          <w:cols w:space="720" w:num="1"/>
          <w:docGrid w:type="lines" w:linePitch="312" w:charSpace="0"/>
        </w:sectPr>
      </w:pPr>
    </w:p>
    <w:p>
      <w:pPr>
        <w:pStyle w:val="23"/>
        <w:outlineLvl w:val="0"/>
      </w:pPr>
      <w:bookmarkStart w:id="10" w:name="_Toc478030060"/>
      <w:r>
        <w:rPr>
          <w:rFonts w:hint="eastAsia"/>
        </w:rPr>
        <w:t>评价适用标准</w:t>
      </w:r>
      <w:bookmarkEnd w:id="10"/>
    </w:p>
    <w:tbl>
      <w:tblPr>
        <w:tblStyle w:val="21"/>
        <w:tblW w:w="8845" w:type="dxa"/>
        <w:jc w:val="center"/>
        <w:tblInd w:w="0" w:type="dxa"/>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57"/>
        <w:gridCol w:w="8388"/>
      </w:tblGrid>
      <w:tr>
        <w:tblPrEx>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57" w:type="dxa"/>
            <w:vAlign w:val="center"/>
          </w:tcPr>
          <w:p>
            <w:pPr>
              <w:spacing w:line="360" w:lineRule="exact"/>
              <w:ind w:firstLine="0" w:firstLineChars="0"/>
              <w:jc w:val="center"/>
              <w:rPr>
                <w:b/>
                <w:szCs w:val="24"/>
              </w:rPr>
            </w:pPr>
            <w:r>
              <w:rPr>
                <w:rFonts w:hint="eastAsia"/>
                <w:b/>
                <w:szCs w:val="24"/>
              </w:rPr>
              <w:t>环境质量标准</w:t>
            </w:r>
          </w:p>
        </w:tc>
        <w:tc>
          <w:tcPr>
            <w:tcW w:w="8388" w:type="dxa"/>
          </w:tcPr>
          <w:p>
            <w:pPr>
              <w:pStyle w:val="26"/>
              <w:tabs>
                <w:tab w:val="left" w:pos="420"/>
              </w:tabs>
              <w:ind w:left="480" w:firstLine="0" w:firstLineChars="0"/>
            </w:pPr>
            <w:r>
              <w:rPr>
                <w:rFonts w:hint="eastAsia"/>
              </w:rPr>
              <w:t>1、环境空气执行《环境空气质量标准》（GB3095-2012）二级标准。</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4-1</w:t>
            </w:r>
            <w:r>
              <w:rPr>
                <w:rFonts w:hint="eastAsia" w:ascii="Times New Roman" w:hAnsi="Times New Roman" w:eastAsia="宋体" w:cs="Times New Roman"/>
                <w:b/>
                <w:bCs/>
                <w:color w:val="auto"/>
                <w:sz w:val="21"/>
                <w:szCs w:val="21"/>
                <w:lang w:val="en-US" w:eastAsia="zh-CN"/>
              </w:rPr>
              <w:t xml:space="preserve">    </w:t>
            </w:r>
            <w:r>
              <w:rPr>
                <w:rFonts w:hint="eastAsia" w:ascii="Times New Roman" w:hAnsi="Times New Roman" w:eastAsia="宋体" w:cs="Times New Roman"/>
                <w:b/>
                <w:bCs/>
                <w:color w:val="auto"/>
                <w:sz w:val="21"/>
                <w:szCs w:val="21"/>
                <w:lang w:eastAsia="zh-CN"/>
              </w:rPr>
              <w:t>环境空气质量标准</w:t>
            </w:r>
          </w:p>
          <w:tbl>
            <w:tblPr>
              <w:tblStyle w:val="20"/>
              <w:tblW w:w="814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1939"/>
              <w:gridCol w:w="2788"/>
              <w:gridCol w:w="15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61" w:type="dxa"/>
                  <w:tcBorders>
                    <w:tl2br w:val="nil"/>
                    <w:tr2bl w:val="nil"/>
                  </w:tcBorders>
                  <w:vAlign w:val="center"/>
                </w:tcPr>
                <w:p>
                  <w:pPr>
                    <w:pStyle w:val="27"/>
                    <w:adjustRightInd w:val="0"/>
                    <w:spacing w:line="240" w:lineRule="auto"/>
                    <w:rPr>
                      <w:rFonts w:ascii="Times New Roman" w:hAnsi="Times New Roman"/>
                      <w:bCs/>
                    </w:rPr>
                  </w:pPr>
                  <w:r>
                    <w:rPr>
                      <w:rFonts w:ascii="Times New Roman" w:hAnsi="Times New Roman"/>
                      <w:bCs/>
                    </w:rPr>
                    <w:t>污染物名称</w:t>
                  </w:r>
                </w:p>
              </w:tc>
              <w:tc>
                <w:tcPr>
                  <w:tcW w:w="1939" w:type="dxa"/>
                  <w:tcBorders>
                    <w:tl2br w:val="nil"/>
                    <w:tr2bl w:val="nil"/>
                  </w:tcBorders>
                  <w:vAlign w:val="center"/>
                </w:tcPr>
                <w:p>
                  <w:pPr>
                    <w:pStyle w:val="27"/>
                    <w:adjustRightInd w:val="0"/>
                    <w:spacing w:line="240" w:lineRule="auto"/>
                    <w:rPr>
                      <w:rFonts w:ascii="Times New Roman" w:hAnsi="Times New Roman"/>
                      <w:bCs/>
                    </w:rPr>
                  </w:pPr>
                  <w:r>
                    <w:rPr>
                      <w:rFonts w:ascii="Times New Roman" w:hAnsi="Times New Roman"/>
                      <w:bCs/>
                    </w:rPr>
                    <w:t>取值时间</w:t>
                  </w:r>
                </w:p>
              </w:tc>
              <w:tc>
                <w:tcPr>
                  <w:tcW w:w="2788" w:type="dxa"/>
                  <w:tcBorders>
                    <w:tl2br w:val="nil"/>
                    <w:tr2bl w:val="nil"/>
                  </w:tcBorders>
                  <w:vAlign w:val="center"/>
                </w:tcPr>
                <w:p>
                  <w:pPr>
                    <w:pStyle w:val="27"/>
                    <w:adjustRightInd w:val="0"/>
                    <w:spacing w:line="240" w:lineRule="auto"/>
                    <w:rPr>
                      <w:rFonts w:ascii="Times New Roman" w:hAnsi="Times New Roman"/>
                      <w:bCs/>
                    </w:rPr>
                  </w:pPr>
                  <w:r>
                    <w:rPr>
                      <w:rFonts w:ascii="Times New Roman" w:hAnsi="Times New Roman"/>
                      <w:bCs/>
                    </w:rPr>
                    <w:t>二级标准浓度限值</w:t>
                  </w:r>
                </w:p>
              </w:tc>
              <w:tc>
                <w:tcPr>
                  <w:tcW w:w="1554" w:type="dxa"/>
                  <w:tcBorders>
                    <w:tl2br w:val="nil"/>
                    <w:tr2bl w:val="nil"/>
                  </w:tcBorders>
                  <w:vAlign w:val="center"/>
                </w:tcPr>
                <w:p>
                  <w:pPr>
                    <w:pStyle w:val="27"/>
                    <w:adjustRightInd w:val="0"/>
                    <w:spacing w:line="240" w:lineRule="auto"/>
                    <w:rPr>
                      <w:rFonts w:ascii="Times New Roman" w:hAnsi="Times New Roman"/>
                      <w:bCs/>
                    </w:rPr>
                  </w:pPr>
                  <w:r>
                    <w:rPr>
                      <w:rFonts w:ascii="Times New Roman" w:hAnsi="Times New Roman"/>
                      <w:bCs/>
                    </w:rPr>
                    <w:t>浓度单位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61" w:type="dxa"/>
                  <w:tcBorders>
                    <w:tl2br w:val="nil"/>
                    <w:tr2bl w:val="nil"/>
                  </w:tcBorders>
                  <w:vAlign w:val="center"/>
                </w:tcPr>
                <w:p>
                  <w:pPr>
                    <w:pStyle w:val="27"/>
                    <w:adjustRightInd w:val="0"/>
                    <w:spacing w:line="240" w:lineRule="auto"/>
                    <w:rPr>
                      <w:rFonts w:ascii="Times New Roman" w:hAnsi="Times New Roman"/>
                      <w:vertAlign w:val="subscript"/>
                    </w:rPr>
                  </w:pPr>
                  <w:r>
                    <w:rPr>
                      <w:rFonts w:ascii="Times New Roman" w:hAnsi="Times New Roman"/>
                    </w:rPr>
                    <w:t>SO</w:t>
                  </w:r>
                  <w:r>
                    <w:rPr>
                      <w:rFonts w:ascii="Times New Roman" w:hAnsi="Times New Roman"/>
                      <w:vertAlign w:val="subscript"/>
                    </w:rPr>
                    <w:t>2</w:t>
                  </w:r>
                </w:p>
              </w:tc>
              <w:tc>
                <w:tcPr>
                  <w:tcW w:w="1939" w:type="dxa"/>
                  <w:tcBorders>
                    <w:tl2br w:val="nil"/>
                    <w:tr2bl w:val="nil"/>
                  </w:tcBorders>
                  <w:vAlign w:val="center"/>
                </w:tcPr>
                <w:p>
                  <w:pPr>
                    <w:pStyle w:val="27"/>
                    <w:adjustRightInd w:val="0"/>
                    <w:spacing w:line="240" w:lineRule="auto"/>
                    <w:rPr>
                      <w:rFonts w:ascii="Times New Roman" w:hAnsi="Times New Roman"/>
                    </w:rPr>
                  </w:pPr>
                  <w:r>
                    <w:rPr>
                      <w:rFonts w:ascii="Times New Roman" w:hAnsi="Times New Roman"/>
                    </w:rPr>
                    <w:t>24小时平均</w:t>
                  </w:r>
                </w:p>
                <w:p>
                  <w:pPr>
                    <w:pStyle w:val="27"/>
                    <w:adjustRightInd w:val="0"/>
                    <w:spacing w:line="240" w:lineRule="auto"/>
                    <w:rPr>
                      <w:rFonts w:ascii="Times New Roman" w:hAnsi="Times New Roman"/>
                    </w:rPr>
                  </w:pPr>
                  <w:r>
                    <w:rPr>
                      <w:rFonts w:ascii="Times New Roman" w:hAnsi="Times New Roman"/>
                    </w:rPr>
                    <w:t>1小时平均</w:t>
                  </w:r>
                </w:p>
              </w:tc>
              <w:tc>
                <w:tcPr>
                  <w:tcW w:w="2788" w:type="dxa"/>
                  <w:tcBorders>
                    <w:tl2br w:val="nil"/>
                    <w:tr2bl w:val="nil"/>
                  </w:tcBorders>
                  <w:vAlign w:val="center"/>
                </w:tcPr>
                <w:p>
                  <w:pPr>
                    <w:pStyle w:val="27"/>
                    <w:adjustRightInd w:val="0"/>
                    <w:spacing w:line="240" w:lineRule="auto"/>
                    <w:rPr>
                      <w:rFonts w:ascii="Times New Roman" w:hAnsi="Times New Roman"/>
                    </w:rPr>
                  </w:pPr>
                  <w:r>
                    <w:rPr>
                      <w:rFonts w:ascii="Times New Roman" w:hAnsi="Times New Roman"/>
                    </w:rPr>
                    <w:t>150</w:t>
                  </w:r>
                </w:p>
                <w:p>
                  <w:pPr>
                    <w:pStyle w:val="27"/>
                    <w:adjustRightInd w:val="0"/>
                    <w:spacing w:line="240" w:lineRule="auto"/>
                    <w:rPr>
                      <w:rFonts w:ascii="Times New Roman" w:hAnsi="Times New Roman"/>
                    </w:rPr>
                  </w:pPr>
                  <w:r>
                    <w:rPr>
                      <w:rFonts w:ascii="Times New Roman" w:hAnsi="Times New Roman"/>
                    </w:rPr>
                    <w:t>500</w:t>
                  </w:r>
                </w:p>
              </w:tc>
              <w:tc>
                <w:tcPr>
                  <w:tcW w:w="1554" w:type="dxa"/>
                  <w:vMerge w:val="restart"/>
                  <w:tcBorders>
                    <w:tl2br w:val="nil"/>
                    <w:tr2bl w:val="nil"/>
                  </w:tcBorders>
                  <w:vAlign w:val="center"/>
                </w:tcPr>
                <w:p>
                  <w:pPr>
                    <w:pStyle w:val="27"/>
                    <w:adjustRightInd w:val="0"/>
                    <w:spacing w:line="240" w:lineRule="auto"/>
                    <w:rPr>
                      <w:rFonts w:ascii="Times New Roman" w:hAnsi="Times New Roman"/>
                      <w:vertAlign w:val="superscript"/>
                    </w:rPr>
                  </w:pPr>
                  <w:r>
                    <w:rPr>
                      <w:rFonts w:ascii="Times New Roman" w:hAnsi="Times New Roman"/>
                    </w:rPr>
                    <w:t>ug/Nm</w:t>
                  </w:r>
                  <w:r>
                    <w:rPr>
                      <w:rFonts w:ascii="Times New Roman" w:hAnsi="Times New Roman"/>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61" w:type="dxa"/>
                  <w:tcBorders>
                    <w:tl2br w:val="nil"/>
                    <w:tr2bl w:val="nil"/>
                  </w:tcBorders>
                  <w:vAlign w:val="center"/>
                </w:tcPr>
                <w:p>
                  <w:pPr>
                    <w:pStyle w:val="27"/>
                    <w:adjustRightInd w:val="0"/>
                    <w:spacing w:line="240" w:lineRule="auto"/>
                    <w:rPr>
                      <w:rFonts w:hint="eastAsia" w:ascii="Times New Roman" w:hAnsi="Times New Roman" w:eastAsia="宋体"/>
                      <w:vertAlign w:val="subscript"/>
                      <w:lang w:val="en-US" w:eastAsia="zh-CN"/>
                    </w:rPr>
                  </w:pPr>
                  <w:r>
                    <w:rPr>
                      <w:rFonts w:ascii="Times New Roman" w:hAnsi="Times New Roman"/>
                    </w:rPr>
                    <w:t>PM</w:t>
                  </w:r>
                  <w:r>
                    <w:rPr>
                      <w:rFonts w:hint="eastAsia" w:ascii="Times New Roman" w:hAnsi="Times New Roman"/>
                      <w:vertAlign w:val="subscript"/>
                      <w:lang w:val="en-US" w:eastAsia="zh-CN"/>
                    </w:rPr>
                    <w:t>10</w:t>
                  </w:r>
                </w:p>
              </w:tc>
              <w:tc>
                <w:tcPr>
                  <w:tcW w:w="1939" w:type="dxa"/>
                  <w:tcBorders>
                    <w:tl2br w:val="nil"/>
                    <w:tr2bl w:val="nil"/>
                  </w:tcBorders>
                  <w:vAlign w:val="center"/>
                </w:tcPr>
                <w:p>
                  <w:pPr>
                    <w:pStyle w:val="27"/>
                    <w:adjustRightInd w:val="0"/>
                    <w:spacing w:line="240" w:lineRule="auto"/>
                    <w:rPr>
                      <w:rFonts w:ascii="Times New Roman" w:hAnsi="Times New Roman"/>
                    </w:rPr>
                  </w:pPr>
                  <w:r>
                    <w:rPr>
                      <w:rFonts w:ascii="Times New Roman" w:hAnsi="Times New Roman"/>
                    </w:rPr>
                    <w:t>24小时平均</w:t>
                  </w:r>
                </w:p>
              </w:tc>
              <w:tc>
                <w:tcPr>
                  <w:tcW w:w="2788" w:type="dxa"/>
                  <w:tcBorders>
                    <w:tl2br w:val="nil"/>
                    <w:tr2bl w:val="nil"/>
                  </w:tcBorders>
                  <w:vAlign w:val="center"/>
                </w:tcPr>
                <w:p>
                  <w:pPr>
                    <w:pStyle w:val="27"/>
                    <w:adjustRightInd w:val="0"/>
                    <w:spacing w:line="240" w:lineRule="auto"/>
                    <w:rPr>
                      <w:rFonts w:hint="eastAsia" w:ascii="Times New Roman" w:hAnsi="Times New Roman" w:eastAsia="宋体"/>
                      <w:lang w:val="en-US" w:eastAsia="zh-CN"/>
                    </w:rPr>
                  </w:pPr>
                  <w:r>
                    <w:rPr>
                      <w:rFonts w:hint="eastAsia" w:ascii="Times New Roman" w:hAnsi="Times New Roman"/>
                      <w:lang w:val="en-US" w:eastAsia="zh-CN"/>
                    </w:rPr>
                    <w:t>150</w:t>
                  </w:r>
                </w:p>
              </w:tc>
              <w:tc>
                <w:tcPr>
                  <w:tcW w:w="1554" w:type="dxa"/>
                  <w:vMerge w:val="continue"/>
                  <w:tcBorders>
                    <w:tl2br w:val="nil"/>
                    <w:tr2bl w:val="nil"/>
                  </w:tcBorders>
                  <w:vAlign w:val="center"/>
                </w:tcPr>
                <w:p>
                  <w:pPr>
                    <w:pStyle w:val="27"/>
                    <w:adjustRightInd w:val="0"/>
                    <w:spacing w:line="240" w:lineRule="auto"/>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61" w:type="dxa"/>
                  <w:tcBorders>
                    <w:tl2br w:val="nil"/>
                    <w:tr2bl w:val="nil"/>
                  </w:tcBorders>
                  <w:vAlign w:val="center"/>
                </w:tcPr>
                <w:p>
                  <w:pPr>
                    <w:pStyle w:val="27"/>
                    <w:adjustRightInd w:val="0"/>
                    <w:spacing w:line="240" w:lineRule="auto"/>
                    <w:rPr>
                      <w:rFonts w:ascii="Times New Roman" w:hAnsi="Times New Roman"/>
                      <w:vertAlign w:val="subscript"/>
                    </w:rPr>
                  </w:pPr>
                  <w:r>
                    <w:rPr>
                      <w:rFonts w:ascii="Times New Roman" w:hAnsi="Times New Roman"/>
                    </w:rPr>
                    <w:t>NO</w:t>
                  </w:r>
                  <w:r>
                    <w:rPr>
                      <w:rFonts w:ascii="Times New Roman" w:hAnsi="Times New Roman"/>
                      <w:vertAlign w:val="subscript"/>
                    </w:rPr>
                    <w:t>2</w:t>
                  </w:r>
                </w:p>
              </w:tc>
              <w:tc>
                <w:tcPr>
                  <w:tcW w:w="1939" w:type="dxa"/>
                  <w:tcBorders>
                    <w:tl2br w:val="nil"/>
                    <w:tr2bl w:val="nil"/>
                  </w:tcBorders>
                  <w:vAlign w:val="center"/>
                </w:tcPr>
                <w:p>
                  <w:pPr>
                    <w:pStyle w:val="27"/>
                    <w:adjustRightInd w:val="0"/>
                    <w:spacing w:line="240" w:lineRule="auto"/>
                    <w:rPr>
                      <w:rFonts w:ascii="Times New Roman" w:hAnsi="Times New Roman"/>
                    </w:rPr>
                  </w:pPr>
                  <w:r>
                    <w:rPr>
                      <w:rFonts w:ascii="Times New Roman" w:hAnsi="Times New Roman"/>
                    </w:rPr>
                    <w:t>24小时平均</w:t>
                  </w:r>
                </w:p>
                <w:p>
                  <w:pPr>
                    <w:pStyle w:val="27"/>
                    <w:adjustRightInd w:val="0"/>
                    <w:spacing w:line="240" w:lineRule="auto"/>
                    <w:rPr>
                      <w:rFonts w:ascii="Times New Roman" w:hAnsi="Times New Roman"/>
                    </w:rPr>
                  </w:pPr>
                  <w:r>
                    <w:rPr>
                      <w:rFonts w:ascii="Times New Roman" w:hAnsi="Times New Roman"/>
                    </w:rPr>
                    <w:t>1小时平均</w:t>
                  </w:r>
                </w:p>
              </w:tc>
              <w:tc>
                <w:tcPr>
                  <w:tcW w:w="2788" w:type="dxa"/>
                  <w:tcBorders>
                    <w:tl2br w:val="nil"/>
                    <w:tr2bl w:val="nil"/>
                  </w:tcBorders>
                  <w:vAlign w:val="center"/>
                </w:tcPr>
                <w:p>
                  <w:pPr>
                    <w:pStyle w:val="27"/>
                    <w:adjustRightInd w:val="0"/>
                    <w:spacing w:line="240" w:lineRule="auto"/>
                    <w:rPr>
                      <w:rFonts w:ascii="Times New Roman" w:hAnsi="Times New Roman"/>
                    </w:rPr>
                  </w:pPr>
                  <w:r>
                    <w:rPr>
                      <w:rFonts w:ascii="Times New Roman" w:hAnsi="Times New Roman"/>
                    </w:rPr>
                    <w:t>80</w:t>
                  </w:r>
                </w:p>
                <w:p>
                  <w:pPr>
                    <w:pStyle w:val="27"/>
                    <w:adjustRightInd w:val="0"/>
                    <w:spacing w:line="240" w:lineRule="auto"/>
                    <w:rPr>
                      <w:rFonts w:ascii="Times New Roman" w:hAnsi="Times New Roman"/>
                    </w:rPr>
                  </w:pPr>
                  <w:r>
                    <w:rPr>
                      <w:rFonts w:ascii="Times New Roman" w:hAnsi="Times New Roman"/>
                    </w:rPr>
                    <w:t>200</w:t>
                  </w:r>
                </w:p>
              </w:tc>
              <w:tc>
                <w:tcPr>
                  <w:tcW w:w="1554" w:type="dxa"/>
                  <w:vMerge w:val="continue"/>
                  <w:tcBorders>
                    <w:tl2br w:val="nil"/>
                    <w:tr2bl w:val="nil"/>
                  </w:tcBorders>
                  <w:vAlign w:val="center"/>
                </w:tcPr>
                <w:p>
                  <w:pPr>
                    <w:pStyle w:val="27"/>
                    <w:adjustRightInd w:val="0"/>
                    <w:spacing w:line="240" w:lineRule="auto"/>
                    <w:rPr>
                      <w:rFonts w:ascii="Times New Roman" w:hAnsi="Times New Roman"/>
                    </w:rPr>
                  </w:pPr>
                </w:p>
              </w:tc>
            </w:tr>
          </w:tbl>
          <w:p>
            <w:pPr>
              <w:pStyle w:val="26"/>
              <w:numPr>
                <w:ilvl w:val="0"/>
                <w:numId w:val="2"/>
              </w:numPr>
              <w:spacing w:line="360" w:lineRule="exact"/>
              <w:ind w:firstLineChars="0"/>
              <w:rPr>
                <w:szCs w:val="24"/>
              </w:rPr>
            </w:pPr>
            <w:r>
              <w:rPr>
                <w:rFonts w:hint="eastAsia"/>
              </w:rPr>
              <w:t>声环境评价执行《声环境质量标准》（GB3096-2008）2类标准</w:t>
            </w:r>
            <w:r>
              <w:rPr>
                <w:rFonts w:hint="eastAsia"/>
                <w:szCs w:val="24"/>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4-2</w:t>
            </w:r>
            <w:r>
              <w:rPr>
                <w:rFonts w:hint="eastAsia" w:ascii="Times New Roman" w:hAnsi="Times New Roman" w:eastAsia="宋体" w:cs="Times New Roman"/>
                <w:b/>
                <w:bCs/>
                <w:color w:val="auto"/>
                <w:sz w:val="21"/>
                <w:szCs w:val="21"/>
                <w:lang w:eastAsia="zh-CN"/>
              </w:rPr>
              <w:t xml:space="preserve">    声环境质量标准（单位：dB（A））</w:t>
            </w:r>
          </w:p>
          <w:tbl>
            <w:tblPr>
              <w:tblStyle w:val="20"/>
              <w:tblW w:w="8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2840"/>
              <w:gridCol w:w="1024"/>
              <w:gridCol w:w="1223"/>
              <w:gridCol w:w="15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568" w:type="dxa"/>
                  <w:vMerge w:val="restart"/>
                  <w:tcBorders>
                    <w:tl2br w:val="nil"/>
                    <w:tr2bl w:val="nil"/>
                  </w:tcBorders>
                  <w:vAlign w:val="center"/>
                </w:tcPr>
                <w:p>
                  <w:pPr>
                    <w:spacing w:line="240" w:lineRule="auto"/>
                    <w:ind w:firstLine="0" w:firstLineChars="0"/>
                    <w:jc w:val="center"/>
                    <w:rPr>
                      <w:sz w:val="21"/>
                      <w:szCs w:val="21"/>
                    </w:rPr>
                  </w:pPr>
                  <w:r>
                    <w:rPr>
                      <w:sz w:val="21"/>
                      <w:szCs w:val="21"/>
                    </w:rPr>
                    <w:t>区域</w:t>
                  </w:r>
                </w:p>
              </w:tc>
              <w:tc>
                <w:tcPr>
                  <w:tcW w:w="2840" w:type="dxa"/>
                  <w:vMerge w:val="restart"/>
                  <w:tcBorders>
                    <w:tl2br w:val="nil"/>
                    <w:tr2bl w:val="nil"/>
                  </w:tcBorders>
                  <w:vAlign w:val="center"/>
                </w:tcPr>
                <w:p>
                  <w:pPr>
                    <w:spacing w:line="240" w:lineRule="auto"/>
                    <w:ind w:firstLine="0" w:firstLineChars="0"/>
                    <w:jc w:val="center"/>
                    <w:rPr>
                      <w:sz w:val="21"/>
                      <w:szCs w:val="21"/>
                    </w:rPr>
                  </w:pPr>
                  <w:r>
                    <w:rPr>
                      <w:sz w:val="21"/>
                      <w:szCs w:val="21"/>
                    </w:rPr>
                    <w:t>执行标准</w:t>
                  </w:r>
                </w:p>
              </w:tc>
              <w:tc>
                <w:tcPr>
                  <w:tcW w:w="1024" w:type="dxa"/>
                  <w:vMerge w:val="restart"/>
                  <w:tcBorders>
                    <w:tl2br w:val="nil"/>
                    <w:tr2bl w:val="nil"/>
                  </w:tcBorders>
                  <w:vAlign w:val="center"/>
                </w:tcPr>
                <w:p>
                  <w:pPr>
                    <w:spacing w:line="240" w:lineRule="auto"/>
                    <w:ind w:firstLine="0" w:firstLineChars="0"/>
                    <w:jc w:val="center"/>
                    <w:rPr>
                      <w:sz w:val="21"/>
                      <w:szCs w:val="21"/>
                    </w:rPr>
                  </w:pPr>
                  <w:r>
                    <w:rPr>
                      <w:sz w:val="21"/>
                      <w:szCs w:val="21"/>
                    </w:rPr>
                    <w:t>级别</w:t>
                  </w:r>
                </w:p>
              </w:tc>
              <w:tc>
                <w:tcPr>
                  <w:tcW w:w="2788" w:type="dxa"/>
                  <w:gridSpan w:val="2"/>
                  <w:tcBorders>
                    <w:tl2br w:val="nil"/>
                    <w:tr2bl w:val="nil"/>
                  </w:tcBorders>
                  <w:vAlign w:val="center"/>
                </w:tcPr>
                <w:p>
                  <w:pPr>
                    <w:spacing w:line="240" w:lineRule="auto"/>
                    <w:ind w:firstLine="0" w:firstLineChars="0"/>
                    <w:jc w:val="center"/>
                    <w:rPr>
                      <w:sz w:val="21"/>
                      <w:szCs w:val="21"/>
                    </w:rPr>
                  </w:pPr>
                  <w:r>
                    <w:rPr>
                      <w:sz w:val="21"/>
                      <w:szCs w:val="21"/>
                    </w:rPr>
                    <w:t>标准限值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568" w:type="dxa"/>
                  <w:vMerge w:val="continue"/>
                  <w:tcBorders>
                    <w:tl2br w:val="nil"/>
                    <w:tr2bl w:val="nil"/>
                  </w:tcBorders>
                  <w:vAlign w:val="center"/>
                </w:tcPr>
                <w:p>
                  <w:pPr>
                    <w:spacing w:line="240" w:lineRule="auto"/>
                    <w:ind w:firstLine="0" w:firstLineChars="0"/>
                    <w:jc w:val="center"/>
                    <w:rPr>
                      <w:sz w:val="21"/>
                      <w:szCs w:val="21"/>
                    </w:rPr>
                  </w:pPr>
                </w:p>
              </w:tc>
              <w:tc>
                <w:tcPr>
                  <w:tcW w:w="2840" w:type="dxa"/>
                  <w:vMerge w:val="continue"/>
                  <w:tcBorders>
                    <w:tl2br w:val="nil"/>
                    <w:tr2bl w:val="nil"/>
                  </w:tcBorders>
                  <w:vAlign w:val="center"/>
                </w:tcPr>
                <w:p>
                  <w:pPr>
                    <w:spacing w:line="240" w:lineRule="auto"/>
                    <w:ind w:firstLine="0" w:firstLineChars="0"/>
                    <w:jc w:val="center"/>
                    <w:rPr>
                      <w:sz w:val="21"/>
                      <w:szCs w:val="21"/>
                    </w:rPr>
                  </w:pPr>
                </w:p>
              </w:tc>
              <w:tc>
                <w:tcPr>
                  <w:tcW w:w="1024" w:type="dxa"/>
                  <w:vMerge w:val="continue"/>
                  <w:tcBorders>
                    <w:tl2br w:val="nil"/>
                    <w:tr2bl w:val="nil"/>
                  </w:tcBorders>
                  <w:vAlign w:val="center"/>
                </w:tcPr>
                <w:p>
                  <w:pPr>
                    <w:spacing w:line="240" w:lineRule="auto"/>
                    <w:ind w:firstLine="0" w:firstLineChars="0"/>
                    <w:jc w:val="center"/>
                    <w:rPr>
                      <w:sz w:val="21"/>
                      <w:szCs w:val="21"/>
                    </w:rPr>
                  </w:pPr>
                </w:p>
              </w:tc>
              <w:tc>
                <w:tcPr>
                  <w:tcW w:w="1223" w:type="dxa"/>
                  <w:tcBorders>
                    <w:tl2br w:val="nil"/>
                    <w:tr2bl w:val="nil"/>
                  </w:tcBorders>
                  <w:vAlign w:val="center"/>
                </w:tcPr>
                <w:p>
                  <w:pPr>
                    <w:spacing w:line="240" w:lineRule="auto"/>
                    <w:ind w:firstLine="0" w:firstLineChars="0"/>
                    <w:jc w:val="center"/>
                    <w:rPr>
                      <w:sz w:val="21"/>
                      <w:szCs w:val="21"/>
                    </w:rPr>
                  </w:pPr>
                  <w:r>
                    <w:rPr>
                      <w:sz w:val="21"/>
                      <w:szCs w:val="21"/>
                    </w:rPr>
                    <w:t>昼间</w:t>
                  </w:r>
                </w:p>
              </w:tc>
              <w:tc>
                <w:tcPr>
                  <w:tcW w:w="1565" w:type="dxa"/>
                  <w:tcBorders>
                    <w:tl2br w:val="nil"/>
                    <w:tr2bl w:val="nil"/>
                  </w:tcBorders>
                  <w:vAlign w:val="center"/>
                </w:tcPr>
                <w:p>
                  <w:pPr>
                    <w:spacing w:line="240" w:lineRule="auto"/>
                    <w:ind w:firstLine="0" w:firstLineChars="0"/>
                    <w:jc w:val="center"/>
                    <w:rPr>
                      <w:sz w:val="21"/>
                      <w:szCs w:val="21"/>
                    </w:rPr>
                  </w:pPr>
                  <w:r>
                    <w:rPr>
                      <w:sz w:val="21"/>
                      <w:szCs w:val="21"/>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568" w:type="dxa"/>
                  <w:tcBorders>
                    <w:tl2br w:val="nil"/>
                    <w:tr2bl w:val="nil"/>
                  </w:tcBorders>
                  <w:vAlign w:val="center"/>
                </w:tcPr>
                <w:p>
                  <w:pPr>
                    <w:spacing w:line="240" w:lineRule="auto"/>
                    <w:ind w:firstLine="0" w:firstLineChars="0"/>
                    <w:jc w:val="center"/>
                    <w:rPr>
                      <w:sz w:val="21"/>
                      <w:szCs w:val="21"/>
                    </w:rPr>
                  </w:pPr>
                  <w:r>
                    <w:rPr>
                      <w:rFonts w:hint="eastAsia"/>
                      <w:sz w:val="21"/>
                      <w:szCs w:val="21"/>
                    </w:rPr>
                    <w:t>厂界</w:t>
                  </w:r>
                </w:p>
              </w:tc>
              <w:tc>
                <w:tcPr>
                  <w:tcW w:w="2840" w:type="dxa"/>
                  <w:tcBorders>
                    <w:tl2br w:val="nil"/>
                    <w:tr2bl w:val="nil"/>
                  </w:tcBorders>
                  <w:vAlign w:val="center"/>
                </w:tcPr>
                <w:p>
                  <w:pPr>
                    <w:spacing w:line="240" w:lineRule="auto"/>
                    <w:ind w:firstLine="0" w:firstLineChars="0"/>
                    <w:jc w:val="center"/>
                    <w:rPr>
                      <w:sz w:val="21"/>
                      <w:szCs w:val="21"/>
                    </w:rPr>
                  </w:pPr>
                  <w:r>
                    <w:rPr>
                      <w:sz w:val="21"/>
                      <w:szCs w:val="21"/>
                    </w:rPr>
                    <w:t>《声环境质量标准》(GB3096-2008)</w:t>
                  </w:r>
                </w:p>
              </w:tc>
              <w:tc>
                <w:tcPr>
                  <w:tcW w:w="1024" w:type="dxa"/>
                  <w:tcBorders>
                    <w:tl2br w:val="nil"/>
                    <w:tr2bl w:val="nil"/>
                  </w:tcBorders>
                  <w:vAlign w:val="center"/>
                </w:tcPr>
                <w:p>
                  <w:pPr>
                    <w:spacing w:line="240" w:lineRule="auto"/>
                    <w:ind w:firstLine="0" w:firstLineChars="0"/>
                    <w:jc w:val="center"/>
                    <w:rPr>
                      <w:sz w:val="21"/>
                      <w:szCs w:val="21"/>
                    </w:rPr>
                  </w:pPr>
                  <w:r>
                    <w:rPr>
                      <w:rFonts w:hint="eastAsia"/>
                      <w:sz w:val="21"/>
                      <w:szCs w:val="21"/>
                    </w:rPr>
                    <w:t>2</w:t>
                  </w:r>
                  <w:r>
                    <w:rPr>
                      <w:sz w:val="21"/>
                      <w:szCs w:val="21"/>
                    </w:rPr>
                    <w:t>类</w:t>
                  </w:r>
                </w:p>
              </w:tc>
              <w:tc>
                <w:tcPr>
                  <w:tcW w:w="1223" w:type="dxa"/>
                  <w:tcBorders>
                    <w:tl2br w:val="nil"/>
                    <w:tr2bl w:val="nil"/>
                  </w:tcBorders>
                  <w:vAlign w:val="center"/>
                </w:tcPr>
                <w:p>
                  <w:pPr>
                    <w:spacing w:line="240" w:lineRule="auto"/>
                    <w:ind w:firstLine="0" w:firstLineChars="0"/>
                    <w:jc w:val="center"/>
                    <w:rPr>
                      <w:sz w:val="21"/>
                      <w:szCs w:val="21"/>
                    </w:rPr>
                  </w:pPr>
                  <w:r>
                    <w:rPr>
                      <w:sz w:val="21"/>
                      <w:szCs w:val="21"/>
                    </w:rPr>
                    <w:t>6</w:t>
                  </w:r>
                  <w:r>
                    <w:rPr>
                      <w:rFonts w:hint="eastAsia"/>
                      <w:sz w:val="21"/>
                      <w:szCs w:val="21"/>
                    </w:rPr>
                    <w:t>0</w:t>
                  </w:r>
                </w:p>
              </w:tc>
              <w:tc>
                <w:tcPr>
                  <w:tcW w:w="1565" w:type="dxa"/>
                  <w:tcBorders>
                    <w:tl2br w:val="nil"/>
                    <w:tr2bl w:val="nil"/>
                  </w:tcBorders>
                  <w:vAlign w:val="center"/>
                </w:tcPr>
                <w:p>
                  <w:pPr>
                    <w:spacing w:line="240" w:lineRule="auto"/>
                    <w:ind w:firstLine="0" w:firstLineChars="0"/>
                    <w:jc w:val="center"/>
                    <w:rPr>
                      <w:sz w:val="21"/>
                      <w:szCs w:val="21"/>
                    </w:rPr>
                  </w:pPr>
                  <w:r>
                    <w:rPr>
                      <w:sz w:val="21"/>
                      <w:szCs w:val="21"/>
                    </w:rPr>
                    <w:t>5</w:t>
                  </w:r>
                  <w:r>
                    <w:rPr>
                      <w:rFonts w:hint="eastAsia"/>
                      <w:sz w:val="21"/>
                      <w:szCs w:val="21"/>
                    </w:rPr>
                    <w:t>0</w:t>
                  </w:r>
                </w:p>
              </w:tc>
            </w:tr>
          </w:tbl>
          <w:p>
            <w:pPr>
              <w:ind w:firstLine="480"/>
            </w:pPr>
          </w:p>
        </w:tc>
      </w:tr>
      <w:tr>
        <w:tblPrEx>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cantSplit/>
          <w:trHeight w:val="0" w:hRule="atLeast"/>
          <w:jc w:val="center"/>
        </w:trPr>
        <w:tc>
          <w:tcPr>
            <w:tcW w:w="457" w:type="dxa"/>
            <w:vAlign w:val="center"/>
          </w:tcPr>
          <w:p>
            <w:pPr>
              <w:spacing w:line="360" w:lineRule="exact"/>
              <w:ind w:firstLine="0" w:firstLineChars="0"/>
              <w:jc w:val="center"/>
              <w:rPr>
                <w:b/>
                <w:szCs w:val="24"/>
              </w:rPr>
            </w:pPr>
            <w:r>
              <w:rPr>
                <w:rFonts w:hint="eastAsia"/>
                <w:b/>
                <w:szCs w:val="24"/>
              </w:rPr>
              <w:t>污染物排放标准</w:t>
            </w:r>
          </w:p>
        </w:tc>
        <w:tc>
          <w:tcPr>
            <w:tcW w:w="8388" w:type="dxa"/>
            <w:vAlign w:val="center"/>
          </w:tcPr>
          <w:p>
            <w:pPr>
              <w:numPr>
                <w:ilvl w:val="0"/>
                <w:numId w:val="3"/>
              </w:numPr>
              <w:ind w:firstLine="480"/>
              <w:rPr>
                <w:rFonts w:hint="eastAsia"/>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运营期</w:t>
            </w:r>
            <w:r>
              <w:rPr>
                <w:rFonts w:hint="eastAsia"/>
                <w:color w:val="000000" w:themeColor="text1"/>
                <w:lang w:eastAsia="zh-CN"/>
                <w14:textFill>
                  <w14:solidFill>
                    <w14:schemeClr w14:val="tx1"/>
                  </w14:solidFill>
                </w14:textFill>
              </w:rPr>
              <w:t>无废气产生。</w:t>
            </w:r>
          </w:p>
          <w:p>
            <w:pPr>
              <w:numPr>
                <w:ilvl w:val="0"/>
                <w:numId w:val="3"/>
              </w:numPr>
              <w:ind w:firstLine="480"/>
            </w:pPr>
            <w:r>
              <w:rPr>
                <w:rFonts w:hint="eastAsia"/>
              </w:rPr>
              <w:t>项目噪声排放执行《工业企业厂界环境噪声排放标准》（GB12348-2008）中的2类标准。</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表</w:t>
            </w:r>
            <w:r>
              <w:rPr>
                <w:rFonts w:hint="eastAsia" w:eastAsia="宋体" w:cs="Times New Roman"/>
                <w:b/>
                <w:bCs/>
                <w:color w:val="auto"/>
                <w:sz w:val="21"/>
                <w:szCs w:val="21"/>
                <w:lang w:val="en-US" w:eastAsia="zh-CN"/>
              </w:rPr>
              <w:t>4-4</w:t>
            </w:r>
            <w:r>
              <w:rPr>
                <w:rFonts w:hint="eastAsia" w:ascii="Times New Roman" w:hAnsi="Times New Roman" w:eastAsia="宋体" w:cs="Times New Roman"/>
                <w:b/>
                <w:bCs/>
                <w:color w:val="auto"/>
                <w:sz w:val="21"/>
                <w:szCs w:val="21"/>
                <w:lang w:val="en-US" w:eastAsia="zh-CN"/>
              </w:rPr>
              <w:t xml:space="preserve">  </w:t>
            </w:r>
            <w:r>
              <w:rPr>
                <w:rFonts w:hint="eastAsia" w:ascii="Times New Roman" w:hAnsi="Times New Roman" w:eastAsia="宋体" w:cs="Times New Roman"/>
                <w:b/>
                <w:bCs/>
                <w:color w:val="auto"/>
                <w:sz w:val="21"/>
                <w:szCs w:val="21"/>
                <w:lang w:eastAsia="zh-CN"/>
              </w:rPr>
              <w:t xml:space="preserve">  噪声排放标准（单位：dB（A））</w:t>
            </w:r>
          </w:p>
          <w:tbl>
            <w:tblPr>
              <w:tblStyle w:val="20"/>
              <w:tblW w:w="814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3"/>
              <w:gridCol w:w="3084"/>
              <w:gridCol w:w="1804"/>
              <w:gridCol w:w="1170"/>
              <w:gridCol w:w="11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3" w:type="dxa"/>
                  <w:vMerge w:val="restart"/>
                  <w:tcBorders>
                    <w:tl2br w:val="nil"/>
                    <w:tr2bl w:val="nil"/>
                  </w:tcBorders>
                  <w:vAlign w:val="center"/>
                </w:tcPr>
                <w:p>
                  <w:pPr>
                    <w:pStyle w:val="28"/>
                  </w:pPr>
                  <w:r>
                    <w:rPr>
                      <w:rFonts w:hint="eastAsia"/>
                    </w:rPr>
                    <w:t>时段</w:t>
                  </w:r>
                </w:p>
              </w:tc>
              <w:tc>
                <w:tcPr>
                  <w:tcW w:w="3084" w:type="dxa"/>
                  <w:vMerge w:val="restart"/>
                  <w:tcBorders>
                    <w:tl2br w:val="nil"/>
                    <w:tr2bl w:val="nil"/>
                  </w:tcBorders>
                  <w:vAlign w:val="center"/>
                </w:tcPr>
                <w:p>
                  <w:pPr>
                    <w:pStyle w:val="28"/>
                  </w:pPr>
                  <w:r>
                    <w:rPr>
                      <w:rFonts w:hint="eastAsia"/>
                    </w:rPr>
                    <w:t>标准名称</w:t>
                  </w:r>
                </w:p>
              </w:tc>
              <w:tc>
                <w:tcPr>
                  <w:tcW w:w="1804" w:type="dxa"/>
                  <w:vMerge w:val="restart"/>
                  <w:tcBorders>
                    <w:tl2br w:val="nil"/>
                    <w:tr2bl w:val="nil"/>
                  </w:tcBorders>
                  <w:vAlign w:val="center"/>
                </w:tcPr>
                <w:p>
                  <w:pPr>
                    <w:pStyle w:val="28"/>
                  </w:pPr>
                  <w:r>
                    <w:rPr>
                      <w:rFonts w:hint="eastAsia"/>
                    </w:rPr>
                    <w:t>声环境功能区别</w:t>
                  </w:r>
                </w:p>
              </w:tc>
              <w:tc>
                <w:tcPr>
                  <w:tcW w:w="2341" w:type="dxa"/>
                  <w:gridSpan w:val="2"/>
                  <w:tcBorders>
                    <w:tl2br w:val="nil"/>
                    <w:tr2bl w:val="nil"/>
                  </w:tcBorders>
                  <w:vAlign w:val="center"/>
                </w:tcPr>
                <w:p>
                  <w:pPr>
                    <w:pStyle w:val="28"/>
                  </w:pPr>
                  <w:r>
                    <w:rPr>
                      <w:rFonts w:hint="eastAsia"/>
                    </w:rPr>
                    <w:t>排放时段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3" w:type="dxa"/>
                  <w:vMerge w:val="continue"/>
                  <w:tcBorders>
                    <w:tl2br w:val="nil"/>
                    <w:tr2bl w:val="nil"/>
                  </w:tcBorders>
                  <w:vAlign w:val="center"/>
                </w:tcPr>
                <w:p>
                  <w:pPr>
                    <w:pStyle w:val="28"/>
                  </w:pPr>
                </w:p>
              </w:tc>
              <w:tc>
                <w:tcPr>
                  <w:tcW w:w="3084" w:type="dxa"/>
                  <w:vMerge w:val="continue"/>
                  <w:tcBorders>
                    <w:tl2br w:val="nil"/>
                    <w:tr2bl w:val="nil"/>
                  </w:tcBorders>
                  <w:vAlign w:val="center"/>
                </w:tcPr>
                <w:p>
                  <w:pPr>
                    <w:pStyle w:val="28"/>
                  </w:pPr>
                </w:p>
              </w:tc>
              <w:tc>
                <w:tcPr>
                  <w:tcW w:w="1804" w:type="dxa"/>
                  <w:vMerge w:val="continue"/>
                  <w:tcBorders>
                    <w:tl2br w:val="nil"/>
                    <w:tr2bl w:val="nil"/>
                  </w:tcBorders>
                  <w:vAlign w:val="center"/>
                </w:tcPr>
                <w:p>
                  <w:pPr>
                    <w:pStyle w:val="28"/>
                  </w:pPr>
                </w:p>
              </w:tc>
              <w:tc>
                <w:tcPr>
                  <w:tcW w:w="1170" w:type="dxa"/>
                  <w:tcBorders>
                    <w:tl2br w:val="nil"/>
                    <w:tr2bl w:val="nil"/>
                  </w:tcBorders>
                  <w:vAlign w:val="center"/>
                </w:tcPr>
                <w:p>
                  <w:pPr>
                    <w:pStyle w:val="28"/>
                  </w:pPr>
                  <w:r>
                    <w:rPr>
                      <w:rFonts w:hint="eastAsia"/>
                    </w:rPr>
                    <w:t>昼间</w:t>
                  </w:r>
                </w:p>
              </w:tc>
              <w:tc>
                <w:tcPr>
                  <w:tcW w:w="1171" w:type="dxa"/>
                  <w:tcBorders>
                    <w:tl2br w:val="nil"/>
                    <w:tr2bl w:val="nil"/>
                  </w:tcBorders>
                  <w:vAlign w:val="center"/>
                </w:tcPr>
                <w:p>
                  <w:pPr>
                    <w:pStyle w:val="28"/>
                  </w:pPr>
                  <w:r>
                    <w:rPr>
                      <w:rFonts w:hint="eastAsia"/>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13" w:type="dxa"/>
                  <w:tcBorders>
                    <w:tl2br w:val="nil"/>
                    <w:tr2bl w:val="nil"/>
                  </w:tcBorders>
                  <w:vAlign w:val="center"/>
                </w:tcPr>
                <w:p>
                  <w:pPr>
                    <w:pStyle w:val="28"/>
                  </w:pPr>
                  <w:r>
                    <w:rPr>
                      <w:rFonts w:hint="eastAsia"/>
                    </w:rPr>
                    <w:t>运营期</w:t>
                  </w:r>
                </w:p>
              </w:tc>
              <w:tc>
                <w:tcPr>
                  <w:tcW w:w="3084" w:type="dxa"/>
                  <w:tcBorders>
                    <w:tl2br w:val="nil"/>
                    <w:tr2bl w:val="nil"/>
                  </w:tcBorders>
                  <w:vAlign w:val="center"/>
                </w:tcPr>
                <w:p>
                  <w:pPr>
                    <w:pStyle w:val="28"/>
                  </w:pPr>
                  <w:r>
                    <w:rPr>
                      <w:rFonts w:hint="eastAsia"/>
                    </w:rPr>
                    <w:t>《工业企业厂界环境噪声排放标准》（GB12348-2008）</w:t>
                  </w:r>
                </w:p>
              </w:tc>
              <w:tc>
                <w:tcPr>
                  <w:tcW w:w="1804" w:type="dxa"/>
                  <w:tcBorders>
                    <w:tl2br w:val="nil"/>
                    <w:tr2bl w:val="nil"/>
                  </w:tcBorders>
                  <w:vAlign w:val="center"/>
                </w:tcPr>
                <w:p>
                  <w:pPr>
                    <w:pStyle w:val="28"/>
                  </w:pPr>
                  <w:r>
                    <w:rPr>
                      <w:rFonts w:hint="eastAsia"/>
                    </w:rPr>
                    <w:t>2类</w:t>
                  </w:r>
                </w:p>
              </w:tc>
              <w:tc>
                <w:tcPr>
                  <w:tcW w:w="1170" w:type="dxa"/>
                  <w:tcBorders>
                    <w:tl2br w:val="nil"/>
                    <w:tr2bl w:val="nil"/>
                  </w:tcBorders>
                  <w:vAlign w:val="center"/>
                </w:tcPr>
                <w:p>
                  <w:pPr>
                    <w:pStyle w:val="28"/>
                  </w:pPr>
                  <w:r>
                    <w:rPr>
                      <w:rFonts w:hint="eastAsia"/>
                    </w:rPr>
                    <w:t>60</w:t>
                  </w:r>
                </w:p>
              </w:tc>
              <w:tc>
                <w:tcPr>
                  <w:tcW w:w="1171" w:type="dxa"/>
                  <w:tcBorders>
                    <w:tl2br w:val="nil"/>
                    <w:tr2bl w:val="nil"/>
                  </w:tcBorders>
                  <w:vAlign w:val="center"/>
                </w:tcPr>
                <w:p>
                  <w:pPr>
                    <w:pStyle w:val="28"/>
                  </w:pPr>
                  <w:r>
                    <w:rPr>
                      <w:rFonts w:hint="eastAsia"/>
                    </w:rPr>
                    <w:t>50</w:t>
                  </w:r>
                </w:p>
              </w:tc>
            </w:tr>
          </w:tbl>
          <w:p>
            <w:pPr>
              <w:numPr>
                <w:ilvl w:val="0"/>
                <w:numId w:val="3"/>
              </w:numPr>
              <w:ind w:left="0" w:leftChars="0" w:firstLine="480" w:firstLineChars="200"/>
              <w:rPr>
                <w:rFonts w:hint="eastAsia" w:hAnsi="宋体"/>
                <w:color w:val="000000" w:themeColor="text1"/>
                <w14:textFill>
                  <w14:solidFill>
                    <w14:schemeClr w14:val="tx1"/>
                  </w14:solidFill>
                </w14:textFill>
              </w:rPr>
            </w:pPr>
            <w:r>
              <w:rPr>
                <w:rFonts w:hint="eastAsia"/>
              </w:rPr>
              <w:t>运营期</w:t>
            </w:r>
            <w:r>
              <w:rPr>
                <w:rFonts w:hAnsi="宋体"/>
                <w:color w:val="000000" w:themeColor="text1"/>
                <w14:textFill>
                  <w14:solidFill>
                    <w14:schemeClr w14:val="tx1"/>
                  </w14:solidFill>
                </w14:textFill>
              </w:rPr>
              <w:t>地下水环境执行</w:t>
            </w:r>
            <w:r>
              <w:rPr>
                <w:rFonts w:hint="eastAsia" w:hAnsi="宋体"/>
                <w:color w:val="000000" w:themeColor="text1"/>
                <w14:textFill>
                  <w14:solidFill>
                    <w14:schemeClr w14:val="tx1"/>
                  </w14:solidFill>
                </w14:textFill>
              </w:rPr>
              <w:t>《地下水环境质量标准》（GB/T14848-2017）</w:t>
            </w:r>
            <w:r>
              <w:rPr>
                <w:color w:val="000000" w:themeColor="text1"/>
                <w14:textFill>
                  <w14:solidFill>
                    <w14:schemeClr w14:val="tx1"/>
                  </w14:solidFill>
                </w14:textFill>
              </w:rPr>
              <w:t>III</w:t>
            </w:r>
            <w:r>
              <w:rPr>
                <w:rFonts w:hAnsi="宋体"/>
                <w:color w:val="000000" w:themeColor="text1"/>
                <w14:textFill>
                  <w14:solidFill>
                    <w14:schemeClr w14:val="tx1"/>
                  </w14:solidFill>
                </w14:textFill>
              </w:rPr>
              <w:t>类标准要求</w:t>
            </w:r>
            <w:r>
              <w:rPr>
                <w:rFonts w:hint="eastAsia" w:hAnsi="宋体"/>
                <w:color w:val="000000" w:themeColor="text1"/>
                <w14:textFill>
                  <w14:solidFill>
                    <w14:schemeClr w14:val="tx1"/>
                  </w14:solidFill>
                </w14:textFill>
              </w:rPr>
              <w:t>。</w:t>
            </w:r>
          </w:p>
          <w:p>
            <w:pPr>
              <w:numPr>
                <w:ilvl w:val="0"/>
                <w:numId w:val="3"/>
              </w:numPr>
              <w:ind w:left="0" w:leftChars="0" w:firstLine="480" w:firstLineChars="200"/>
            </w:pPr>
            <w:r>
              <w:rPr>
                <w:rFonts w:hint="eastAsia"/>
                <w:lang w:eastAsia="zh-CN"/>
              </w:rPr>
              <w:t>生活</w:t>
            </w:r>
            <w:r>
              <w:rPr>
                <w:rFonts w:hint="eastAsia"/>
              </w:rPr>
              <w:t>废水</w:t>
            </w:r>
            <w:r>
              <w:t>不外排。</w:t>
            </w:r>
          </w:p>
          <w:p>
            <w:pPr>
              <w:ind w:firstLine="480"/>
            </w:pPr>
            <w:r>
              <w:rPr>
                <w:rFonts w:hint="eastAsia"/>
                <w:lang w:val="en-US" w:eastAsia="zh-CN"/>
              </w:rPr>
              <w:t>5</w:t>
            </w:r>
            <w:r>
              <w:rPr>
                <w:rFonts w:hint="eastAsia"/>
              </w:rPr>
              <w:t>、一般固体废弃物执行《一般工业固体废弃物贮存、处置场污染控制标准》（GB18599-2001）及修改单中的有关规定。危险废物执行《危险废物贮存污染控制标准》（GB18597-2001）及2013年修改单的相关规定。</w:t>
            </w:r>
          </w:p>
          <w:p>
            <w:pPr>
              <w:ind w:firstLine="480" w:firstLineChars="200"/>
              <w:rPr>
                <w:rFonts w:hint="eastAsia"/>
              </w:rPr>
            </w:pPr>
            <w:r>
              <w:t>其它污染物排放按照国家相应标准要求执行</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cantSplit/>
          <w:trHeight w:val="0" w:hRule="atLeast"/>
          <w:jc w:val="center"/>
        </w:trPr>
        <w:tc>
          <w:tcPr>
            <w:tcW w:w="457" w:type="dxa"/>
            <w:vAlign w:val="center"/>
          </w:tcPr>
          <w:p>
            <w:pPr>
              <w:spacing w:line="360" w:lineRule="exact"/>
              <w:ind w:firstLine="0" w:firstLineChars="0"/>
              <w:jc w:val="center"/>
              <w:rPr>
                <w:b/>
                <w:szCs w:val="24"/>
              </w:rPr>
            </w:pPr>
            <w:r>
              <w:rPr>
                <w:rFonts w:hint="eastAsia"/>
                <w:b/>
                <w:szCs w:val="24"/>
              </w:rPr>
              <w:t>总量控制指标</w:t>
            </w:r>
          </w:p>
        </w:tc>
        <w:tc>
          <w:tcPr>
            <w:tcW w:w="8388" w:type="dxa"/>
            <w:vAlign w:val="center"/>
          </w:tcPr>
          <w:p>
            <w:pPr>
              <w:ind w:left="0" w:leftChars="0" w:firstLine="0" w:firstLineChars="0"/>
              <w:jc w:val="left"/>
            </w:pPr>
            <w:r>
              <w:rPr>
                <w:rFonts w:hint="eastAsia"/>
              </w:rPr>
              <w:t>根据“十三五”期间总量控制要求，“十三五”期间污染物控制指标为COD、NH</w:t>
            </w:r>
            <w:r>
              <w:rPr>
                <w:rFonts w:hint="eastAsia"/>
                <w:vertAlign w:val="subscript"/>
              </w:rPr>
              <w:t>3</w:t>
            </w:r>
            <w:r>
              <w:rPr>
                <w:rFonts w:hint="eastAsia"/>
              </w:rPr>
              <w:t>-N、SO</w:t>
            </w:r>
            <w:r>
              <w:rPr>
                <w:rFonts w:hint="eastAsia"/>
                <w:vertAlign w:val="subscript"/>
              </w:rPr>
              <w:t>2</w:t>
            </w:r>
            <w:r>
              <w:rPr>
                <w:rFonts w:hint="eastAsia"/>
              </w:rPr>
              <w:t>、NOx、VOCs。</w:t>
            </w:r>
          </w:p>
          <w:p>
            <w:pPr>
              <w:ind w:firstLine="480"/>
              <w:jc w:val="left"/>
            </w:pPr>
            <w:r>
              <w:rPr>
                <w:rFonts w:hint="eastAsia"/>
              </w:rPr>
              <w:t>结合本项目污染物排放特征，项目生产过程不排水，生活污水排入旱厕，定期清掏。</w:t>
            </w:r>
          </w:p>
          <w:p>
            <w:pPr>
              <w:ind w:firstLine="480" w:firstLineChars="200"/>
              <w:jc w:val="left"/>
            </w:pPr>
            <w:r>
              <w:rPr>
                <w:rFonts w:hint="eastAsia"/>
              </w:rPr>
              <w:t>因此，本项目不涉及总量控制指标。</w:t>
            </w:r>
          </w:p>
        </w:tc>
      </w:tr>
    </w:tbl>
    <w:p>
      <w:pPr>
        <w:sectPr>
          <w:pgSz w:w="11906" w:h="16838"/>
          <w:pgMar w:top="1701" w:right="1588" w:bottom="1701" w:left="1588" w:header="851" w:footer="1134" w:gutter="0"/>
          <w:pgBorders>
            <w:top w:val="none" w:sz="0" w:space="0"/>
            <w:left w:val="none" w:sz="0" w:space="0"/>
            <w:bottom w:val="none" w:sz="0" w:space="0"/>
            <w:right w:val="none" w:sz="0" w:space="0"/>
          </w:pgBorders>
          <w:pgNumType w:fmt="decimal"/>
          <w:cols w:space="720" w:num="1"/>
          <w:docGrid w:type="lines" w:linePitch="312" w:charSpace="0"/>
        </w:sectPr>
      </w:pPr>
      <w:bookmarkStart w:id="11" w:name="_Toc478030061"/>
    </w:p>
    <w:bookmarkEnd w:id="11"/>
    <w:p>
      <w:pPr>
        <w:pStyle w:val="23"/>
        <w:outlineLvl w:val="0"/>
      </w:pPr>
      <w:bookmarkStart w:id="12" w:name="_Toc478030062"/>
      <w:r>
        <w:t>建设项目工程分析</w:t>
      </w:r>
    </w:p>
    <w:tbl>
      <w:tblPr>
        <w:tblStyle w:val="21"/>
        <w:tblW w:w="884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845" w:type="dxa"/>
            <w:tcBorders>
              <w:tl2br w:val="nil"/>
              <w:tr2bl w:val="nil"/>
            </w:tcBorders>
            <w:vAlign w:val="center"/>
          </w:tcPr>
          <w:p>
            <w:pPr>
              <w:keepNext w:val="0"/>
              <w:keepLines w:val="0"/>
              <w:pageBreakBefore w:val="0"/>
              <w:widowControl w:val="0"/>
              <w:kinsoku/>
              <w:wordWrap/>
              <w:overflowPunct/>
              <w:topLinePunct w:val="0"/>
              <w:bidi w:val="0"/>
              <w:spacing w:line="360" w:lineRule="auto"/>
              <w:textAlignment w:val="auto"/>
              <w:rPr>
                <w:rFonts w:hint="default"/>
              </w:rPr>
            </w:pPr>
            <w:r>
              <w:rPr>
                <w:rFonts w:hint="default"/>
              </w:rPr>
              <w:t>工艺流程简述（图示）：</w:t>
            </w:r>
          </w:p>
          <w:p>
            <w:pPr>
              <w:keepNext w:val="0"/>
              <w:keepLines w:val="0"/>
              <w:pageBreakBefore w:val="0"/>
              <w:widowControl w:val="0"/>
              <w:kinsoku/>
              <w:wordWrap/>
              <w:overflowPunct/>
              <w:topLinePunct w:val="0"/>
              <w:bidi w:val="0"/>
              <w:spacing w:line="360" w:lineRule="auto"/>
              <w:textAlignment w:val="auto"/>
              <w:rPr>
                <w:rFonts w:hint="default"/>
                <w:b/>
                <w:bCs/>
              </w:rPr>
            </w:pPr>
            <w:r>
              <w:rPr>
                <w:rFonts w:hint="default"/>
                <w:b/>
                <w:bCs/>
              </w:rPr>
              <w:t>施工期</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lang w:eastAsia="zh-CN"/>
              </w:rPr>
            </w:pPr>
            <w:r>
              <w:rPr>
                <w:rFonts w:hint="default"/>
              </w:rPr>
              <w:t>根据现场踏勘，</w:t>
            </w:r>
            <w:r>
              <w:rPr>
                <w:rFonts w:hint="default"/>
                <w:lang w:eastAsia="zh-CN"/>
              </w:rPr>
              <w:t>本项目</w:t>
            </w:r>
            <w:r>
              <w:rPr>
                <w:rFonts w:hint="eastAsia"/>
                <w:lang w:eastAsia="zh-CN"/>
              </w:rPr>
              <w:t>为租赁厂房</w:t>
            </w:r>
            <w:r>
              <w:rPr>
                <w:rFonts w:hint="default"/>
                <w:lang w:eastAsia="zh-CN"/>
              </w:rPr>
              <w:t>，施工期已完成。本次不做评价。</w:t>
            </w:r>
          </w:p>
          <w:p>
            <w:pPr>
              <w:keepNext w:val="0"/>
              <w:keepLines w:val="0"/>
              <w:pageBreakBefore w:val="0"/>
              <w:widowControl w:val="0"/>
              <w:kinsoku/>
              <w:wordWrap/>
              <w:overflowPunct/>
              <w:topLinePunct w:val="0"/>
              <w:bidi w:val="0"/>
              <w:spacing w:line="360" w:lineRule="auto"/>
              <w:textAlignment w:val="auto"/>
              <w:rPr>
                <w:rFonts w:hint="default"/>
                <w:b/>
                <w:bCs/>
              </w:rPr>
            </w:pPr>
            <w:r>
              <w:rPr>
                <w:rFonts w:hint="default"/>
                <w:b/>
                <w:bCs/>
              </w:rPr>
              <w:t>运营期</w:t>
            </w:r>
          </w:p>
          <w:p>
            <w:pPr>
              <w:keepNext w:val="0"/>
              <w:keepLines w:val="0"/>
              <w:pageBreakBefore w:val="0"/>
              <w:widowControl w:val="0"/>
              <w:tabs>
                <w:tab w:val="left" w:pos="5502"/>
              </w:tabs>
              <w:kinsoku/>
              <w:wordWrap/>
              <w:overflowPunct/>
              <w:topLinePunct w:val="0"/>
              <w:bidi w:val="0"/>
              <w:spacing w:line="360" w:lineRule="auto"/>
              <w:ind w:firstLine="480" w:firstLineChars="200"/>
              <w:textAlignment w:val="auto"/>
              <w:rPr>
                <w:rFonts w:hint="eastAsia"/>
                <w:lang w:eastAsia="zh-CN"/>
              </w:rPr>
            </w:pPr>
            <w:r>
              <w:rPr>
                <w:rFonts w:hint="default"/>
              </w:rPr>
              <w:t>运营期生产工艺流程</w:t>
            </w:r>
            <w:r>
              <w:rPr>
                <w:rFonts w:hint="eastAsia"/>
                <w:lang w:eastAsia="zh-CN"/>
              </w:rPr>
              <w:t>及产污环节分析：</w:t>
            </w:r>
          </w:p>
          <w:p>
            <w:pPr>
              <w:keepNext w:val="0"/>
              <w:keepLines w:val="0"/>
              <w:pageBreakBefore w:val="0"/>
              <w:widowControl w:val="0"/>
              <w:numPr>
                <w:ilvl w:val="0"/>
                <w:numId w:val="4"/>
              </w:numPr>
              <w:tabs>
                <w:tab w:val="left" w:pos="5502"/>
              </w:tabs>
              <w:kinsoku/>
              <w:wordWrap/>
              <w:overflowPunct/>
              <w:topLinePunct w:val="0"/>
              <w:bidi w:val="0"/>
              <w:spacing w:line="360" w:lineRule="auto"/>
              <w:ind w:firstLine="480" w:firstLineChars="200"/>
              <w:textAlignment w:val="auto"/>
              <w:rPr>
                <w:rFonts w:hint="eastAsia"/>
                <w:lang w:eastAsia="zh-CN"/>
              </w:rPr>
            </w:pPr>
            <w:r>
              <w:rPr>
                <w:rFonts w:hint="eastAsia"/>
                <w:lang w:eastAsia="zh-CN"/>
              </w:rPr>
              <w:t>配液</w:t>
            </w:r>
          </w:p>
          <w:p>
            <w:pPr>
              <w:keepNext w:val="0"/>
              <w:keepLines w:val="0"/>
              <w:pageBreakBefore w:val="0"/>
              <w:widowControl w:val="0"/>
              <w:tabs>
                <w:tab w:val="left" w:pos="5502"/>
              </w:tabs>
              <w:kinsoku/>
              <w:wordWrap/>
              <w:overflowPunct/>
              <w:topLinePunct w:val="0"/>
              <w:bidi w:val="0"/>
              <w:spacing w:line="360" w:lineRule="auto"/>
              <w:ind w:firstLine="480" w:firstLineChars="200"/>
              <w:textAlignment w:val="auto"/>
              <w:rPr>
                <w:rFonts w:hint="eastAsia"/>
                <w:lang w:eastAsia="zh-CN"/>
              </w:rPr>
            </w:pPr>
            <w:r>
              <w:rPr>
                <w:rFonts w:hint="eastAsia"/>
                <w:lang w:eastAsia="zh-CN"/>
              </w:rPr>
              <w:t>根据产品所需李将一定量的乙二醇、苯甲酸钠、超纯水泵入搅拌釜中，经常温搅拌混合后，即为汽车专用防冻液。</w:t>
            </w:r>
          </w:p>
          <w:p>
            <w:pPr>
              <w:keepNext w:val="0"/>
              <w:keepLines w:val="0"/>
              <w:pageBreakBefore w:val="0"/>
              <w:widowControl w:val="0"/>
              <w:numPr>
                <w:ilvl w:val="0"/>
                <w:numId w:val="4"/>
              </w:numPr>
              <w:tabs>
                <w:tab w:val="left" w:pos="5502"/>
              </w:tabs>
              <w:kinsoku/>
              <w:wordWrap/>
              <w:overflowPunct/>
              <w:topLinePunct w:val="0"/>
              <w:bidi w:val="0"/>
              <w:spacing w:line="360" w:lineRule="auto"/>
              <w:ind w:firstLine="480" w:firstLineChars="200"/>
              <w:textAlignment w:val="auto"/>
              <w:rPr>
                <w:rFonts w:hint="eastAsia" w:eastAsia="宋体"/>
                <w:lang w:eastAsia="zh-CN"/>
              </w:rPr>
            </w:pPr>
            <w:r>
              <w:rPr>
                <w:rFonts w:hint="eastAsia"/>
                <w:lang w:eastAsia="zh-CN"/>
              </w:rPr>
              <w:t>成品灌装</w:t>
            </w:r>
          </w:p>
          <w:p>
            <w:pPr>
              <w:keepNext w:val="0"/>
              <w:keepLines w:val="0"/>
              <w:pageBreakBefore w:val="0"/>
              <w:widowControl w:val="0"/>
              <w:tabs>
                <w:tab w:val="left" w:pos="5502"/>
              </w:tabs>
              <w:kinsoku/>
              <w:wordWrap/>
              <w:overflowPunct/>
              <w:topLinePunct w:val="0"/>
              <w:bidi w:val="0"/>
              <w:spacing w:line="360" w:lineRule="auto"/>
              <w:ind w:firstLine="480" w:firstLineChars="200"/>
              <w:textAlignment w:val="auto"/>
              <w:rPr>
                <w:rFonts w:hint="eastAsia" w:eastAsia="宋体"/>
                <w:lang w:eastAsia="zh-CN"/>
              </w:rPr>
            </w:pPr>
            <w:r>
              <w:rPr>
                <w:rFonts w:hint="eastAsia"/>
                <w:lang w:eastAsia="zh-CN"/>
              </w:rPr>
              <w:t>配置得的成品灌装泵入成品箱，用叉车运至库房。</w:t>
            </w:r>
            <w:r>
              <w:rPr>
                <w:rFonts w:hint="eastAsia"/>
                <w:lang w:eastAsia="zh-CN"/>
              </w:rPr>
              <w:tab/>
            </w:r>
          </w:p>
          <w:p>
            <w:pPr>
              <w:pStyle w:val="7"/>
              <w:keepNext w:val="0"/>
              <w:keepLines w:val="0"/>
              <w:pageBreakBefore w:val="0"/>
              <w:widowControl w:val="0"/>
              <w:numPr>
                <w:ilvl w:val="0"/>
                <w:numId w:val="0"/>
              </w:numPr>
              <w:kinsoku/>
              <w:wordWrap/>
              <w:overflowPunct/>
              <w:topLinePunct w:val="0"/>
              <w:bidi w:val="0"/>
              <w:spacing w:line="360" w:lineRule="auto"/>
              <w:ind w:firstLine="480" w:firstLineChars="200"/>
              <w:textAlignment w:val="auto"/>
              <w:rPr>
                <w:rFonts w:hint="default"/>
                <w:lang w:val="en-US" w:eastAsia="zh-CN"/>
              </w:rPr>
            </w:pPr>
            <w:r>
              <w:rPr>
                <w:rFonts w:hint="default"/>
                <w:lang w:val="en-US" w:eastAsia="zh-CN"/>
              </w:rPr>
              <w:t>运营期工艺流程及产污环节图见图2。</w:t>
            </w:r>
          </w:p>
          <w:p>
            <w:pPr>
              <w:pStyle w:val="7"/>
              <w:keepNext w:val="0"/>
              <w:keepLines w:val="0"/>
              <w:pageBreakBefore w:val="0"/>
              <w:widowControl w:val="0"/>
              <w:numPr>
                <w:ilvl w:val="0"/>
                <w:numId w:val="0"/>
              </w:numPr>
              <w:kinsoku/>
              <w:wordWrap/>
              <w:overflowPunct/>
              <w:topLinePunct w:val="0"/>
              <w:bidi w:val="0"/>
              <w:adjustRightInd w:val="0"/>
              <w:snapToGrid w:val="0"/>
              <w:spacing w:after="120" w:line="360" w:lineRule="auto"/>
              <w:ind w:firstLine="480" w:firstLineChars="200"/>
              <w:jc w:val="both"/>
              <w:textAlignment w:val="auto"/>
              <w:rPr>
                <w:rFonts w:hint="default"/>
                <w:lang w:val="en-US" w:eastAsia="zh-CN"/>
              </w:rPr>
            </w:pPr>
            <w:r>
              <w:rPr>
                <w:rFonts w:hint="default"/>
              </w:rPr>
              <mc:AlternateContent>
                <mc:Choice Requires="wpc">
                  <w:drawing>
                    <wp:inline distT="0" distB="0" distL="114300" distR="114300">
                      <wp:extent cx="4568825" cy="1507490"/>
                      <wp:effectExtent l="0" t="0" r="0" b="16510"/>
                      <wp:docPr id="46" name="画布 46"/>
                      <wp:cNvGraphicFramePr/>
                      <a:graphic xmlns:a="http://schemas.openxmlformats.org/drawingml/2006/main">
                        <a:graphicData uri="http://schemas.microsoft.com/office/word/2010/wordprocessingCanvas">
                          <wpc:wpc>
                            <wpc:bg>
                              <a:noFill/>
                            </wpc:bg>
                            <wpc:whole>
                              <a:ln w="9525">
                                <a:noFill/>
                              </a:ln>
                            </wpc:whole>
                            <wps:wsp>
                              <wps:cNvPr id="55" name="文本框 44"/>
                              <wps:cNvSpPr txBox="1"/>
                              <wps:spPr>
                                <a:xfrm>
                                  <a:off x="85090" y="437515"/>
                                  <a:ext cx="476250" cy="2571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jc w:val="left"/>
                                      <w:rPr>
                                        <w:rFonts w:hint="eastAsia" w:eastAsia="宋体"/>
                                        <w:sz w:val="21"/>
                                        <w:szCs w:val="16"/>
                                        <w:lang w:eastAsia="zh-CN"/>
                                      </w:rPr>
                                    </w:pPr>
                                    <w:r>
                                      <w:rPr>
                                        <w:rFonts w:hint="eastAsia"/>
                                        <w:sz w:val="21"/>
                                        <w:szCs w:val="16"/>
                                        <w:lang w:eastAsia="zh-CN"/>
                                      </w:rPr>
                                      <w:t>纯水材</w:t>
                                    </w:r>
                                  </w:p>
                                </w:txbxContent>
                              </wps:txbx>
                              <wps:bodyPr upright="1"/>
                            </wps:wsp>
                            <wps:wsp>
                              <wps:cNvPr id="56" name="直接连接符 45"/>
                              <wps:cNvCnPr/>
                              <wps:spPr>
                                <a:xfrm>
                                  <a:off x="942975" y="800100"/>
                                  <a:ext cx="303530" cy="8255"/>
                                </a:xfrm>
                                <a:prstGeom prst="line">
                                  <a:avLst/>
                                </a:prstGeom>
                                <a:ln w="9525" cap="flat" cmpd="sng">
                                  <a:solidFill>
                                    <a:srgbClr val="000000"/>
                                  </a:solidFill>
                                  <a:prstDash val="solid"/>
                                  <a:headEnd type="none" w="med" len="med"/>
                                  <a:tailEnd type="arrow" w="med" len="med"/>
                                </a:ln>
                              </wps:spPr>
                              <wps:bodyPr upright="1"/>
                            </wps:wsp>
                            <wps:wsp>
                              <wps:cNvPr id="57" name="文本框 46"/>
                              <wps:cNvSpPr txBox="1"/>
                              <wps:spPr>
                                <a:xfrm>
                                  <a:off x="74930" y="815340"/>
                                  <a:ext cx="751205" cy="273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sz w:val="21"/>
                                        <w:szCs w:val="16"/>
                                        <w:lang w:eastAsia="zh-CN"/>
                                      </w:rPr>
                                    </w:pPr>
                                    <w:r>
                                      <w:rPr>
                                        <w:rFonts w:hint="eastAsia"/>
                                        <w:sz w:val="21"/>
                                        <w:szCs w:val="16"/>
                                        <w:lang w:eastAsia="zh-CN"/>
                                      </w:rPr>
                                      <w:t>苯甲酸钠</w:t>
                                    </w:r>
                                  </w:p>
                                </w:txbxContent>
                              </wps:txbx>
                              <wps:bodyPr upright="1"/>
                            </wps:wsp>
                            <wps:wsp>
                              <wps:cNvPr id="58" name="文本框 47"/>
                              <wps:cNvSpPr txBox="1"/>
                              <wps:spPr>
                                <a:xfrm>
                                  <a:off x="2167255" y="664845"/>
                                  <a:ext cx="755650" cy="2533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成品灌装</w:t>
                                    </w:r>
                                  </w:p>
                                </w:txbxContent>
                              </wps:txbx>
                              <wps:bodyPr upright="1"/>
                            </wps:wsp>
                            <wps:wsp>
                              <wps:cNvPr id="59" name="直接连接符 52"/>
                              <wps:cNvCnPr>
                                <a:endCxn id="73" idx="1"/>
                              </wps:cNvCnPr>
                              <wps:spPr>
                                <a:xfrm>
                                  <a:off x="1861185" y="789305"/>
                                  <a:ext cx="306070" cy="2540"/>
                                </a:xfrm>
                                <a:prstGeom prst="line">
                                  <a:avLst/>
                                </a:prstGeom>
                                <a:ln w="9525" cap="flat" cmpd="sng">
                                  <a:solidFill>
                                    <a:srgbClr val="000000"/>
                                  </a:solidFill>
                                  <a:prstDash val="solid"/>
                                  <a:headEnd type="none" w="med" len="med"/>
                                  <a:tailEnd type="arrow" w="med" len="med"/>
                                </a:ln>
                              </wps:spPr>
                              <wps:bodyPr upright="1"/>
                            </wps:wsp>
                            <wps:wsp>
                              <wps:cNvPr id="60" name="文本框 55"/>
                              <wps:cNvSpPr txBox="1"/>
                              <wps:spPr>
                                <a:xfrm>
                                  <a:off x="43815" y="46355"/>
                                  <a:ext cx="600710" cy="2609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jc w:val="left"/>
                                      <w:rPr>
                                        <w:rFonts w:hint="eastAsia" w:eastAsia="宋体"/>
                                        <w:sz w:val="21"/>
                                        <w:szCs w:val="16"/>
                                        <w:lang w:eastAsia="zh-CN"/>
                                      </w:rPr>
                                    </w:pPr>
                                    <w:r>
                                      <w:rPr>
                                        <w:rFonts w:hint="eastAsia"/>
                                        <w:sz w:val="21"/>
                                        <w:szCs w:val="16"/>
                                        <w:lang w:eastAsia="zh-CN"/>
                                      </w:rPr>
                                      <w:t>乙二醇</w:t>
                                    </w:r>
                                  </w:p>
                                </w:txbxContent>
                              </wps:txbx>
                              <wps:bodyPr upright="1"/>
                            </wps:wsp>
                            <wps:wsp>
                              <wps:cNvPr id="61" name="文本框 56"/>
                              <wps:cNvSpPr txBox="1"/>
                              <wps:spPr>
                                <a:xfrm>
                                  <a:off x="103505" y="1207770"/>
                                  <a:ext cx="596900" cy="271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荧光素</w:t>
                                    </w:r>
                                  </w:p>
                                </w:txbxContent>
                              </wps:txbx>
                              <wps:bodyPr upright="1"/>
                            </wps:wsp>
                            <wps:wsp>
                              <wps:cNvPr id="62" name="直接连接符 58"/>
                              <wps:cNvCnPr/>
                              <wps:spPr>
                                <a:xfrm flipV="1">
                                  <a:off x="2920365" y="788035"/>
                                  <a:ext cx="228600" cy="0"/>
                                </a:xfrm>
                                <a:prstGeom prst="line">
                                  <a:avLst/>
                                </a:prstGeom>
                                <a:ln w="9525" cap="flat" cmpd="sng">
                                  <a:solidFill>
                                    <a:srgbClr val="000000"/>
                                  </a:solidFill>
                                  <a:prstDash val="solid"/>
                                  <a:headEnd type="none" w="med" len="med"/>
                                  <a:tailEnd type="arrow" w="med" len="med"/>
                                </a:ln>
                              </wps:spPr>
                              <wps:bodyPr upright="1"/>
                            </wps:wsp>
                            <wps:wsp>
                              <wps:cNvPr id="63" name="文本框 46"/>
                              <wps:cNvSpPr txBox="1"/>
                              <wps:spPr>
                                <a:xfrm>
                                  <a:off x="1243330" y="673735"/>
                                  <a:ext cx="727075" cy="2508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jc w:val="both"/>
                                      <w:rPr>
                                        <w:rFonts w:hint="eastAsia" w:eastAsia="宋体"/>
                                        <w:sz w:val="21"/>
                                        <w:szCs w:val="16"/>
                                        <w:lang w:eastAsia="zh-CN"/>
                                      </w:rPr>
                                    </w:pPr>
                                    <w:r>
                                      <w:rPr>
                                        <w:rFonts w:hint="eastAsia"/>
                                        <w:sz w:val="21"/>
                                        <w:szCs w:val="16"/>
                                        <w:lang w:eastAsia="zh-CN"/>
                                      </w:rPr>
                                      <w:t>搅拌配液</w:t>
                                    </w:r>
                                  </w:p>
                                </w:txbxContent>
                              </wps:txbx>
                              <wps:bodyPr upright="1"/>
                            </wps:wsp>
                            <wps:wsp>
                              <wps:cNvPr id="64" name="肘形连接符 45"/>
                              <wps:cNvCnPr>
                                <a:stCxn id="77" idx="3"/>
                                <a:endCxn id="78" idx="3"/>
                              </wps:cNvCnPr>
                              <wps:spPr>
                                <a:xfrm>
                                  <a:off x="644525" y="177165"/>
                                  <a:ext cx="55880" cy="1166495"/>
                                </a:xfrm>
                                <a:prstGeom prst="bentConnector3">
                                  <a:avLst>
                                    <a:gd name="adj1" fmla="val 52613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7" name="直接连接符 48"/>
                              <wps:cNvCnPr>
                                <a:stCxn id="70" idx="3"/>
                              </wps:cNvCnPr>
                              <wps:spPr>
                                <a:xfrm>
                                  <a:off x="561340" y="566420"/>
                                  <a:ext cx="380365" cy="38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直接连接符 50"/>
                              <wps:cNvCnPr/>
                              <wps:spPr>
                                <a:xfrm flipV="1">
                                  <a:off x="835660" y="960755"/>
                                  <a:ext cx="106045" cy="12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6" name="文本框 47"/>
                              <wps:cNvSpPr txBox="1"/>
                              <wps:spPr>
                                <a:xfrm>
                                  <a:off x="3132455" y="665480"/>
                                  <a:ext cx="459740" cy="2533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sz w:val="21"/>
                                        <w:szCs w:val="16"/>
                                        <w:lang w:eastAsia="zh-CN"/>
                                      </w:rPr>
                                    </w:pPr>
                                    <w:r>
                                      <w:rPr>
                                        <w:rFonts w:hint="eastAsia"/>
                                        <w:sz w:val="21"/>
                                        <w:szCs w:val="16"/>
                                        <w:lang w:eastAsia="zh-CN"/>
                                      </w:rPr>
                                      <w:t>外售</w:t>
                                    </w:r>
                                  </w:p>
                                </w:txbxContent>
                              </wps:txbx>
                              <wps:bodyPr upright="1"/>
                            </wps:wsp>
                            <wps:wsp>
                              <wps:cNvPr id="80" name="直接箭头连接符 53"/>
                              <wps:cNvCnPr>
                                <a:stCxn id="84" idx="0"/>
                              </wps:cNvCnPr>
                              <wps:spPr>
                                <a:xfrm flipH="1" flipV="1">
                                  <a:off x="1541780" y="453390"/>
                                  <a:ext cx="8255" cy="210820"/>
                                </a:xfrm>
                                <a:prstGeom prst="straightConnector1">
                                  <a:avLst/>
                                </a:prstGeom>
                                <a:ln>
                                  <a:prstDash val="dash"/>
                                  <a:tailEnd type="arrow" w="med" len="med"/>
                                </a:ln>
                              </wps:spPr>
                              <wps:style>
                                <a:lnRef idx="1">
                                  <a:schemeClr val="dk1"/>
                                </a:lnRef>
                                <a:fillRef idx="0">
                                  <a:schemeClr val="dk1"/>
                                </a:fillRef>
                                <a:effectRef idx="0">
                                  <a:schemeClr val="dk1"/>
                                </a:effectRef>
                                <a:fontRef idx="minor">
                                  <a:schemeClr val="tx1"/>
                                </a:fontRef>
                              </wps:style>
                              <wps:bodyPr/>
                            </wps:wsp>
                            <wps:wsp>
                              <wps:cNvPr id="81" name="文本框 47"/>
                              <wps:cNvSpPr txBox="1"/>
                              <wps:spPr>
                                <a:xfrm>
                                  <a:off x="1123950" y="179070"/>
                                  <a:ext cx="828040" cy="273050"/>
                                </a:xfrm>
                                <a:prstGeom prst="rect">
                                  <a:avLst/>
                                </a:prstGeom>
                                <a:solidFill>
                                  <a:srgbClr val="FFFFFF"/>
                                </a:solidFill>
                                <a:ln w="9525" cap="flat" cmpd="sng">
                                  <a:solidFill>
                                    <a:schemeClr val="tx1"/>
                                  </a:solidFill>
                                  <a:prstDash val="lgDash"/>
                                  <a:miter/>
                                  <a:headEnd type="none" w="med" len="med"/>
                                  <a:tailEnd type="none" w="med" len="med"/>
                                </a:ln>
                              </wps:spPr>
                              <wps:txbx>
                                <w:txbxContent>
                                  <w:p>
                                    <w:pPr>
                                      <w:ind w:left="0" w:leftChars="0" w:firstLine="0" w:firstLineChars="0"/>
                                      <w:jc w:val="left"/>
                                      <w:rPr>
                                        <w:rFonts w:hint="eastAsia" w:eastAsia="宋体"/>
                                        <w:sz w:val="21"/>
                                        <w:szCs w:val="16"/>
                                        <w:lang w:eastAsia="zh-CN"/>
                                      </w:rPr>
                                    </w:pPr>
                                    <w:r>
                                      <w:rPr>
                                        <w:rFonts w:hint="eastAsia"/>
                                        <w:sz w:val="21"/>
                                        <w:szCs w:val="16"/>
                                        <w:lang w:eastAsia="zh-CN"/>
                                      </w:rPr>
                                      <w:t>噪声、固废</w:t>
                                    </w:r>
                                  </w:p>
                                </w:txbxContent>
                              </wps:txbx>
                              <wps:bodyPr upright="1"/>
                            </wps:wsp>
                          </wpc:wpc>
                        </a:graphicData>
                      </a:graphic>
                    </wp:inline>
                  </w:drawing>
                </mc:Choice>
                <mc:Fallback>
                  <w:pict>
                    <v:group id="_x0000_s1026" o:spid="_x0000_s1026" o:spt="203" style="height:118.7pt;width:359.75pt;" coordsize="4568825,1507490" editas="canvas" o:gfxdata="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">
                      <o:lock v:ext="edit" aspectratio="f"/>
                      <v:shape id="_x0000_s1026" o:spid="_x0000_s1026" style="position:absolute;left:0;top:0;height:1507490;width:4568825;" filled="f" stroked="f" coordsize="21600,21600" o:gfxdata="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">
                        <v:fill on="f" focussize="0,0"/>
                        <v:stroke on="f"/>
                        <v:imagedata o:title=""/>
                        <o:lock v:ext="edit" aspectratio="f"/>
                      </v:shape>
                      <v:shape id="文本框 44" o:spid="_x0000_s1026" o:spt="202" type="#_x0000_t202" style="position:absolute;left:85090;top:437515;height:257175;width:476250;" fillcolor="#FFFFFF" filled="t" stroked="t" coordsize="21600,21600" o:gfxdata="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Auvrl1gAAAAUBAAAPAAAAAAAAAAEAIAAAACIAAABkcnMvZG93bnJldi54&#10;bWxQSwECFAAUAAAACACHTuJAAz23ifwBAADyAwAADgAAAAAAAAABACAAAAAlAQAAZHJzL2Uyb0Rv&#10;Yy54bWxQSwUGAAAAAAYABgBZAQAAkwUAAAAA&#10;">
                        <v:fill on="t" focussize="0,0"/>
                        <v:stroke color="#000000" joinstyle="miter"/>
                        <v:imagedata o:title=""/>
                        <o:lock v:ext="edit" aspectratio="f"/>
                        <v:textbox>
                          <w:txbxContent>
                            <w:p>
                              <w:pPr>
                                <w:ind w:left="0" w:leftChars="0" w:firstLine="0" w:firstLineChars="0"/>
                                <w:jc w:val="left"/>
                                <w:rPr>
                                  <w:rFonts w:hint="eastAsia" w:eastAsia="宋体"/>
                                  <w:sz w:val="21"/>
                                  <w:szCs w:val="16"/>
                                  <w:lang w:eastAsia="zh-CN"/>
                                </w:rPr>
                              </w:pPr>
                              <w:r>
                                <w:rPr>
                                  <w:rFonts w:hint="eastAsia"/>
                                  <w:sz w:val="21"/>
                                  <w:szCs w:val="16"/>
                                  <w:lang w:eastAsia="zh-CN"/>
                                </w:rPr>
                                <w:t>纯水材</w:t>
                              </w:r>
                            </w:p>
                          </w:txbxContent>
                        </v:textbox>
                      </v:shape>
                      <v:line id="直接连接符 45" o:spid="_x0000_s1026" o:spt="20" style="position:absolute;left:942975;top:800100;height:8255;width:303530;" filled="f" stroked="t" coordsize="21600,21600" o:gfxdata="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mfrSDXAAAABQEAAA8AAAAAAAAAAQAgAAAAIgAAAGRycy9kb3ducmV2LnhtbFBLAQIUABQAAAAI&#10;AIdO4kCDKE3y7gEAAKUDAAAOAAAAAAAAAAEAIAAAACYBAABkcnMvZTJvRG9jLnhtbFBLBQYAAAAA&#10;BgAGAFkBAACGBQAAAAA=&#10;">
                        <v:fill on="f" focussize="0,0"/>
                        <v:stroke color="#000000" joinstyle="round" endarrow="open"/>
                        <v:imagedata o:title=""/>
                        <o:lock v:ext="edit" aspectratio="f"/>
                      </v:line>
                      <v:shape id="文本框 46" o:spid="_x0000_s1026" o:spt="202" type="#_x0000_t202" style="position:absolute;left:74930;top:815340;height:273685;width:751205;" fillcolor="#FFFFFF" filled="t" stroked="t" coordsize="21600,21600" o:gfxdata="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Auvrl1gAAAAUBAAAPAAAAAAAAAAEAIAAAACIAAABkcnMvZG93bnJldi54bWxQ&#10;SwECFAAUAAAACACHTuJAY5seLvkBAADyAwAADgAAAAAAAAABACAAAAAlAQAAZHJzL2Uyb0RvYy54&#10;bWxQSwUGAAAAAAYABgBZAQAAkAUAAAAA&#10;">
                        <v:fill on="t" focussize="0,0"/>
                        <v:stroke color="#000000" joinstyle="miter"/>
                        <v:imagedata o:title=""/>
                        <o:lock v:ext="edit" aspectratio="f"/>
                        <v:textbox>
                          <w:txbxContent>
                            <w:p>
                              <w:pPr>
                                <w:ind w:left="0" w:leftChars="0" w:firstLine="0" w:firstLineChars="0"/>
                                <w:rPr>
                                  <w:rFonts w:hint="eastAsia"/>
                                  <w:sz w:val="21"/>
                                  <w:szCs w:val="16"/>
                                  <w:lang w:eastAsia="zh-CN"/>
                                </w:rPr>
                              </w:pPr>
                              <w:r>
                                <w:rPr>
                                  <w:rFonts w:hint="eastAsia"/>
                                  <w:sz w:val="21"/>
                                  <w:szCs w:val="16"/>
                                  <w:lang w:eastAsia="zh-CN"/>
                                </w:rPr>
                                <w:t>苯甲酸钠</w:t>
                              </w:r>
                            </w:p>
                          </w:txbxContent>
                        </v:textbox>
                      </v:shape>
                      <v:shape id="文本框 47" o:spid="_x0000_s1026" o:spt="202" type="#_x0000_t202" style="position:absolute;left:2167255;top:664845;height:253365;width:755650;" fillcolor="#FFFFFF" filled="t" stroked="t" coordsize="21600,21600" o:gfxdata="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C6+uXWAAAABQEAAA8AAAAAAAAAAQAgAAAAIgAAAGRycy9kb3ducmV2&#10;LnhtbFBLAQIUABQAAAAIAIdO4kDd0MUQ/gEAAPQDAAAOAAAAAAAAAAEAIAAAACUBAABkcnMvZTJv&#10;RG9jLnhtbFBLBQYAAAAABgAGAFkBAACVBQ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成品灌装</w:t>
                              </w:r>
                            </w:p>
                          </w:txbxContent>
                        </v:textbox>
                      </v:shape>
                      <v:line id="直接连接符 52" o:spid="_x0000_s1026" o:spt="20" style="position:absolute;left:1861185;top:789305;height:2540;width:306070;" filled="f" stroked="t" coordsize="21600,21600" o:gfxdata="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5n60g1wAAAAUBAAAPAAAAAAAAAAEAIAAAACIAAABkcnMvZG93&#10;bnJldi54bWxQSwECFAAUAAAACACHTuJAFV1MggECAADOAwAADgAAAAAAAAABACAAAAAmAQAAZHJz&#10;L2Uyb0RvYy54bWxQSwUGAAAAAAYABgBZAQAAmQUAAAAA&#10;">
                        <v:fill on="f" focussize="0,0"/>
                        <v:stroke color="#000000" joinstyle="round" endarrow="open"/>
                        <v:imagedata o:title=""/>
                        <o:lock v:ext="edit" aspectratio="f"/>
                      </v:line>
                      <v:shape id="文本框 55" o:spid="_x0000_s1026" o:spt="202" type="#_x0000_t202" style="position:absolute;left:43815;top:46355;height:260985;width:600710;" fillcolor="#FFFFFF" filled="t" stroked="t" coordsize="21600,21600" o:gfxdata="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Lr65dYAAAAFAQAADwAAAAAAAAABACAAAAAiAAAAZHJzL2Rvd25yZXYueG1s&#10;UEsBAhQAFAAAAAgAh07iQEYmhBL6AQAA8QMAAA4AAAAAAAAAAQAgAAAAJQEAAGRycy9lMm9Eb2Mu&#10;eG1sUEsFBgAAAAAGAAYAWQEAAJEFAAAAAA==&#10;">
                        <v:fill on="t" focussize="0,0"/>
                        <v:stroke color="#000000" joinstyle="miter"/>
                        <v:imagedata o:title=""/>
                        <o:lock v:ext="edit" aspectratio="f"/>
                        <v:textbox>
                          <w:txbxContent>
                            <w:p>
                              <w:pPr>
                                <w:ind w:left="0" w:leftChars="0" w:firstLine="0" w:firstLineChars="0"/>
                                <w:jc w:val="left"/>
                                <w:rPr>
                                  <w:rFonts w:hint="eastAsia" w:eastAsia="宋体"/>
                                  <w:sz w:val="21"/>
                                  <w:szCs w:val="16"/>
                                  <w:lang w:eastAsia="zh-CN"/>
                                </w:rPr>
                              </w:pPr>
                              <w:r>
                                <w:rPr>
                                  <w:rFonts w:hint="eastAsia"/>
                                  <w:sz w:val="21"/>
                                  <w:szCs w:val="16"/>
                                  <w:lang w:eastAsia="zh-CN"/>
                                </w:rPr>
                                <w:t>乙二醇</w:t>
                              </w:r>
                            </w:p>
                          </w:txbxContent>
                        </v:textbox>
                      </v:shape>
                      <v:shape id="文本框 56" o:spid="_x0000_s1026" o:spt="202" type="#_x0000_t202" style="position:absolute;left:103505;top:1207770;height:271780;width:596900;" fillcolor="#FFFFFF" filled="t" stroked="t" coordsize="21600,21600" o:gfxdata="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Auvrl1gAAAAUBAAAPAAAAAAAAAAEAIAAAACIAAABkcnMvZG93bnJldi54&#10;bWxQSwECFAAUAAAACACHTuJAVaLVAfwBAAD0AwAADgAAAAAAAAABACAAAAAlAQAAZHJzL2Uyb0Rv&#10;Yy54bWxQSwUGAAAAAAYABgBZAQAAkwU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荧光素</w:t>
                              </w:r>
                            </w:p>
                          </w:txbxContent>
                        </v:textbox>
                      </v:shape>
                      <v:line id="直接连接符 58" o:spid="_x0000_s1026" o:spt="20" style="position:absolute;left:2920365;top:788035;flip:y;height:0;width:228600;" filled="f" stroked="t" coordsize="21600,21600" o:gfxdata="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DIYS+1gAAAAUBAAAPAAAAAAAAAAEAIAAAACIAAABkcnMvZG93bnJldi54bWxQSwEC&#10;FAAUAAAACACHTuJAbyZSg/YBAACtAwAADgAAAAAAAAABACAAAAAlAQAAZHJzL2Uyb0RvYy54bWxQ&#10;SwUGAAAAAAYABgBZAQAAjQUAAAAA&#10;">
                        <v:fill on="f" focussize="0,0"/>
                        <v:stroke color="#000000" joinstyle="round" endarrow="open"/>
                        <v:imagedata o:title=""/>
                        <o:lock v:ext="edit" aspectratio="f"/>
                      </v:line>
                      <v:shape id="文本框 46" o:spid="_x0000_s1026" o:spt="202" type="#_x0000_t202" style="position:absolute;left:1243330;top:673735;height:250825;width:727075;" fillcolor="#FFFFFF" filled="t" stroked="t" coordsize="21600,21600" o:gfxdata="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Lr65dYAAAAFAQAADwAAAAAAAAABACAAAAAiAAAAZHJzL2Rvd25yZXYu&#10;eG1sUEsBAhQAFAAAAAgAh07iQCnnTW39AQAA9AMAAA4AAAAAAAAAAQAgAAAAJQEAAGRycy9lMm9E&#10;b2MueG1sUEsFBgAAAAAGAAYAWQEAAJQFAAAAAA==&#10;">
                        <v:fill on="t" focussize="0,0"/>
                        <v:stroke color="#000000" joinstyle="miter"/>
                        <v:imagedata o:title=""/>
                        <o:lock v:ext="edit" aspectratio="f"/>
                        <v:textbox>
                          <w:txbxContent>
                            <w:p>
                              <w:pPr>
                                <w:ind w:left="0" w:leftChars="0" w:firstLine="0" w:firstLineChars="0"/>
                                <w:jc w:val="both"/>
                                <w:rPr>
                                  <w:rFonts w:hint="eastAsia" w:eastAsia="宋体"/>
                                  <w:sz w:val="21"/>
                                  <w:szCs w:val="16"/>
                                  <w:lang w:eastAsia="zh-CN"/>
                                </w:rPr>
                              </w:pPr>
                              <w:r>
                                <w:rPr>
                                  <w:rFonts w:hint="eastAsia"/>
                                  <w:sz w:val="21"/>
                                  <w:szCs w:val="16"/>
                                  <w:lang w:eastAsia="zh-CN"/>
                                </w:rPr>
                                <w:t>搅拌配液</w:t>
                              </w:r>
                            </w:p>
                          </w:txbxContent>
                        </v:textbox>
                      </v:shape>
                      <v:shape id="肘形连接符 45" o:spid="_x0000_s1026" o:spt="34" type="#_x0000_t34" style="position:absolute;left:644525;top:177165;height:1166495;width:55880;" filled="f" stroked="t" coordsize="21600,21600" o:gfxdata="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lVmFjXAAAABQEAAA8AAAAA&#10;AAAAAQAgAAAAIgAAAGRycy9kb3ducmV2LnhtbFBLAQIUABQAAAAIAIdO4kDUd2fCFQIAAO0DAAAO&#10;AAAAAAAAAAEAIAAAACYBAABkcnMvZTJvRG9jLnhtbFBLBQYAAAAABgAGAFkBAACtBQAAAAA=&#10;" adj="113645">
                        <v:fill on="f" focussize="0,0"/>
                        <v:stroke weight="0.5pt" color="#000000 [3213]" miterlimit="8" joinstyle="miter"/>
                        <v:imagedata o:title=""/>
                        <o:lock v:ext="edit" aspectratio="f"/>
                      </v:shape>
                      <v:line id="直接连接符 48" o:spid="_x0000_s1026" o:spt="20" style="position:absolute;left:561340;top:566420;height:3810;width:380365;" filled="f" stroked="t" coordsize="21600,21600" o:gfxdata="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nsNN9UAAAAF&#10;AQAADwAAAAAAAAABACAAAAAiAAAAZHJzL2Rvd25yZXYueG1sUEsBAhQAFAAAAAgAh07iQKizzMTm&#10;AQAAmAMAAA4AAAAAAAAAAQAgAAAAJAEAAGRycy9lMm9Eb2MueG1sUEsFBgAAAAAGAAYAWQEAAHwF&#10;AAAAAA==&#10;">
                        <v:fill on="f" focussize="0,0"/>
                        <v:stroke weight="0.5pt" color="#000000 [3213]" miterlimit="8" joinstyle="miter"/>
                        <v:imagedata o:title=""/>
                        <o:lock v:ext="edit" aspectratio="f"/>
                      </v:line>
                      <v:line id="直接连接符 50" o:spid="_x0000_s1026" o:spt="20" style="position:absolute;left:835660;top:960755;flip:y;height:1270;width:106045;" filled="f" stroked="t" coordsize="21600,21600" o:gfxdata="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FZsIA1QAAAAUBAAAPAAAA&#10;AAAAAAEAIAAAACIAAABkcnMvZG93bnJldi54bWxQSwECFAAUAAAACACHTuJAq4glsN8BAAB7AwAA&#10;DgAAAAAAAAABACAAAAAkAQAAZHJzL2Uyb0RvYy54bWxQSwUGAAAAAAYABgBZAQAAdQUAAAAA&#10;">
                        <v:fill on="f" focussize="0,0"/>
                        <v:stroke weight="0.5pt" color="#000000 [3213]" miterlimit="8" joinstyle="miter"/>
                        <v:imagedata o:title=""/>
                        <o:lock v:ext="edit" aspectratio="f"/>
                      </v:line>
                      <v:shape id="文本框 47" o:spid="_x0000_s1026" o:spt="202" type="#_x0000_t202" style="position:absolute;left:3132455;top:665480;height:253365;width:459740;" fillcolor="#FFFFFF" filled="t" stroked="t" coordsize="21600,21600" o:gfxdata="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Auvrl1gAAAAUBAAAPAAAAAAAAAAEAIAAAACIAAABkcnMvZG93bnJldi54&#10;bWxQSwECFAAUAAAACACHTuJAm+noh/wBAAD0AwAADgAAAAAAAAABACAAAAAlAQAAZHJzL2Uyb0Rv&#10;Yy54bWxQSwUGAAAAAAYABgBZAQAAkwUAAAAA&#10;">
                        <v:fill on="t" focussize="0,0"/>
                        <v:stroke color="#000000" joinstyle="miter"/>
                        <v:imagedata o:title=""/>
                        <o:lock v:ext="edit" aspectratio="f"/>
                        <v:textbox>
                          <w:txbxContent>
                            <w:p>
                              <w:pPr>
                                <w:ind w:left="0" w:leftChars="0" w:firstLine="0" w:firstLineChars="0"/>
                                <w:rPr>
                                  <w:rFonts w:hint="eastAsia" w:eastAsia="宋体"/>
                                  <w:sz w:val="21"/>
                                  <w:szCs w:val="16"/>
                                  <w:lang w:eastAsia="zh-CN"/>
                                </w:rPr>
                              </w:pPr>
                              <w:r>
                                <w:rPr>
                                  <w:rFonts w:hint="eastAsia"/>
                                  <w:sz w:val="21"/>
                                  <w:szCs w:val="16"/>
                                  <w:lang w:eastAsia="zh-CN"/>
                                </w:rPr>
                                <w:t>外售</w:t>
                              </w:r>
                            </w:p>
                          </w:txbxContent>
                        </v:textbox>
                      </v:shape>
                      <v:shape id="直接箭头连接符 53" o:spid="_x0000_s1026" o:spt="32" type="#_x0000_t32" style="position:absolute;left:1541780;top:453390;flip:x y;height:210820;width:8255;" filled="f" stroked="t" coordsize="21600,21600" o:gfxdata="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OSm77WAAAABQEA&#10;AA8AAAAAAAAAAQAgAAAAIgAAAGRycy9kb3ducmV2LnhtbFBLAQIUABQAAAAIAIdO4kAtk6bdHAIA&#10;AOsDAAAOAAAAAAAAAAEAIAAAACUBAABkcnMvZTJvRG9jLnhtbFBLBQYAAAAABgAGAFkBAACzBQAA&#10;AAA=&#10;">
                        <v:fill on="f" focussize="0,0"/>
                        <v:stroke weight="0.5pt" color="#000000 [3200]" miterlimit="8" joinstyle="miter" dashstyle="dash" endarrow="open"/>
                        <v:imagedata o:title=""/>
                        <o:lock v:ext="edit" aspectratio="f"/>
                      </v:shape>
                      <v:shape id="文本框 47" o:spid="_x0000_s1026" o:spt="202" type="#_x0000_t202" style="position:absolute;left:1123950;top:179070;height:273050;width:828040;" fillcolor="#FFFFFF" filled="t" stroked="t" coordsize="21600,21600" o:gfxdata="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BWj/jTAAAABQEAAA8AAAAAAAAAAQAgAAAAIgAAAGRycy9kb3ducmV2LnhtbFBL&#10;AQIUABQAAAAIAIdO4kDvCWk9+wEAAPUDAAAOAAAAAAAAAAEAIAAAACIBAABkcnMvZTJvRG9jLnht&#10;bFBLBQYAAAAABgAGAFkBAACPBQAAAAA=&#10;">
                        <v:fill on="t" focussize="0,0"/>
                        <v:stroke color="#000000 [3213]" joinstyle="miter" dashstyle="longDash"/>
                        <v:imagedata o:title=""/>
                        <o:lock v:ext="edit" aspectratio="f"/>
                        <v:textbox>
                          <w:txbxContent>
                            <w:p>
                              <w:pPr>
                                <w:ind w:left="0" w:leftChars="0" w:firstLine="0" w:firstLineChars="0"/>
                                <w:jc w:val="left"/>
                                <w:rPr>
                                  <w:rFonts w:hint="eastAsia" w:eastAsia="宋体"/>
                                  <w:sz w:val="21"/>
                                  <w:szCs w:val="16"/>
                                  <w:lang w:eastAsia="zh-CN"/>
                                </w:rPr>
                              </w:pPr>
                              <w:r>
                                <w:rPr>
                                  <w:rFonts w:hint="eastAsia"/>
                                  <w:sz w:val="21"/>
                                  <w:szCs w:val="16"/>
                                  <w:lang w:eastAsia="zh-CN"/>
                                </w:rPr>
                                <w:t>噪声、固废</w:t>
                              </w:r>
                            </w:p>
                          </w:txbxContent>
                        </v:textbox>
                      </v:shape>
                      <w10:wrap type="none"/>
                      <w10:anchorlock/>
                    </v:group>
                  </w:pict>
                </mc:Fallback>
              </mc:AlternateContent>
            </w:r>
            <w:r>
              <w:rPr>
                <w:rFonts w:hint="eastAsia"/>
                <w:lang w:val="en-US" w:eastAsia="zh-CN"/>
              </w:rPr>
              <w:t xml:space="preserve">                                 </w:t>
            </w:r>
          </w:p>
          <w:p>
            <w:pPr>
              <w:pStyle w:val="24"/>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图</w:t>
            </w:r>
            <w:r>
              <w:rPr>
                <w:rFonts w:hint="eastAsia" w:eastAsia="宋体" w:cs="Times New Roman"/>
                <w:b/>
                <w:bCs/>
                <w:szCs w:val="22"/>
                <w:lang w:val="en-US" w:eastAsia="zh-CN"/>
              </w:rPr>
              <w:t>2</w:t>
            </w:r>
            <w:r>
              <w:rPr>
                <w:rFonts w:hint="default" w:ascii="Times New Roman" w:hAnsi="Times New Roman" w:eastAsia="宋体" w:cs="Times New Roman"/>
                <w:b/>
                <w:bCs/>
                <w:szCs w:val="22"/>
                <w:lang w:val="en-US" w:eastAsia="zh-CN"/>
              </w:rPr>
              <w:t xml:space="preserve">   </w:t>
            </w:r>
            <w:r>
              <w:rPr>
                <w:rFonts w:hint="default" w:ascii="Times New Roman" w:hAnsi="Times New Roman" w:eastAsia="宋体" w:cs="Times New Roman"/>
                <w:b/>
                <w:bCs/>
                <w:szCs w:val="22"/>
                <w:lang w:eastAsia="zh-CN"/>
              </w:rPr>
              <w:t>运营期</w:t>
            </w:r>
            <w:r>
              <w:rPr>
                <w:rFonts w:hint="eastAsia" w:ascii="Times New Roman" w:hAnsi="Times New Roman" w:eastAsia="宋体" w:cs="Times New Roman"/>
                <w:b/>
                <w:bCs/>
                <w:szCs w:val="22"/>
                <w:lang w:eastAsia="zh-CN"/>
              </w:rPr>
              <w:t>门套</w:t>
            </w:r>
            <w:r>
              <w:rPr>
                <w:rFonts w:hint="default" w:ascii="Times New Roman" w:hAnsi="Times New Roman" w:eastAsia="宋体" w:cs="Times New Roman"/>
                <w:b/>
                <w:bCs/>
                <w:szCs w:val="22"/>
                <w:lang w:eastAsia="zh-CN"/>
              </w:rPr>
              <w:t>工艺流程及产污环节图</w:t>
            </w:r>
          </w:p>
          <w:p>
            <w:pPr>
              <w:pStyle w:val="26"/>
              <w:keepNext w:val="0"/>
              <w:keepLines w:val="0"/>
              <w:pageBreakBefore w:val="0"/>
              <w:widowControl w:val="0"/>
              <w:numPr>
                <w:ilvl w:val="0"/>
                <w:numId w:val="0"/>
              </w:numPr>
              <w:kinsoku/>
              <w:wordWrap/>
              <w:overflowPunct/>
              <w:topLinePunct w:val="0"/>
              <w:bidi w:val="0"/>
              <w:spacing w:line="360" w:lineRule="auto"/>
              <w:textAlignment w:val="auto"/>
              <w:rPr>
                <w:rFonts w:hint="default"/>
                <w:lang w:val="en-US" w:eastAsia="zh-CN"/>
              </w:rPr>
            </w:pPr>
            <w:r>
              <w:rPr>
                <w:rFonts w:hint="default"/>
                <w:lang w:val="en-US" w:eastAsia="zh-CN"/>
              </w:rPr>
              <w:t>2、产污环节分析</w:t>
            </w:r>
          </w:p>
          <w:p>
            <w:pPr>
              <w:keepNext w:val="0"/>
              <w:keepLines w:val="0"/>
              <w:pageBreakBefore w:val="0"/>
              <w:widowControl w:val="0"/>
              <w:kinsoku/>
              <w:wordWrap/>
              <w:overflowPunct/>
              <w:topLinePunct w:val="0"/>
              <w:bidi w:val="0"/>
              <w:spacing w:line="360" w:lineRule="auto"/>
              <w:textAlignment w:val="auto"/>
              <w:rPr>
                <w:rFonts w:hint="default"/>
                <w:lang w:val="en-US" w:eastAsia="zh-CN"/>
              </w:rPr>
            </w:pPr>
            <w:r>
              <w:rPr>
                <w:rFonts w:hint="default"/>
                <w:lang w:val="en-US" w:eastAsia="zh-CN"/>
              </w:rPr>
              <w:t>（1）大气污染源</w:t>
            </w:r>
          </w:p>
          <w:p>
            <w:pPr>
              <w:keepNext w:val="0"/>
              <w:keepLines w:val="0"/>
              <w:pageBreakBefore w:val="0"/>
              <w:widowControl w:val="0"/>
              <w:kinsoku/>
              <w:wordWrap/>
              <w:overflowPunct/>
              <w:topLinePunct w:val="0"/>
              <w:bidi w:val="0"/>
              <w:spacing w:line="360" w:lineRule="auto"/>
              <w:textAlignment w:val="auto"/>
              <w:rPr>
                <w:rFonts w:hint="eastAsia"/>
                <w:lang w:eastAsia="zh-CN"/>
              </w:rPr>
            </w:pPr>
            <w:r>
              <w:rPr>
                <w:rFonts w:hint="eastAsia"/>
                <w:lang w:eastAsia="zh-CN"/>
              </w:rPr>
              <w:t>本项目生产过程原料为乙二醇、超纯水的单纯混合分装，乙二醇沸点为</w:t>
            </w:r>
            <w:r>
              <w:rPr>
                <w:rFonts w:hint="eastAsia"/>
                <w:lang w:val="en-US" w:eastAsia="zh-CN"/>
              </w:rPr>
              <w:t>198</w:t>
            </w:r>
            <w:r>
              <w:rPr>
                <w:rFonts w:hint="eastAsia" w:ascii="宋体" w:hAnsi="宋体" w:eastAsia="宋体" w:cs="宋体"/>
                <w:lang w:val="en-US" w:eastAsia="zh-CN"/>
              </w:rPr>
              <w:t>℃</w:t>
            </w:r>
            <w:r>
              <w:rPr>
                <w:rFonts w:hint="eastAsia"/>
                <w:lang w:val="en-US" w:eastAsia="zh-CN"/>
              </w:rPr>
              <w:t>，不易挥发。项目</w:t>
            </w:r>
            <w:r>
              <w:rPr>
                <w:rFonts w:hint="eastAsia"/>
                <w:lang w:eastAsia="zh-CN"/>
              </w:rPr>
              <w:t>不使用易挥发性溶剂，生产过程无废气产生。</w:t>
            </w:r>
          </w:p>
          <w:p>
            <w:pPr>
              <w:keepNext w:val="0"/>
              <w:keepLines w:val="0"/>
              <w:pageBreakBefore w:val="0"/>
              <w:widowControl w:val="0"/>
              <w:kinsoku/>
              <w:wordWrap/>
              <w:overflowPunct/>
              <w:topLinePunct w:val="0"/>
              <w:bidi w:val="0"/>
              <w:spacing w:line="360" w:lineRule="auto"/>
              <w:textAlignment w:val="auto"/>
              <w:rPr>
                <w:rFonts w:hint="default"/>
                <w:lang w:val="en-US" w:eastAsia="zh-CN"/>
              </w:rPr>
            </w:pPr>
            <w:r>
              <w:rPr>
                <w:rFonts w:hint="default"/>
                <w:lang w:val="en-US" w:eastAsia="zh-CN"/>
              </w:rPr>
              <w:t>（2）水污染源</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lang w:val="en-US" w:eastAsia="zh-CN"/>
              </w:rPr>
            </w:pPr>
            <w:r>
              <w:rPr>
                <w:rFonts w:hint="default"/>
                <w:lang w:val="en-US" w:eastAsia="zh-CN"/>
              </w:rPr>
              <w:t>本项目无生产废水，</w:t>
            </w:r>
            <w:r>
              <w:rPr>
                <w:rFonts w:hint="eastAsia"/>
                <w:lang w:val="en-US" w:eastAsia="zh-CN"/>
              </w:rPr>
              <w:t>部分</w:t>
            </w:r>
            <w:r>
              <w:rPr>
                <w:rFonts w:hint="default"/>
                <w:lang w:val="en-US" w:eastAsia="zh-CN"/>
              </w:rPr>
              <w:t>员工在厂内</w:t>
            </w:r>
            <w:r>
              <w:rPr>
                <w:rFonts w:hint="eastAsia"/>
                <w:lang w:val="en-US" w:eastAsia="zh-CN"/>
              </w:rPr>
              <w:t>住</w:t>
            </w:r>
            <w:r>
              <w:rPr>
                <w:rFonts w:hint="default"/>
                <w:lang w:val="en-US" w:eastAsia="zh-CN"/>
              </w:rPr>
              <w:t>宿，</w:t>
            </w:r>
            <w:r>
              <w:rPr>
                <w:rFonts w:hint="eastAsia"/>
                <w:lang w:val="en-US" w:eastAsia="zh-CN"/>
              </w:rPr>
              <w:t>不设食堂，</w:t>
            </w:r>
            <w:r>
              <w:rPr>
                <w:rFonts w:hint="default"/>
                <w:lang w:val="en-US" w:eastAsia="zh-CN"/>
              </w:rPr>
              <w:t>生产期间会产生一定量的生活污水。主要污染物为COD</w:t>
            </w:r>
            <w:r>
              <w:rPr>
                <w:rFonts w:hint="default"/>
                <w:vertAlign w:val="subscript"/>
                <w:lang w:val="en-US" w:eastAsia="zh-CN"/>
              </w:rPr>
              <w:t>Cr</w:t>
            </w:r>
            <w:r>
              <w:rPr>
                <w:rFonts w:hint="default"/>
                <w:lang w:val="en-US" w:eastAsia="zh-CN"/>
              </w:rPr>
              <w:t>、BOD</w:t>
            </w:r>
            <w:r>
              <w:rPr>
                <w:rFonts w:hint="default"/>
                <w:szCs w:val="22"/>
                <w:vertAlign w:val="subscript"/>
                <w:lang w:val="en-US" w:eastAsia="zh-CN"/>
              </w:rPr>
              <w:t>5</w:t>
            </w:r>
            <w:r>
              <w:rPr>
                <w:rFonts w:hint="default"/>
                <w:lang w:val="en-US" w:eastAsia="zh-CN"/>
              </w:rPr>
              <w:t>、SS、NH</w:t>
            </w:r>
            <w:r>
              <w:rPr>
                <w:rFonts w:hint="default"/>
                <w:szCs w:val="22"/>
                <w:vertAlign w:val="subscript"/>
                <w:lang w:val="en-US" w:eastAsia="zh-CN"/>
              </w:rPr>
              <w:t>3</w:t>
            </w:r>
            <w:r>
              <w:rPr>
                <w:rFonts w:hint="default"/>
                <w:lang w:val="en-US" w:eastAsia="zh-CN"/>
              </w:rPr>
              <w:t>-N。</w:t>
            </w:r>
          </w:p>
          <w:p>
            <w:pPr>
              <w:keepNext w:val="0"/>
              <w:keepLines w:val="0"/>
              <w:pageBreakBefore w:val="0"/>
              <w:widowControl w:val="0"/>
              <w:kinsoku/>
              <w:wordWrap/>
              <w:overflowPunct/>
              <w:topLinePunct w:val="0"/>
              <w:bidi w:val="0"/>
              <w:spacing w:line="360" w:lineRule="auto"/>
              <w:textAlignment w:val="auto"/>
              <w:rPr>
                <w:rFonts w:hint="default"/>
                <w:lang w:val="en-US" w:eastAsia="zh-CN"/>
              </w:rPr>
            </w:pPr>
            <w:r>
              <w:rPr>
                <w:rFonts w:hint="default"/>
                <w:lang w:val="en-US" w:eastAsia="zh-CN"/>
              </w:rPr>
              <w:t>（3）噪声污染源</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lang w:val="en-US" w:eastAsia="zh-CN"/>
              </w:rPr>
            </w:pPr>
            <w:r>
              <w:rPr>
                <w:rFonts w:hint="eastAsia"/>
                <w:lang w:val="en-US" w:eastAsia="zh-CN"/>
              </w:rPr>
              <w:t>生产时水泵</w:t>
            </w:r>
            <w:r>
              <w:rPr>
                <w:rFonts w:hint="default"/>
                <w:lang w:val="en-US" w:eastAsia="zh-CN"/>
              </w:rPr>
              <w:t>运行过程中产生的噪声。</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lang w:val="en-US" w:eastAsia="zh-CN"/>
              </w:rPr>
            </w:pPr>
            <w:r>
              <w:rPr>
                <w:rFonts w:hint="default"/>
                <w:lang w:val="en-US" w:eastAsia="zh-CN"/>
              </w:rPr>
              <w:t>（4）固废污染源</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lang w:val="en-US" w:eastAsia="zh-CN"/>
              </w:rPr>
            </w:pPr>
            <w:r>
              <w:rPr>
                <w:rFonts w:hint="default"/>
                <w:lang w:val="en-US" w:eastAsia="zh-CN"/>
              </w:rPr>
              <w:fldChar w:fldCharType="begin"/>
            </w:r>
            <w:r>
              <w:rPr>
                <w:rFonts w:hint="default"/>
                <w:lang w:val="en-US" w:eastAsia="zh-CN"/>
              </w:rPr>
              <w:instrText xml:space="preserve"> = 1 \* GB3 \* MERGEFORMAT </w:instrText>
            </w:r>
            <w:r>
              <w:rPr>
                <w:rFonts w:hint="default"/>
                <w:lang w:val="en-US" w:eastAsia="zh-CN"/>
              </w:rPr>
              <w:fldChar w:fldCharType="separate"/>
            </w:r>
            <w:r>
              <w:rPr>
                <w:rFonts w:hint="default"/>
                <w:lang w:val="en-US" w:eastAsia="zh-CN"/>
              </w:rPr>
              <w:t>①</w:t>
            </w:r>
            <w:r>
              <w:rPr>
                <w:rFonts w:hint="default"/>
                <w:lang w:val="en-US" w:eastAsia="zh-CN"/>
              </w:rPr>
              <w:fldChar w:fldCharType="end"/>
            </w:r>
            <w:r>
              <w:rPr>
                <w:rFonts w:hint="eastAsia"/>
                <w:lang w:val="en-US" w:eastAsia="zh-CN"/>
              </w:rPr>
              <w:t>生产过程中产生的废原料包装</w:t>
            </w:r>
            <w:r>
              <w:rPr>
                <w:rFonts w:hint="default"/>
                <w:lang w:val="en-US" w:eastAsia="zh-CN"/>
              </w:rPr>
              <w:t>。</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lang w:val="en-US" w:eastAsia="zh-CN"/>
              </w:rPr>
            </w:pPr>
            <w:r>
              <w:rPr>
                <w:rFonts w:hint="default"/>
                <w:lang w:val="en-US" w:eastAsia="zh-CN"/>
              </w:rPr>
              <w:fldChar w:fldCharType="begin"/>
            </w:r>
            <w:r>
              <w:rPr>
                <w:rFonts w:hint="default"/>
                <w:lang w:val="en-US" w:eastAsia="zh-CN"/>
              </w:rPr>
              <w:instrText xml:space="preserve"> = 2 \* GB3 \* MERGEFORMAT </w:instrText>
            </w:r>
            <w:r>
              <w:rPr>
                <w:rFonts w:hint="default"/>
                <w:lang w:val="en-US" w:eastAsia="zh-CN"/>
              </w:rPr>
              <w:fldChar w:fldCharType="separate"/>
            </w:r>
            <w:r>
              <w:rPr>
                <w:rFonts w:hint="default"/>
                <w:lang w:val="en-US" w:eastAsia="zh-CN"/>
              </w:rPr>
              <w:t>②</w:t>
            </w:r>
            <w:r>
              <w:rPr>
                <w:rFonts w:hint="default"/>
                <w:lang w:val="en-US" w:eastAsia="zh-CN"/>
              </w:rPr>
              <w:fldChar w:fldCharType="end"/>
            </w:r>
            <w:r>
              <w:rPr>
                <w:rFonts w:hint="default"/>
                <w:lang w:val="en-US" w:eastAsia="zh-CN"/>
              </w:rPr>
              <w:t>员工</w:t>
            </w:r>
            <w:r>
              <w:rPr>
                <w:rFonts w:hint="eastAsia"/>
                <w:lang w:val="en-US" w:eastAsia="zh-CN"/>
              </w:rPr>
              <w:t>日常生活产生的</w:t>
            </w:r>
            <w:r>
              <w:rPr>
                <w:rFonts w:hint="default"/>
                <w:lang w:val="en-US" w:eastAsia="zh-CN"/>
              </w:rPr>
              <w:t>生活垃圾。</w:t>
            </w:r>
          </w:p>
          <w:p>
            <w:pPr>
              <w:pStyle w:val="26"/>
              <w:keepNext w:val="0"/>
              <w:keepLines w:val="0"/>
              <w:pageBreakBefore w:val="0"/>
              <w:widowControl w:val="0"/>
              <w:numPr>
                <w:ilvl w:val="0"/>
                <w:numId w:val="0"/>
              </w:numPr>
              <w:kinsoku/>
              <w:wordWrap/>
              <w:overflowPunct/>
              <w:topLinePunct w:val="0"/>
              <w:bidi w:val="0"/>
              <w:spacing w:line="360" w:lineRule="auto"/>
              <w:textAlignment w:val="auto"/>
              <w:rPr>
                <w:rFonts w:hint="default"/>
                <w:lang w:val="en-US" w:eastAsia="zh-CN"/>
              </w:rPr>
            </w:pPr>
            <w:r>
              <w:rPr>
                <w:rFonts w:hint="default"/>
                <w:lang w:val="en-US" w:eastAsia="zh-CN"/>
              </w:rPr>
              <w:t>3、主要污染工序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default"/>
              </w:rPr>
            </w:pPr>
            <w:r>
              <w:rPr>
                <w:rFonts w:hint="default"/>
                <w:lang w:val="en-US" w:eastAsia="zh-CN"/>
              </w:rPr>
              <w:t>1、</w:t>
            </w:r>
            <w:r>
              <w:rPr>
                <w:rFonts w:hint="default"/>
              </w:rPr>
              <w:t>废气</w:t>
            </w:r>
          </w:p>
          <w:p>
            <w:pPr>
              <w:keepNext w:val="0"/>
              <w:keepLines w:val="0"/>
              <w:pageBreakBefore w:val="0"/>
              <w:widowControl w:val="0"/>
              <w:kinsoku/>
              <w:wordWrap/>
              <w:overflowPunct/>
              <w:topLinePunct w:val="0"/>
              <w:bidi w:val="0"/>
              <w:spacing w:line="360" w:lineRule="auto"/>
              <w:textAlignment w:val="auto"/>
              <w:rPr>
                <w:rFonts w:hint="eastAsia"/>
                <w:lang w:eastAsia="zh-CN"/>
              </w:rPr>
            </w:pPr>
            <w:r>
              <w:rPr>
                <w:rFonts w:hint="eastAsia"/>
                <w:lang w:eastAsia="zh-CN"/>
              </w:rPr>
              <w:t>本项目生产过程原料为乙二醇、超纯水的单纯混合分装，不使用易挥发性溶剂，生产过程无废气产生。</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szCs w:val="22"/>
                <w:lang w:val="en-US" w:eastAsia="zh-CN"/>
              </w:rPr>
            </w:pPr>
            <w:r>
              <w:rPr>
                <w:rFonts w:hint="eastAsia"/>
                <w:szCs w:val="22"/>
                <w:lang w:val="en-US" w:eastAsia="zh-CN"/>
              </w:rPr>
              <w:t>2、</w:t>
            </w:r>
            <w:r>
              <w:rPr>
                <w:rFonts w:hint="default"/>
                <w:szCs w:val="22"/>
                <w:lang w:val="en-US" w:eastAsia="zh-CN"/>
              </w:rPr>
              <w:t>废水</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szCs w:val="22"/>
                <w:lang w:val="en-US" w:eastAsia="zh-CN"/>
              </w:rPr>
            </w:pPr>
            <w:r>
              <w:rPr>
                <w:rFonts w:hint="default"/>
                <w:szCs w:val="22"/>
                <w:lang w:val="en-US" w:eastAsia="zh-CN"/>
              </w:rPr>
              <w:t>本项目无生产污水，项目污水主要为生活污水。生活污水产生量为</w:t>
            </w:r>
            <w:r>
              <w:rPr>
                <w:rFonts w:hint="eastAsia"/>
                <w:color w:val="auto"/>
                <w:szCs w:val="24"/>
                <w:lang w:val="en-US" w:eastAsia="zh-CN"/>
              </w:rPr>
              <w:t>0.392</w:t>
            </w:r>
            <w:r>
              <w:rPr>
                <w:rFonts w:hint="eastAsia"/>
                <w:color w:val="auto"/>
                <w:szCs w:val="24"/>
              </w:rPr>
              <w:t>m</w:t>
            </w:r>
            <w:r>
              <w:rPr>
                <w:rFonts w:hint="eastAsia"/>
                <w:color w:val="auto"/>
                <w:szCs w:val="24"/>
                <w:vertAlign w:val="superscript"/>
              </w:rPr>
              <w:t>3</w:t>
            </w:r>
            <w:r>
              <w:rPr>
                <w:rFonts w:hint="eastAsia"/>
                <w:color w:val="auto"/>
                <w:szCs w:val="24"/>
              </w:rPr>
              <w:t>/d（</w:t>
            </w:r>
            <w:r>
              <w:rPr>
                <w:rFonts w:hint="eastAsia"/>
                <w:color w:val="auto"/>
                <w:szCs w:val="24"/>
                <w:lang w:val="en-US" w:eastAsia="zh-CN"/>
              </w:rPr>
              <w:t>117.6</w:t>
            </w:r>
            <w:r>
              <w:rPr>
                <w:rFonts w:hint="eastAsia"/>
                <w:color w:val="auto"/>
                <w:szCs w:val="24"/>
              </w:rPr>
              <w:t>m</w:t>
            </w:r>
            <w:r>
              <w:rPr>
                <w:rFonts w:hint="eastAsia"/>
                <w:color w:val="auto"/>
                <w:szCs w:val="24"/>
                <w:vertAlign w:val="superscript"/>
              </w:rPr>
              <w:t>3</w:t>
            </w:r>
            <w:r>
              <w:rPr>
                <w:rFonts w:hint="eastAsia"/>
                <w:color w:val="auto"/>
                <w:szCs w:val="24"/>
              </w:rPr>
              <w:t>/a）</w:t>
            </w:r>
            <w:r>
              <w:rPr>
                <w:rFonts w:hint="default"/>
                <w:szCs w:val="22"/>
                <w:lang w:val="en-US" w:eastAsia="zh-CN"/>
              </w:rPr>
              <w:t>。盥洗废水厂区泼洒，旱厕定期清掏不外排。</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szCs w:val="22"/>
                <w:lang w:val="en-US" w:eastAsia="zh-CN"/>
              </w:rPr>
            </w:pPr>
            <w:r>
              <w:rPr>
                <w:rFonts w:hint="default"/>
                <w:szCs w:val="22"/>
                <w:lang w:val="en-US" w:eastAsia="zh-CN"/>
              </w:rPr>
              <w:t>3、噪声</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rPr>
            </w:pPr>
            <w:r>
              <w:rPr>
                <w:rFonts w:hint="default"/>
              </w:rPr>
              <w:t>本项目噪声主要为机械设备运转过程中产生的噪声，噪声级约在</w:t>
            </w:r>
            <w:r>
              <w:rPr>
                <w:rFonts w:hint="eastAsia"/>
                <w:lang w:val="en-US" w:eastAsia="zh-CN"/>
              </w:rPr>
              <w:t>7</w:t>
            </w:r>
            <w:r>
              <w:rPr>
                <w:rFonts w:hint="default"/>
                <w:lang w:val="en-US" w:eastAsia="zh-CN"/>
              </w:rPr>
              <w:t>0</w:t>
            </w:r>
            <w:r>
              <w:rPr>
                <w:rFonts w:hint="default"/>
              </w:rPr>
              <w:t>~</w:t>
            </w:r>
            <w:r>
              <w:rPr>
                <w:rFonts w:hint="eastAsia"/>
                <w:lang w:val="en-US" w:eastAsia="zh-CN"/>
              </w:rPr>
              <w:t>7</w:t>
            </w:r>
            <w:r>
              <w:rPr>
                <w:rFonts w:hint="default"/>
                <w:lang w:val="en-US" w:eastAsia="zh-CN"/>
              </w:rPr>
              <w:t>5</w:t>
            </w:r>
            <w:r>
              <w:rPr>
                <w:rFonts w:hint="default"/>
              </w:rPr>
              <w:t>dB（A）之间，项目主要生产设备噪声源见表</w:t>
            </w:r>
            <w:r>
              <w:rPr>
                <w:rFonts w:hint="eastAsia"/>
                <w:lang w:val="en-US" w:eastAsia="zh-CN"/>
              </w:rPr>
              <w:t>5-1</w:t>
            </w:r>
            <w:r>
              <w:rPr>
                <w:rFonts w:hint="default"/>
              </w:rPr>
              <w:t>。</w:t>
            </w:r>
          </w:p>
          <w:p>
            <w:pPr>
              <w:spacing w:line="240" w:lineRule="auto"/>
              <w:ind w:firstLine="420"/>
              <w:jc w:val="center"/>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表</w:t>
            </w:r>
            <w:r>
              <w:rPr>
                <w:rFonts w:hint="eastAsia" w:ascii="Times New Roman" w:hAnsi="Times New Roman" w:eastAsia="宋体" w:cs="Times New Roman"/>
                <w:b/>
                <w:bCs/>
                <w:color w:val="auto"/>
                <w:sz w:val="21"/>
                <w:szCs w:val="21"/>
                <w:lang w:val="en-US" w:eastAsia="zh-CN"/>
              </w:rPr>
              <w:t>5-</w:t>
            </w:r>
            <w:r>
              <w:rPr>
                <w:rFonts w:hint="eastAsia" w:cs="Times New Roman"/>
                <w:b/>
                <w:bCs/>
                <w:color w:val="auto"/>
                <w:sz w:val="21"/>
                <w:szCs w:val="21"/>
                <w:lang w:val="en-US" w:eastAsia="zh-CN"/>
              </w:rPr>
              <w:t>1</w:t>
            </w:r>
            <w:r>
              <w:rPr>
                <w:rFonts w:hint="default"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lang w:eastAsia="zh-CN"/>
              </w:rPr>
              <w:t>项目主要生产设备噪声源强一览表单位：dB（A）</w:t>
            </w:r>
          </w:p>
          <w:tbl>
            <w:tblPr>
              <w:tblStyle w:val="20"/>
              <w:tblW w:w="8599"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45"/>
              <w:gridCol w:w="1581"/>
              <w:gridCol w:w="866"/>
              <w:gridCol w:w="1034"/>
              <w:gridCol w:w="1378"/>
              <w:gridCol w:w="1387"/>
              <w:gridCol w:w="170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645" w:type="dxa"/>
                  <w:vAlign w:val="center"/>
                </w:tcPr>
                <w:p>
                  <w:pPr>
                    <w:spacing w:line="240" w:lineRule="auto"/>
                    <w:ind w:firstLine="0" w:firstLineChars="0"/>
                    <w:jc w:val="center"/>
                    <w:rPr>
                      <w:rFonts w:hint="default"/>
                      <w:sz w:val="21"/>
                      <w:szCs w:val="21"/>
                    </w:rPr>
                  </w:pPr>
                  <w:r>
                    <w:rPr>
                      <w:rFonts w:hint="default"/>
                      <w:sz w:val="21"/>
                      <w:szCs w:val="21"/>
                    </w:rPr>
                    <w:t>序号</w:t>
                  </w:r>
                </w:p>
              </w:tc>
              <w:tc>
                <w:tcPr>
                  <w:tcW w:w="1581" w:type="dxa"/>
                  <w:vAlign w:val="center"/>
                </w:tcPr>
                <w:p>
                  <w:pPr>
                    <w:spacing w:line="240" w:lineRule="auto"/>
                    <w:ind w:firstLine="0" w:firstLineChars="0"/>
                    <w:jc w:val="center"/>
                    <w:rPr>
                      <w:rFonts w:hint="default"/>
                      <w:sz w:val="21"/>
                      <w:szCs w:val="21"/>
                    </w:rPr>
                  </w:pPr>
                  <w:r>
                    <w:rPr>
                      <w:rFonts w:hint="default"/>
                      <w:sz w:val="21"/>
                      <w:szCs w:val="21"/>
                    </w:rPr>
                    <w:t>噪声源</w:t>
                  </w:r>
                </w:p>
              </w:tc>
              <w:tc>
                <w:tcPr>
                  <w:tcW w:w="866" w:type="dxa"/>
                  <w:vAlign w:val="center"/>
                </w:tcPr>
                <w:p>
                  <w:pPr>
                    <w:spacing w:line="240" w:lineRule="auto"/>
                    <w:ind w:firstLine="0" w:firstLineChars="0"/>
                    <w:jc w:val="center"/>
                    <w:rPr>
                      <w:rFonts w:hint="default"/>
                      <w:sz w:val="21"/>
                      <w:szCs w:val="21"/>
                    </w:rPr>
                  </w:pPr>
                  <w:r>
                    <w:rPr>
                      <w:rFonts w:hint="default"/>
                      <w:sz w:val="21"/>
                      <w:szCs w:val="21"/>
                    </w:rPr>
                    <w:t>台数</w:t>
                  </w:r>
                </w:p>
              </w:tc>
              <w:tc>
                <w:tcPr>
                  <w:tcW w:w="1034" w:type="dxa"/>
                  <w:vAlign w:val="center"/>
                </w:tcPr>
                <w:p>
                  <w:pPr>
                    <w:spacing w:line="240" w:lineRule="auto"/>
                    <w:ind w:firstLine="0" w:firstLineChars="0"/>
                    <w:jc w:val="center"/>
                    <w:rPr>
                      <w:rFonts w:hint="default"/>
                      <w:sz w:val="21"/>
                      <w:szCs w:val="21"/>
                    </w:rPr>
                  </w:pPr>
                  <w:r>
                    <w:rPr>
                      <w:rFonts w:hint="default"/>
                      <w:sz w:val="21"/>
                      <w:szCs w:val="21"/>
                    </w:rPr>
                    <w:t>噪声值</w:t>
                  </w:r>
                </w:p>
              </w:tc>
              <w:tc>
                <w:tcPr>
                  <w:tcW w:w="1378" w:type="dxa"/>
                  <w:vAlign w:val="center"/>
                </w:tcPr>
                <w:p>
                  <w:pPr>
                    <w:spacing w:line="240" w:lineRule="auto"/>
                    <w:ind w:firstLine="0" w:firstLineChars="0"/>
                    <w:jc w:val="center"/>
                    <w:rPr>
                      <w:rFonts w:hint="default"/>
                      <w:sz w:val="21"/>
                      <w:szCs w:val="21"/>
                    </w:rPr>
                  </w:pPr>
                  <w:r>
                    <w:rPr>
                      <w:rFonts w:hint="default"/>
                      <w:sz w:val="21"/>
                      <w:szCs w:val="21"/>
                    </w:rPr>
                    <w:t>声源特征</w:t>
                  </w:r>
                </w:p>
              </w:tc>
              <w:tc>
                <w:tcPr>
                  <w:tcW w:w="1387" w:type="dxa"/>
                  <w:vAlign w:val="center"/>
                </w:tcPr>
                <w:p>
                  <w:pPr>
                    <w:spacing w:line="240" w:lineRule="auto"/>
                    <w:ind w:firstLine="0" w:firstLineChars="0"/>
                    <w:jc w:val="center"/>
                    <w:rPr>
                      <w:rFonts w:hint="default"/>
                      <w:sz w:val="21"/>
                      <w:szCs w:val="21"/>
                    </w:rPr>
                  </w:pPr>
                  <w:r>
                    <w:rPr>
                      <w:rFonts w:hint="default"/>
                      <w:sz w:val="21"/>
                      <w:szCs w:val="21"/>
                    </w:rPr>
                    <w:t>拟采取的降噪措施</w:t>
                  </w:r>
                </w:p>
              </w:tc>
              <w:tc>
                <w:tcPr>
                  <w:tcW w:w="1708" w:type="dxa"/>
                  <w:vAlign w:val="center"/>
                </w:tcPr>
                <w:p>
                  <w:pPr>
                    <w:spacing w:line="240" w:lineRule="auto"/>
                    <w:ind w:firstLine="0" w:firstLineChars="0"/>
                    <w:jc w:val="center"/>
                    <w:rPr>
                      <w:rFonts w:hint="default"/>
                      <w:sz w:val="21"/>
                      <w:szCs w:val="21"/>
                    </w:rPr>
                  </w:pPr>
                  <w:r>
                    <w:rPr>
                      <w:rFonts w:hint="default"/>
                      <w:sz w:val="21"/>
                      <w:szCs w:val="21"/>
                    </w:rPr>
                    <w:t>采取措施后排放声压级dB（A）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645" w:type="dxa"/>
                  <w:vAlign w:val="center"/>
                </w:tcPr>
                <w:p>
                  <w:pPr>
                    <w:spacing w:line="240" w:lineRule="auto"/>
                    <w:ind w:firstLine="0" w:firstLineChars="0"/>
                    <w:jc w:val="center"/>
                    <w:rPr>
                      <w:rFonts w:hint="default"/>
                      <w:sz w:val="21"/>
                      <w:szCs w:val="21"/>
                    </w:rPr>
                  </w:pPr>
                  <w:r>
                    <w:rPr>
                      <w:rFonts w:hint="default"/>
                      <w:sz w:val="21"/>
                      <w:szCs w:val="21"/>
                    </w:rPr>
                    <w:t>1</w:t>
                  </w:r>
                </w:p>
              </w:tc>
              <w:tc>
                <w:tcPr>
                  <w:tcW w:w="1581" w:type="dxa"/>
                  <w:vAlign w:val="center"/>
                </w:tcPr>
                <w:p>
                  <w:pPr>
                    <w:spacing w:line="240" w:lineRule="auto"/>
                    <w:ind w:firstLine="0" w:firstLineChars="0"/>
                    <w:jc w:val="center"/>
                    <w:rPr>
                      <w:rFonts w:hint="default"/>
                      <w:sz w:val="21"/>
                      <w:szCs w:val="21"/>
                    </w:rPr>
                  </w:pPr>
                  <w:r>
                    <w:rPr>
                      <w:rFonts w:hint="eastAsia"/>
                      <w:color w:val="auto"/>
                      <w:sz w:val="21"/>
                      <w:szCs w:val="21"/>
                      <w:lang w:eastAsia="zh-CN"/>
                    </w:rPr>
                    <w:t>泵</w:t>
                  </w:r>
                </w:p>
              </w:tc>
              <w:tc>
                <w:tcPr>
                  <w:tcW w:w="866" w:type="dxa"/>
                  <w:vAlign w:val="center"/>
                </w:tcPr>
                <w:p>
                  <w:pPr>
                    <w:spacing w:line="240" w:lineRule="auto"/>
                    <w:ind w:firstLine="0" w:firstLineChars="0"/>
                    <w:jc w:val="center"/>
                    <w:rPr>
                      <w:rFonts w:hint="default"/>
                      <w:sz w:val="21"/>
                      <w:szCs w:val="21"/>
                      <w:lang w:eastAsia="zh-CN"/>
                    </w:rPr>
                  </w:pPr>
                  <w:r>
                    <w:rPr>
                      <w:rFonts w:hint="eastAsia"/>
                      <w:sz w:val="21"/>
                      <w:szCs w:val="21"/>
                      <w:lang w:val="en-US" w:eastAsia="zh-CN"/>
                    </w:rPr>
                    <w:t>9</w:t>
                  </w:r>
                </w:p>
              </w:tc>
              <w:tc>
                <w:tcPr>
                  <w:tcW w:w="1034" w:type="dxa"/>
                  <w:vAlign w:val="center"/>
                </w:tcPr>
                <w:p>
                  <w:pPr>
                    <w:spacing w:line="240" w:lineRule="auto"/>
                    <w:ind w:firstLine="0" w:firstLineChars="0"/>
                    <w:jc w:val="center"/>
                    <w:rPr>
                      <w:rFonts w:hint="default"/>
                      <w:sz w:val="21"/>
                      <w:szCs w:val="21"/>
                      <w:lang w:val="en-US" w:eastAsia="zh-CN"/>
                    </w:rPr>
                  </w:pPr>
                  <w:r>
                    <w:rPr>
                      <w:rFonts w:hint="eastAsia"/>
                      <w:sz w:val="21"/>
                      <w:szCs w:val="21"/>
                      <w:lang w:val="en-US" w:eastAsia="zh-CN"/>
                    </w:rPr>
                    <w:t>75</w:t>
                  </w:r>
                </w:p>
              </w:tc>
              <w:tc>
                <w:tcPr>
                  <w:tcW w:w="1378" w:type="dxa"/>
                  <w:vAlign w:val="center"/>
                </w:tcPr>
                <w:p>
                  <w:pPr>
                    <w:spacing w:line="240" w:lineRule="auto"/>
                    <w:ind w:firstLine="0" w:firstLineChars="0"/>
                    <w:jc w:val="center"/>
                    <w:rPr>
                      <w:rFonts w:hint="default"/>
                      <w:sz w:val="21"/>
                      <w:szCs w:val="21"/>
                    </w:rPr>
                  </w:pPr>
                  <w:r>
                    <w:rPr>
                      <w:rFonts w:hint="default"/>
                      <w:sz w:val="21"/>
                      <w:szCs w:val="21"/>
                    </w:rPr>
                    <w:t>间断</w:t>
                  </w:r>
                </w:p>
              </w:tc>
              <w:tc>
                <w:tcPr>
                  <w:tcW w:w="1387" w:type="dxa"/>
                  <w:vAlign w:val="center"/>
                </w:tcPr>
                <w:p>
                  <w:pPr>
                    <w:spacing w:line="240" w:lineRule="auto"/>
                    <w:ind w:firstLine="0" w:firstLineChars="0"/>
                    <w:jc w:val="center"/>
                    <w:rPr>
                      <w:rFonts w:hint="default"/>
                      <w:sz w:val="21"/>
                      <w:szCs w:val="21"/>
                    </w:rPr>
                  </w:pPr>
                  <w:r>
                    <w:rPr>
                      <w:rFonts w:hint="default"/>
                      <w:sz w:val="21"/>
                      <w:szCs w:val="21"/>
                    </w:rPr>
                    <w:t>室内安装</w:t>
                  </w:r>
                  <w:r>
                    <w:rPr>
                      <w:rFonts w:hint="default"/>
                      <w:sz w:val="21"/>
                      <w:szCs w:val="21"/>
                      <w:lang w:eastAsia="zh-CN"/>
                    </w:rPr>
                    <w:t>、</w:t>
                  </w:r>
                  <w:r>
                    <w:rPr>
                      <w:rFonts w:hint="default"/>
                      <w:sz w:val="21"/>
                      <w:szCs w:val="21"/>
                    </w:rPr>
                    <w:t>基础减震</w:t>
                  </w:r>
                  <w:r>
                    <w:rPr>
                      <w:rFonts w:hint="default"/>
                      <w:sz w:val="21"/>
                      <w:szCs w:val="21"/>
                      <w:lang w:eastAsia="zh-CN"/>
                    </w:rPr>
                    <w:t>、</w:t>
                  </w:r>
                  <w:r>
                    <w:rPr>
                      <w:rFonts w:hint="default"/>
                      <w:sz w:val="21"/>
                      <w:szCs w:val="21"/>
                    </w:rPr>
                    <w:t>建筑隔声</w:t>
                  </w:r>
                </w:p>
              </w:tc>
              <w:tc>
                <w:tcPr>
                  <w:tcW w:w="1708" w:type="dxa"/>
                  <w:vAlign w:val="center"/>
                </w:tcPr>
                <w:p>
                  <w:pPr>
                    <w:spacing w:line="240" w:lineRule="auto"/>
                    <w:ind w:firstLine="0" w:firstLineChars="0"/>
                    <w:jc w:val="center"/>
                    <w:rPr>
                      <w:rFonts w:hint="default"/>
                      <w:sz w:val="21"/>
                      <w:szCs w:val="21"/>
                      <w:lang w:val="en-US" w:eastAsia="zh-CN"/>
                    </w:rPr>
                  </w:pPr>
                  <w:r>
                    <w:rPr>
                      <w:rFonts w:hint="eastAsia"/>
                      <w:sz w:val="21"/>
                      <w:szCs w:val="21"/>
                      <w:lang w:val="en-US" w:eastAsia="zh-CN"/>
                    </w:rPr>
                    <w:t>60</w:t>
                  </w:r>
                </w:p>
              </w:tc>
            </w:tr>
          </w:tbl>
          <w:p>
            <w:pPr>
              <w:ind w:firstLine="480"/>
              <w:rPr>
                <w:rFonts w:hint="default"/>
              </w:rPr>
            </w:pPr>
            <w:r>
              <w:rPr>
                <w:rFonts w:hint="default"/>
              </w:rPr>
              <w:t>4、固废</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rPr>
            </w:pPr>
            <w:r>
              <w:rPr>
                <w:rFonts w:hint="default"/>
              </w:rPr>
              <w:t>项目运营期固体废物主要为</w:t>
            </w:r>
            <w:r>
              <w:rPr>
                <w:rFonts w:hint="eastAsia"/>
                <w:lang w:eastAsia="zh-CN"/>
              </w:rPr>
              <w:t>乙二醇包装空桶</w:t>
            </w:r>
            <w:r>
              <w:rPr>
                <w:rFonts w:hint="default"/>
                <w:lang w:eastAsia="zh-CN"/>
              </w:rPr>
              <w:t>、</w:t>
            </w:r>
            <w:r>
              <w:rPr>
                <w:rFonts w:hint="eastAsia"/>
                <w:lang w:eastAsia="zh-CN"/>
              </w:rPr>
              <w:t>苯甲酸钠、荧光素包装物、</w:t>
            </w:r>
            <w:r>
              <w:rPr>
                <w:rFonts w:hint="default"/>
                <w:lang w:eastAsia="zh-CN"/>
              </w:rPr>
              <w:t>生活垃圾</w:t>
            </w:r>
            <w:r>
              <w:rPr>
                <w:rFonts w:hint="eastAsia"/>
                <w:lang w:eastAsia="zh-CN"/>
              </w:rPr>
              <w:t>等</w:t>
            </w:r>
            <w:r>
              <w:rPr>
                <w:rFonts w:hint="default"/>
              </w:rPr>
              <w:t>。</w:t>
            </w:r>
          </w:p>
          <w:p>
            <w:pPr>
              <w:keepNext w:val="0"/>
              <w:keepLines w:val="0"/>
              <w:pageBreakBefore w:val="0"/>
              <w:widowControl w:val="0"/>
              <w:numPr>
                <w:ilvl w:val="0"/>
                <w:numId w:val="0"/>
              </w:numPr>
              <w:kinsoku/>
              <w:wordWrap/>
              <w:overflowPunct/>
              <w:topLinePunct w:val="0"/>
              <w:bidi w:val="0"/>
              <w:spacing w:line="360" w:lineRule="auto"/>
              <w:ind w:leftChars="200"/>
              <w:textAlignment w:val="auto"/>
              <w:rPr>
                <w:rFonts w:hint="eastAsia"/>
                <w:color w:val="auto"/>
                <w:lang w:eastAsia="zh-CN"/>
              </w:rPr>
            </w:pPr>
            <w:r>
              <w:rPr>
                <w:rFonts w:hint="default"/>
                <w:color w:val="auto"/>
              </w:rPr>
              <w:t>（</w:t>
            </w:r>
            <w:r>
              <w:rPr>
                <w:rFonts w:hint="default"/>
                <w:color w:val="auto"/>
                <w:lang w:val="en-US" w:eastAsia="zh-CN"/>
              </w:rPr>
              <w:t>1</w:t>
            </w:r>
            <w:r>
              <w:rPr>
                <w:rFonts w:hint="default"/>
                <w:color w:val="auto"/>
              </w:rPr>
              <w:t>）</w:t>
            </w:r>
            <w:r>
              <w:rPr>
                <w:rFonts w:hint="eastAsia"/>
                <w:color w:val="auto"/>
                <w:lang w:eastAsia="zh-CN"/>
              </w:rPr>
              <w:t>乙二醇包装空桶</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color w:val="auto"/>
                <w:lang w:val="en-US" w:eastAsia="zh-CN"/>
              </w:rPr>
            </w:pPr>
            <w:r>
              <w:rPr>
                <w:rFonts w:hint="eastAsia"/>
                <w:color w:val="auto"/>
                <w:lang w:val="en-US" w:eastAsia="zh-CN"/>
              </w:rPr>
              <w:t>项目配液所用主要原料乙二醇，包装空桶产生量约为5.0t/a，经查属于《国家危险废物名录》中规定的危险废物，危废编号为HW49。</w:t>
            </w:r>
          </w:p>
          <w:p>
            <w:pPr>
              <w:keepNext w:val="0"/>
              <w:keepLines w:val="0"/>
              <w:pageBreakBefore w:val="0"/>
              <w:widowControl w:val="0"/>
              <w:numPr>
                <w:ilvl w:val="0"/>
                <w:numId w:val="0"/>
              </w:numPr>
              <w:kinsoku/>
              <w:wordWrap/>
              <w:overflowPunct/>
              <w:topLinePunct w:val="0"/>
              <w:bidi w:val="0"/>
              <w:spacing w:line="360" w:lineRule="auto"/>
              <w:ind w:leftChars="200"/>
              <w:textAlignment w:val="auto"/>
              <w:rPr>
                <w:rFonts w:hint="default"/>
                <w:color w:val="auto"/>
                <w:lang w:eastAsia="zh-CN"/>
              </w:rPr>
            </w:pPr>
            <w:r>
              <w:rPr>
                <w:rFonts w:hint="eastAsia"/>
                <w:color w:val="auto"/>
                <w:lang w:eastAsia="zh-CN"/>
              </w:rPr>
              <w:t>（</w:t>
            </w:r>
            <w:r>
              <w:rPr>
                <w:rFonts w:hint="eastAsia"/>
                <w:color w:val="auto"/>
                <w:lang w:val="en-US" w:eastAsia="zh-CN"/>
              </w:rPr>
              <w:t>2</w:t>
            </w:r>
            <w:r>
              <w:rPr>
                <w:rFonts w:hint="eastAsia"/>
                <w:color w:val="auto"/>
                <w:lang w:eastAsia="zh-CN"/>
              </w:rPr>
              <w:t>）苯甲酸钠、荧光素包装物</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color w:val="auto"/>
                <w:lang w:val="en-US" w:eastAsia="zh-CN"/>
              </w:rPr>
            </w:pPr>
            <w:r>
              <w:rPr>
                <w:rFonts w:hint="eastAsia"/>
                <w:color w:val="auto"/>
                <w:lang w:val="en-US" w:eastAsia="zh-CN"/>
              </w:rPr>
              <w:t>项目在生产过程中使用的苯甲酸钠和荧光素会产生废弃包装物，为危险固体废物，危废编号为HW49，废包装物的产生量约0.1t/a。</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w:t>
            </w:r>
            <w:r>
              <w:rPr>
                <w:rFonts w:hint="default"/>
              </w:rPr>
              <w:t>生活垃圾</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rPr>
            </w:pPr>
            <w:r>
              <w:rPr>
                <w:rFonts w:hint="default"/>
              </w:rPr>
              <w:t>本项目劳动定员</w:t>
            </w:r>
            <w:r>
              <w:rPr>
                <w:rFonts w:hint="eastAsia"/>
                <w:lang w:val="en-US" w:eastAsia="zh-CN"/>
              </w:rPr>
              <w:t>7</w:t>
            </w:r>
            <w:r>
              <w:rPr>
                <w:rFonts w:hint="default"/>
              </w:rPr>
              <w:t>人，生活垃圾按每人每天0.5kg计，则生活垃圾产生量为</w:t>
            </w:r>
            <w:r>
              <w:rPr>
                <w:rFonts w:hint="eastAsia"/>
                <w:lang w:val="en-US" w:eastAsia="zh-CN"/>
              </w:rPr>
              <w:t>1.05</w:t>
            </w:r>
            <w:r>
              <w:rPr>
                <w:rFonts w:hint="default"/>
              </w:rPr>
              <w:t>t/a。</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szCs w:val="22"/>
                <w:lang w:val="en-US" w:eastAsia="zh-CN"/>
              </w:rPr>
            </w:pPr>
            <w:r>
              <w:rPr>
                <w:rFonts w:hint="eastAsia"/>
                <w:szCs w:val="22"/>
                <w:lang w:eastAsia="zh-CN"/>
              </w:rPr>
              <w:t>项目固废产生情况见表</w:t>
            </w:r>
            <w:r>
              <w:rPr>
                <w:rFonts w:hint="eastAsia"/>
                <w:szCs w:val="22"/>
                <w:lang w:val="en-US" w:eastAsia="zh-CN"/>
              </w:rPr>
              <w:t>5-2。</w:t>
            </w:r>
          </w:p>
          <w:p>
            <w:pPr>
              <w:spacing w:line="240" w:lineRule="auto"/>
              <w:ind w:firstLine="420"/>
              <w:jc w:val="center"/>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eastAsia="zh-CN"/>
              </w:rPr>
              <w:t>表</w:t>
            </w:r>
            <w:r>
              <w:rPr>
                <w:rFonts w:hint="eastAsia" w:cs="Times New Roman"/>
                <w:b/>
                <w:bCs/>
                <w:color w:val="auto"/>
                <w:sz w:val="21"/>
                <w:szCs w:val="21"/>
                <w:lang w:val="en-US" w:eastAsia="zh-CN"/>
              </w:rPr>
              <w:t xml:space="preserve">5-2 </w:t>
            </w:r>
            <w:r>
              <w:rPr>
                <w:rFonts w:hint="eastAsia" w:ascii="Times New Roman" w:hAnsi="Times New Roman" w:eastAsia="宋体" w:cs="Times New Roman"/>
                <w:b/>
                <w:bCs/>
                <w:color w:val="auto"/>
                <w:sz w:val="21"/>
                <w:szCs w:val="21"/>
                <w:lang w:val="en-US" w:eastAsia="zh-CN"/>
              </w:rPr>
              <w:t xml:space="preserve"> 本项目固废产生情况表</w:t>
            </w:r>
          </w:p>
          <w:tbl>
            <w:tblPr>
              <w:tblStyle w:val="21"/>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2652"/>
              <w:gridCol w:w="1739"/>
              <w:gridCol w:w="1231"/>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2" w:type="dxa"/>
                  <w:vAlign w:val="center"/>
                </w:tcPr>
                <w:p>
                  <w:pPr>
                    <w:pStyle w:val="22"/>
                    <w:spacing w:line="480" w:lineRule="auto"/>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序号</w:t>
                  </w:r>
                </w:p>
              </w:tc>
              <w:tc>
                <w:tcPr>
                  <w:tcW w:w="2652" w:type="dxa"/>
                  <w:vAlign w:val="center"/>
                </w:tcPr>
                <w:p>
                  <w:pPr>
                    <w:pStyle w:val="22"/>
                    <w:spacing w:line="480" w:lineRule="auto"/>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污染源</w:t>
                  </w:r>
                </w:p>
              </w:tc>
              <w:tc>
                <w:tcPr>
                  <w:tcW w:w="1739" w:type="dxa"/>
                  <w:vAlign w:val="center"/>
                </w:tcPr>
                <w:p>
                  <w:pPr>
                    <w:pStyle w:val="22"/>
                    <w:spacing w:line="480" w:lineRule="auto"/>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数量</w:t>
                  </w:r>
                  <w:r>
                    <w:rPr>
                      <w:rFonts w:hint="eastAsia" w:ascii="Times New Roman" w:hAnsi="Times New Roman" w:eastAsia="宋体" w:cs="Times New Roman"/>
                      <w:sz w:val="21"/>
                      <w:szCs w:val="21"/>
                      <w:vertAlign w:val="baseline"/>
                      <w:lang w:val="en-US" w:eastAsia="zh-CN"/>
                    </w:rPr>
                    <w:t>t/a</w:t>
                  </w:r>
                </w:p>
              </w:tc>
              <w:tc>
                <w:tcPr>
                  <w:tcW w:w="1231" w:type="dxa"/>
                  <w:vAlign w:val="center"/>
                </w:tcPr>
                <w:p>
                  <w:pPr>
                    <w:pStyle w:val="22"/>
                    <w:spacing w:line="240" w:lineRule="auto"/>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分号类别</w:t>
                  </w:r>
                </w:p>
              </w:tc>
              <w:tc>
                <w:tcPr>
                  <w:tcW w:w="1920" w:type="dxa"/>
                  <w:vAlign w:val="center"/>
                </w:tcPr>
                <w:p>
                  <w:pPr>
                    <w:pStyle w:val="22"/>
                    <w:spacing w:line="480" w:lineRule="auto"/>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固废属性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jc w:val="center"/>
              </w:trPr>
              <w:tc>
                <w:tcPr>
                  <w:tcW w:w="962"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1</w:t>
                  </w:r>
                </w:p>
              </w:tc>
              <w:tc>
                <w:tcPr>
                  <w:tcW w:w="2652"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苯甲酸钠、荧光素包装物</w:t>
                  </w:r>
                </w:p>
              </w:tc>
              <w:tc>
                <w:tcPr>
                  <w:tcW w:w="1739"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eastAsia" w:ascii="Times New Roman" w:hAnsi="Times New Roman" w:eastAsia="宋体" w:cs="Times New Roman"/>
                      <w:b/>
                      <w:bCs/>
                      <w:sz w:val="21"/>
                      <w:szCs w:val="21"/>
                      <w:vertAlign w:val="baseline"/>
                      <w:lang w:val="en-US" w:eastAsia="zh-CN"/>
                    </w:rPr>
                    <w:t>0.1</w:t>
                  </w:r>
                </w:p>
              </w:tc>
              <w:tc>
                <w:tcPr>
                  <w:tcW w:w="1231"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w:t>
                  </w:r>
                </w:p>
              </w:tc>
              <w:tc>
                <w:tcPr>
                  <w:tcW w:w="1920" w:type="dxa"/>
                  <w:vAlign w:val="center"/>
                </w:tcPr>
                <w:p>
                  <w:pPr>
                    <w:pStyle w:val="22"/>
                    <w:jc w:val="center"/>
                    <w:rPr>
                      <w:rFonts w:hint="default" w:ascii="Times New Roman" w:hAnsi="Times New Roman" w:eastAsia="宋体" w:cs="Times New Roman"/>
                      <w:b/>
                      <w:bCs/>
                      <w:color w:val="auto"/>
                      <w:sz w:val="21"/>
                      <w:szCs w:val="21"/>
                      <w:vertAlign w:val="baseline"/>
                      <w:lang w:val="en-US" w:eastAsia="zh-CN"/>
                    </w:rPr>
                  </w:pPr>
                  <w:r>
                    <w:rPr>
                      <w:rFonts w:hint="eastAsia" w:ascii="Times New Roman" w:hAnsi="Times New Roman" w:eastAsia="宋体" w:cs="Times New Roman"/>
                      <w:b/>
                      <w:bCs/>
                      <w:color w:val="auto"/>
                      <w:sz w:val="21"/>
                      <w:szCs w:val="21"/>
                      <w:vertAlign w:val="baseline"/>
                      <w:lang w:val="en-US" w:eastAsia="zh-CN"/>
                    </w:rPr>
                    <w:t>危险</w:t>
                  </w:r>
                  <w:r>
                    <w:rPr>
                      <w:rFonts w:hint="default" w:ascii="Times New Roman" w:hAnsi="Times New Roman" w:eastAsia="宋体" w:cs="Times New Roman"/>
                      <w:b/>
                      <w:bCs/>
                      <w:color w:val="auto"/>
                      <w:sz w:val="21"/>
                      <w:szCs w:val="21"/>
                      <w:vertAlign w:val="baseline"/>
                      <w:lang w:val="en-US" w:eastAsia="zh-CN"/>
                    </w:rPr>
                    <w:t>固废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62"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2</w:t>
                  </w:r>
                </w:p>
              </w:tc>
              <w:tc>
                <w:tcPr>
                  <w:tcW w:w="2652"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乙二醇包装空桶</w:t>
                  </w:r>
                </w:p>
              </w:tc>
              <w:tc>
                <w:tcPr>
                  <w:tcW w:w="1739"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eastAsia" w:ascii="Times New Roman" w:hAnsi="Times New Roman" w:eastAsia="宋体" w:cs="Times New Roman"/>
                      <w:b/>
                      <w:bCs/>
                      <w:sz w:val="21"/>
                      <w:szCs w:val="21"/>
                      <w:vertAlign w:val="baseline"/>
                      <w:lang w:val="en-US" w:eastAsia="zh-CN"/>
                    </w:rPr>
                    <w:t>5.0</w:t>
                  </w:r>
                </w:p>
              </w:tc>
              <w:tc>
                <w:tcPr>
                  <w:tcW w:w="1231" w:type="dxa"/>
                  <w:vAlign w:val="center"/>
                </w:tcPr>
                <w:p>
                  <w:pPr>
                    <w:pStyle w:val="22"/>
                    <w:jc w:val="center"/>
                    <w:rPr>
                      <w:rFonts w:hint="default" w:ascii="Times New Roman" w:hAnsi="Times New Roman" w:eastAsia="宋体" w:cs="Times New Roman"/>
                      <w:b/>
                      <w:bCs/>
                      <w:sz w:val="21"/>
                      <w:szCs w:val="21"/>
                      <w:vertAlign w:val="baseline"/>
                      <w:lang w:val="en-US" w:eastAsia="zh-CN"/>
                    </w:rPr>
                  </w:pPr>
                  <w:r>
                    <w:rPr>
                      <w:rFonts w:hint="eastAsia" w:ascii="Times New Roman" w:hAnsi="Times New Roman" w:eastAsia="宋体" w:cs="Times New Roman"/>
                      <w:b/>
                      <w:bCs/>
                      <w:sz w:val="21"/>
                      <w:szCs w:val="21"/>
                      <w:vertAlign w:val="baseline"/>
                      <w:lang w:val="en-US" w:eastAsia="zh-CN"/>
                    </w:rPr>
                    <w:t>/</w:t>
                  </w:r>
                </w:p>
              </w:tc>
              <w:tc>
                <w:tcPr>
                  <w:tcW w:w="1920" w:type="dxa"/>
                  <w:vAlign w:val="center"/>
                </w:tcPr>
                <w:p>
                  <w:pPr>
                    <w:pStyle w:val="22"/>
                    <w:jc w:val="center"/>
                    <w:rPr>
                      <w:rFonts w:hint="default" w:ascii="Times New Roman" w:hAnsi="Times New Roman" w:eastAsia="宋体" w:cs="Times New Roman"/>
                      <w:b/>
                      <w:bCs/>
                      <w:color w:val="auto"/>
                      <w:sz w:val="21"/>
                      <w:szCs w:val="21"/>
                      <w:vertAlign w:val="baseline"/>
                      <w:lang w:val="en-US" w:eastAsia="zh-CN"/>
                    </w:rPr>
                  </w:pPr>
                  <w:r>
                    <w:rPr>
                      <w:rFonts w:hint="eastAsia" w:ascii="Times New Roman" w:hAnsi="Times New Roman" w:eastAsia="宋体" w:cs="Times New Roman"/>
                      <w:b/>
                      <w:bCs/>
                      <w:color w:val="auto"/>
                      <w:sz w:val="21"/>
                      <w:szCs w:val="21"/>
                      <w:vertAlign w:val="baseline"/>
                      <w:lang w:val="en-US" w:eastAsia="zh-CN"/>
                    </w:rPr>
                    <w:t>危险</w:t>
                  </w:r>
                  <w:r>
                    <w:rPr>
                      <w:rFonts w:hint="default" w:ascii="Times New Roman" w:hAnsi="Times New Roman" w:eastAsia="宋体" w:cs="Times New Roman"/>
                      <w:b/>
                      <w:bCs/>
                      <w:color w:val="auto"/>
                      <w:sz w:val="21"/>
                      <w:szCs w:val="21"/>
                      <w:vertAlign w:val="baseline"/>
                      <w:lang w:val="en-US" w:eastAsia="zh-CN"/>
                    </w:rPr>
                    <w:t>固废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2" w:type="dxa"/>
                  <w:vAlign w:val="center"/>
                </w:tcPr>
                <w:p>
                  <w:pPr>
                    <w:pStyle w:val="2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3</w:t>
                  </w:r>
                </w:p>
              </w:tc>
              <w:tc>
                <w:tcPr>
                  <w:tcW w:w="2652" w:type="dxa"/>
                  <w:vAlign w:val="center"/>
                </w:tcPr>
                <w:p>
                  <w:pPr>
                    <w:pStyle w:val="2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生活垃圾</w:t>
                  </w:r>
                </w:p>
              </w:tc>
              <w:tc>
                <w:tcPr>
                  <w:tcW w:w="1739" w:type="dxa"/>
                  <w:vAlign w:val="center"/>
                </w:tcPr>
                <w:p>
                  <w:pPr>
                    <w:pStyle w:val="22"/>
                    <w:jc w:val="center"/>
                    <w:rPr>
                      <w:rFonts w:hint="default" w:ascii="Times New Roman" w:hAnsi="Times New Roman" w:eastAsia="宋体" w:cs="Times New Roman"/>
                      <w:sz w:val="21"/>
                      <w:szCs w:val="21"/>
                      <w:vertAlign w:val="baseline"/>
                      <w:lang w:val="en-US" w:eastAsia="zh-CN"/>
                    </w:rPr>
                  </w:pPr>
                  <w:r>
                    <w:rPr>
                      <w:rFonts w:hint="eastAsia" w:ascii="Times New Roman" w:hAnsi="Times New Roman" w:eastAsia="宋体" w:cs="Times New Roman"/>
                      <w:sz w:val="21"/>
                      <w:szCs w:val="21"/>
                      <w:vertAlign w:val="baseline"/>
                      <w:lang w:val="en-US" w:eastAsia="zh-CN"/>
                    </w:rPr>
                    <w:t>1.05</w:t>
                  </w:r>
                </w:p>
              </w:tc>
              <w:tc>
                <w:tcPr>
                  <w:tcW w:w="1231" w:type="dxa"/>
                  <w:vAlign w:val="center"/>
                </w:tcPr>
                <w:p>
                  <w:pPr>
                    <w:pStyle w:val="2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w:t>
                  </w:r>
                </w:p>
              </w:tc>
              <w:tc>
                <w:tcPr>
                  <w:tcW w:w="1920" w:type="dxa"/>
                  <w:vAlign w:val="center"/>
                </w:tcPr>
                <w:p>
                  <w:pPr>
                    <w:pStyle w:val="22"/>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生活垃圾</w:t>
                  </w:r>
                </w:p>
              </w:tc>
            </w:tr>
          </w:tbl>
          <w:p>
            <w:pPr>
              <w:pStyle w:val="22"/>
              <w:jc w:val="center"/>
              <w:rPr>
                <w:rFonts w:hint="eastAsia" w:eastAsia="微软雅黑"/>
                <w:lang w:val="en-US" w:eastAsia="zh-CN"/>
              </w:rPr>
            </w:pPr>
          </w:p>
          <w:p>
            <w:pPr>
              <w:pStyle w:val="22"/>
              <w:rPr>
                <w:rFonts w:hint="default"/>
                <w:lang w:val="en-US" w:eastAsia="zh-CN"/>
              </w:rPr>
            </w:pPr>
          </w:p>
        </w:tc>
      </w:tr>
    </w:tbl>
    <w:p>
      <w:pPr>
        <w:pStyle w:val="23"/>
        <w:outlineLvl w:val="0"/>
      </w:pPr>
      <w:r>
        <w:rPr>
          <w:rFonts w:hint="eastAsia"/>
          <w:lang w:eastAsia="zh-CN"/>
        </w:rPr>
        <w:t>项目</w:t>
      </w:r>
      <w:r>
        <w:t>主要污染物产生及预计排放情况</w:t>
      </w:r>
      <w:bookmarkEnd w:id="12"/>
    </w:p>
    <w:tbl>
      <w:tblPr>
        <w:tblStyle w:val="20"/>
        <w:tblW w:w="88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7"/>
        <w:gridCol w:w="1538"/>
        <w:gridCol w:w="1722"/>
        <w:gridCol w:w="2268"/>
        <w:gridCol w:w="25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0" w:hRule="atLeast"/>
          <w:jc w:val="center"/>
        </w:trPr>
        <w:tc>
          <w:tcPr>
            <w:tcW w:w="767" w:type="dxa"/>
            <w:tcBorders>
              <w:tl2br w:val="single" w:color="auto" w:sz="8" w:space="0"/>
            </w:tcBorders>
            <w:vAlign w:val="center"/>
          </w:tcPr>
          <w:p>
            <w:pPr>
              <w:spacing w:line="360" w:lineRule="exact"/>
              <w:ind w:firstLine="0" w:firstLineChars="0"/>
              <w:jc w:val="right"/>
              <w:rPr>
                <w:bCs/>
                <w:szCs w:val="24"/>
              </w:rPr>
            </w:pPr>
            <w:r>
              <w:rPr>
                <w:bCs/>
                <w:szCs w:val="24"/>
              </w:rPr>
              <w:t>内容类型</w:t>
            </w:r>
          </w:p>
        </w:tc>
        <w:tc>
          <w:tcPr>
            <w:tcW w:w="1538" w:type="dxa"/>
            <w:vAlign w:val="center"/>
          </w:tcPr>
          <w:p>
            <w:pPr>
              <w:spacing w:line="360" w:lineRule="exact"/>
              <w:ind w:firstLine="0" w:firstLineChars="0"/>
              <w:jc w:val="center"/>
              <w:rPr>
                <w:bCs/>
                <w:szCs w:val="24"/>
              </w:rPr>
            </w:pPr>
            <w:r>
              <w:rPr>
                <w:bCs/>
                <w:szCs w:val="24"/>
              </w:rPr>
              <w:t>排放源</w:t>
            </w:r>
          </w:p>
        </w:tc>
        <w:tc>
          <w:tcPr>
            <w:tcW w:w="1722" w:type="dxa"/>
            <w:vAlign w:val="center"/>
          </w:tcPr>
          <w:p>
            <w:pPr>
              <w:spacing w:line="360" w:lineRule="exact"/>
              <w:ind w:firstLine="0" w:firstLineChars="0"/>
              <w:jc w:val="center"/>
              <w:rPr>
                <w:bCs/>
                <w:szCs w:val="24"/>
              </w:rPr>
            </w:pPr>
            <w:r>
              <w:rPr>
                <w:bCs/>
                <w:szCs w:val="24"/>
              </w:rPr>
              <w:t>污染物名称</w:t>
            </w:r>
          </w:p>
        </w:tc>
        <w:tc>
          <w:tcPr>
            <w:tcW w:w="2268" w:type="dxa"/>
            <w:vAlign w:val="center"/>
          </w:tcPr>
          <w:p>
            <w:pPr>
              <w:spacing w:line="360" w:lineRule="exact"/>
              <w:ind w:firstLine="0" w:firstLineChars="0"/>
              <w:jc w:val="center"/>
              <w:rPr>
                <w:bCs/>
                <w:szCs w:val="24"/>
              </w:rPr>
            </w:pPr>
            <w:r>
              <w:rPr>
                <w:bCs/>
                <w:szCs w:val="24"/>
              </w:rPr>
              <w:t>产生浓度及产生量</w:t>
            </w:r>
          </w:p>
        </w:tc>
        <w:tc>
          <w:tcPr>
            <w:tcW w:w="2550" w:type="dxa"/>
            <w:vAlign w:val="center"/>
          </w:tcPr>
          <w:p>
            <w:pPr>
              <w:spacing w:line="360" w:lineRule="exact"/>
              <w:ind w:firstLine="0" w:firstLineChars="0"/>
              <w:jc w:val="center"/>
              <w:rPr>
                <w:bCs/>
                <w:szCs w:val="24"/>
              </w:rPr>
            </w:pPr>
            <w:r>
              <w:rPr>
                <w:bCs/>
                <w:szCs w:val="24"/>
              </w:rPr>
              <w:t>排放浓度及排放量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97" w:hRule="atLeast"/>
          <w:jc w:val="center"/>
        </w:trPr>
        <w:tc>
          <w:tcPr>
            <w:tcW w:w="767" w:type="dxa"/>
            <w:vAlign w:val="center"/>
          </w:tcPr>
          <w:p>
            <w:pPr>
              <w:spacing w:line="360" w:lineRule="exact"/>
              <w:ind w:firstLine="0" w:firstLineChars="0"/>
              <w:jc w:val="center"/>
              <w:rPr>
                <w:bCs/>
                <w:szCs w:val="24"/>
              </w:rPr>
            </w:pPr>
            <w:r>
              <w:rPr>
                <w:bCs/>
                <w:szCs w:val="24"/>
              </w:rPr>
              <w:t>水污染物</w:t>
            </w:r>
          </w:p>
        </w:tc>
        <w:tc>
          <w:tcPr>
            <w:tcW w:w="1538" w:type="dxa"/>
            <w:vAlign w:val="center"/>
          </w:tcPr>
          <w:p>
            <w:pPr>
              <w:spacing w:line="360" w:lineRule="exact"/>
              <w:ind w:firstLine="0" w:firstLineChars="0"/>
              <w:jc w:val="center"/>
              <w:rPr>
                <w:bCs/>
                <w:szCs w:val="24"/>
              </w:rPr>
            </w:pPr>
            <w:r>
              <w:rPr>
                <w:rFonts w:hint="eastAsia"/>
                <w:bCs/>
                <w:szCs w:val="24"/>
              </w:rPr>
              <w:t>生活污水</w:t>
            </w:r>
          </w:p>
        </w:tc>
        <w:tc>
          <w:tcPr>
            <w:tcW w:w="1722" w:type="dxa"/>
            <w:vAlign w:val="center"/>
          </w:tcPr>
          <w:p>
            <w:pPr>
              <w:spacing w:line="360" w:lineRule="exact"/>
              <w:ind w:firstLine="0" w:firstLineChars="0"/>
              <w:jc w:val="center"/>
              <w:rPr>
                <w:szCs w:val="24"/>
              </w:rPr>
            </w:pPr>
            <w:r>
              <w:rPr>
                <w:rFonts w:hint="eastAsia"/>
                <w:bCs/>
                <w:color w:val="auto"/>
                <w:sz w:val="24"/>
                <w:szCs w:val="24"/>
                <w:lang w:val="en-US" w:eastAsia="zh-CN"/>
              </w:rPr>
              <w:t>/</w:t>
            </w:r>
          </w:p>
        </w:tc>
        <w:tc>
          <w:tcPr>
            <w:tcW w:w="2268" w:type="dxa"/>
            <w:vAlign w:val="center"/>
          </w:tcPr>
          <w:p>
            <w:pPr>
              <w:spacing w:line="360" w:lineRule="exact"/>
              <w:ind w:firstLine="0" w:firstLineChars="0"/>
              <w:jc w:val="center"/>
              <w:rPr>
                <w:bCs/>
                <w:color w:val="00B0F0"/>
                <w:szCs w:val="24"/>
                <w:highlight w:val="none"/>
              </w:rPr>
            </w:pPr>
            <w:r>
              <w:rPr>
                <w:rFonts w:hint="eastAsia"/>
                <w:bCs/>
                <w:color w:val="auto"/>
                <w:sz w:val="24"/>
                <w:szCs w:val="24"/>
                <w:lang w:val="en-US" w:eastAsia="zh-CN"/>
              </w:rPr>
              <w:t>旱厕定期清掏沤肥不外排</w:t>
            </w:r>
          </w:p>
        </w:tc>
        <w:tc>
          <w:tcPr>
            <w:tcW w:w="2550"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不外排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19" w:hRule="atLeast"/>
          <w:jc w:val="center"/>
        </w:trPr>
        <w:tc>
          <w:tcPr>
            <w:tcW w:w="767" w:type="dxa"/>
            <w:vMerge w:val="restart"/>
            <w:vAlign w:val="center"/>
          </w:tcPr>
          <w:p>
            <w:pPr>
              <w:spacing w:line="360" w:lineRule="exact"/>
              <w:ind w:firstLine="0" w:firstLineChars="0"/>
              <w:jc w:val="center"/>
              <w:rPr>
                <w:bCs/>
                <w:szCs w:val="24"/>
              </w:rPr>
            </w:pPr>
            <w:r>
              <w:rPr>
                <w:bCs/>
                <w:szCs w:val="24"/>
              </w:rPr>
              <w:t>固体废物</w:t>
            </w:r>
          </w:p>
        </w:tc>
        <w:tc>
          <w:tcPr>
            <w:tcW w:w="1538" w:type="dxa"/>
            <w:vMerge w:val="restart"/>
            <w:vAlign w:val="center"/>
          </w:tcPr>
          <w:p>
            <w:pPr>
              <w:spacing w:line="360" w:lineRule="exact"/>
              <w:ind w:firstLine="0" w:firstLineChars="0"/>
              <w:jc w:val="center"/>
              <w:rPr>
                <w:bCs/>
                <w:szCs w:val="24"/>
              </w:rPr>
            </w:pPr>
            <w:r>
              <w:rPr>
                <w:rFonts w:hint="eastAsia"/>
                <w:bCs/>
                <w:szCs w:val="24"/>
              </w:rPr>
              <w:t>生产过程</w:t>
            </w:r>
          </w:p>
        </w:tc>
        <w:tc>
          <w:tcPr>
            <w:tcW w:w="1722" w:type="dxa"/>
            <w:vAlign w:val="top"/>
          </w:tcPr>
          <w:p>
            <w:pPr>
              <w:pStyle w:val="22"/>
              <w:jc w:val="center"/>
              <w:rPr>
                <w:rFonts w:hint="eastAsia" w:eastAsia="宋体"/>
                <w:bCs/>
                <w:sz w:val="28"/>
                <w:szCs w:val="28"/>
                <w:lang w:eastAsia="zh-CN"/>
              </w:rPr>
            </w:pPr>
            <w:r>
              <w:rPr>
                <w:rFonts w:hint="default" w:ascii="Times New Roman" w:hAnsi="Times New Roman" w:eastAsia="宋体" w:cs="Times New Roman"/>
                <w:sz w:val="22"/>
                <w:szCs w:val="22"/>
                <w:vertAlign w:val="baseline"/>
                <w:lang w:val="en-US" w:eastAsia="zh-CN"/>
              </w:rPr>
              <w:t>苯甲酸钠、荧光素包装物</w:t>
            </w:r>
          </w:p>
        </w:tc>
        <w:tc>
          <w:tcPr>
            <w:tcW w:w="2268" w:type="dxa"/>
            <w:vMerge w:val="restart"/>
            <w:vAlign w:val="center"/>
          </w:tcPr>
          <w:p>
            <w:pPr>
              <w:spacing w:line="360" w:lineRule="exact"/>
              <w:ind w:firstLine="0" w:firstLineChars="0"/>
              <w:jc w:val="center"/>
              <w:rPr>
                <w:rFonts w:hint="eastAsia" w:ascii="Times New Roman" w:hAnsi="Times New Roman" w:eastAsia="宋体" w:cs="Times New Roman"/>
                <w:bCs/>
                <w:szCs w:val="24"/>
                <w:lang w:val="en-US" w:eastAsia="zh-CN"/>
              </w:rPr>
            </w:pPr>
            <w:r>
              <w:rPr>
                <w:rFonts w:hint="eastAsia" w:ascii="Times New Roman" w:hAnsi="Times New Roman" w:eastAsia="宋体" w:cs="Times New Roman"/>
                <w:bCs/>
                <w:szCs w:val="24"/>
                <w:lang w:val="en-US" w:eastAsia="zh-CN"/>
              </w:rPr>
              <w:t>0.1t/a</w:t>
            </w:r>
          </w:p>
        </w:tc>
        <w:tc>
          <w:tcPr>
            <w:tcW w:w="2550"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0t/a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89" w:hRule="atLeast"/>
          <w:jc w:val="center"/>
        </w:trPr>
        <w:tc>
          <w:tcPr>
            <w:tcW w:w="76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center"/>
              <w:textAlignment w:val="auto"/>
              <w:outlineLvl w:val="9"/>
            </w:pPr>
          </w:p>
        </w:tc>
        <w:tc>
          <w:tcPr>
            <w:tcW w:w="153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center"/>
              <w:textAlignment w:val="auto"/>
              <w:outlineLvl w:val="9"/>
            </w:pPr>
          </w:p>
        </w:tc>
        <w:tc>
          <w:tcPr>
            <w:tcW w:w="1722" w:type="dxa"/>
            <w:vAlign w:val="top"/>
          </w:tcPr>
          <w:p>
            <w:pPr>
              <w:pStyle w:val="22"/>
              <w:jc w:val="center"/>
              <w:rPr>
                <w:rFonts w:hint="eastAsia" w:eastAsia="宋体"/>
                <w:bCs/>
                <w:sz w:val="28"/>
                <w:szCs w:val="28"/>
                <w:highlight w:val="none"/>
                <w:lang w:eastAsia="zh-CN"/>
              </w:rPr>
            </w:pPr>
            <w:r>
              <w:rPr>
                <w:rFonts w:hint="default" w:ascii="Times New Roman" w:hAnsi="Times New Roman" w:eastAsia="宋体" w:cs="Times New Roman"/>
                <w:sz w:val="22"/>
                <w:szCs w:val="22"/>
                <w:vertAlign w:val="baseline"/>
                <w:lang w:val="en-US" w:eastAsia="zh-CN"/>
              </w:rPr>
              <w:t>乙二醇包装空桶</w:t>
            </w:r>
          </w:p>
        </w:tc>
        <w:tc>
          <w:tcPr>
            <w:tcW w:w="2268"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5.0t/a</w:t>
            </w:r>
          </w:p>
        </w:tc>
        <w:tc>
          <w:tcPr>
            <w:tcW w:w="2550"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0t/a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93" w:hRule="atLeast"/>
          <w:jc w:val="center"/>
        </w:trPr>
        <w:tc>
          <w:tcPr>
            <w:tcW w:w="767" w:type="dxa"/>
            <w:vMerge w:val="continue"/>
            <w:vAlign w:val="center"/>
          </w:tcPr>
          <w:p>
            <w:pPr>
              <w:spacing w:line="360" w:lineRule="exact"/>
              <w:ind w:firstLine="0" w:firstLineChars="0"/>
              <w:jc w:val="center"/>
              <w:rPr>
                <w:bCs/>
                <w:szCs w:val="24"/>
              </w:rPr>
            </w:pPr>
          </w:p>
        </w:tc>
        <w:tc>
          <w:tcPr>
            <w:tcW w:w="1538" w:type="dxa"/>
            <w:vAlign w:val="center"/>
          </w:tcPr>
          <w:p>
            <w:pPr>
              <w:spacing w:line="360" w:lineRule="exact"/>
              <w:ind w:firstLine="0" w:firstLineChars="0"/>
              <w:jc w:val="center"/>
              <w:rPr>
                <w:bCs/>
                <w:szCs w:val="24"/>
              </w:rPr>
            </w:pPr>
            <w:r>
              <w:rPr>
                <w:rFonts w:hint="eastAsia"/>
                <w:bCs/>
                <w:szCs w:val="24"/>
              </w:rPr>
              <w:t>员工生活</w:t>
            </w:r>
          </w:p>
        </w:tc>
        <w:tc>
          <w:tcPr>
            <w:tcW w:w="1722" w:type="dxa"/>
            <w:vAlign w:val="center"/>
          </w:tcPr>
          <w:p>
            <w:pPr>
              <w:spacing w:line="360" w:lineRule="exact"/>
              <w:ind w:firstLine="0" w:firstLineChars="0"/>
              <w:jc w:val="center"/>
              <w:rPr>
                <w:bCs/>
                <w:szCs w:val="24"/>
              </w:rPr>
            </w:pPr>
            <w:r>
              <w:rPr>
                <w:rFonts w:hint="eastAsia"/>
                <w:bCs/>
                <w:szCs w:val="24"/>
              </w:rPr>
              <w:t>生活垃圾</w:t>
            </w:r>
          </w:p>
        </w:tc>
        <w:tc>
          <w:tcPr>
            <w:tcW w:w="2268"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1.05t/a</w:t>
            </w:r>
          </w:p>
        </w:tc>
        <w:tc>
          <w:tcPr>
            <w:tcW w:w="2550"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0t/a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0" w:hRule="atLeast"/>
          <w:jc w:val="center"/>
        </w:trPr>
        <w:tc>
          <w:tcPr>
            <w:tcW w:w="767" w:type="dxa"/>
            <w:vAlign w:val="center"/>
          </w:tcPr>
          <w:p>
            <w:pPr>
              <w:spacing w:line="360" w:lineRule="exact"/>
              <w:ind w:firstLine="0" w:firstLineChars="0"/>
              <w:jc w:val="center"/>
              <w:rPr>
                <w:bCs/>
                <w:szCs w:val="24"/>
              </w:rPr>
            </w:pPr>
            <w:r>
              <w:rPr>
                <w:bCs/>
                <w:szCs w:val="24"/>
              </w:rPr>
              <w:t>噪声</w:t>
            </w:r>
          </w:p>
        </w:tc>
        <w:tc>
          <w:tcPr>
            <w:tcW w:w="3260" w:type="dxa"/>
            <w:gridSpan w:val="2"/>
            <w:vAlign w:val="center"/>
          </w:tcPr>
          <w:p>
            <w:pPr>
              <w:spacing w:line="360" w:lineRule="exact"/>
              <w:ind w:firstLine="0" w:firstLineChars="0"/>
              <w:jc w:val="center"/>
              <w:rPr>
                <w:bCs/>
                <w:szCs w:val="24"/>
              </w:rPr>
            </w:pPr>
            <w:r>
              <w:rPr>
                <w:rFonts w:hint="eastAsia"/>
                <w:bCs/>
                <w:szCs w:val="24"/>
                <w:lang w:eastAsia="zh-CN"/>
              </w:rPr>
              <w:t>泵运行</w:t>
            </w:r>
            <w:r>
              <w:rPr>
                <w:rFonts w:hint="eastAsia"/>
                <w:bCs/>
                <w:szCs w:val="24"/>
              </w:rPr>
              <w:t>噪声</w:t>
            </w:r>
          </w:p>
        </w:tc>
        <w:tc>
          <w:tcPr>
            <w:tcW w:w="2268"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70~75dB</w:t>
            </w:r>
          </w:p>
        </w:tc>
        <w:tc>
          <w:tcPr>
            <w:tcW w:w="2550" w:type="dxa"/>
            <w:vAlign w:val="center"/>
          </w:tcPr>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昼间≤60dB，</w:t>
            </w:r>
          </w:p>
          <w:p>
            <w:pPr>
              <w:spacing w:line="360" w:lineRule="exact"/>
              <w:ind w:firstLine="0" w:firstLineChars="0"/>
              <w:jc w:val="center"/>
              <w:rPr>
                <w:rFonts w:hint="eastAsia"/>
                <w:bCs/>
                <w:color w:val="auto"/>
                <w:sz w:val="24"/>
                <w:szCs w:val="24"/>
                <w:lang w:val="en-US" w:eastAsia="zh-CN"/>
              </w:rPr>
            </w:pPr>
            <w:r>
              <w:rPr>
                <w:rFonts w:hint="eastAsia"/>
                <w:bCs/>
                <w:color w:val="auto"/>
                <w:sz w:val="24"/>
                <w:szCs w:val="24"/>
                <w:lang w:val="en-US" w:eastAsia="zh-CN"/>
              </w:rPr>
              <w:t>夜间≤50dB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961" w:hRule="atLeast"/>
          <w:jc w:val="center"/>
        </w:trPr>
        <w:tc>
          <w:tcPr>
            <w:tcW w:w="8845" w:type="dxa"/>
            <w:gridSpan w:val="5"/>
          </w:tcPr>
          <w:p>
            <w:pPr>
              <w:spacing w:beforeLines="50"/>
              <w:ind w:firstLine="0" w:firstLineChars="0"/>
              <w:jc w:val="left"/>
              <w:rPr>
                <w:rFonts w:hAnsi="宋体"/>
                <w:b/>
                <w:szCs w:val="24"/>
              </w:rPr>
            </w:pPr>
            <w:r>
              <w:rPr>
                <w:rFonts w:hAnsi="宋体"/>
                <w:b/>
                <w:szCs w:val="24"/>
              </w:rPr>
              <w:t>主要生态影响</w:t>
            </w:r>
            <w:r>
              <w:rPr>
                <w:rFonts w:hAnsi="宋体"/>
                <w:szCs w:val="24"/>
              </w:rPr>
              <w:t>(不够时可附页)</w:t>
            </w:r>
          </w:p>
          <w:p>
            <w:pPr>
              <w:ind w:firstLine="480"/>
              <w:jc w:val="left"/>
            </w:pPr>
            <w:r>
              <w:rPr>
                <w:rFonts w:hint="eastAsia"/>
              </w:rPr>
              <w:t>本项目位于</w:t>
            </w:r>
            <w:r>
              <w:rPr>
                <w:rFonts w:hint="eastAsia"/>
                <w:lang w:eastAsia="zh-CN"/>
              </w:rPr>
              <w:t>陕西省西咸新区泾河新城永乐镇铁孟村18号</w:t>
            </w:r>
            <w:r>
              <w:rPr>
                <w:rFonts w:hint="eastAsia"/>
              </w:rPr>
              <w:t>，属典型的农村环境，生物多样性较差；不涉及需要特殊保护的区域。项目运营后，生产过程中产生的</w:t>
            </w:r>
            <w:r>
              <w:rPr>
                <w:rFonts w:hint="eastAsia"/>
                <w:lang w:eastAsia="zh-CN"/>
              </w:rPr>
              <w:t>噪声</w:t>
            </w:r>
            <w:r>
              <w:rPr>
                <w:rFonts w:hint="eastAsia"/>
              </w:rPr>
              <w:t>、固废经过采取有效的防治措施后，可以达到相应的标准。项目实施后，基本不改变评价区的生态系统结构和生态系统功能，对周围的生态环境影响较小。</w:t>
            </w:r>
          </w:p>
          <w:p>
            <w:pPr>
              <w:pStyle w:val="11"/>
              <w:ind w:left="480"/>
            </w:pPr>
          </w:p>
          <w:p>
            <w:pPr>
              <w:ind w:firstLine="480"/>
            </w:pPr>
          </w:p>
          <w:p>
            <w:pPr>
              <w:ind w:firstLine="480"/>
            </w:pPr>
          </w:p>
          <w:p>
            <w:pPr>
              <w:ind w:firstLine="480"/>
            </w:pPr>
          </w:p>
          <w:p>
            <w:pPr>
              <w:pStyle w:val="11"/>
              <w:ind w:left="480"/>
            </w:pPr>
          </w:p>
        </w:tc>
      </w:tr>
    </w:tbl>
    <w:p>
      <w:pPr>
        <w:sectPr>
          <w:pgSz w:w="11906" w:h="16838"/>
          <w:pgMar w:top="1701" w:right="1588" w:bottom="1701" w:left="1588" w:header="851" w:footer="1134" w:gutter="0"/>
          <w:pgBorders>
            <w:top w:val="none" w:sz="0" w:space="0"/>
            <w:left w:val="none" w:sz="0" w:space="0"/>
            <w:bottom w:val="none" w:sz="0" w:space="0"/>
            <w:right w:val="none" w:sz="0" w:space="0"/>
          </w:pgBorders>
          <w:pgNumType w:fmt="decimal"/>
          <w:cols w:space="720" w:num="1"/>
          <w:docGrid w:type="lines" w:linePitch="312" w:charSpace="0"/>
        </w:sectPr>
      </w:pPr>
      <w:bookmarkStart w:id="13" w:name="_Toc478030063"/>
    </w:p>
    <w:p>
      <w:pPr>
        <w:pStyle w:val="23"/>
        <w:outlineLvl w:val="0"/>
      </w:pPr>
      <w:r>
        <w:t>环境影响分析</w:t>
      </w:r>
      <w:bookmarkEnd w:id="13"/>
    </w:p>
    <w:tbl>
      <w:tblPr>
        <w:tblStyle w:val="21"/>
        <w:tblW w:w="884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2532" w:hRule="atLeast"/>
        </w:trPr>
        <w:tc>
          <w:tcPr>
            <w:tcW w:w="8845" w:type="dxa"/>
            <w:vAlign w:val="top"/>
          </w:tcPr>
          <w:p>
            <w:pPr>
              <w:ind w:firstLine="0" w:firstLineChars="0"/>
              <w:rPr>
                <w:rFonts w:hint="default" w:ascii="Times New Roman" w:hAnsi="Times New Roman" w:cs="Times New Roman"/>
                <w:b/>
                <w:sz w:val="28"/>
                <w:szCs w:val="28"/>
              </w:rPr>
            </w:pPr>
            <w:bookmarkStart w:id="14" w:name="_Toc478030064"/>
            <w:r>
              <w:rPr>
                <w:rFonts w:hint="default" w:ascii="Times New Roman" w:hAnsi="Times New Roman" w:cs="Times New Roman"/>
                <w:b/>
                <w:sz w:val="28"/>
                <w:szCs w:val="28"/>
              </w:rPr>
              <w:t>施工期环境影响简要分析：</w:t>
            </w:r>
          </w:p>
          <w:p>
            <w:pPr>
              <w:ind w:firstLine="480"/>
              <w:jc w:val="left"/>
              <w:rPr>
                <w:rFonts w:hint="default" w:ascii="Times New Roman" w:hAnsi="Times New Roman" w:eastAsia="宋体" w:cs="Times New Roman"/>
                <w:lang w:eastAsia="zh-CN"/>
              </w:rPr>
            </w:pPr>
            <w:r>
              <w:rPr>
                <w:rFonts w:hint="default" w:ascii="Times New Roman" w:hAnsi="Times New Roman" w:cs="Times New Roman"/>
                <w:lang w:eastAsia="zh-CN"/>
              </w:rPr>
              <w:t>本项目为租赁厂房，项目建设已完成，不涉及施工期。</w:t>
            </w:r>
          </w:p>
          <w:p>
            <w:pPr>
              <w:ind w:firstLine="0" w:firstLineChars="0"/>
              <w:rPr>
                <w:rFonts w:hint="default" w:ascii="Times New Roman" w:hAnsi="Times New Roman" w:cs="Times New Roman"/>
                <w:b/>
                <w:sz w:val="28"/>
                <w:szCs w:val="28"/>
              </w:rPr>
            </w:pPr>
            <w:r>
              <w:rPr>
                <w:rFonts w:hint="default" w:ascii="Times New Roman" w:hAnsi="Times New Roman" w:cs="Times New Roman"/>
                <w:b/>
                <w:sz w:val="28"/>
                <w:szCs w:val="28"/>
              </w:rPr>
              <w:t>运营期环境影响分析</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outlineLvl w:val="9"/>
              <w:rPr>
                <w:rFonts w:hint="default" w:ascii="Times New Roman" w:hAnsi="Times New Roman" w:cs="Times New Roman"/>
                <w:b/>
              </w:rPr>
            </w:pPr>
            <w:r>
              <w:rPr>
                <w:rFonts w:hint="default" w:ascii="Times New Roman" w:hAnsi="Times New Roman" w:cs="Times New Roman"/>
                <w:b/>
              </w:rPr>
              <w:t>一、环境空气影响分析及防治措施</w:t>
            </w:r>
          </w:p>
          <w:p>
            <w:pPr>
              <w:keepNext w:val="0"/>
              <w:keepLines w:val="0"/>
              <w:pageBreakBefore w:val="0"/>
              <w:widowControl w:val="0"/>
              <w:kinsoku/>
              <w:wordWrap/>
              <w:overflowPunct/>
              <w:topLinePunct w:val="0"/>
              <w:bidi w:val="0"/>
              <w:spacing w:line="360" w:lineRule="auto"/>
              <w:textAlignment w:val="auto"/>
              <w:rPr>
                <w:rFonts w:hint="default" w:ascii="Times New Roman" w:hAnsi="Times New Roman" w:cs="Times New Roman"/>
                <w:b/>
              </w:rPr>
            </w:pPr>
            <w:r>
              <w:rPr>
                <w:rFonts w:hint="default" w:ascii="Times New Roman" w:hAnsi="Times New Roman" w:cs="Times New Roman"/>
                <w:lang w:eastAsia="zh-CN"/>
              </w:rPr>
              <w:t>本项目生产过程无废气产生。</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outlineLvl w:val="9"/>
              <w:rPr>
                <w:rFonts w:hint="default" w:ascii="Times New Roman" w:hAnsi="Times New Roman" w:cs="Times New Roman"/>
                <w:b/>
              </w:rPr>
            </w:pPr>
            <w:r>
              <w:rPr>
                <w:rFonts w:hint="default" w:ascii="Times New Roman" w:hAnsi="Times New Roman" w:cs="Times New Roman"/>
                <w:b/>
              </w:rPr>
              <w:t>二、水环境影响分析</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1、地表水环境影响分析</w:t>
            </w:r>
          </w:p>
          <w:p>
            <w:pPr>
              <w:spacing w:line="360" w:lineRule="auto"/>
              <w:ind w:firstLine="480" w:firstLineChars="200"/>
              <w:rPr>
                <w:rFonts w:hint="default" w:ascii="Times New Roman" w:hAnsi="Times New Roman" w:cs="Times New Roman"/>
                <w:color w:val="auto"/>
              </w:rPr>
            </w:pPr>
            <w:r>
              <w:rPr>
                <w:rFonts w:hint="default" w:ascii="Times New Roman" w:hAnsi="Times New Roman" w:cs="Times New Roman"/>
                <w:color w:val="auto"/>
                <w:sz w:val="24"/>
                <w:szCs w:val="24"/>
              </w:rPr>
              <w:t>项目区设</w:t>
            </w:r>
            <w:r>
              <w:rPr>
                <w:rFonts w:hint="default" w:ascii="Times New Roman" w:hAnsi="Times New Roman" w:cs="Times New Roman"/>
                <w:color w:val="auto"/>
                <w:sz w:val="24"/>
                <w:szCs w:val="24"/>
                <w:lang w:eastAsia="zh-CN"/>
              </w:rPr>
              <w:t>旱厕</w:t>
            </w:r>
            <w:r>
              <w:rPr>
                <w:rFonts w:hint="default" w:ascii="Times New Roman" w:hAnsi="Times New Roman" w:cs="Times New Roman"/>
                <w:color w:val="auto"/>
                <w:sz w:val="24"/>
                <w:szCs w:val="24"/>
              </w:rPr>
              <w:t>，</w:t>
            </w:r>
            <w:r>
              <w:rPr>
                <w:rFonts w:hint="default" w:ascii="Times New Roman" w:hAnsi="Times New Roman" w:cs="Times New Roman"/>
                <w:color w:val="auto"/>
                <w:sz w:val="24"/>
                <w:highlight w:val="none"/>
                <w:lang w:eastAsia="zh-CN"/>
              </w:rPr>
              <w:t>盥洗废水厂区泼洒抑尘，旱厕定期清掏用作农肥不外排。</w:t>
            </w:r>
            <w:r>
              <w:rPr>
                <w:rFonts w:hint="default" w:ascii="Times New Roman" w:hAnsi="Times New Roman" w:cs="Times New Roman"/>
                <w:color w:val="auto"/>
                <w:sz w:val="24"/>
                <w:szCs w:val="24"/>
                <w:lang w:eastAsia="zh-CN"/>
              </w:rPr>
              <w:t>经</w:t>
            </w:r>
            <w:r>
              <w:rPr>
                <w:rFonts w:hint="default" w:ascii="Times New Roman" w:hAnsi="Times New Roman" w:cs="Times New Roman"/>
                <w:color w:val="auto"/>
                <w:sz w:val="24"/>
                <w:szCs w:val="24"/>
              </w:rPr>
              <w:t>采取上述措施后，</w:t>
            </w:r>
            <w:r>
              <w:rPr>
                <w:rFonts w:hint="default" w:ascii="Times New Roman" w:hAnsi="Times New Roman" w:cs="Times New Roman"/>
                <w:color w:val="auto"/>
                <w:sz w:val="24"/>
                <w:szCs w:val="24"/>
                <w:lang w:eastAsia="zh-CN"/>
              </w:rPr>
              <w:t>项目产生的废水</w:t>
            </w:r>
            <w:r>
              <w:rPr>
                <w:rFonts w:hint="default" w:ascii="Times New Roman" w:hAnsi="Times New Roman" w:cs="Times New Roman"/>
                <w:color w:val="auto"/>
                <w:sz w:val="24"/>
                <w:szCs w:val="24"/>
              </w:rPr>
              <w:t>对周围环境影响不大。</w:t>
            </w:r>
          </w:p>
          <w:p>
            <w:pPr>
              <w:widowControl/>
              <w:adjustRightInd w:val="0"/>
              <w:snapToGrid w:val="0"/>
              <w:spacing w:line="520" w:lineRule="exact"/>
              <w:ind w:firstLine="480" w:firstLineChars="20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2、地下水环境影响分析</w:t>
            </w:r>
          </w:p>
          <w:p>
            <w:pPr>
              <w:spacing w:line="360" w:lineRule="auto"/>
              <w:ind w:firstLine="48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（1）评价等级</w:t>
            </w:r>
          </w:p>
          <w:p>
            <w:pPr>
              <w:spacing w:line="360" w:lineRule="auto"/>
              <w:ind w:firstLine="480"/>
              <w:rPr>
                <w:rFonts w:hint="default" w:ascii="Times New Roman" w:hAnsi="Times New Roman" w:cs="Times New Roman"/>
                <w:color w:val="000000" w:themeColor="text1"/>
                <w:kern w:val="0"/>
                <w:sz w:val="24"/>
                <w14:textFill>
                  <w14:solidFill>
                    <w14:schemeClr w14:val="tx1"/>
                  </w14:solidFill>
                </w14:textFill>
              </w:rPr>
            </w:pPr>
            <w:r>
              <w:rPr>
                <w:rFonts w:hint="default" w:ascii="Times New Roman" w:hAnsi="Times New Roman" w:cs="Times New Roman"/>
                <w:color w:val="000000" w:themeColor="text1"/>
                <w:kern w:val="0"/>
                <w:sz w:val="24"/>
                <w14:textFill>
                  <w14:solidFill>
                    <w14:schemeClr w14:val="tx1"/>
                  </w14:solidFill>
                </w14:textFill>
              </w:rPr>
              <w:t>对照《环境影响评价技术导则 地下水环境》（</w:t>
            </w:r>
            <w:r>
              <w:rPr>
                <w:rFonts w:hint="default" w:ascii="Times New Roman" w:hAnsi="Times New Roman" w:cs="Times New Roman"/>
                <w:color w:val="000000" w:themeColor="text1"/>
                <w:sz w:val="24"/>
                <w14:textFill>
                  <w14:solidFill>
                    <w14:schemeClr w14:val="tx1"/>
                  </w14:solidFill>
                </w14:textFill>
              </w:rPr>
              <w:t>HJ 610-2016</w:t>
            </w:r>
            <w:r>
              <w:rPr>
                <w:rFonts w:hint="default" w:ascii="Times New Roman" w:hAnsi="Times New Roman" w:cs="Times New Roman"/>
                <w:color w:val="000000" w:themeColor="text1"/>
                <w:kern w:val="0"/>
                <w:sz w:val="24"/>
                <w14:textFill>
                  <w14:solidFill>
                    <w14:schemeClr w14:val="tx1"/>
                  </w14:solidFill>
                </w14:textFill>
              </w:rPr>
              <w:t>）——地下水环境影响评价行业分类表</w:t>
            </w:r>
            <w:r>
              <w:rPr>
                <w:rFonts w:hint="default" w:ascii="Times New Roman" w:hAnsi="Times New Roman" w:cs="Times New Roman"/>
                <w:color w:val="000000" w:themeColor="text1"/>
                <w:sz w:val="24"/>
                <w14:textFill>
                  <w14:solidFill>
                    <w14:schemeClr w14:val="tx1"/>
                  </w14:solidFill>
                </w14:textFill>
              </w:rPr>
              <w:t>，确定本项目地下水环境影响评价项目类别属于</w:t>
            </w:r>
            <w:r>
              <w:rPr>
                <w:rFonts w:hint="default" w:ascii="Times New Roman" w:hAnsi="Times New Roman" w:cs="Times New Roman"/>
                <w:color w:val="000000" w:themeColor="text1"/>
                <w:sz w:val="24"/>
                <w14:textFill>
                  <w14:solidFill>
                    <w14:schemeClr w14:val="tx1"/>
                  </w14:solidFill>
                </w14:textFill>
              </w:rPr>
              <w:fldChar w:fldCharType="begin"/>
            </w:r>
            <w:r>
              <w:rPr>
                <w:rFonts w:hint="default" w:ascii="Times New Roman" w:hAnsi="Times New Roman" w:cs="Times New Roman"/>
                <w:color w:val="000000" w:themeColor="text1"/>
                <w:sz w:val="24"/>
                <w14:textFill>
                  <w14:solidFill>
                    <w14:schemeClr w14:val="tx1"/>
                  </w14:solidFill>
                </w14:textFill>
              </w:rPr>
              <w:instrText xml:space="preserve"> = 3 \* ROMAN \* MERGEFORMAT </w:instrText>
            </w:r>
            <w:r>
              <w:rPr>
                <w:rFonts w:hint="default" w:ascii="Times New Roman" w:hAnsi="Times New Roman" w:cs="Times New Roman"/>
                <w:color w:val="000000" w:themeColor="text1"/>
                <w:sz w:val="24"/>
                <w14:textFill>
                  <w14:solidFill>
                    <w14:schemeClr w14:val="tx1"/>
                  </w14:solidFill>
                </w14:textFill>
              </w:rPr>
              <w:fldChar w:fldCharType="separate"/>
            </w:r>
            <w:r>
              <w:rPr>
                <w:rFonts w:hint="default" w:ascii="Times New Roman" w:hAnsi="Times New Roman" w:cs="Times New Roman"/>
              </w:rPr>
              <w:t>III</w:t>
            </w:r>
            <w:r>
              <w:rPr>
                <w:rFonts w:hint="default" w:ascii="Times New Roman" w:hAnsi="Times New Roman" w:cs="Times New Roman"/>
                <w:color w:val="000000" w:themeColor="text1"/>
                <w:sz w:val="24"/>
                <w14:textFill>
                  <w14:solidFill>
                    <w14:schemeClr w14:val="tx1"/>
                  </w14:solidFill>
                </w14:textFill>
              </w:rPr>
              <w:fldChar w:fldCharType="end"/>
            </w:r>
            <w:r>
              <w:rPr>
                <w:rFonts w:hint="default" w:ascii="Times New Roman" w:hAnsi="Times New Roman" w:cs="Times New Roman"/>
                <w:color w:val="000000" w:themeColor="text1"/>
                <w:sz w:val="24"/>
                <w14:textFill>
                  <w14:solidFill>
                    <w14:schemeClr w14:val="tx1"/>
                  </w14:solidFill>
                </w14:textFill>
              </w:rPr>
              <w:t>类。</w:t>
            </w:r>
          </w:p>
          <w:p>
            <w:pPr>
              <w:spacing w:line="360" w:lineRule="auto"/>
              <w:ind w:firstLine="48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经走访调查，</w:t>
            </w:r>
            <w:r>
              <w:rPr>
                <w:rFonts w:hint="default" w:ascii="Times New Roman" w:hAnsi="Times New Roman" w:cs="Times New Roman"/>
                <w:color w:val="auto"/>
                <w:sz w:val="24"/>
              </w:rPr>
              <w:t>本项目所在区域无敏感点。</w:t>
            </w:r>
          </w:p>
          <w:p>
            <w:pPr>
              <w:spacing w:line="360" w:lineRule="auto"/>
              <w:ind w:firstLine="480"/>
              <w:rPr>
                <w:rFonts w:hint="default" w:ascii="Times New Roman" w:hAnsi="Times New Roman" w:cs="Times New Roman"/>
                <w:color w:val="000000" w:themeColor="text1"/>
                <w:kern w:val="0"/>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根据</w:t>
            </w:r>
            <w:r>
              <w:rPr>
                <w:rFonts w:hint="default" w:ascii="Times New Roman" w:hAnsi="Times New Roman" w:cs="Times New Roman"/>
                <w:color w:val="000000" w:themeColor="text1"/>
                <w:kern w:val="0"/>
                <w:sz w:val="24"/>
                <w14:textFill>
                  <w14:solidFill>
                    <w14:schemeClr w14:val="tx1"/>
                  </w14:solidFill>
                </w14:textFill>
              </w:rPr>
              <w:t>《环境影响评价技术导则 地下水环境》（</w:t>
            </w:r>
            <w:r>
              <w:rPr>
                <w:rFonts w:hint="default" w:ascii="Times New Roman" w:hAnsi="Times New Roman" w:cs="Times New Roman"/>
                <w:color w:val="000000" w:themeColor="text1"/>
                <w:sz w:val="24"/>
                <w14:textFill>
                  <w14:solidFill>
                    <w14:schemeClr w14:val="tx1"/>
                  </w14:solidFill>
                </w14:textFill>
              </w:rPr>
              <w:t>HJ 610-2016</w:t>
            </w:r>
            <w:r>
              <w:rPr>
                <w:rFonts w:hint="default" w:ascii="Times New Roman" w:hAnsi="Times New Roman" w:cs="Times New Roman"/>
                <w:color w:val="000000" w:themeColor="text1"/>
                <w:kern w:val="0"/>
                <w:sz w:val="24"/>
                <w14:textFill>
                  <w14:solidFill>
                    <w14:schemeClr w14:val="tx1"/>
                  </w14:solidFill>
                </w14:textFill>
              </w:rPr>
              <w:t>）最终确定本项目地下水评价等级定为三级。</w:t>
            </w:r>
          </w:p>
          <w:p>
            <w:pPr>
              <w:spacing w:line="360" w:lineRule="auto"/>
              <w:ind w:firstLine="480"/>
              <w:rPr>
                <w:rFonts w:hint="default" w:ascii="Times New Roman" w:hAnsi="Times New Roman" w:cs="Times New Roman"/>
                <w:color w:val="000000" w:themeColor="text1"/>
                <w:kern w:val="0"/>
                <w:sz w:val="24"/>
                <w14:textFill>
                  <w14:solidFill>
                    <w14:schemeClr w14:val="tx1"/>
                  </w14:solidFill>
                </w14:textFill>
              </w:rPr>
            </w:pPr>
            <w:r>
              <w:rPr>
                <w:rFonts w:hint="default" w:ascii="Times New Roman" w:hAnsi="Times New Roman" w:cs="Times New Roman"/>
                <w:color w:val="000000" w:themeColor="text1"/>
                <w:kern w:val="0"/>
                <w:sz w:val="24"/>
                <w14:textFill>
                  <w14:solidFill>
                    <w14:schemeClr w14:val="tx1"/>
                  </w14:solidFill>
                </w14:textFill>
              </w:rPr>
              <w:t>（2）评价范围</w:t>
            </w:r>
          </w:p>
          <w:p>
            <w:pPr>
              <w:spacing w:line="360" w:lineRule="auto"/>
              <w:ind w:firstLine="48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根据《环境影响评价技术导则 地下水环境》（HJ 610-2016）地下水三级评价环境影响评价范围≤6km</w:t>
            </w:r>
            <w:r>
              <w:rPr>
                <w:rFonts w:hint="default" w:ascii="Times New Roman" w:hAnsi="Times New Roman" w:cs="Times New Roman"/>
                <w:color w:val="000000" w:themeColor="text1"/>
                <w:sz w:val="24"/>
                <w:vertAlign w:val="superscript"/>
                <w14:textFill>
                  <w14:solidFill>
                    <w14:schemeClr w14:val="tx1"/>
                  </w14:solidFill>
                </w14:textFill>
              </w:rPr>
              <w:t>2</w:t>
            </w:r>
            <w:r>
              <w:rPr>
                <w:rFonts w:hint="default" w:ascii="Times New Roman" w:hAnsi="Times New Roman" w:cs="Times New Roman"/>
                <w:color w:val="000000" w:themeColor="text1"/>
                <w:sz w:val="24"/>
                <w14:textFill>
                  <w14:solidFill>
                    <w14:schemeClr w14:val="tx1"/>
                  </w14:solidFill>
                </w14:textFill>
              </w:rPr>
              <w:t>，应包括重要的地下水环境保护目标。</w:t>
            </w:r>
          </w:p>
          <w:p>
            <w:pPr>
              <w:spacing w:line="360" w:lineRule="auto"/>
              <w:ind w:firstLine="480"/>
              <w:rPr>
                <w:rFonts w:hint="default" w:ascii="Times New Roman" w:hAnsi="Times New Roman" w:cs="Times New Roman"/>
                <w:color w:val="000000" w:themeColor="text1"/>
                <w:kern w:val="0"/>
                <w:sz w:val="24"/>
                <w14:textFill>
                  <w14:solidFill>
                    <w14:schemeClr w14:val="tx1"/>
                  </w14:solidFill>
                </w14:textFill>
              </w:rPr>
            </w:pPr>
            <w:r>
              <w:rPr>
                <w:rFonts w:hint="default" w:ascii="Times New Roman" w:hAnsi="Times New Roman" w:cs="Times New Roman"/>
                <w:color w:val="000000" w:themeColor="text1"/>
                <w:kern w:val="0"/>
                <w:sz w:val="24"/>
                <w14:textFill>
                  <w14:solidFill>
                    <w14:schemeClr w14:val="tx1"/>
                  </w14:solidFill>
                </w14:textFill>
              </w:rPr>
              <w:t>（3）影响分析</w:t>
            </w:r>
          </w:p>
          <w:p>
            <w:pPr>
              <w:spacing w:line="360" w:lineRule="auto"/>
              <w:ind w:firstLine="480" w:firstLineChars="20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fldChar w:fldCharType="begin"/>
            </w:r>
            <w:r>
              <w:rPr>
                <w:rFonts w:hint="default" w:ascii="Times New Roman" w:hAnsi="Times New Roman" w:cs="Times New Roman"/>
                <w:color w:val="000000" w:themeColor="text1"/>
                <w:sz w:val="24"/>
                <w14:textFill>
                  <w14:solidFill>
                    <w14:schemeClr w14:val="tx1"/>
                  </w14:solidFill>
                </w14:textFill>
              </w:rPr>
              <w:instrText xml:space="preserve"> = 1 \* GB3 </w:instrText>
            </w:r>
            <w:r>
              <w:rPr>
                <w:rFonts w:hint="default" w:ascii="Times New Roman" w:hAnsi="Times New Roman" w:cs="Times New Roman"/>
                <w:color w:val="000000" w:themeColor="text1"/>
                <w:sz w:val="24"/>
                <w14:textFill>
                  <w14:solidFill>
                    <w14:schemeClr w14:val="tx1"/>
                  </w14:solidFill>
                </w14:textFill>
              </w:rPr>
              <w:fldChar w:fldCharType="separate"/>
            </w:r>
            <w:r>
              <w:rPr>
                <w:rFonts w:hint="default" w:ascii="Times New Roman" w:hAnsi="Times New Roman" w:cs="Times New Roman"/>
                <w:color w:val="000000" w:themeColor="text1"/>
                <w:sz w:val="24"/>
                <w14:textFill>
                  <w14:solidFill>
                    <w14:schemeClr w14:val="tx1"/>
                  </w14:solidFill>
                </w14:textFill>
              </w:rPr>
              <w:t>①</w:t>
            </w:r>
            <w:r>
              <w:rPr>
                <w:rFonts w:hint="default" w:ascii="Times New Roman" w:hAnsi="Times New Roman" w:cs="Times New Roman"/>
                <w:color w:val="000000" w:themeColor="text1"/>
                <w:sz w:val="24"/>
                <w14:textFill>
                  <w14:solidFill>
                    <w14:schemeClr w14:val="tx1"/>
                  </w14:solidFill>
                </w14:textFill>
              </w:rPr>
              <w:fldChar w:fldCharType="end"/>
            </w:r>
            <w:r>
              <w:rPr>
                <w:rFonts w:hint="default" w:ascii="Times New Roman" w:hAnsi="Times New Roman" w:cs="Times New Roman"/>
                <w:color w:val="000000" w:themeColor="text1"/>
                <w:sz w:val="24"/>
                <w14:textFill>
                  <w14:solidFill>
                    <w14:schemeClr w14:val="tx1"/>
                  </w14:solidFill>
                </w14:textFill>
              </w:rPr>
              <w:t>污染途径</w:t>
            </w:r>
          </w:p>
          <w:p>
            <w:pPr>
              <w:spacing w:line="360" w:lineRule="auto"/>
              <w:ind w:firstLine="480" w:firstLineChars="200"/>
              <w:rPr>
                <w:rFonts w:hint="default" w:ascii="Times New Roman" w:hAnsi="Times New Roman" w:cs="Times New Roman"/>
                <w:color w:val="000000" w:themeColor="text1"/>
                <w:sz w:val="24"/>
                <w:szCs w:val="22"/>
                <w14:textFill>
                  <w14:solidFill>
                    <w14:schemeClr w14:val="tx1"/>
                  </w14:solidFill>
                </w14:textFill>
              </w:rPr>
            </w:pPr>
            <w:r>
              <w:rPr>
                <w:rFonts w:hint="default" w:ascii="Times New Roman" w:hAnsi="Times New Roman" w:cs="Times New Roman"/>
                <w:color w:val="000000" w:themeColor="text1"/>
                <w:sz w:val="24"/>
                <w:szCs w:val="22"/>
                <w14:textFill>
                  <w14:solidFill>
                    <w14:schemeClr w14:val="tx1"/>
                  </w14:solidFill>
                </w14:textFill>
              </w:rPr>
              <w:t>根据项目特点及项目所处区域的地质情况综合分析，本项目在营运期其间可能对下水造成污染的途径主要有：</w:t>
            </w:r>
            <w:r>
              <w:rPr>
                <w:rFonts w:hint="default" w:ascii="Times New Roman" w:hAnsi="Times New Roman" w:cs="Times New Roman"/>
                <w:color w:val="000000" w:themeColor="text1"/>
                <w:kern w:val="0"/>
                <w:sz w:val="24"/>
                <w:szCs w:val="20"/>
                <w:lang w:eastAsia="zh-CN"/>
                <w14:textFill>
                  <w14:solidFill>
                    <w14:schemeClr w14:val="tx1"/>
                  </w14:solidFill>
                </w14:textFill>
              </w:rPr>
              <w:t>乙二醇和</w:t>
            </w:r>
            <w:r>
              <w:rPr>
                <w:rFonts w:hint="eastAsia" w:ascii="Times New Roman" w:hAnsi="Times New Roman" w:cs="Times New Roman"/>
                <w:color w:val="000000" w:themeColor="text1"/>
                <w:kern w:val="0"/>
                <w:sz w:val="24"/>
                <w:szCs w:val="20"/>
                <w:lang w:eastAsia="zh-CN"/>
                <w14:textFill>
                  <w14:solidFill>
                    <w14:schemeClr w14:val="tx1"/>
                  </w14:solidFill>
                </w14:textFill>
              </w:rPr>
              <w:t>由乙二醇混合而成的</w:t>
            </w:r>
            <w:r>
              <w:rPr>
                <w:rFonts w:hint="default" w:ascii="Times New Roman" w:hAnsi="Times New Roman" w:cs="Times New Roman"/>
                <w:color w:val="000000" w:themeColor="text1"/>
                <w:kern w:val="0"/>
                <w:sz w:val="24"/>
                <w:szCs w:val="20"/>
                <w:lang w:eastAsia="zh-CN"/>
                <w14:textFill>
                  <w14:solidFill>
                    <w14:schemeClr w14:val="tx1"/>
                  </w14:solidFill>
                </w14:textFill>
              </w:rPr>
              <w:t>产品</w:t>
            </w:r>
            <w:r>
              <w:rPr>
                <w:rFonts w:hint="default" w:ascii="Times New Roman" w:hAnsi="Times New Roman" w:cs="Times New Roman"/>
                <w:color w:val="000000" w:themeColor="text1"/>
                <w:kern w:val="0"/>
                <w:sz w:val="24"/>
                <w:szCs w:val="20"/>
                <w14:textFill>
                  <w14:solidFill>
                    <w14:schemeClr w14:val="tx1"/>
                  </w14:solidFill>
                </w14:textFill>
              </w:rPr>
              <w:t>泄漏</w:t>
            </w:r>
            <w:r>
              <w:rPr>
                <w:rFonts w:hint="default" w:ascii="Times New Roman" w:hAnsi="Times New Roman" w:cs="Times New Roman"/>
                <w:color w:val="000000" w:themeColor="text1"/>
                <w:sz w:val="24"/>
                <w:szCs w:val="22"/>
                <w14:textFill>
                  <w14:solidFill>
                    <w14:schemeClr w14:val="tx1"/>
                  </w14:solidFill>
                </w14:textFill>
              </w:rPr>
              <w:t>造成地下水的污染。</w:t>
            </w:r>
          </w:p>
          <w:p>
            <w:pPr>
              <w:spacing w:line="360" w:lineRule="auto"/>
              <w:ind w:firstLine="480" w:firstLineChars="200"/>
              <w:rPr>
                <w:rFonts w:hint="default" w:ascii="Times New Roman" w:hAnsi="Times New Roman" w:cs="Times New Roman"/>
                <w:color w:val="000000" w:themeColor="text1"/>
                <w:sz w:val="24"/>
                <w:szCs w:val="22"/>
                <w14:textFill>
                  <w14:solidFill>
                    <w14:schemeClr w14:val="tx1"/>
                  </w14:solidFill>
                </w14:textFill>
              </w:rPr>
            </w:pPr>
            <w:r>
              <w:rPr>
                <w:rFonts w:hint="default" w:ascii="Times New Roman" w:hAnsi="Times New Roman" w:cs="Times New Roman"/>
                <w:color w:val="000000" w:themeColor="text1"/>
                <w:sz w:val="24"/>
                <w:szCs w:val="22"/>
                <w14:textFill>
                  <w14:solidFill>
                    <w14:schemeClr w14:val="tx1"/>
                  </w14:solidFill>
                </w14:textFill>
              </w:rPr>
              <w:fldChar w:fldCharType="begin"/>
            </w:r>
            <w:r>
              <w:rPr>
                <w:rFonts w:hint="default" w:ascii="Times New Roman" w:hAnsi="Times New Roman" w:cs="Times New Roman"/>
                <w:color w:val="000000" w:themeColor="text1"/>
                <w:sz w:val="24"/>
                <w:szCs w:val="22"/>
                <w14:textFill>
                  <w14:solidFill>
                    <w14:schemeClr w14:val="tx1"/>
                  </w14:solidFill>
                </w14:textFill>
              </w:rPr>
              <w:instrText xml:space="preserve"> = 2 \* GB3 </w:instrText>
            </w:r>
            <w:r>
              <w:rPr>
                <w:rFonts w:hint="default" w:ascii="Times New Roman" w:hAnsi="Times New Roman" w:cs="Times New Roman"/>
                <w:color w:val="000000" w:themeColor="text1"/>
                <w:sz w:val="24"/>
                <w:szCs w:val="22"/>
                <w14:textFill>
                  <w14:solidFill>
                    <w14:schemeClr w14:val="tx1"/>
                  </w14:solidFill>
                </w14:textFill>
              </w:rPr>
              <w:fldChar w:fldCharType="separate"/>
            </w:r>
            <w:r>
              <w:rPr>
                <w:rFonts w:hint="default" w:ascii="Times New Roman" w:hAnsi="Times New Roman" w:cs="Times New Roman"/>
                <w:color w:val="000000" w:themeColor="text1"/>
                <w:sz w:val="24"/>
                <w:szCs w:val="22"/>
                <w14:textFill>
                  <w14:solidFill>
                    <w14:schemeClr w14:val="tx1"/>
                  </w14:solidFill>
                </w14:textFill>
              </w:rPr>
              <w:t>②</w:t>
            </w:r>
            <w:r>
              <w:rPr>
                <w:rFonts w:hint="default" w:ascii="Times New Roman" w:hAnsi="Times New Roman" w:cs="Times New Roman"/>
                <w:color w:val="000000" w:themeColor="text1"/>
                <w:sz w:val="24"/>
                <w:szCs w:val="22"/>
                <w14:textFill>
                  <w14:solidFill>
                    <w14:schemeClr w14:val="tx1"/>
                  </w14:solidFill>
                </w14:textFill>
              </w:rPr>
              <w:fldChar w:fldCharType="end"/>
            </w:r>
            <w:r>
              <w:rPr>
                <w:rFonts w:hint="default" w:ascii="Times New Roman" w:hAnsi="Times New Roman" w:cs="Times New Roman"/>
                <w:color w:val="000000" w:themeColor="text1"/>
                <w:sz w:val="24"/>
                <w:szCs w:val="22"/>
                <w14:textFill>
                  <w14:solidFill>
                    <w14:schemeClr w14:val="tx1"/>
                  </w14:solidFill>
                </w14:textFill>
              </w:rPr>
              <w:t>环境影响分析</w:t>
            </w:r>
          </w:p>
          <w:p>
            <w:pPr>
              <w:spacing w:line="360" w:lineRule="auto"/>
              <w:ind w:firstLine="480" w:firstLineChars="200"/>
              <w:rPr>
                <w:rFonts w:hint="default" w:ascii="Times New Roman" w:hAnsi="Times New Roman" w:cs="Times New Roman"/>
                <w:color w:val="000000" w:themeColor="text1"/>
                <w:sz w:val="24"/>
                <w:szCs w:val="22"/>
                <w14:textFill>
                  <w14:solidFill>
                    <w14:schemeClr w14:val="tx1"/>
                  </w14:solidFill>
                </w14:textFill>
              </w:rPr>
            </w:pPr>
            <w:r>
              <w:rPr>
                <w:rFonts w:hint="default" w:ascii="Times New Roman" w:hAnsi="Times New Roman" w:cs="Times New Roman"/>
                <w:color w:val="000000" w:themeColor="text1"/>
                <w:sz w:val="24"/>
                <w:szCs w:val="22"/>
                <w14:textFill>
                  <w14:solidFill>
                    <w14:schemeClr w14:val="tx1"/>
                  </w14:solidFill>
                </w14:textFill>
              </w:rPr>
              <w:t>运行期对地下水可能造成影响最大的因素是</w:t>
            </w:r>
            <w:r>
              <w:rPr>
                <w:rFonts w:hint="default" w:ascii="Times New Roman" w:hAnsi="Times New Roman" w:cs="Times New Roman"/>
                <w:color w:val="000000" w:themeColor="text1"/>
                <w:kern w:val="0"/>
                <w:sz w:val="24"/>
                <w:szCs w:val="20"/>
                <w:lang w:eastAsia="zh-CN"/>
                <w14:textFill>
                  <w14:solidFill>
                    <w14:schemeClr w14:val="tx1"/>
                  </w14:solidFill>
                </w14:textFill>
              </w:rPr>
              <w:t>乙二醇和产品</w:t>
            </w:r>
            <w:r>
              <w:rPr>
                <w:rFonts w:hint="default" w:ascii="Times New Roman" w:hAnsi="Times New Roman" w:cs="Times New Roman"/>
                <w:color w:val="000000" w:themeColor="text1"/>
                <w:kern w:val="0"/>
                <w:sz w:val="24"/>
                <w:szCs w:val="20"/>
                <w14:textFill>
                  <w14:solidFill>
                    <w14:schemeClr w14:val="tx1"/>
                  </w14:solidFill>
                </w14:textFill>
              </w:rPr>
              <w:t>泄漏事故。在包气带较厚的地区，</w:t>
            </w:r>
            <w:r>
              <w:rPr>
                <w:rFonts w:hint="eastAsia" w:cs="Times New Roman"/>
                <w:color w:val="000000" w:themeColor="text1"/>
                <w:kern w:val="0"/>
                <w:sz w:val="24"/>
                <w:szCs w:val="20"/>
                <w:lang w:eastAsia="zh-CN"/>
                <w14:textFill>
                  <w14:solidFill>
                    <w14:schemeClr w14:val="tx1"/>
                  </w14:solidFill>
                </w14:textFill>
              </w:rPr>
              <w:t>对</w:t>
            </w:r>
            <w:r>
              <w:rPr>
                <w:rFonts w:hint="default" w:ascii="Times New Roman" w:hAnsi="Times New Roman" w:cs="Times New Roman"/>
                <w:color w:val="000000" w:themeColor="text1"/>
                <w:kern w:val="0"/>
                <w:sz w:val="24"/>
                <w:szCs w:val="20"/>
                <w14:textFill>
                  <w14:solidFill>
                    <w14:schemeClr w14:val="tx1"/>
                  </w14:solidFill>
                </w14:textFill>
              </w:rPr>
              <w:t>地下水水质基本没有影响；在包气带较薄的地区</w:t>
            </w:r>
            <w:r>
              <w:rPr>
                <w:rFonts w:hint="default" w:ascii="Times New Roman" w:hAnsi="Times New Roman" w:cs="Times New Roman"/>
                <w:color w:val="000000" w:themeColor="text1"/>
                <w:kern w:val="0"/>
                <w:sz w:val="24"/>
                <w:szCs w:val="20"/>
                <w:lang w:eastAsia="zh-CN"/>
                <w14:textFill>
                  <w14:solidFill>
                    <w14:schemeClr w14:val="tx1"/>
                  </w14:solidFill>
                </w14:textFill>
              </w:rPr>
              <w:t>乙二醇</w:t>
            </w:r>
            <w:r>
              <w:rPr>
                <w:rFonts w:hint="default" w:ascii="Times New Roman" w:hAnsi="Times New Roman" w:cs="Times New Roman"/>
                <w:color w:val="000000" w:themeColor="text1"/>
                <w:kern w:val="0"/>
                <w:sz w:val="24"/>
                <w:szCs w:val="20"/>
                <w14:textFill>
                  <w14:solidFill>
                    <w14:schemeClr w14:val="tx1"/>
                  </w14:solidFill>
                </w14:textFill>
              </w:rPr>
              <w:t>通过包气带下渗进入潜水含水层，将会造成地下水水质污染，其污染程度与排放量和排放时间成正比。因此，为了防止储罐</w:t>
            </w:r>
            <w:r>
              <w:rPr>
                <w:rFonts w:hint="eastAsia" w:cs="Times New Roman"/>
                <w:color w:val="000000" w:themeColor="text1"/>
                <w:kern w:val="0"/>
                <w:sz w:val="24"/>
                <w:szCs w:val="20"/>
                <w:lang w:eastAsia="zh-CN"/>
                <w14:textFill>
                  <w14:solidFill>
                    <w14:schemeClr w14:val="tx1"/>
                  </w14:solidFill>
                </w14:textFill>
              </w:rPr>
              <w:t>泄漏</w:t>
            </w:r>
            <w:r>
              <w:rPr>
                <w:rFonts w:hint="default" w:ascii="Times New Roman" w:hAnsi="Times New Roman" w:cs="Times New Roman"/>
                <w:color w:val="000000" w:themeColor="text1"/>
                <w:kern w:val="0"/>
                <w:sz w:val="24"/>
                <w:szCs w:val="20"/>
                <w14:textFill>
                  <w14:solidFill>
                    <w14:schemeClr w14:val="tx1"/>
                  </w14:solidFill>
                </w14:textFill>
              </w:rPr>
              <w:t>事故发生，建设单位应对</w:t>
            </w:r>
            <w:r>
              <w:rPr>
                <w:rFonts w:hint="default" w:ascii="Times New Roman" w:hAnsi="Times New Roman" w:cs="Times New Roman"/>
                <w:color w:val="000000" w:themeColor="text1"/>
                <w:kern w:val="0"/>
                <w:sz w:val="24"/>
                <w:szCs w:val="20"/>
                <w:lang w:eastAsia="zh-CN"/>
                <w14:textFill>
                  <w14:solidFill>
                    <w14:schemeClr w14:val="tx1"/>
                  </w14:solidFill>
                </w14:textFill>
              </w:rPr>
              <w:t>生产区和原料车间、仓库、成品周转棚</w:t>
            </w:r>
            <w:r>
              <w:rPr>
                <w:rFonts w:hint="default" w:ascii="Times New Roman" w:hAnsi="Times New Roman" w:cs="Times New Roman"/>
                <w:color w:val="000000" w:themeColor="text1"/>
                <w:kern w:val="0"/>
                <w:sz w:val="24"/>
                <w:szCs w:val="20"/>
                <w14:textFill>
                  <w14:solidFill>
                    <w14:schemeClr w14:val="tx1"/>
                  </w14:solidFill>
                </w14:textFill>
              </w:rPr>
              <w:t>采取严格的</w:t>
            </w:r>
            <w:r>
              <w:rPr>
                <w:rFonts w:hint="default" w:ascii="Times New Roman" w:hAnsi="Times New Roman" w:cs="Times New Roman"/>
                <w:color w:val="000000" w:themeColor="text1"/>
                <w:kern w:val="0"/>
                <w:sz w:val="24"/>
                <w:szCs w:val="20"/>
                <w:lang w:eastAsia="zh-CN"/>
                <w14:textFill>
                  <w14:solidFill>
                    <w14:schemeClr w14:val="tx1"/>
                  </w14:solidFill>
                </w14:textFill>
              </w:rPr>
              <w:t>防渗</w:t>
            </w:r>
            <w:r>
              <w:rPr>
                <w:rFonts w:hint="default" w:ascii="Times New Roman" w:hAnsi="Times New Roman" w:cs="Times New Roman"/>
                <w:color w:val="000000" w:themeColor="text1"/>
                <w:kern w:val="0"/>
                <w:sz w:val="24"/>
                <w:szCs w:val="20"/>
                <w14:textFill>
                  <w14:solidFill>
                    <w14:schemeClr w14:val="tx1"/>
                  </w14:solidFill>
                </w14:textFill>
              </w:rPr>
              <w:t>措施，此外在运行过程中，加强储罐、设备的维护和巡查力度，杜绝泄漏事故发生。</w:t>
            </w:r>
            <w:r>
              <w:rPr>
                <w:rFonts w:hint="default" w:ascii="Times New Roman" w:hAnsi="Times New Roman" w:cs="Times New Roman"/>
                <w:color w:val="000000" w:themeColor="text1"/>
                <w:sz w:val="24"/>
                <w:szCs w:val="22"/>
                <w14:textFill>
                  <w14:solidFill>
                    <w14:schemeClr w14:val="tx1"/>
                  </w14:solidFill>
                </w14:textFill>
              </w:rPr>
              <w:t>故本项目在营运期对地下水位基本无影响。</w:t>
            </w:r>
          </w:p>
          <w:p>
            <w:pPr>
              <w:spacing w:line="360" w:lineRule="auto"/>
              <w:ind w:firstLine="480" w:firstLineChars="200"/>
              <w:rPr>
                <w:rFonts w:hint="default" w:ascii="Times New Roman" w:hAnsi="Times New Roman" w:cs="Times New Roman"/>
                <w:color w:val="000000" w:themeColor="text1"/>
                <w:sz w:val="24"/>
                <w:szCs w:val="22"/>
                <w14:textFill>
                  <w14:solidFill>
                    <w14:schemeClr w14:val="tx1"/>
                  </w14:solidFill>
                </w14:textFill>
              </w:rPr>
            </w:pPr>
            <w:r>
              <w:rPr>
                <w:rFonts w:hint="default" w:ascii="Times New Roman" w:hAnsi="Times New Roman" w:cs="Times New Roman"/>
                <w:color w:val="000000" w:themeColor="text1"/>
                <w:sz w:val="24"/>
                <w:szCs w:val="22"/>
                <w14:textFill>
                  <w14:solidFill>
                    <w14:schemeClr w14:val="tx1"/>
                  </w14:solidFill>
                </w14:textFill>
              </w:rPr>
              <w:fldChar w:fldCharType="begin"/>
            </w:r>
            <w:r>
              <w:rPr>
                <w:rFonts w:hint="default" w:ascii="Times New Roman" w:hAnsi="Times New Roman" w:cs="Times New Roman"/>
                <w:color w:val="000000" w:themeColor="text1"/>
                <w:sz w:val="24"/>
                <w:szCs w:val="22"/>
                <w14:textFill>
                  <w14:solidFill>
                    <w14:schemeClr w14:val="tx1"/>
                  </w14:solidFill>
                </w14:textFill>
              </w:rPr>
              <w:instrText xml:space="preserve"> = 3 \* GB3 </w:instrText>
            </w:r>
            <w:r>
              <w:rPr>
                <w:rFonts w:hint="default" w:ascii="Times New Roman" w:hAnsi="Times New Roman" w:cs="Times New Roman"/>
                <w:color w:val="000000" w:themeColor="text1"/>
                <w:sz w:val="24"/>
                <w:szCs w:val="22"/>
                <w14:textFill>
                  <w14:solidFill>
                    <w14:schemeClr w14:val="tx1"/>
                  </w14:solidFill>
                </w14:textFill>
              </w:rPr>
              <w:fldChar w:fldCharType="separate"/>
            </w:r>
            <w:r>
              <w:rPr>
                <w:rFonts w:hint="default" w:ascii="Times New Roman" w:hAnsi="Times New Roman" w:cs="Times New Roman"/>
                <w:color w:val="000000" w:themeColor="text1"/>
                <w:sz w:val="24"/>
                <w:szCs w:val="22"/>
                <w14:textFill>
                  <w14:solidFill>
                    <w14:schemeClr w14:val="tx1"/>
                  </w14:solidFill>
                </w14:textFill>
              </w:rPr>
              <w:t>③</w:t>
            </w:r>
            <w:r>
              <w:rPr>
                <w:rFonts w:hint="default" w:ascii="Times New Roman" w:hAnsi="Times New Roman" w:cs="Times New Roman"/>
                <w:color w:val="000000" w:themeColor="text1"/>
                <w:sz w:val="24"/>
                <w:szCs w:val="22"/>
                <w14:textFill>
                  <w14:solidFill>
                    <w14:schemeClr w14:val="tx1"/>
                  </w14:solidFill>
                </w14:textFill>
              </w:rPr>
              <w:fldChar w:fldCharType="end"/>
            </w:r>
            <w:r>
              <w:rPr>
                <w:rFonts w:hint="default" w:ascii="Times New Roman" w:hAnsi="Times New Roman" w:cs="Times New Roman"/>
                <w:color w:val="000000" w:themeColor="text1"/>
                <w:sz w:val="24"/>
                <w:szCs w:val="22"/>
                <w14:textFill>
                  <w14:solidFill>
                    <w14:schemeClr w14:val="tx1"/>
                  </w14:solidFill>
                </w14:textFill>
              </w:rPr>
              <w:t>地下水污染分区防治措施</w:t>
            </w:r>
          </w:p>
          <w:p>
            <w:pPr>
              <w:autoSpaceDE w:val="0"/>
              <w:autoSpaceDN w:val="0"/>
              <w:adjustRightInd w:val="0"/>
              <w:spacing w:line="360" w:lineRule="auto"/>
              <w:ind w:firstLine="480" w:firstLineChars="200"/>
              <w:rPr>
                <w:rFonts w:hint="default" w:ascii="Times New Roman" w:hAnsi="Times New Roman" w:cs="Times New Roman"/>
                <w:color w:val="000000" w:themeColor="text1"/>
                <w:kern w:val="0"/>
                <w:sz w:val="24"/>
                <w:szCs w:val="20"/>
                <w14:textFill>
                  <w14:solidFill>
                    <w14:schemeClr w14:val="tx1"/>
                  </w14:solidFill>
                </w14:textFill>
              </w:rPr>
            </w:pPr>
            <w:r>
              <w:rPr>
                <w:rFonts w:hint="default" w:ascii="Times New Roman" w:hAnsi="Times New Roman" w:cs="Times New Roman"/>
                <w:color w:val="000000" w:themeColor="text1"/>
                <w:kern w:val="0"/>
                <w:sz w:val="24"/>
                <w:szCs w:val="20"/>
                <w14:textFill>
                  <w14:solidFill>
                    <w14:schemeClr w14:val="tx1"/>
                  </w14:solidFill>
                </w14:textFill>
              </w:rPr>
              <w:t>本项目对地下水环境产生影响主要为事故泄漏对地下水环境的影响。污染途经主要有</w:t>
            </w:r>
            <w:r>
              <w:rPr>
                <w:rFonts w:hint="default" w:ascii="Times New Roman" w:hAnsi="Times New Roman" w:cs="Times New Roman"/>
                <w:color w:val="000000" w:themeColor="text1"/>
                <w:kern w:val="0"/>
                <w:sz w:val="24"/>
                <w:szCs w:val="20"/>
                <w:lang w:eastAsia="zh-CN"/>
                <w14:textFill>
                  <w14:solidFill>
                    <w14:schemeClr w14:val="tx1"/>
                  </w14:solidFill>
                </w14:textFill>
              </w:rPr>
              <w:t>乙二醇和产品</w:t>
            </w:r>
            <w:r>
              <w:rPr>
                <w:rFonts w:hint="default" w:ascii="Times New Roman" w:hAnsi="Times New Roman" w:cs="Times New Roman"/>
                <w:color w:val="000000" w:themeColor="text1"/>
                <w:kern w:val="0"/>
                <w:sz w:val="24"/>
                <w:szCs w:val="20"/>
                <w14:textFill>
                  <w14:solidFill>
                    <w14:schemeClr w14:val="tx1"/>
                  </w14:solidFill>
                </w14:textFill>
              </w:rPr>
              <w:t>泄漏等的跑、冒、滴、漏等非正常工况下对地下水造成的污染。</w:t>
            </w:r>
          </w:p>
          <w:p>
            <w:pPr>
              <w:spacing w:line="520" w:lineRule="exact"/>
              <w:ind w:firstLine="48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a.污染防治措施</w:t>
            </w:r>
          </w:p>
          <w:p>
            <w:pPr>
              <w:spacing w:line="520" w:lineRule="exact"/>
              <w:ind w:firstLine="48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本项目采取分区防渗，对</w:t>
            </w:r>
            <w:r>
              <w:rPr>
                <w:rFonts w:hint="default" w:ascii="Times New Roman" w:hAnsi="Times New Roman" w:cs="Times New Roman"/>
                <w:color w:val="000000" w:themeColor="text1"/>
                <w:kern w:val="0"/>
                <w:sz w:val="24"/>
                <w:szCs w:val="20"/>
                <w:lang w:eastAsia="zh-CN"/>
                <w14:textFill>
                  <w14:solidFill>
                    <w14:schemeClr w14:val="tx1"/>
                  </w14:solidFill>
                </w14:textFill>
              </w:rPr>
              <w:t>生产区和原料车间、仓库</w:t>
            </w:r>
            <w:r>
              <w:rPr>
                <w:rFonts w:hint="default" w:ascii="Times New Roman" w:hAnsi="Times New Roman" w:cs="Times New Roman"/>
                <w:color w:val="000000" w:themeColor="text1"/>
                <w:sz w:val="24"/>
                <w14:textFill>
                  <w14:solidFill>
                    <w14:schemeClr w14:val="tx1"/>
                  </w14:solidFill>
                </w14:textFill>
              </w:rPr>
              <w:t>进行重点防渗，以减少</w:t>
            </w:r>
            <w:r>
              <w:rPr>
                <w:rFonts w:hint="default" w:ascii="Times New Roman" w:hAnsi="Times New Roman" w:cs="Times New Roman"/>
                <w:color w:val="000000" w:themeColor="text1"/>
                <w:sz w:val="24"/>
                <w:lang w:eastAsia="zh-CN"/>
                <w14:textFill>
                  <w14:solidFill>
                    <w14:schemeClr w14:val="tx1"/>
                  </w14:solidFill>
                </w14:textFill>
              </w:rPr>
              <w:t>乙二醇</w:t>
            </w:r>
            <w:r>
              <w:rPr>
                <w:rFonts w:hint="default" w:ascii="Times New Roman" w:hAnsi="Times New Roman" w:cs="Times New Roman"/>
                <w:color w:val="000000" w:themeColor="text1"/>
                <w:sz w:val="24"/>
                <w14:textFill>
                  <w14:solidFill>
                    <w14:schemeClr w14:val="tx1"/>
                  </w14:solidFill>
                </w14:textFill>
              </w:rPr>
              <w:t>泄漏造成地下水的影响。项目场区设置雨污分流系统，雨水经雨水管道直接排出，地面铺设时混凝土添加防渗剂，减少了污染物对周围地下水环境的影响。</w:t>
            </w:r>
          </w:p>
          <w:p>
            <w:pPr>
              <w:spacing w:line="520" w:lineRule="exact"/>
              <w:ind w:firstLine="480"/>
              <w:rPr>
                <w:rFonts w:hint="default" w:ascii="Times New Roman" w:hAnsi="Times New Roman" w:cs="Times New Roman"/>
                <w:color w:val="000000" w:themeColor="text1"/>
                <w:sz w:val="24"/>
                <w14:textFill>
                  <w14:solidFill>
                    <w14:schemeClr w14:val="tx1"/>
                  </w14:solidFill>
                </w14:textFill>
              </w:rPr>
            </w:pPr>
            <w:bookmarkStart w:id="15" w:name="_Toc16706"/>
            <w:r>
              <w:rPr>
                <w:rFonts w:hint="default" w:ascii="Times New Roman" w:hAnsi="Times New Roman" w:cs="Times New Roman"/>
                <w:color w:val="000000" w:themeColor="text1"/>
                <w:sz w:val="24"/>
                <w14:textFill>
                  <w14:solidFill>
                    <w14:schemeClr w14:val="tx1"/>
                  </w14:solidFill>
                </w14:textFill>
              </w:rPr>
              <w:t>b.分区防渗</w:t>
            </w:r>
            <w:bookmarkEnd w:id="15"/>
          </w:p>
          <w:p>
            <w:pPr>
              <w:spacing w:line="520" w:lineRule="exact"/>
              <w:ind w:firstLine="480"/>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根据《环境影响评价技术导则地下水环境》(HJ610-2016)明确的污染控制难易程度分级和天然包气带防污性能分级分别见下表。</w:t>
            </w:r>
          </w:p>
          <w:p>
            <w:pPr>
              <w:adjustRightInd w:val="0"/>
              <w:snapToGrid w:val="0"/>
              <w:spacing w:before="156" w:beforeLines="50" w:line="240" w:lineRule="auto"/>
              <w:jc w:val="center"/>
              <w:rPr>
                <w:rFonts w:hint="default" w:ascii="Times New Roman" w:hAnsi="Times New Roman" w:eastAsia="黑体" w:cs="Times New Roman"/>
                <w:b/>
                <w:bCs w:val="0"/>
                <w:color w:val="000000" w:themeColor="text1"/>
                <w:sz w:val="21"/>
                <w:szCs w:val="18"/>
                <w14:textFill>
                  <w14:solidFill>
                    <w14:schemeClr w14:val="tx1"/>
                  </w14:solidFill>
                </w14:textFill>
              </w:rPr>
            </w:pPr>
            <w:r>
              <w:rPr>
                <w:rFonts w:hint="default" w:ascii="Times New Roman" w:hAnsi="Times New Roman" w:eastAsia="黑体" w:cs="Times New Roman"/>
                <w:b/>
                <w:bCs w:val="0"/>
                <w:color w:val="000000" w:themeColor="text1"/>
                <w:sz w:val="21"/>
                <w:szCs w:val="18"/>
                <w14:textFill>
                  <w14:solidFill>
                    <w14:schemeClr w14:val="tx1"/>
                  </w14:solidFill>
                </w14:textFill>
              </w:rPr>
              <w:t>表</w:t>
            </w:r>
            <w:r>
              <w:rPr>
                <w:rFonts w:hint="eastAsia" w:eastAsia="黑体" w:cs="Times New Roman"/>
                <w:b/>
                <w:bCs w:val="0"/>
                <w:color w:val="000000" w:themeColor="text1"/>
                <w:sz w:val="21"/>
                <w:szCs w:val="18"/>
                <w:lang w:val="en-US" w:eastAsia="zh-CN"/>
                <w14:textFill>
                  <w14:solidFill>
                    <w14:schemeClr w14:val="tx1"/>
                  </w14:solidFill>
                </w14:textFill>
              </w:rPr>
              <w:t>6-1</w:t>
            </w:r>
            <w:r>
              <w:rPr>
                <w:rFonts w:hint="default" w:ascii="Times New Roman" w:hAnsi="Times New Roman" w:eastAsia="黑体" w:cs="Times New Roman"/>
                <w:b/>
                <w:bCs w:val="0"/>
                <w:color w:val="000000" w:themeColor="text1"/>
                <w:sz w:val="21"/>
                <w:szCs w:val="18"/>
                <w14:textFill>
                  <w14:solidFill>
                    <w14:schemeClr w14:val="tx1"/>
                  </w14:solidFill>
                </w14:textFill>
              </w:rPr>
              <w:t xml:space="preserve"> </w:t>
            </w:r>
            <w:r>
              <w:rPr>
                <w:rFonts w:hint="default" w:ascii="Times New Roman" w:hAnsi="Times New Roman" w:eastAsia="黑体" w:cs="Times New Roman"/>
                <w:b/>
                <w:bCs w:val="0"/>
                <w:color w:val="000000" w:themeColor="text1"/>
                <w:sz w:val="21"/>
                <w:szCs w:val="18"/>
                <w:lang w:val="en-US" w:eastAsia="zh-CN"/>
                <w14:textFill>
                  <w14:solidFill>
                    <w14:schemeClr w14:val="tx1"/>
                  </w14:solidFill>
                </w14:textFill>
              </w:rPr>
              <w:t xml:space="preserve"> </w:t>
            </w:r>
            <w:r>
              <w:rPr>
                <w:rFonts w:hint="default" w:ascii="Times New Roman" w:hAnsi="Times New Roman" w:eastAsia="黑体" w:cs="Times New Roman"/>
                <w:b/>
                <w:bCs w:val="0"/>
                <w:color w:val="000000" w:themeColor="text1"/>
                <w:sz w:val="21"/>
                <w:szCs w:val="18"/>
                <w14:textFill>
                  <w14:solidFill>
                    <w14:schemeClr w14:val="tx1"/>
                  </w14:solidFill>
                </w14:textFill>
              </w:rPr>
              <w:t>污染控制难易程度分级参照表</w:t>
            </w:r>
          </w:p>
          <w:tbl>
            <w:tblPr>
              <w:tblStyle w:val="20"/>
              <w:tblW w:w="8686" w:type="dxa"/>
              <w:jc w:val="center"/>
              <w:tblInd w:w="-21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60"/>
              <w:gridCol w:w="662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60" w:type="dxa"/>
                </w:tcPr>
                <w:p>
                  <w:pPr>
                    <w:ind w:left="0" w:leftChars="0" w:firstLine="0" w:firstLineChars="0"/>
                    <w:jc w:val="left"/>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污染控制难易度</w:t>
                  </w:r>
                </w:p>
              </w:tc>
              <w:tc>
                <w:tcPr>
                  <w:tcW w:w="6626" w:type="dxa"/>
                </w:tcPr>
                <w:p>
                  <w:pPr>
                    <w:ind w:firstLine="211" w:firstLineChars="100"/>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主要特征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2060" w:type="dxa"/>
                  <w:vAlign w:val="center"/>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难</w:t>
                  </w:r>
                </w:p>
              </w:tc>
              <w:tc>
                <w:tcPr>
                  <w:tcW w:w="6626" w:type="dxa"/>
                  <w:vAlign w:val="center"/>
                </w:tcPr>
                <w:p>
                  <w:pPr>
                    <w:ind w:left="0" w:leftChars="0" w:firstLine="0" w:firstLineChars="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对地下水有污染的物料或者污染物泄漏后，</w:t>
                  </w:r>
                  <w:r>
                    <w:rPr>
                      <w:rFonts w:hint="default" w:ascii="Times New Roman" w:hAnsi="Times New Roman" w:cs="Times New Roman"/>
                      <w:color w:val="000000" w:themeColor="text1"/>
                      <w:spacing w:val="-20"/>
                      <w:sz w:val="21"/>
                      <w:szCs w:val="21"/>
                      <w14:textFill>
                        <w14:solidFill>
                          <w14:schemeClr w14:val="tx1"/>
                        </w14:solidFill>
                      </w14:textFill>
                    </w:rPr>
                    <w:t>不能及时发现和处理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jc w:val="center"/>
              </w:trPr>
              <w:tc>
                <w:tcPr>
                  <w:tcW w:w="2060" w:type="dxa"/>
                  <w:vAlign w:val="center"/>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易</w:t>
                  </w:r>
                </w:p>
              </w:tc>
              <w:tc>
                <w:tcPr>
                  <w:tcW w:w="6626" w:type="dxa"/>
                </w:tcPr>
                <w:p>
                  <w:pPr>
                    <w:ind w:left="0" w:leftChars="0" w:firstLine="0" w:firstLineChars="0"/>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对地下水有污染的物料或者污染物泄漏后，能及时发现和处理</w:t>
                  </w:r>
                </w:p>
              </w:tc>
            </w:tr>
          </w:tbl>
          <w:p>
            <w:pPr>
              <w:adjustRightInd w:val="0"/>
              <w:snapToGrid w:val="0"/>
              <w:spacing w:before="156" w:beforeLines="50" w:line="240" w:lineRule="auto"/>
              <w:jc w:val="center"/>
              <w:rPr>
                <w:rFonts w:hint="default" w:ascii="Times New Roman" w:hAnsi="Times New Roman" w:eastAsia="黑体" w:cs="Times New Roman"/>
                <w:b/>
                <w:bCs w:val="0"/>
                <w:color w:val="000000" w:themeColor="text1"/>
                <w:sz w:val="21"/>
                <w:szCs w:val="18"/>
                <w14:textFill>
                  <w14:solidFill>
                    <w14:schemeClr w14:val="tx1"/>
                  </w14:solidFill>
                </w14:textFill>
              </w:rPr>
            </w:pPr>
            <w:r>
              <w:rPr>
                <w:rFonts w:hint="default" w:ascii="Times New Roman" w:hAnsi="Times New Roman" w:eastAsia="黑体" w:cs="Times New Roman"/>
                <w:b/>
                <w:bCs w:val="0"/>
                <w:color w:val="000000" w:themeColor="text1"/>
                <w:sz w:val="21"/>
                <w:szCs w:val="18"/>
                <w14:textFill>
                  <w14:solidFill>
                    <w14:schemeClr w14:val="tx1"/>
                  </w14:solidFill>
                </w14:textFill>
              </w:rPr>
              <w:t>表</w:t>
            </w:r>
            <w:r>
              <w:rPr>
                <w:rFonts w:hint="default" w:ascii="Times New Roman" w:hAnsi="Times New Roman" w:eastAsia="黑体" w:cs="Times New Roman"/>
                <w:b/>
                <w:bCs w:val="0"/>
                <w:color w:val="000000" w:themeColor="text1"/>
                <w:sz w:val="21"/>
                <w:szCs w:val="18"/>
                <w:lang w:val="en-US" w:eastAsia="zh-CN"/>
                <w14:textFill>
                  <w14:solidFill>
                    <w14:schemeClr w14:val="tx1"/>
                  </w14:solidFill>
                </w14:textFill>
              </w:rPr>
              <w:t xml:space="preserve"> </w:t>
            </w:r>
            <w:r>
              <w:rPr>
                <w:rFonts w:hint="eastAsia" w:eastAsia="黑体" w:cs="Times New Roman"/>
                <w:b/>
                <w:bCs w:val="0"/>
                <w:color w:val="000000" w:themeColor="text1"/>
                <w:sz w:val="21"/>
                <w:szCs w:val="18"/>
                <w:lang w:val="en-US" w:eastAsia="zh-CN"/>
                <w14:textFill>
                  <w14:solidFill>
                    <w14:schemeClr w14:val="tx1"/>
                  </w14:solidFill>
                </w14:textFill>
              </w:rPr>
              <w:t>6-2</w:t>
            </w:r>
            <w:r>
              <w:rPr>
                <w:rFonts w:hint="default" w:ascii="Times New Roman" w:hAnsi="Times New Roman" w:eastAsia="黑体" w:cs="Times New Roman"/>
                <w:b/>
                <w:bCs w:val="0"/>
                <w:color w:val="000000" w:themeColor="text1"/>
                <w:sz w:val="21"/>
                <w:szCs w:val="18"/>
                <w14:textFill>
                  <w14:solidFill>
                    <w14:schemeClr w14:val="tx1"/>
                  </w14:solidFill>
                </w14:textFill>
              </w:rPr>
              <w:t xml:space="preserve">  天然包气带防污性能分级分别参照表</w:t>
            </w:r>
          </w:p>
          <w:tbl>
            <w:tblPr>
              <w:tblStyle w:val="20"/>
              <w:tblW w:w="861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7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61" w:type="dxa"/>
                </w:tcPr>
                <w:p>
                  <w:pPr>
                    <w:ind w:left="0" w:leftChars="0" w:firstLine="0" w:firstLineChars="0"/>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分级</w:t>
                  </w:r>
                </w:p>
              </w:tc>
              <w:tc>
                <w:tcPr>
                  <w:tcW w:w="7756" w:type="dxa"/>
                </w:tcPr>
                <w:p>
                  <w:pPr>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包气带岩土的渗透性能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61" w:type="dxa"/>
                  <w:vAlign w:val="center"/>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强</w:t>
                  </w:r>
                </w:p>
              </w:tc>
              <w:tc>
                <w:tcPr>
                  <w:tcW w:w="7756" w:type="dxa"/>
                  <w:vAlign w:val="center"/>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岩（土）层单层厚度Mb≥1.0m，渗透系数K≤1×10</w:t>
                  </w:r>
                  <w:r>
                    <w:rPr>
                      <w:rFonts w:hint="default" w:ascii="Times New Roman" w:hAnsi="Times New Roman" w:cs="Times New Roman"/>
                      <w:color w:val="000000" w:themeColor="text1"/>
                      <w:sz w:val="21"/>
                      <w:szCs w:val="21"/>
                      <w:vertAlign w:val="superscript"/>
                      <w14:textFill>
                        <w14:solidFill>
                          <w14:schemeClr w14:val="tx1"/>
                        </w14:solidFill>
                      </w14:textFill>
                    </w:rPr>
                    <w:t>-6</w:t>
                  </w:r>
                  <w:r>
                    <w:rPr>
                      <w:rFonts w:hint="default" w:ascii="Times New Roman" w:hAnsi="Times New Roman" w:cs="Times New Roman"/>
                      <w:color w:val="000000" w:themeColor="text1"/>
                      <w:sz w:val="21"/>
                      <w:szCs w:val="21"/>
                      <w14:textFill>
                        <w14:solidFill>
                          <w14:schemeClr w14:val="tx1"/>
                        </w14:solidFill>
                      </w14:textFill>
                    </w:rPr>
                    <w:t>cm/s，且分布连续、稳定。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61" w:type="dxa"/>
                  <w:vAlign w:val="center"/>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中</w:t>
                  </w:r>
                </w:p>
              </w:tc>
              <w:tc>
                <w:tcPr>
                  <w:tcW w:w="7756" w:type="dxa"/>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岩（土）层单层厚度0.5≤Mb＜1.0m，渗透系数K≤1×10</w:t>
                  </w:r>
                  <w:r>
                    <w:rPr>
                      <w:rFonts w:hint="default" w:ascii="Times New Roman" w:hAnsi="Times New Roman" w:cs="Times New Roman"/>
                      <w:color w:val="000000" w:themeColor="text1"/>
                      <w:sz w:val="21"/>
                      <w:szCs w:val="21"/>
                      <w:vertAlign w:val="superscript"/>
                      <w14:textFill>
                        <w14:solidFill>
                          <w14:schemeClr w14:val="tx1"/>
                        </w14:solidFill>
                      </w14:textFill>
                    </w:rPr>
                    <w:t>-6</w:t>
                  </w:r>
                  <w:r>
                    <w:rPr>
                      <w:rFonts w:hint="default" w:ascii="Times New Roman" w:hAnsi="Times New Roman" w:cs="Times New Roman"/>
                      <w:color w:val="000000" w:themeColor="text1"/>
                      <w:sz w:val="21"/>
                      <w:szCs w:val="21"/>
                      <w14:textFill>
                        <w14:solidFill>
                          <w14:schemeClr w14:val="tx1"/>
                        </w14:solidFill>
                      </w14:textFill>
                    </w:rPr>
                    <w:t>cm/s，且分布连续、稳定。岩（土）层单层厚度≥1.0m，渗透系数1×10</w:t>
                  </w:r>
                  <w:r>
                    <w:rPr>
                      <w:rFonts w:hint="default" w:ascii="Times New Roman" w:hAnsi="Times New Roman" w:cs="Times New Roman"/>
                      <w:color w:val="000000" w:themeColor="text1"/>
                      <w:sz w:val="21"/>
                      <w:szCs w:val="21"/>
                      <w:vertAlign w:val="superscript"/>
                      <w14:textFill>
                        <w14:solidFill>
                          <w14:schemeClr w14:val="tx1"/>
                        </w14:solidFill>
                      </w14:textFill>
                    </w:rPr>
                    <w:t>-6</w:t>
                  </w:r>
                  <w:r>
                    <w:rPr>
                      <w:rFonts w:hint="default" w:ascii="Times New Roman" w:hAnsi="Times New Roman" w:cs="Times New Roman"/>
                      <w:color w:val="000000" w:themeColor="text1"/>
                      <w:sz w:val="21"/>
                      <w:szCs w:val="21"/>
                      <w14:textFill>
                        <w14:solidFill>
                          <w14:schemeClr w14:val="tx1"/>
                        </w14:solidFill>
                      </w14:textFill>
                    </w:rPr>
                    <w:t>cm/s≤K≤1×10</w:t>
                  </w:r>
                  <w:r>
                    <w:rPr>
                      <w:rFonts w:hint="default" w:ascii="Times New Roman" w:hAnsi="Times New Roman" w:cs="Times New Roman"/>
                      <w:color w:val="000000" w:themeColor="text1"/>
                      <w:sz w:val="21"/>
                      <w:szCs w:val="21"/>
                      <w:vertAlign w:val="superscript"/>
                      <w14:textFill>
                        <w14:solidFill>
                          <w14:schemeClr w14:val="tx1"/>
                        </w14:solidFill>
                      </w14:textFill>
                    </w:rPr>
                    <w:t>-4</w:t>
                  </w:r>
                  <w:r>
                    <w:rPr>
                      <w:rFonts w:hint="default" w:ascii="Times New Roman" w:hAnsi="Times New Roman" w:cs="Times New Roman"/>
                      <w:color w:val="000000" w:themeColor="text1"/>
                      <w:sz w:val="21"/>
                      <w:szCs w:val="21"/>
                      <w14:textFill>
                        <w14:solidFill>
                          <w14:schemeClr w14:val="tx1"/>
                        </w14:solidFill>
                      </w14:textFill>
                    </w:rPr>
                    <w:t>cm/s，且分布连续、稳定。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61" w:type="dxa"/>
                  <w:vAlign w:val="center"/>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弱</w:t>
                  </w:r>
                </w:p>
              </w:tc>
              <w:tc>
                <w:tcPr>
                  <w:tcW w:w="7756" w:type="dxa"/>
                </w:tcPr>
                <w:p>
                  <w:pPr>
                    <w:ind w:left="0" w:leftChars="0"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岩（土）层不能满足上述“强”和“中”条件。</w:t>
                  </w:r>
                </w:p>
              </w:tc>
            </w:tr>
          </w:tbl>
          <w:p>
            <w:pPr>
              <w:spacing w:line="360" w:lineRule="auto"/>
              <w:ind w:firstLine="480" w:firstLineChars="200"/>
              <w:rPr>
                <w:rFonts w:hint="default" w:ascii="Times New Roman" w:hAnsi="Times New Roman" w:eastAsia="宋体" w:cs="Times New Roman"/>
                <w:bCs/>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建设项目对地下水和土壤有污染的物料或者污染物泄漏后，不能及时发现和处理，因此，污染控制难易程度为难。建设项目所在地岩(土)层情况不明，故按照最不利原则，按照天然包气带防污性能“弱”，判断本项目地下水污染防渗分区，详见下</w:t>
            </w:r>
            <w:r>
              <w:rPr>
                <w:rFonts w:hint="default" w:ascii="Times New Roman" w:hAnsi="Times New Roman" w:cs="Times New Roman"/>
                <w:color w:val="000000" w:themeColor="text1"/>
                <w:sz w:val="24"/>
                <w:lang w:val="en-US" w:eastAsia="zh-CN"/>
                <w14:textFill>
                  <w14:solidFill>
                    <w14:schemeClr w14:val="tx1"/>
                  </w14:solidFill>
                </w14:textFill>
              </w:rPr>
              <w:t>表。</w:t>
            </w:r>
          </w:p>
          <w:p>
            <w:pPr>
              <w:adjustRightInd w:val="0"/>
              <w:snapToGrid w:val="0"/>
              <w:spacing w:before="156" w:beforeLines="50" w:line="240" w:lineRule="auto"/>
              <w:jc w:val="center"/>
              <w:rPr>
                <w:rFonts w:hint="default" w:ascii="Times New Roman" w:hAnsi="Times New Roman" w:eastAsia="黑体" w:cs="Times New Roman"/>
                <w:b/>
                <w:bCs w:val="0"/>
                <w:color w:val="000000" w:themeColor="text1"/>
                <w:sz w:val="21"/>
                <w:szCs w:val="18"/>
                <w14:textFill>
                  <w14:solidFill>
                    <w14:schemeClr w14:val="tx1"/>
                  </w14:solidFill>
                </w14:textFill>
              </w:rPr>
            </w:pPr>
            <w:r>
              <w:rPr>
                <w:rFonts w:hint="default" w:ascii="Times New Roman" w:hAnsi="Times New Roman" w:eastAsia="黑体" w:cs="Times New Roman"/>
                <w:b/>
                <w:bCs w:val="0"/>
                <w:color w:val="000000" w:themeColor="text1"/>
                <w:sz w:val="21"/>
                <w:szCs w:val="18"/>
                <w14:textFill>
                  <w14:solidFill>
                    <w14:schemeClr w14:val="tx1"/>
                  </w14:solidFill>
                </w14:textFill>
              </w:rPr>
              <w:t>表</w:t>
            </w:r>
            <w:r>
              <w:rPr>
                <w:rFonts w:hint="eastAsia" w:eastAsia="黑体" w:cs="Times New Roman"/>
                <w:b/>
                <w:bCs w:val="0"/>
                <w:color w:val="000000" w:themeColor="text1"/>
                <w:sz w:val="21"/>
                <w:szCs w:val="18"/>
                <w:lang w:val="en-US" w:eastAsia="zh-CN"/>
                <w14:textFill>
                  <w14:solidFill>
                    <w14:schemeClr w14:val="tx1"/>
                  </w14:solidFill>
                </w14:textFill>
              </w:rPr>
              <w:t>6-3</w:t>
            </w:r>
            <w:r>
              <w:rPr>
                <w:rFonts w:hint="default" w:ascii="Times New Roman" w:hAnsi="Times New Roman" w:eastAsia="黑体" w:cs="Times New Roman"/>
                <w:b/>
                <w:bCs w:val="0"/>
                <w:color w:val="000000" w:themeColor="text1"/>
                <w:sz w:val="21"/>
                <w:szCs w:val="18"/>
                <w14:textFill>
                  <w14:solidFill>
                    <w14:schemeClr w14:val="tx1"/>
                  </w14:solidFill>
                </w14:textFill>
              </w:rPr>
              <w:t xml:space="preserve">  地下水污染防渗分区确定表</w:t>
            </w:r>
          </w:p>
          <w:tbl>
            <w:tblPr>
              <w:tblStyle w:val="20"/>
              <w:tblW w:w="870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623"/>
              <w:gridCol w:w="1204"/>
              <w:gridCol w:w="1726"/>
              <w:gridCol w:w="274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1406" w:type="dxa"/>
                  <w:vAlign w:val="center"/>
                </w:tcPr>
                <w:p>
                  <w:pPr>
                    <w:ind w:left="0" w:leftChars="0" w:firstLine="0" w:firstLineChars="0"/>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防渗分区</w:t>
                  </w:r>
                </w:p>
              </w:tc>
              <w:tc>
                <w:tcPr>
                  <w:tcW w:w="1623" w:type="dxa"/>
                  <w:vAlign w:val="center"/>
                </w:tcPr>
                <w:p>
                  <w:pPr>
                    <w:ind w:left="0" w:leftChars="0" w:firstLine="0" w:firstLineChars="0"/>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天然包气带防污性能</w:t>
                  </w:r>
                </w:p>
              </w:tc>
              <w:tc>
                <w:tcPr>
                  <w:tcW w:w="1204" w:type="dxa"/>
                  <w:vAlign w:val="center"/>
                </w:tcPr>
                <w:p>
                  <w:pPr>
                    <w:ind w:left="0" w:leftChars="0" w:firstLine="0" w:firstLineChars="0"/>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污染控制难易程度</w:t>
                  </w:r>
                </w:p>
              </w:tc>
              <w:tc>
                <w:tcPr>
                  <w:tcW w:w="1726" w:type="dxa"/>
                  <w:vAlign w:val="center"/>
                </w:tcPr>
                <w:p>
                  <w:pPr>
                    <w:ind w:left="0" w:leftChars="0" w:firstLine="0" w:firstLineChars="0"/>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污染物类型</w:t>
                  </w:r>
                </w:p>
              </w:tc>
              <w:tc>
                <w:tcPr>
                  <w:tcW w:w="2741" w:type="dxa"/>
                  <w:vAlign w:val="center"/>
                </w:tcPr>
                <w:p>
                  <w:pPr>
                    <w:ind w:left="0" w:leftChars="0" w:firstLine="0" w:firstLineChars="0"/>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防渗技术要求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06" w:type="dxa"/>
                  <w:vMerge w:val="restart"/>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重点防渗区</w:t>
                  </w:r>
                </w:p>
              </w:tc>
              <w:tc>
                <w:tcPr>
                  <w:tcW w:w="1623"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弱</w:t>
                  </w:r>
                </w:p>
              </w:tc>
              <w:tc>
                <w:tcPr>
                  <w:tcW w:w="120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难</w:t>
                  </w:r>
                </w:p>
              </w:tc>
              <w:tc>
                <w:tcPr>
                  <w:tcW w:w="1726" w:type="dxa"/>
                  <w:vMerge w:val="restart"/>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重金属、持久性有机物污染物</w:t>
                  </w:r>
                </w:p>
              </w:tc>
              <w:tc>
                <w:tcPr>
                  <w:tcW w:w="2741" w:type="dxa"/>
                  <w:vMerge w:val="restart"/>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等效黏土防渗层Mb≥6.0m，K≤1×10-7cm/s，或参照《危险废物填埋污染控制标准》(GB18598-2001)。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06"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1623"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中～强</w:t>
                  </w:r>
                </w:p>
              </w:tc>
              <w:tc>
                <w:tcPr>
                  <w:tcW w:w="120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难</w:t>
                  </w:r>
                </w:p>
              </w:tc>
              <w:tc>
                <w:tcPr>
                  <w:tcW w:w="1726"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2741"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06"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1623"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弱</w:t>
                  </w:r>
                </w:p>
              </w:tc>
              <w:tc>
                <w:tcPr>
                  <w:tcW w:w="120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易</w:t>
                  </w:r>
                </w:p>
              </w:tc>
              <w:tc>
                <w:tcPr>
                  <w:tcW w:w="1726"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2741"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06" w:type="dxa"/>
                  <w:vMerge w:val="restart"/>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一般防渗区</w:t>
                  </w:r>
                </w:p>
              </w:tc>
              <w:tc>
                <w:tcPr>
                  <w:tcW w:w="1623"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中～强</w:t>
                  </w:r>
                </w:p>
              </w:tc>
              <w:tc>
                <w:tcPr>
                  <w:tcW w:w="120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易</w:t>
                  </w:r>
                </w:p>
              </w:tc>
              <w:tc>
                <w:tcPr>
                  <w:tcW w:w="1726"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重金属、持久性有机物污染物</w:t>
                  </w:r>
                </w:p>
              </w:tc>
              <w:tc>
                <w:tcPr>
                  <w:tcW w:w="2741"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06"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1623"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弱</w:t>
                  </w:r>
                </w:p>
              </w:tc>
              <w:tc>
                <w:tcPr>
                  <w:tcW w:w="120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易~难</w:t>
                  </w:r>
                </w:p>
              </w:tc>
              <w:tc>
                <w:tcPr>
                  <w:tcW w:w="1726"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其他类型</w:t>
                  </w:r>
                </w:p>
              </w:tc>
              <w:tc>
                <w:tcPr>
                  <w:tcW w:w="2741" w:type="dxa"/>
                  <w:vMerge w:val="restart"/>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等效黏土防渗层Mb≥1.5m，K≤1×10-7cm/s，或参照《生活垃圾填埋场污染控制标准》(GB16889-2008)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06"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1623"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中~强</w:t>
                  </w:r>
                </w:p>
              </w:tc>
              <w:tc>
                <w:tcPr>
                  <w:tcW w:w="120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难</w:t>
                  </w:r>
                </w:p>
              </w:tc>
              <w:tc>
                <w:tcPr>
                  <w:tcW w:w="1726"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其他类型</w:t>
                  </w:r>
                </w:p>
              </w:tc>
              <w:tc>
                <w:tcPr>
                  <w:tcW w:w="2741" w:type="dxa"/>
                  <w:vMerge w:val="continue"/>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406"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简单防渗区</w:t>
                  </w:r>
                </w:p>
              </w:tc>
              <w:tc>
                <w:tcPr>
                  <w:tcW w:w="1623"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中～强</w:t>
                  </w:r>
                </w:p>
              </w:tc>
              <w:tc>
                <w:tcPr>
                  <w:tcW w:w="120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易</w:t>
                  </w:r>
                </w:p>
              </w:tc>
              <w:tc>
                <w:tcPr>
                  <w:tcW w:w="1726"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其他类型</w:t>
                  </w:r>
                </w:p>
              </w:tc>
              <w:tc>
                <w:tcPr>
                  <w:tcW w:w="2741"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一般地面硬化</w:t>
                  </w:r>
                </w:p>
              </w:tc>
            </w:tr>
          </w:tbl>
          <w:p>
            <w:pPr>
              <w:adjustRightInd w:val="0"/>
              <w:snapToGrid w:val="0"/>
              <w:spacing w:before="156" w:beforeLines="50" w:line="240" w:lineRule="auto"/>
              <w:jc w:val="center"/>
              <w:rPr>
                <w:rFonts w:hint="default" w:ascii="Times New Roman" w:hAnsi="Times New Roman" w:eastAsia="黑体" w:cs="Times New Roman"/>
                <w:b/>
                <w:bCs w:val="0"/>
                <w:color w:val="000000" w:themeColor="text1"/>
                <w:sz w:val="21"/>
                <w:szCs w:val="18"/>
                <w14:textFill>
                  <w14:solidFill>
                    <w14:schemeClr w14:val="tx1"/>
                  </w14:solidFill>
                </w14:textFill>
              </w:rPr>
            </w:pPr>
            <w:r>
              <w:rPr>
                <w:rFonts w:hint="default" w:ascii="Times New Roman" w:hAnsi="Times New Roman" w:eastAsia="黑体" w:cs="Times New Roman"/>
                <w:b/>
                <w:bCs w:val="0"/>
                <w:color w:val="000000" w:themeColor="text1"/>
                <w:sz w:val="21"/>
                <w:szCs w:val="18"/>
                <w14:textFill>
                  <w14:solidFill>
                    <w14:schemeClr w14:val="tx1"/>
                  </w14:solidFill>
                </w14:textFill>
              </w:rPr>
              <w:t>表</w:t>
            </w:r>
            <w:r>
              <w:rPr>
                <w:rFonts w:hint="eastAsia" w:eastAsia="黑体" w:cs="Times New Roman"/>
                <w:b/>
                <w:bCs w:val="0"/>
                <w:color w:val="000000" w:themeColor="text1"/>
                <w:sz w:val="21"/>
                <w:szCs w:val="18"/>
                <w:lang w:val="en-US" w:eastAsia="zh-CN"/>
                <w14:textFill>
                  <w14:solidFill>
                    <w14:schemeClr w14:val="tx1"/>
                  </w14:solidFill>
                </w14:textFill>
              </w:rPr>
              <w:t>6-4</w:t>
            </w:r>
            <w:r>
              <w:rPr>
                <w:rFonts w:hint="default" w:ascii="Times New Roman" w:hAnsi="Times New Roman" w:eastAsia="黑体" w:cs="Times New Roman"/>
                <w:b/>
                <w:bCs w:val="0"/>
                <w:color w:val="000000" w:themeColor="text1"/>
                <w:sz w:val="21"/>
                <w:szCs w:val="18"/>
                <w14:textFill>
                  <w14:solidFill>
                    <w14:schemeClr w14:val="tx1"/>
                  </w14:solidFill>
                </w14:textFill>
              </w:rPr>
              <w:t xml:space="preserve"> </w:t>
            </w:r>
            <w:r>
              <w:rPr>
                <w:rFonts w:hint="default" w:ascii="Times New Roman" w:hAnsi="Times New Roman" w:eastAsia="黑体" w:cs="Times New Roman"/>
                <w:b/>
                <w:bCs w:val="0"/>
                <w:color w:val="000000" w:themeColor="text1"/>
                <w:sz w:val="21"/>
                <w:szCs w:val="18"/>
                <w:lang w:val="en-US" w:eastAsia="zh-CN"/>
                <w14:textFill>
                  <w14:solidFill>
                    <w14:schemeClr w14:val="tx1"/>
                  </w14:solidFill>
                </w14:textFill>
              </w:rPr>
              <w:t xml:space="preserve"> </w:t>
            </w:r>
            <w:r>
              <w:rPr>
                <w:rFonts w:hint="default" w:ascii="Times New Roman" w:hAnsi="Times New Roman" w:eastAsia="黑体" w:cs="Times New Roman"/>
                <w:b/>
                <w:bCs w:val="0"/>
                <w:color w:val="000000" w:themeColor="text1"/>
                <w:sz w:val="21"/>
                <w:szCs w:val="18"/>
                <w14:textFill>
                  <w14:solidFill>
                    <w14:schemeClr w14:val="tx1"/>
                  </w14:solidFill>
                </w14:textFill>
              </w:rPr>
              <w:t>本项目防渗工程污染防治分区</w:t>
            </w:r>
          </w:p>
          <w:tbl>
            <w:tblPr>
              <w:tblStyle w:val="20"/>
              <w:tblW w:w="850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159"/>
              <w:gridCol w:w="2659"/>
              <w:gridCol w:w="2122"/>
              <w:gridCol w:w="25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cantSplit/>
                <w:trHeight w:val="0" w:hRule="atLeast"/>
                <w:jc w:val="center"/>
              </w:trPr>
              <w:tc>
                <w:tcPr>
                  <w:tcW w:w="1159" w:type="dxa"/>
                  <w:vAlign w:val="center"/>
                </w:tcPr>
                <w:p>
                  <w:pPr>
                    <w:ind w:left="0" w:leftChars="0" w:firstLine="0" w:firstLineChars="0"/>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序号</w:t>
                  </w:r>
                </w:p>
              </w:tc>
              <w:tc>
                <w:tcPr>
                  <w:tcW w:w="2659" w:type="dxa"/>
                  <w:vAlign w:val="center"/>
                </w:tcPr>
                <w:p>
                  <w:pPr>
                    <w:ind w:left="0" w:leftChars="0" w:firstLine="0" w:firstLineChars="0"/>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名称</w:t>
                  </w:r>
                </w:p>
              </w:tc>
              <w:tc>
                <w:tcPr>
                  <w:tcW w:w="2122" w:type="dxa"/>
                  <w:tcBorders>
                    <w:bottom w:val="single" w:color="auto" w:sz="4" w:space="0"/>
                  </w:tcBorders>
                  <w:vAlign w:val="center"/>
                </w:tcPr>
                <w:p>
                  <w:pPr>
                    <w:ind w:left="0" w:leftChars="0" w:firstLine="0" w:firstLineChars="0"/>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防渗区域</w:t>
                  </w:r>
                </w:p>
              </w:tc>
              <w:tc>
                <w:tcPr>
                  <w:tcW w:w="2564" w:type="dxa"/>
                  <w:tcBorders>
                    <w:bottom w:val="single" w:color="auto" w:sz="4" w:space="0"/>
                  </w:tcBorders>
                  <w:vAlign w:val="center"/>
                </w:tcPr>
                <w:p>
                  <w:pPr>
                    <w:ind w:left="0" w:leftChars="0" w:firstLine="0" w:firstLineChars="0"/>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防渗分区等级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cantSplit/>
                <w:trHeight w:val="0" w:hRule="atLeast"/>
                <w:jc w:val="center"/>
              </w:trPr>
              <w:tc>
                <w:tcPr>
                  <w:tcW w:w="1159"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2659"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生产车间</w:t>
                  </w:r>
                </w:p>
              </w:tc>
              <w:tc>
                <w:tcPr>
                  <w:tcW w:w="2122"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生产区</w:t>
                  </w:r>
                </w:p>
              </w:tc>
              <w:tc>
                <w:tcPr>
                  <w:tcW w:w="256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一般</w:t>
                  </w:r>
                  <w:r>
                    <w:rPr>
                      <w:rFonts w:hint="default" w:ascii="Times New Roman" w:hAnsi="Times New Roman" w:eastAsia="宋体" w:cs="Times New Roman"/>
                      <w:color w:val="000000" w:themeColor="text1"/>
                      <w:sz w:val="21"/>
                      <w:szCs w:val="21"/>
                      <w14:textFill>
                        <w14:solidFill>
                          <w14:schemeClr w14:val="tx1"/>
                        </w14:solidFill>
                      </w14:textFill>
                    </w:rPr>
                    <w:t>防渗区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cantSplit/>
                <w:trHeight w:val="0" w:hRule="atLeast"/>
                <w:jc w:val="center"/>
              </w:trPr>
              <w:tc>
                <w:tcPr>
                  <w:tcW w:w="1159"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2659"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原料车间</w:t>
                  </w:r>
                </w:p>
              </w:tc>
              <w:tc>
                <w:tcPr>
                  <w:tcW w:w="2122"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地面</w:t>
                  </w:r>
                </w:p>
              </w:tc>
              <w:tc>
                <w:tcPr>
                  <w:tcW w:w="256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一般防渗区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cantSplit/>
                <w:trHeight w:val="0" w:hRule="atLeast"/>
                <w:jc w:val="center"/>
              </w:trPr>
              <w:tc>
                <w:tcPr>
                  <w:tcW w:w="1159"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2659"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仓库</w:t>
                  </w:r>
                </w:p>
              </w:tc>
              <w:tc>
                <w:tcPr>
                  <w:tcW w:w="2122"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地面</w:t>
                  </w:r>
                </w:p>
              </w:tc>
              <w:tc>
                <w:tcPr>
                  <w:tcW w:w="256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一般防渗区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cantSplit/>
                <w:trHeight w:val="0" w:hRule="atLeast"/>
                <w:jc w:val="center"/>
              </w:trPr>
              <w:tc>
                <w:tcPr>
                  <w:tcW w:w="1159"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w:t>
                  </w:r>
                </w:p>
              </w:tc>
              <w:tc>
                <w:tcPr>
                  <w:tcW w:w="2659"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成品周转棚</w:t>
                  </w:r>
                </w:p>
              </w:tc>
              <w:tc>
                <w:tcPr>
                  <w:tcW w:w="2122"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地面</w:t>
                  </w:r>
                </w:p>
              </w:tc>
              <w:tc>
                <w:tcPr>
                  <w:tcW w:w="2564"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一般防渗区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cantSplit/>
                <w:trHeight w:val="0" w:hRule="atLeast"/>
                <w:jc w:val="center"/>
              </w:trPr>
              <w:tc>
                <w:tcPr>
                  <w:tcW w:w="1159" w:type="dxa"/>
                  <w:vAlign w:val="center"/>
                </w:tcPr>
                <w:p>
                  <w:pPr>
                    <w:ind w:left="0" w:leftChars="0"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w:t>
                  </w:r>
                </w:p>
              </w:tc>
              <w:tc>
                <w:tcPr>
                  <w:tcW w:w="2659"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站区其他硬化地面</w:t>
                  </w:r>
                </w:p>
              </w:tc>
              <w:tc>
                <w:tcPr>
                  <w:tcW w:w="2122" w:type="dxa"/>
                  <w:vAlign w:val="center"/>
                </w:tcPr>
                <w:p>
                  <w:pPr>
                    <w:ind w:left="0" w:leftChars="0"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路面</w:t>
                  </w:r>
                </w:p>
              </w:tc>
              <w:tc>
                <w:tcPr>
                  <w:tcW w:w="2564" w:type="dxa"/>
                  <w:vAlign w:val="center"/>
                </w:tcPr>
                <w:p>
                  <w:pPr>
                    <w:ind w:left="0" w:leftChars="0" w:firstLine="0" w:firstLineChars="0"/>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一般地面硬化</w:t>
                  </w:r>
                </w:p>
              </w:tc>
            </w:tr>
          </w:tbl>
          <w:p>
            <w:pPr>
              <w:autoSpaceDE w:val="0"/>
              <w:autoSpaceDN w:val="0"/>
              <w:adjustRightInd w:val="0"/>
              <w:spacing w:line="360" w:lineRule="auto"/>
              <w:ind w:firstLine="480" w:firstLineChars="200"/>
              <w:rPr>
                <w:rFonts w:hint="default" w:ascii="Times New Roman" w:hAnsi="Times New Roman" w:cs="Times New Roman"/>
                <w:color w:val="000000" w:themeColor="text1"/>
                <w:kern w:val="0"/>
                <w:sz w:val="24"/>
                <w:szCs w:val="20"/>
                <w14:textFill>
                  <w14:solidFill>
                    <w14:schemeClr w14:val="tx1"/>
                  </w14:solidFill>
                </w14:textFill>
              </w:rPr>
            </w:pPr>
            <w:r>
              <w:rPr>
                <w:rFonts w:hint="default" w:ascii="Times New Roman" w:hAnsi="Times New Roman" w:cs="Times New Roman"/>
                <w:color w:val="000000" w:themeColor="text1"/>
                <w:kern w:val="0"/>
                <w:sz w:val="24"/>
                <w:szCs w:val="20"/>
                <w14:textFill>
                  <w14:solidFill>
                    <w14:schemeClr w14:val="tx1"/>
                  </w14:solidFill>
                </w14:textFill>
              </w:rPr>
              <w:t>因此，环评要求采取以下措施降低对地下水的影响：</w:t>
            </w:r>
          </w:p>
          <w:p>
            <w:pPr>
              <w:autoSpaceDE w:val="0"/>
              <w:autoSpaceDN w:val="0"/>
              <w:adjustRightInd w:val="0"/>
              <w:spacing w:line="360" w:lineRule="auto"/>
              <w:ind w:firstLine="480" w:firstLineChars="200"/>
              <w:rPr>
                <w:rFonts w:hint="default" w:ascii="Times New Roman" w:hAnsi="Times New Roman" w:cs="Times New Roman"/>
                <w:color w:val="000000" w:themeColor="text1"/>
                <w:kern w:val="0"/>
                <w:sz w:val="24"/>
                <w:szCs w:val="20"/>
                <w14:textFill>
                  <w14:solidFill>
                    <w14:schemeClr w14:val="tx1"/>
                  </w14:solidFill>
                </w14:textFill>
              </w:rPr>
            </w:pPr>
            <w:r>
              <w:rPr>
                <w:rFonts w:hint="default" w:ascii="Times New Roman" w:hAnsi="Times New Roman" w:cs="Times New Roman"/>
                <w:color w:val="000000" w:themeColor="text1"/>
                <w:kern w:val="0"/>
                <w:sz w:val="24"/>
                <w:szCs w:val="20"/>
                <w14:textFill>
                  <w14:solidFill>
                    <w14:schemeClr w14:val="tx1"/>
                  </w14:solidFill>
                </w14:textFill>
              </w:rPr>
              <w:t>a.对生产区和原料车间、仓库、成品周转棚地面采取防渗、硬化处理；</w:t>
            </w:r>
          </w:p>
          <w:p>
            <w:pPr>
              <w:autoSpaceDE w:val="0"/>
              <w:autoSpaceDN w:val="0"/>
              <w:adjustRightInd w:val="0"/>
              <w:spacing w:line="360" w:lineRule="auto"/>
              <w:ind w:firstLine="480" w:firstLineChars="200"/>
              <w:rPr>
                <w:rFonts w:hint="default" w:ascii="Times New Roman" w:hAnsi="Times New Roman" w:cs="Times New Roman"/>
                <w:color w:val="000000" w:themeColor="text1"/>
                <w:kern w:val="0"/>
                <w:sz w:val="24"/>
                <w:szCs w:val="20"/>
                <w14:textFill>
                  <w14:solidFill>
                    <w14:schemeClr w14:val="tx1"/>
                  </w14:solidFill>
                </w14:textFill>
              </w:rPr>
            </w:pPr>
            <w:r>
              <w:rPr>
                <w:rFonts w:hint="default" w:ascii="Times New Roman" w:hAnsi="Times New Roman" w:cs="Times New Roman"/>
                <w:color w:val="000000" w:themeColor="text1"/>
                <w:kern w:val="0"/>
                <w:sz w:val="24"/>
                <w:szCs w:val="20"/>
                <w14:textFill>
                  <w14:solidFill>
                    <w14:schemeClr w14:val="tx1"/>
                  </w14:solidFill>
                </w14:textFill>
              </w:rPr>
              <w:t>b.定期检查，确保消除跑、冒、滴、漏现象发生；</w:t>
            </w:r>
          </w:p>
          <w:p>
            <w:pPr>
              <w:autoSpaceDE w:val="0"/>
              <w:autoSpaceDN w:val="0"/>
              <w:adjustRightInd w:val="0"/>
              <w:spacing w:line="360" w:lineRule="auto"/>
              <w:ind w:firstLine="480" w:firstLineChars="200"/>
              <w:rPr>
                <w:rFonts w:hint="default" w:ascii="Times New Roman" w:hAnsi="Times New Roman" w:cs="Times New Roman"/>
                <w:color w:val="000000" w:themeColor="text1"/>
                <w:kern w:val="0"/>
                <w:sz w:val="24"/>
                <w:szCs w:val="20"/>
                <w14:textFill>
                  <w14:solidFill>
                    <w14:schemeClr w14:val="tx1"/>
                  </w14:solidFill>
                </w14:textFill>
              </w:rPr>
            </w:pPr>
            <w:r>
              <w:rPr>
                <w:rFonts w:hint="default" w:ascii="Times New Roman" w:hAnsi="Times New Roman" w:cs="Times New Roman"/>
                <w:bCs/>
                <w:color w:val="000000" w:themeColor="text1"/>
                <w:sz w:val="24"/>
                <w14:textFill>
                  <w14:solidFill>
                    <w14:schemeClr w14:val="tx1"/>
                  </w14:solidFill>
                </w14:textFill>
              </w:rPr>
              <w:t>总之，</w:t>
            </w:r>
            <w:r>
              <w:rPr>
                <w:rFonts w:hint="default" w:ascii="Times New Roman" w:hAnsi="Times New Roman" w:cs="Times New Roman"/>
                <w:bCs/>
                <w:color w:val="000000" w:themeColor="text1"/>
                <w:sz w:val="24"/>
                <w:lang w:eastAsia="zh-CN"/>
                <w14:textFill>
                  <w14:solidFill>
                    <w14:schemeClr w14:val="tx1"/>
                  </w14:solidFill>
                </w14:textFill>
              </w:rPr>
              <w:t>乙二醇为外购塑料桶装，产品搅拌</w:t>
            </w:r>
            <w:r>
              <w:rPr>
                <w:rFonts w:hint="eastAsia" w:ascii="Times New Roman" w:hAnsi="Times New Roman" w:cs="Times New Roman"/>
                <w:bCs/>
                <w:color w:val="000000" w:themeColor="text1"/>
                <w:sz w:val="24"/>
                <w:lang w:eastAsia="zh-CN"/>
                <w14:textFill>
                  <w14:solidFill>
                    <w14:schemeClr w14:val="tx1"/>
                  </w14:solidFill>
                </w14:textFill>
              </w:rPr>
              <w:t>混液</w:t>
            </w:r>
            <w:r>
              <w:rPr>
                <w:rFonts w:hint="default" w:ascii="Times New Roman" w:hAnsi="Times New Roman" w:cs="Times New Roman"/>
                <w:bCs/>
                <w:color w:val="000000" w:themeColor="text1"/>
                <w:sz w:val="24"/>
                <w:lang w:eastAsia="zh-CN"/>
                <w14:textFill>
                  <w14:solidFill>
                    <w14:schemeClr w14:val="tx1"/>
                  </w14:solidFill>
                </w14:textFill>
              </w:rPr>
              <w:t>完成后也进行</w:t>
            </w:r>
            <w:r>
              <w:rPr>
                <w:rFonts w:hint="eastAsia" w:ascii="Times New Roman" w:hAnsi="Times New Roman" w:cs="Times New Roman"/>
                <w:bCs/>
                <w:color w:val="000000" w:themeColor="text1"/>
                <w:sz w:val="24"/>
                <w:lang w:eastAsia="zh-CN"/>
                <w14:textFill>
                  <w14:solidFill>
                    <w14:schemeClr w14:val="tx1"/>
                  </w14:solidFill>
                </w14:textFill>
              </w:rPr>
              <w:t>塑料桶</w:t>
            </w:r>
            <w:r>
              <w:rPr>
                <w:rFonts w:hint="default" w:ascii="Times New Roman" w:hAnsi="Times New Roman" w:cs="Times New Roman"/>
                <w:bCs/>
                <w:color w:val="000000" w:themeColor="text1"/>
                <w:sz w:val="24"/>
                <w:lang w:eastAsia="zh-CN"/>
                <w14:textFill>
                  <w14:solidFill>
                    <w14:schemeClr w14:val="tx1"/>
                  </w14:solidFill>
                </w14:textFill>
              </w:rPr>
              <w:t>灌装，</w:t>
            </w:r>
            <w:r>
              <w:rPr>
                <w:rFonts w:hint="default" w:ascii="Times New Roman" w:hAnsi="Times New Roman" w:cs="Times New Roman"/>
                <w:bCs/>
                <w:color w:val="000000" w:themeColor="text1"/>
                <w:sz w:val="24"/>
                <w14:textFill>
                  <w14:solidFill>
                    <w14:schemeClr w14:val="tx1"/>
                  </w14:solidFill>
                </w14:textFill>
              </w:rPr>
              <w:t>正常运行时不会有</w:t>
            </w:r>
            <w:r>
              <w:rPr>
                <w:rFonts w:hint="eastAsia" w:ascii="Times New Roman" w:hAnsi="Times New Roman" w:cs="Times New Roman"/>
                <w:bCs/>
                <w:color w:val="000000" w:themeColor="text1"/>
                <w:sz w:val="24"/>
                <w:lang w:eastAsia="zh-CN"/>
                <w14:textFill>
                  <w14:solidFill>
                    <w14:schemeClr w14:val="tx1"/>
                  </w14:solidFill>
                </w14:textFill>
              </w:rPr>
              <w:t>泄漏</w:t>
            </w:r>
            <w:r>
              <w:rPr>
                <w:rFonts w:hint="default" w:ascii="Times New Roman" w:hAnsi="Times New Roman" w:cs="Times New Roman"/>
                <w:bCs/>
                <w:color w:val="000000" w:themeColor="text1"/>
                <w:sz w:val="24"/>
                <w14:textFill>
                  <w14:solidFill>
                    <w14:schemeClr w14:val="tx1"/>
                  </w14:solidFill>
                </w14:textFill>
              </w:rPr>
              <w:t>现象，对地下水环境影响较小。</w:t>
            </w:r>
          </w:p>
          <w:p>
            <w:pPr>
              <w:keepNext w:val="0"/>
              <w:keepLines w:val="0"/>
              <w:pageBreakBefore w:val="0"/>
              <w:widowControl w:val="0"/>
              <w:kinsoku/>
              <w:wordWrap/>
              <w:overflowPunct/>
              <w:topLinePunct w:val="0"/>
              <w:autoSpaceDE/>
              <w:autoSpaceDN/>
              <w:bidi w:val="0"/>
              <w:adjustRightInd w:val="0"/>
              <w:snapToGrid w:val="0"/>
              <w:ind w:firstLine="482" w:firstLineChars="200"/>
              <w:textAlignment w:val="auto"/>
              <w:outlineLvl w:val="9"/>
              <w:rPr>
                <w:rFonts w:hint="default" w:ascii="Times New Roman" w:hAnsi="Times New Roman" w:cs="Times New Roman"/>
                <w:b/>
              </w:rPr>
            </w:pPr>
            <w:r>
              <w:rPr>
                <w:rFonts w:hint="default" w:ascii="Times New Roman" w:hAnsi="Times New Roman" w:cs="Times New Roman"/>
                <w:b/>
              </w:rPr>
              <w:t>三、声环境影响分析</w:t>
            </w:r>
          </w:p>
          <w:p>
            <w:pPr>
              <w:ind w:firstLine="480"/>
              <w:jc w:val="left"/>
              <w:rPr>
                <w:rFonts w:hint="default" w:ascii="Times New Roman" w:hAnsi="Times New Roman" w:cs="Times New Roman"/>
              </w:rPr>
            </w:pPr>
            <w:r>
              <w:rPr>
                <w:rFonts w:hint="default" w:ascii="Times New Roman" w:hAnsi="Times New Roman" w:cs="Times New Roman"/>
              </w:rPr>
              <w:t>1、噪声源强</w:t>
            </w:r>
          </w:p>
          <w:p>
            <w:pPr>
              <w:ind w:firstLine="480"/>
              <w:rPr>
                <w:rFonts w:hint="default" w:ascii="Times New Roman" w:hAnsi="Times New Roman" w:cs="Times New Roman"/>
              </w:rPr>
            </w:pPr>
            <w:r>
              <w:rPr>
                <w:rFonts w:hint="default" w:ascii="Times New Roman" w:hAnsi="Times New Roman" w:cs="Times New Roman"/>
              </w:rPr>
              <w:t>项目运营期噪声主要来自</w:t>
            </w:r>
            <w:r>
              <w:rPr>
                <w:rFonts w:hint="default" w:ascii="Times New Roman" w:hAnsi="Times New Roman" w:cs="Times New Roman"/>
                <w:lang w:eastAsia="zh-CN"/>
              </w:rPr>
              <w:t>泵</w:t>
            </w:r>
            <w:r>
              <w:rPr>
                <w:rFonts w:hint="default" w:ascii="Times New Roman" w:hAnsi="Times New Roman" w:cs="Times New Roman"/>
              </w:rPr>
              <w:t>运行时产生的噪声。噪声级约在</w:t>
            </w:r>
            <w:r>
              <w:rPr>
                <w:rFonts w:hint="default" w:ascii="Times New Roman" w:hAnsi="Times New Roman" w:cs="Times New Roman"/>
                <w:lang w:val="en-US" w:eastAsia="zh-CN"/>
              </w:rPr>
              <w:t>7</w:t>
            </w:r>
            <w:r>
              <w:rPr>
                <w:rFonts w:hint="default" w:ascii="Times New Roman" w:hAnsi="Times New Roman" w:cs="Times New Roman"/>
              </w:rPr>
              <w:t>0~</w:t>
            </w:r>
            <w:r>
              <w:rPr>
                <w:rFonts w:hint="default" w:ascii="Times New Roman" w:hAnsi="Times New Roman" w:cs="Times New Roman"/>
                <w:lang w:val="en-US" w:eastAsia="zh-CN"/>
              </w:rPr>
              <w:t>7</w:t>
            </w:r>
            <w:r>
              <w:rPr>
                <w:rFonts w:hint="default" w:ascii="Times New Roman" w:hAnsi="Times New Roman" w:cs="Times New Roman"/>
              </w:rPr>
              <w:t>5dB（A）之间，项目仅昼间生产</w:t>
            </w:r>
            <w:r>
              <w:rPr>
                <w:rFonts w:hint="default" w:ascii="Times New Roman" w:hAnsi="Times New Roman" w:cs="Times New Roman"/>
                <w:lang w:val="en-US" w:eastAsia="zh-CN"/>
              </w:rPr>
              <w:t>10</w:t>
            </w:r>
            <w:r>
              <w:rPr>
                <w:rFonts w:hint="default" w:ascii="Times New Roman" w:hAnsi="Times New Roman" w:cs="Times New Roman"/>
              </w:rPr>
              <w:t>小时，夜间不生产间。设备噪声会根据距离的增加而递减。设备噪声源见表</w:t>
            </w:r>
            <w:r>
              <w:rPr>
                <w:rFonts w:hint="eastAsia" w:ascii="Times New Roman" w:hAnsi="Times New Roman" w:cs="Times New Roman"/>
                <w:lang w:val="en-US" w:eastAsia="zh-CN"/>
              </w:rPr>
              <w:t>6</w:t>
            </w:r>
            <w:r>
              <w:rPr>
                <w:rFonts w:hint="default" w:ascii="Times New Roman" w:hAnsi="Times New Roman" w:cs="Times New Roman"/>
                <w:lang w:val="en-US" w:eastAsia="zh-CN"/>
              </w:rPr>
              <w:t>-5</w:t>
            </w:r>
            <w:r>
              <w:rPr>
                <w:rFonts w:hint="default" w:ascii="Times New Roman" w:hAnsi="Times New Roman" w:cs="Times New Roman"/>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表</w:t>
            </w:r>
            <w:r>
              <w:rPr>
                <w:rFonts w:hint="eastAsia" w:ascii="Times New Roman" w:hAnsi="Times New Roman" w:eastAsia="宋体" w:cs="Times New Roman"/>
                <w:b/>
                <w:bCs/>
                <w:color w:val="auto"/>
                <w:sz w:val="21"/>
                <w:szCs w:val="21"/>
                <w:lang w:val="en-US" w:eastAsia="zh-CN"/>
              </w:rPr>
              <w:t>6</w:t>
            </w:r>
            <w:r>
              <w:rPr>
                <w:rFonts w:hint="default" w:ascii="Times New Roman" w:hAnsi="Times New Roman" w:eastAsia="宋体" w:cs="Times New Roman"/>
                <w:b/>
                <w:bCs/>
                <w:color w:val="auto"/>
                <w:sz w:val="21"/>
                <w:szCs w:val="21"/>
                <w:lang w:val="en-US" w:eastAsia="zh-CN"/>
              </w:rPr>
              <w:t>-5</w:t>
            </w:r>
            <w:r>
              <w:rPr>
                <w:rFonts w:hint="default" w:ascii="Times New Roman" w:hAnsi="Times New Roman" w:eastAsia="宋体" w:cs="Times New Roman"/>
                <w:b/>
                <w:bCs/>
                <w:color w:val="auto"/>
                <w:sz w:val="21"/>
                <w:szCs w:val="21"/>
                <w:lang w:eastAsia="zh-CN"/>
              </w:rPr>
              <w:t xml:space="preserve"> </w:t>
            </w:r>
            <w:r>
              <w:rPr>
                <w:rFonts w:hint="default"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lang w:eastAsia="zh-CN"/>
              </w:rPr>
              <w:t xml:space="preserve"> 项目主要生产设备噪声源强一览表（单位：dB（A））</w:t>
            </w:r>
          </w:p>
          <w:tbl>
            <w:tblPr>
              <w:tblStyle w:val="20"/>
              <w:tblW w:w="875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3"/>
              <w:gridCol w:w="702"/>
              <w:gridCol w:w="780"/>
              <w:gridCol w:w="900"/>
              <w:gridCol w:w="1455"/>
              <w:gridCol w:w="1335"/>
              <w:gridCol w:w="465"/>
              <w:gridCol w:w="585"/>
              <w:gridCol w:w="630"/>
              <w:gridCol w:w="480"/>
              <w:gridCol w:w="9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4" w:hRule="atLeast"/>
                <w:jc w:val="center"/>
              </w:trPr>
              <w:tc>
                <w:tcPr>
                  <w:tcW w:w="52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702"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设备</w:t>
                  </w:r>
                </w:p>
              </w:tc>
              <w:tc>
                <w:tcPr>
                  <w:tcW w:w="780"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数量（台）</w:t>
                  </w:r>
                </w:p>
              </w:tc>
              <w:tc>
                <w:tcPr>
                  <w:tcW w:w="900"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声压级dB(A)</w:t>
                  </w:r>
                </w:p>
              </w:tc>
              <w:tc>
                <w:tcPr>
                  <w:tcW w:w="145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降噪措施</w:t>
                  </w:r>
                </w:p>
              </w:tc>
              <w:tc>
                <w:tcPr>
                  <w:tcW w:w="133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降噪合成声压级dB(A)</w:t>
                  </w:r>
                </w:p>
              </w:tc>
              <w:tc>
                <w:tcPr>
                  <w:tcW w:w="3060" w:type="dxa"/>
                  <w:gridSpan w:val="5"/>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距厂界距离（m）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4" w:hRule="atLeast"/>
                <w:jc w:val="center"/>
              </w:trPr>
              <w:tc>
                <w:tcPr>
                  <w:tcW w:w="52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p>
              </w:tc>
              <w:tc>
                <w:tcPr>
                  <w:tcW w:w="702"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p>
              </w:tc>
              <w:tc>
                <w:tcPr>
                  <w:tcW w:w="780"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p>
              </w:tc>
              <w:tc>
                <w:tcPr>
                  <w:tcW w:w="900"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p>
              </w:tc>
              <w:tc>
                <w:tcPr>
                  <w:tcW w:w="145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p>
              </w:tc>
              <w:tc>
                <w:tcPr>
                  <w:tcW w:w="133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p>
              </w:tc>
              <w:tc>
                <w:tcPr>
                  <w:tcW w:w="465"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东</w:t>
                  </w:r>
                </w:p>
              </w:tc>
              <w:tc>
                <w:tcPr>
                  <w:tcW w:w="5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南</w:t>
                  </w:r>
                </w:p>
              </w:tc>
              <w:tc>
                <w:tcPr>
                  <w:tcW w:w="63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西</w:t>
                  </w:r>
                </w:p>
              </w:tc>
              <w:tc>
                <w:tcPr>
                  <w:tcW w:w="48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北</w:t>
                  </w:r>
                </w:p>
              </w:tc>
              <w:tc>
                <w:tcPr>
                  <w:tcW w:w="90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铁孟村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523" w:type="dxa"/>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702" w:type="dxa"/>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泵</w:t>
                  </w:r>
                </w:p>
              </w:tc>
              <w:tc>
                <w:tcPr>
                  <w:tcW w:w="780" w:type="dxa"/>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9</w:t>
                  </w:r>
                </w:p>
              </w:tc>
              <w:tc>
                <w:tcPr>
                  <w:tcW w:w="900" w:type="dxa"/>
                  <w:vAlign w:val="center"/>
                </w:tcPr>
                <w:p>
                  <w:pPr>
                    <w:spacing w:line="240" w:lineRule="auto"/>
                    <w:ind w:firstLine="0" w:firstLineChars="0"/>
                    <w:jc w:val="center"/>
                    <w:rPr>
                      <w:rFonts w:hint="default" w:ascii="Times New Roman" w:hAnsi="Times New Roman" w:cs="Times New Roman"/>
                      <w:color w:val="auto"/>
                      <w:sz w:val="21"/>
                      <w:szCs w:val="21"/>
                      <w:lang w:val="en-US"/>
                    </w:rPr>
                  </w:pPr>
                  <w:r>
                    <w:rPr>
                      <w:rFonts w:hint="default" w:ascii="Times New Roman" w:hAnsi="Times New Roman" w:cs="Times New Roman"/>
                      <w:color w:val="auto"/>
                      <w:sz w:val="21"/>
                      <w:szCs w:val="21"/>
                      <w:lang w:val="en-US" w:eastAsia="zh-CN"/>
                    </w:rPr>
                    <w:t>75</w:t>
                  </w:r>
                </w:p>
              </w:tc>
              <w:tc>
                <w:tcPr>
                  <w:tcW w:w="1455" w:type="dxa"/>
                  <w:vMerge w:val="restart"/>
                  <w:vAlign w:val="center"/>
                </w:tcPr>
                <w:p>
                  <w:pPr>
                    <w:keepNext w:val="0"/>
                    <w:keepLines w:val="0"/>
                    <w:pageBreakBefore w:val="0"/>
                    <w:tabs>
                      <w:tab w:val="left" w:pos="2395"/>
                    </w:tabs>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室内安装、</w:t>
                  </w:r>
                  <w:r>
                    <w:rPr>
                      <w:rFonts w:hint="default" w:ascii="Times New Roman" w:hAnsi="Times New Roman" w:cs="Times New Roman"/>
                      <w:color w:val="auto"/>
                      <w:sz w:val="21"/>
                      <w:szCs w:val="21"/>
                    </w:rPr>
                    <w:t>基础减</w:t>
                  </w:r>
                  <w:r>
                    <w:rPr>
                      <w:rFonts w:hint="default" w:ascii="Times New Roman" w:hAnsi="Times New Roman" w:cs="Times New Roman"/>
                      <w:color w:val="auto"/>
                      <w:sz w:val="21"/>
                      <w:szCs w:val="21"/>
                      <w:lang w:eastAsia="zh-CN"/>
                    </w:rPr>
                    <w:t>振</w:t>
                  </w:r>
                  <w:r>
                    <w:rPr>
                      <w:rFonts w:hint="default" w:ascii="Times New Roman" w:hAnsi="Times New Roman" w:cs="Times New Roman"/>
                      <w:color w:val="auto"/>
                      <w:sz w:val="21"/>
                      <w:szCs w:val="21"/>
                    </w:rPr>
                    <w:t>、隔声</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rPr>
                  </w:pPr>
                </w:p>
              </w:tc>
              <w:tc>
                <w:tcPr>
                  <w:tcW w:w="1335" w:type="dxa"/>
                  <w:vAlign w:val="center"/>
                </w:tcPr>
                <w:p>
                  <w:pPr>
                    <w:spacing w:line="240" w:lineRule="auto"/>
                    <w:ind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60</w:t>
                  </w:r>
                </w:p>
              </w:tc>
              <w:tc>
                <w:tcPr>
                  <w:tcW w:w="465"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30</w:t>
                  </w:r>
                </w:p>
              </w:tc>
              <w:tc>
                <w:tcPr>
                  <w:tcW w:w="5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51.3</w:t>
                  </w:r>
                </w:p>
              </w:tc>
              <w:tc>
                <w:tcPr>
                  <w:tcW w:w="63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outlineLvl w:val="9"/>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25.5</w:t>
                  </w:r>
                </w:p>
              </w:tc>
              <w:tc>
                <w:tcPr>
                  <w:tcW w:w="48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outlineLvl w:val="9"/>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14</w:t>
                  </w:r>
                </w:p>
              </w:tc>
              <w:tc>
                <w:tcPr>
                  <w:tcW w:w="90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523" w:type="dxa"/>
                  <w:vAlign w:val="center"/>
                </w:tcPr>
                <w:p>
                  <w:pPr>
                    <w:spacing w:line="240" w:lineRule="auto"/>
                    <w:ind w:firstLine="0" w:firstLineChars="0"/>
                    <w:jc w:val="center"/>
                    <w:rPr>
                      <w:rFonts w:hint="eastAsia" w:ascii="Times New Roman" w:hAnsi="Times New Roman" w:eastAsia="宋体" w:cs="Times New Roman"/>
                      <w:color w:val="FF0000"/>
                      <w:sz w:val="21"/>
                      <w:szCs w:val="21"/>
                      <w:lang w:val="en-US" w:eastAsia="zh-CN"/>
                    </w:rPr>
                  </w:pPr>
                  <w:r>
                    <w:rPr>
                      <w:rFonts w:hint="eastAsia" w:cs="Times New Roman"/>
                      <w:color w:val="FF0000"/>
                      <w:sz w:val="21"/>
                      <w:szCs w:val="21"/>
                      <w:lang w:val="en-US" w:eastAsia="zh-CN"/>
                    </w:rPr>
                    <w:t>2</w:t>
                  </w:r>
                </w:p>
              </w:tc>
              <w:tc>
                <w:tcPr>
                  <w:tcW w:w="702" w:type="dxa"/>
                  <w:vAlign w:val="center"/>
                </w:tcPr>
                <w:p>
                  <w:pPr>
                    <w:spacing w:line="240" w:lineRule="auto"/>
                    <w:ind w:firstLine="0" w:firstLineChars="0"/>
                    <w:jc w:val="center"/>
                    <w:rPr>
                      <w:rFonts w:hint="default" w:ascii="Times New Roman" w:hAnsi="Times New Roman" w:cs="Times New Roman"/>
                      <w:color w:val="FF0000"/>
                      <w:sz w:val="21"/>
                      <w:szCs w:val="21"/>
                      <w:lang w:eastAsia="zh-CN"/>
                    </w:rPr>
                  </w:pPr>
                  <w:r>
                    <w:rPr>
                      <w:rFonts w:hint="eastAsia" w:cs="Times New Roman"/>
                      <w:color w:val="FF0000"/>
                      <w:sz w:val="21"/>
                      <w:szCs w:val="21"/>
                      <w:lang w:eastAsia="zh-CN"/>
                    </w:rPr>
                    <w:t>搅拌釜</w:t>
                  </w:r>
                </w:p>
              </w:tc>
              <w:tc>
                <w:tcPr>
                  <w:tcW w:w="780" w:type="dxa"/>
                  <w:vAlign w:val="center"/>
                </w:tcPr>
                <w:p>
                  <w:pPr>
                    <w:spacing w:line="240" w:lineRule="auto"/>
                    <w:ind w:firstLine="0" w:firstLineChars="0"/>
                    <w:jc w:val="center"/>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1</w:t>
                  </w:r>
                </w:p>
              </w:tc>
              <w:tc>
                <w:tcPr>
                  <w:tcW w:w="900" w:type="dxa"/>
                  <w:vAlign w:val="center"/>
                </w:tcPr>
                <w:p>
                  <w:pPr>
                    <w:spacing w:line="240" w:lineRule="auto"/>
                    <w:ind w:firstLine="0" w:firstLineChars="0"/>
                    <w:jc w:val="center"/>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80</w:t>
                  </w:r>
                </w:p>
              </w:tc>
              <w:tc>
                <w:tcPr>
                  <w:tcW w:w="14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FF0000"/>
                      <w:sz w:val="21"/>
                      <w:szCs w:val="21"/>
                    </w:rPr>
                  </w:pPr>
                </w:p>
              </w:tc>
              <w:tc>
                <w:tcPr>
                  <w:tcW w:w="1335" w:type="dxa"/>
                  <w:vAlign w:val="center"/>
                </w:tcPr>
                <w:p>
                  <w:pPr>
                    <w:spacing w:line="240" w:lineRule="auto"/>
                    <w:ind w:firstLine="0" w:firstLineChars="0"/>
                    <w:jc w:val="center"/>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65</w:t>
                  </w:r>
                </w:p>
              </w:tc>
              <w:tc>
                <w:tcPr>
                  <w:tcW w:w="465"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30</w:t>
                  </w:r>
                </w:p>
              </w:tc>
              <w:tc>
                <w:tcPr>
                  <w:tcW w:w="585"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outlineLvl w:val="9"/>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47.3</w:t>
                  </w:r>
                </w:p>
              </w:tc>
              <w:tc>
                <w:tcPr>
                  <w:tcW w:w="63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outlineLvl w:val="9"/>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25.5</w:t>
                  </w:r>
                </w:p>
              </w:tc>
              <w:tc>
                <w:tcPr>
                  <w:tcW w:w="48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outlineLvl w:val="9"/>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10</w:t>
                  </w:r>
                </w:p>
              </w:tc>
              <w:tc>
                <w:tcPr>
                  <w:tcW w:w="900"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outlineLvl w:val="9"/>
                    <w:rPr>
                      <w:rFonts w:hint="default" w:ascii="Times New Roman" w:hAnsi="Times New Roman" w:cs="Times New Roman"/>
                      <w:color w:val="FF0000"/>
                      <w:sz w:val="21"/>
                      <w:szCs w:val="21"/>
                      <w:lang w:val="en-US" w:eastAsia="zh-CN"/>
                    </w:rPr>
                  </w:pPr>
                  <w:r>
                    <w:rPr>
                      <w:rFonts w:hint="eastAsia" w:cs="Times New Roman"/>
                      <w:color w:val="FF0000"/>
                      <w:sz w:val="21"/>
                      <w:szCs w:val="21"/>
                      <w:lang w:val="en-US" w:eastAsia="zh-CN"/>
                    </w:rPr>
                    <w:t>80</w:t>
                  </w:r>
                </w:p>
              </w:tc>
            </w:tr>
          </w:tbl>
          <w:p>
            <w:pPr>
              <w:ind w:firstLine="480"/>
              <w:jc w:val="left"/>
              <w:rPr>
                <w:rFonts w:hint="default" w:ascii="Times New Roman" w:hAnsi="Times New Roman" w:cs="Times New Roman"/>
              </w:rPr>
            </w:pPr>
            <w:r>
              <w:rPr>
                <w:rFonts w:hint="default" w:ascii="Times New Roman" w:hAnsi="Times New Roman" w:cs="Times New Roman"/>
              </w:rPr>
              <w:t>2、预测模式</w:t>
            </w:r>
          </w:p>
          <w:p>
            <w:pPr>
              <w:ind w:firstLine="480"/>
              <w:jc w:val="left"/>
              <w:rPr>
                <w:rFonts w:hint="default" w:ascii="Times New Roman" w:hAnsi="Times New Roman" w:cs="Times New Roman"/>
              </w:rPr>
            </w:pPr>
            <w:r>
              <w:rPr>
                <w:rFonts w:hint="default" w:ascii="Times New Roman" w:hAnsi="Times New Roman" w:cs="Times New Roman"/>
              </w:rPr>
              <w:t>A、室外声源</w:t>
            </w:r>
          </w:p>
          <w:p>
            <w:pPr>
              <w:ind w:firstLine="480"/>
              <w:jc w:val="center"/>
              <w:rPr>
                <w:rFonts w:hint="default" w:ascii="Times New Roman" w:hAnsi="Times New Roman" w:cs="Times New Roman"/>
              </w:rPr>
            </w:pPr>
            <w:r>
              <w:rPr>
                <w:rFonts w:hint="default" w:ascii="Times New Roman" w:hAnsi="Times New Roman" w:cs="Times New Roman"/>
                <w:position w:val="-14"/>
              </w:rPr>
              <w:drawing>
                <wp:inline distT="0" distB="0" distL="0" distR="0">
                  <wp:extent cx="1967230" cy="266065"/>
                  <wp:effectExtent l="0" t="0" r="1397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967230" cy="266065"/>
                          </a:xfrm>
                          <a:prstGeom prst="rect">
                            <a:avLst/>
                          </a:prstGeom>
                          <a:noFill/>
                          <a:ln>
                            <a:noFill/>
                          </a:ln>
                        </pic:spPr>
                      </pic:pic>
                    </a:graphicData>
                  </a:graphic>
                </wp:inline>
              </w:drawing>
            </w:r>
          </w:p>
          <w:p>
            <w:pPr>
              <w:ind w:firstLine="360" w:firstLineChars="150"/>
              <w:jc w:val="left"/>
              <w:rPr>
                <w:rFonts w:hint="default" w:ascii="Times New Roman" w:hAnsi="Times New Roman" w:cs="Times New Roman"/>
              </w:rPr>
            </w:pPr>
            <w:r>
              <w:rPr>
                <w:rFonts w:hint="default" w:ascii="Times New Roman" w:hAnsi="Times New Roman" w:cs="Times New Roman"/>
              </w:rPr>
              <w:t>式中：</w:t>
            </w:r>
            <w:r>
              <w:rPr>
                <w:rFonts w:hint="default" w:ascii="Times New Roman" w:hAnsi="Times New Roman" w:cs="Times New Roman"/>
                <w:position w:val="-14"/>
              </w:rPr>
              <w:drawing>
                <wp:inline distT="0" distB="0" distL="0" distR="0">
                  <wp:extent cx="361315" cy="276225"/>
                  <wp:effectExtent l="0" t="0" r="635" b="762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61315" cy="276225"/>
                          </a:xfrm>
                          <a:prstGeom prst="rect">
                            <a:avLst/>
                          </a:prstGeom>
                          <a:noFill/>
                          <a:ln>
                            <a:noFill/>
                          </a:ln>
                        </pic:spPr>
                      </pic:pic>
                    </a:graphicData>
                  </a:graphic>
                </wp:inline>
              </w:drawing>
            </w:r>
            <w:r>
              <w:rPr>
                <w:rFonts w:hint="default" w:ascii="Times New Roman" w:hAnsi="Times New Roman" w:cs="Times New Roman"/>
              </w:rPr>
              <w:t>—噪声源在预测点的声压级，dB(A)；</w:t>
            </w:r>
          </w:p>
          <w:p>
            <w:pPr>
              <w:ind w:firstLine="1080" w:firstLineChars="450"/>
              <w:jc w:val="left"/>
              <w:rPr>
                <w:rFonts w:hint="default" w:ascii="Times New Roman" w:hAnsi="Times New Roman" w:cs="Times New Roman"/>
              </w:rPr>
            </w:pPr>
            <w:r>
              <w:rPr>
                <w:rFonts w:hint="default" w:ascii="Times New Roman" w:hAnsi="Times New Roman" w:cs="Times New Roman"/>
              </w:rPr>
              <w:drawing>
                <wp:inline distT="0" distB="0" distL="0" distR="0">
                  <wp:extent cx="457200" cy="276225"/>
                  <wp:effectExtent l="0" t="0" r="0" b="762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57200" cy="276225"/>
                          </a:xfrm>
                          <a:prstGeom prst="rect">
                            <a:avLst/>
                          </a:prstGeom>
                          <a:noFill/>
                          <a:ln>
                            <a:noFill/>
                          </a:ln>
                        </pic:spPr>
                      </pic:pic>
                    </a:graphicData>
                  </a:graphic>
                </wp:inline>
              </w:drawing>
            </w:r>
            <w:r>
              <w:rPr>
                <w:rFonts w:hint="default" w:ascii="Times New Roman" w:hAnsi="Times New Roman" w:cs="Times New Roman"/>
              </w:rPr>
              <w:t>—参考位置</w:t>
            </w:r>
            <w:r>
              <w:rPr>
                <w:rFonts w:hint="default" w:ascii="Times New Roman" w:hAnsi="Times New Roman" w:cs="Times New Roman"/>
              </w:rPr>
              <w:drawing>
                <wp:inline distT="0" distB="0" distL="0" distR="0">
                  <wp:extent cx="138430" cy="212725"/>
                  <wp:effectExtent l="0" t="0" r="13970" b="171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38430" cy="212725"/>
                          </a:xfrm>
                          <a:prstGeom prst="rect">
                            <a:avLst/>
                          </a:prstGeom>
                          <a:noFill/>
                          <a:ln>
                            <a:noFill/>
                          </a:ln>
                        </pic:spPr>
                      </pic:pic>
                    </a:graphicData>
                  </a:graphic>
                </wp:inline>
              </w:drawing>
            </w:r>
            <w:r>
              <w:rPr>
                <w:rFonts w:hint="default" w:ascii="Times New Roman" w:hAnsi="Times New Roman" w:cs="Times New Roman"/>
              </w:rPr>
              <w:t>处的声压级，dB(A)；</w:t>
            </w:r>
          </w:p>
          <w:p>
            <w:pPr>
              <w:ind w:firstLine="960" w:firstLineChars="400"/>
              <w:jc w:val="left"/>
              <w:rPr>
                <w:rFonts w:hint="default" w:ascii="Times New Roman" w:hAnsi="Times New Roman" w:cs="Times New Roman"/>
              </w:rPr>
            </w:pPr>
            <w:r>
              <w:rPr>
                <w:rFonts w:hint="default" w:ascii="Times New Roman" w:hAnsi="Times New Roman" w:cs="Times New Roman"/>
                <w:position w:val="-12"/>
              </w:rPr>
              <w:drawing>
                <wp:inline distT="0" distB="0" distL="0" distR="0">
                  <wp:extent cx="180975" cy="276225"/>
                  <wp:effectExtent l="0" t="0" r="0" b="635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76225"/>
                          </a:xfrm>
                          <a:prstGeom prst="rect">
                            <a:avLst/>
                          </a:prstGeom>
                          <a:noFill/>
                          <a:ln>
                            <a:noFill/>
                          </a:ln>
                        </pic:spPr>
                      </pic:pic>
                    </a:graphicData>
                  </a:graphic>
                </wp:inline>
              </w:drawing>
            </w:r>
            <w:r>
              <w:rPr>
                <w:rFonts w:hint="default" w:ascii="Times New Roman" w:hAnsi="Times New Roman" w:cs="Times New Roman"/>
              </w:rPr>
              <w:t>—参考位置距声源中心的位置，m；</w:t>
            </w:r>
          </w:p>
          <w:p>
            <w:pPr>
              <w:ind w:firstLine="960" w:firstLineChars="400"/>
              <w:jc w:val="left"/>
              <w:rPr>
                <w:rFonts w:hint="default" w:ascii="Times New Roman" w:hAnsi="Times New Roman" w:cs="Times New Roman"/>
              </w:rPr>
            </w:pPr>
            <w:r>
              <w:rPr>
                <w:rFonts w:hint="default" w:ascii="Times New Roman" w:hAnsi="Times New Roman" w:cs="Times New Roman"/>
                <w:position w:val="-4"/>
              </w:rPr>
              <w:drawing>
                <wp:inline distT="0" distB="0" distL="0" distR="0">
                  <wp:extent cx="95885" cy="95885"/>
                  <wp:effectExtent l="0" t="0" r="0" b="184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95885" cy="95885"/>
                          </a:xfrm>
                          <a:prstGeom prst="rect">
                            <a:avLst/>
                          </a:prstGeom>
                          <a:noFill/>
                          <a:ln>
                            <a:noFill/>
                          </a:ln>
                        </pic:spPr>
                      </pic:pic>
                    </a:graphicData>
                  </a:graphic>
                </wp:inline>
              </w:drawing>
            </w:r>
            <w:r>
              <w:rPr>
                <w:rFonts w:hint="default" w:ascii="Times New Roman" w:hAnsi="Times New Roman" w:cs="Times New Roman"/>
              </w:rPr>
              <w:t>—声源中心至预测点的距离，m；</w:t>
            </w:r>
          </w:p>
          <w:p>
            <w:pPr>
              <w:ind w:firstLine="840" w:firstLineChars="350"/>
              <w:jc w:val="left"/>
              <w:rPr>
                <w:rFonts w:hint="default" w:ascii="Times New Roman" w:hAnsi="Times New Roman" w:cs="Times New Roman"/>
              </w:rPr>
            </w:pPr>
            <w:r>
              <w:rPr>
                <w:rFonts w:hint="default" w:ascii="Times New Roman" w:hAnsi="Times New Roman" w:cs="Times New Roman"/>
                <w:position w:val="-4"/>
              </w:rPr>
              <w:drawing>
                <wp:inline distT="0" distB="0" distL="0" distR="0">
                  <wp:extent cx="276225" cy="180975"/>
                  <wp:effectExtent l="0" t="0" r="9525"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76225" cy="180975"/>
                          </a:xfrm>
                          <a:prstGeom prst="rect">
                            <a:avLst/>
                          </a:prstGeom>
                          <a:noFill/>
                          <a:ln>
                            <a:noFill/>
                          </a:ln>
                        </pic:spPr>
                      </pic:pic>
                    </a:graphicData>
                  </a:graphic>
                </wp:inline>
              </w:drawing>
            </w:r>
            <w:r>
              <w:rPr>
                <w:rFonts w:hint="default" w:ascii="Times New Roman" w:hAnsi="Times New Roman" w:cs="Times New Roman"/>
              </w:rPr>
              <w:t>—各种因素引起的声衰减量（如声屏障，遮挡物，空气吸收，地面吸收等引起的声衰减），dB(A)。</w:t>
            </w:r>
          </w:p>
          <w:p>
            <w:pPr>
              <w:ind w:firstLine="480"/>
              <w:jc w:val="left"/>
              <w:rPr>
                <w:rFonts w:hint="default" w:ascii="Times New Roman" w:hAnsi="Times New Roman" w:cs="Times New Roman"/>
              </w:rPr>
            </w:pPr>
            <w:r>
              <w:rPr>
                <w:rFonts w:hint="default" w:ascii="Times New Roman" w:hAnsi="Times New Roman" w:cs="Times New Roman"/>
              </w:rPr>
              <w:t>B、室内声源</w:t>
            </w:r>
          </w:p>
          <w:p>
            <w:pPr>
              <w:ind w:firstLine="480"/>
              <w:jc w:val="left"/>
              <w:rPr>
                <w:rFonts w:hint="default" w:ascii="Times New Roman" w:hAnsi="Times New Roman" w:cs="Times New Roman"/>
                <w:kern w:val="0"/>
              </w:rPr>
            </w:pPr>
            <w:r>
              <w:rPr>
                <w:rFonts w:hint="default" w:ascii="Times New Roman" w:hAnsi="Times New Roman" w:cs="Times New Roman"/>
                <w:kern w:val="0"/>
              </w:rPr>
              <w:t>等效室外点源的声传播衰减公式为：</w:t>
            </w:r>
          </w:p>
          <w:p>
            <w:pPr>
              <w:ind w:firstLine="480"/>
              <w:jc w:val="center"/>
              <w:rPr>
                <w:rFonts w:hint="default" w:ascii="Times New Roman" w:hAnsi="Times New Roman" w:cs="Times New Roman"/>
              </w:rPr>
            </w:pPr>
            <w:r>
              <w:rPr>
                <w:rFonts w:hint="default" w:ascii="Times New Roman" w:hAnsi="Times New Roman" w:cs="Times New Roman"/>
                <w:position w:val="-30"/>
              </w:rPr>
              <w:drawing>
                <wp:inline distT="0" distB="0" distL="0" distR="0">
                  <wp:extent cx="2732405" cy="446405"/>
                  <wp:effectExtent l="0" t="0" r="0" b="1270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732405" cy="446405"/>
                          </a:xfrm>
                          <a:prstGeom prst="rect">
                            <a:avLst/>
                          </a:prstGeom>
                          <a:noFill/>
                          <a:ln>
                            <a:noFill/>
                          </a:ln>
                        </pic:spPr>
                      </pic:pic>
                    </a:graphicData>
                  </a:graphic>
                </wp:inline>
              </w:drawing>
            </w:r>
          </w:p>
          <w:p>
            <w:pPr>
              <w:ind w:firstLine="480"/>
              <w:jc w:val="left"/>
              <w:rPr>
                <w:rFonts w:hint="default" w:ascii="Times New Roman" w:hAnsi="Times New Roman" w:cs="Times New Roman"/>
              </w:rPr>
            </w:pPr>
            <w:r>
              <w:rPr>
                <w:rFonts w:hint="default" w:ascii="Times New Roman" w:hAnsi="Times New Roman" w:cs="Times New Roman"/>
              </w:rPr>
              <w:t>式中：</w:t>
            </w:r>
            <w:r>
              <w:rPr>
                <w:rFonts w:hint="default" w:ascii="Times New Roman" w:hAnsi="Times New Roman" w:cs="Times New Roman"/>
                <w:i/>
              </w:rPr>
              <w:t>L</w:t>
            </w:r>
            <w:r>
              <w:rPr>
                <w:rFonts w:hint="default" w:ascii="Times New Roman" w:hAnsi="Times New Roman" w:cs="Times New Roman"/>
                <w:i/>
                <w:vertAlign w:val="subscript"/>
              </w:rPr>
              <w:t>p</w:t>
            </w:r>
            <w:r>
              <w:rPr>
                <w:rFonts w:hint="default" w:ascii="Times New Roman" w:hAnsi="Times New Roman" w:cs="Times New Roman"/>
                <w:vertAlign w:val="subscript"/>
              </w:rPr>
              <w:t>0</w:t>
            </w:r>
            <w:r>
              <w:rPr>
                <w:rFonts w:hint="default" w:ascii="Times New Roman" w:hAnsi="Times New Roman" w:cs="Times New Roman"/>
              </w:rPr>
              <w:t>—室内声源的声压级，dB(A)；</w:t>
            </w:r>
          </w:p>
          <w:p>
            <w:pPr>
              <w:ind w:firstLine="1159" w:firstLineChars="483"/>
              <w:jc w:val="left"/>
              <w:rPr>
                <w:rFonts w:hint="default" w:ascii="Times New Roman" w:hAnsi="Times New Roman" w:cs="Times New Roman"/>
              </w:rPr>
            </w:pPr>
            <w:r>
              <w:rPr>
                <w:rFonts w:hint="default" w:ascii="Times New Roman" w:hAnsi="Times New Roman" w:cs="Times New Roman"/>
              </w:rPr>
              <w:t>TL—厂房围护结构(墙、窗)的平均隔声量，dB(A)；</w:t>
            </w:r>
          </w:p>
          <w:p>
            <w:pPr>
              <w:ind w:firstLine="1159" w:firstLineChars="483"/>
              <w:jc w:val="left"/>
              <w:rPr>
                <w:rFonts w:hint="default" w:ascii="Times New Roman" w:hAnsi="Times New Roman" w:cs="Times New Roman"/>
              </w:rPr>
            </w:pPr>
            <w:r>
              <w:rPr>
                <w:rFonts w:hint="default" w:ascii="Times New Roman" w:hAnsi="Times New Roman" w:cs="Times New Roman"/>
              </w:rPr>
              <w:t>R—车间的房间常数，m</w:t>
            </w:r>
            <w:r>
              <w:rPr>
                <w:rFonts w:hint="default" w:ascii="Times New Roman" w:hAnsi="Times New Roman" w:cs="Times New Roman"/>
                <w:vertAlign w:val="superscript"/>
              </w:rPr>
              <w:t>2</w:t>
            </w:r>
            <w:r>
              <w:rPr>
                <w:rFonts w:hint="default" w:ascii="Times New Roman" w:hAnsi="Times New Roman" w:cs="Times New Roman"/>
              </w:rPr>
              <w:t>；</w:t>
            </w:r>
          </w:p>
          <w:p>
            <w:pPr>
              <w:ind w:firstLine="1200" w:firstLineChars="500"/>
              <w:jc w:val="left"/>
              <w:rPr>
                <w:rFonts w:hint="default" w:ascii="Times New Roman" w:hAnsi="Times New Roman" w:cs="Times New Roman"/>
              </w:rPr>
            </w:pPr>
            <w:r>
              <w:rPr>
                <w:rFonts w:hint="default" w:ascii="Times New Roman" w:hAnsi="Times New Roman" w:cs="Times New Roman"/>
                <w:position w:val="-24"/>
              </w:rPr>
              <w:drawing>
                <wp:inline distT="0" distB="0" distL="0" distR="0">
                  <wp:extent cx="648335" cy="36131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648335" cy="361315"/>
                          </a:xfrm>
                          <a:prstGeom prst="rect">
                            <a:avLst/>
                          </a:prstGeom>
                          <a:noFill/>
                          <a:ln>
                            <a:noFill/>
                          </a:ln>
                        </pic:spPr>
                      </pic:pic>
                    </a:graphicData>
                  </a:graphic>
                </wp:inline>
              </w:drawing>
            </w:r>
            <w:r>
              <w:rPr>
                <w:rFonts w:hint="default" w:ascii="Times New Roman" w:hAnsi="Times New Roman" w:cs="Times New Roman"/>
              </w:rPr>
              <w:t>S</w:t>
            </w:r>
            <w:r>
              <w:rPr>
                <w:rFonts w:hint="default" w:ascii="Times New Roman" w:hAnsi="Times New Roman" w:cs="Times New Roman"/>
                <w:vertAlign w:val="subscript"/>
              </w:rPr>
              <w:t>t</w:t>
            </w:r>
            <w:r>
              <w:rPr>
                <w:rFonts w:hint="default" w:ascii="Times New Roman" w:hAnsi="Times New Roman" w:cs="Times New Roman"/>
              </w:rPr>
              <w:t>为车间总面积；</w:t>
            </w:r>
            <w:r>
              <w:rPr>
                <w:rFonts w:hint="default" w:ascii="Times New Roman" w:hAnsi="Times New Roman" w:cs="Times New Roman"/>
                <w:position w:val="-6"/>
              </w:rPr>
              <w:drawing>
                <wp:inline distT="0" distB="0" distL="0" distR="0">
                  <wp:extent cx="180975" cy="180975"/>
                  <wp:effectExtent l="0" t="0" r="952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80975" cy="180975"/>
                          </a:xfrm>
                          <a:prstGeom prst="rect">
                            <a:avLst/>
                          </a:prstGeom>
                          <a:noFill/>
                          <a:ln>
                            <a:noFill/>
                          </a:ln>
                        </pic:spPr>
                      </pic:pic>
                    </a:graphicData>
                  </a:graphic>
                </wp:inline>
              </w:drawing>
            </w:r>
            <w:r>
              <w:rPr>
                <w:rFonts w:hint="default" w:ascii="Times New Roman" w:hAnsi="Times New Roman" w:cs="Times New Roman"/>
              </w:rPr>
              <w:t>为房间的平均吸声系数；</w:t>
            </w:r>
          </w:p>
          <w:p>
            <w:pPr>
              <w:ind w:firstLine="1159" w:firstLineChars="483"/>
              <w:jc w:val="left"/>
              <w:rPr>
                <w:rFonts w:hint="default" w:ascii="Times New Roman" w:hAnsi="Times New Roman" w:cs="Times New Roman"/>
              </w:rPr>
            </w:pPr>
            <w:r>
              <w:rPr>
                <w:rFonts w:hint="default" w:ascii="Times New Roman" w:hAnsi="Times New Roman" w:cs="Times New Roman"/>
              </w:rPr>
              <w:t>S—为面对预测点的墙体面积，m</w:t>
            </w:r>
            <w:r>
              <w:rPr>
                <w:rFonts w:hint="default" w:ascii="Times New Roman" w:hAnsi="Times New Roman" w:cs="Times New Roman"/>
                <w:vertAlign w:val="superscript"/>
              </w:rPr>
              <w:t>2</w:t>
            </w:r>
            <w:r>
              <w:rPr>
                <w:rFonts w:hint="default" w:ascii="Times New Roman" w:hAnsi="Times New Roman" w:cs="Times New Roman"/>
              </w:rPr>
              <w:t>；</w:t>
            </w:r>
          </w:p>
          <w:p>
            <w:pPr>
              <w:ind w:firstLine="1159" w:firstLineChars="483"/>
              <w:jc w:val="left"/>
              <w:rPr>
                <w:rFonts w:hint="default" w:ascii="Times New Roman" w:hAnsi="Times New Roman" w:cs="Times New Roman"/>
              </w:rPr>
            </w:pPr>
            <w:r>
              <w:rPr>
                <w:rFonts w:hint="default" w:ascii="Times New Roman" w:hAnsi="Times New Roman" w:cs="Times New Roman"/>
              </w:rPr>
              <w:t>r—车间中心距预测点的距离，m；</w:t>
            </w:r>
          </w:p>
          <w:p>
            <w:pPr>
              <w:ind w:firstLine="1159" w:firstLineChars="483"/>
              <w:jc w:val="left"/>
              <w:rPr>
                <w:rFonts w:hint="default" w:ascii="Times New Roman" w:hAnsi="Times New Roman" w:cs="Times New Roman"/>
              </w:rPr>
            </w:pPr>
            <w:r>
              <w:rPr>
                <w:rFonts w:hint="default" w:ascii="Times New Roman" w:hAnsi="Times New Roman" w:cs="Times New Roman"/>
              </w:rPr>
              <w:t>r</w:t>
            </w:r>
            <w:r>
              <w:rPr>
                <w:rFonts w:hint="default" w:ascii="Times New Roman" w:hAnsi="Times New Roman" w:cs="Times New Roman"/>
                <w:vertAlign w:val="subscript"/>
              </w:rPr>
              <w:t>0</w:t>
            </w:r>
            <w:r>
              <w:rPr>
                <w:rFonts w:hint="default" w:ascii="Times New Roman" w:hAnsi="Times New Roman" w:cs="Times New Roman"/>
              </w:rPr>
              <w:t>—测</w:t>
            </w:r>
            <w:r>
              <w:rPr>
                <w:rFonts w:hint="default" w:ascii="Times New Roman" w:hAnsi="Times New Roman" w:cs="Times New Roman"/>
                <w:i/>
              </w:rPr>
              <w:t>L</w:t>
            </w:r>
            <w:r>
              <w:rPr>
                <w:rFonts w:hint="default" w:ascii="Times New Roman" w:hAnsi="Times New Roman" w:cs="Times New Roman"/>
                <w:i/>
                <w:vertAlign w:val="subscript"/>
              </w:rPr>
              <w:t>p</w:t>
            </w:r>
            <w:r>
              <w:rPr>
                <w:rFonts w:hint="default" w:ascii="Times New Roman" w:hAnsi="Times New Roman" w:cs="Times New Roman"/>
                <w:vertAlign w:val="subscript"/>
              </w:rPr>
              <w:t>0</w:t>
            </w:r>
            <w:r>
              <w:rPr>
                <w:rFonts w:hint="default" w:ascii="Times New Roman" w:hAnsi="Times New Roman" w:cs="Times New Roman"/>
              </w:rPr>
              <w:t>时距设备中心距离，m。</w:t>
            </w:r>
          </w:p>
          <w:p>
            <w:pPr>
              <w:ind w:firstLine="480"/>
              <w:jc w:val="left"/>
              <w:rPr>
                <w:rFonts w:hint="default" w:ascii="Times New Roman" w:hAnsi="Times New Roman" w:cs="Times New Roman"/>
              </w:rPr>
            </w:pPr>
            <w:r>
              <w:rPr>
                <w:rFonts w:hint="default" w:ascii="Times New Roman" w:hAnsi="Times New Roman" w:cs="Times New Roman"/>
              </w:rPr>
              <w:t>C、总声压级</w:t>
            </w:r>
          </w:p>
          <w:p>
            <w:pPr>
              <w:ind w:firstLine="480"/>
              <w:jc w:val="center"/>
              <w:rPr>
                <w:rFonts w:hint="default" w:ascii="Times New Roman" w:hAnsi="Times New Roman" w:cs="Times New Roman"/>
              </w:rPr>
            </w:pPr>
            <w:r>
              <w:rPr>
                <w:rFonts w:hint="default" w:ascii="Times New Roman" w:hAnsi="Times New Roman" w:cs="Times New Roman"/>
                <w:position w:val="-30"/>
              </w:rPr>
              <w:drawing>
                <wp:inline distT="0" distB="0" distL="0" distR="0">
                  <wp:extent cx="3019425" cy="4572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019425" cy="457200"/>
                          </a:xfrm>
                          <a:prstGeom prst="rect">
                            <a:avLst/>
                          </a:prstGeom>
                          <a:noFill/>
                          <a:ln>
                            <a:noFill/>
                          </a:ln>
                        </pic:spPr>
                      </pic:pic>
                    </a:graphicData>
                  </a:graphic>
                </wp:inline>
              </w:drawing>
            </w:r>
          </w:p>
          <w:p>
            <w:pPr>
              <w:ind w:firstLine="540" w:firstLineChars="225"/>
              <w:jc w:val="left"/>
              <w:rPr>
                <w:rFonts w:hint="default" w:ascii="Times New Roman" w:hAnsi="Times New Roman" w:cs="Times New Roman"/>
              </w:rPr>
            </w:pPr>
            <w:r>
              <w:rPr>
                <w:rFonts w:hint="default" w:ascii="Times New Roman" w:hAnsi="Times New Roman" w:cs="Times New Roman"/>
              </w:rPr>
              <w:t>式中：T为计算等效声级的时间；</w:t>
            </w:r>
          </w:p>
          <w:p>
            <w:pPr>
              <w:ind w:firstLine="1260" w:firstLineChars="525"/>
              <w:jc w:val="left"/>
              <w:rPr>
                <w:rFonts w:hint="default" w:ascii="Times New Roman" w:hAnsi="Times New Roman" w:cs="Times New Roman"/>
              </w:rPr>
            </w:pPr>
            <w:r>
              <w:rPr>
                <w:rFonts w:hint="default" w:ascii="Times New Roman" w:hAnsi="Times New Roman" w:cs="Times New Roman"/>
              </w:rPr>
              <w:t>M为室外声源个数；N为室内声源个数；</w:t>
            </w:r>
          </w:p>
          <w:p>
            <w:pPr>
              <w:ind w:firstLine="1260" w:firstLineChars="525"/>
              <w:jc w:val="left"/>
              <w:rPr>
                <w:rFonts w:hint="default" w:ascii="Times New Roman" w:hAnsi="Times New Roman" w:cs="Times New Roman"/>
              </w:rPr>
            </w:pPr>
            <w:r>
              <w:rPr>
                <w:rFonts w:hint="default" w:ascii="Times New Roman" w:hAnsi="Times New Roman" w:cs="Times New Roman"/>
                <w:position w:val="-14"/>
              </w:rPr>
              <w:drawing>
                <wp:inline distT="0" distB="0" distL="0" distR="0">
                  <wp:extent cx="276225" cy="276225"/>
                  <wp:effectExtent l="0" t="0" r="9525"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76225" cy="276225"/>
                          </a:xfrm>
                          <a:prstGeom prst="rect">
                            <a:avLst/>
                          </a:prstGeom>
                          <a:noFill/>
                          <a:ln>
                            <a:noFill/>
                          </a:ln>
                        </pic:spPr>
                      </pic:pic>
                    </a:graphicData>
                  </a:graphic>
                </wp:inline>
              </w:drawing>
            </w:r>
            <w:r>
              <w:rPr>
                <w:rFonts w:hint="default" w:ascii="Times New Roman" w:hAnsi="Times New Roman" w:cs="Times New Roman"/>
              </w:rPr>
              <w:t>为T时间内第i个室外声源的工作时间；</w:t>
            </w:r>
          </w:p>
          <w:p>
            <w:pPr>
              <w:ind w:firstLine="1260" w:firstLineChars="525"/>
              <w:jc w:val="left"/>
              <w:rPr>
                <w:rFonts w:hint="default" w:ascii="Times New Roman" w:hAnsi="Times New Roman" w:cs="Times New Roman"/>
              </w:rPr>
            </w:pPr>
            <w:r>
              <w:rPr>
                <w:rFonts w:hint="default" w:ascii="Times New Roman" w:hAnsi="Times New Roman" w:cs="Times New Roman"/>
                <w:position w:val="-14"/>
              </w:rPr>
              <w:drawing>
                <wp:inline distT="0" distB="0" distL="0" distR="0">
                  <wp:extent cx="276225" cy="276225"/>
                  <wp:effectExtent l="0" t="0" r="0"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276225" cy="276225"/>
                          </a:xfrm>
                          <a:prstGeom prst="rect">
                            <a:avLst/>
                          </a:prstGeom>
                          <a:noFill/>
                          <a:ln>
                            <a:noFill/>
                          </a:ln>
                        </pic:spPr>
                      </pic:pic>
                    </a:graphicData>
                  </a:graphic>
                </wp:inline>
              </w:drawing>
            </w:r>
            <w:r>
              <w:rPr>
                <w:rFonts w:hint="default" w:ascii="Times New Roman" w:hAnsi="Times New Roman" w:cs="Times New Roman"/>
              </w:rPr>
              <w:t>为T时间内第j个室内声源的工作时间。</w:t>
            </w:r>
          </w:p>
          <w:p>
            <w:pPr>
              <w:ind w:firstLine="1200" w:firstLineChars="500"/>
              <w:jc w:val="left"/>
              <w:rPr>
                <w:rFonts w:hint="default" w:ascii="Times New Roman" w:hAnsi="Times New Roman" w:cs="Times New Roman"/>
              </w:rPr>
            </w:pPr>
            <w:r>
              <w:rPr>
                <w:rFonts w:hint="default" w:ascii="Times New Roman" w:hAnsi="Times New Roman" w:cs="Times New Roman"/>
                <w:position w:val="-12"/>
              </w:rPr>
              <w:drawing>
                <wp:inline distT="0" distB="0" distL="0" distR="0">
                  <wp:extent cx="180975" cy="276225"/>
                  <wp:effectExtent l="0" t="0" r="952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80975" cy="276225"/>
                          </a:xfrm>
                          <a:prstGeom prst="rect">
                            <a:avLst/>
                          </a:prstGeom>
                          <a:noFill/>
                          <a:ln>
                            <a:noFill/>
                          </a:ln>
                        </pic:spPr>
                      </pic:pic>
                    </a:graphicData>
                  </a:graphic>
                </wp:inline>
              </w:drawing>
            </w:r>
            <w:r>
              <w:rPr>
                <w:rFonts w:hint="default" w:ascii="Times New Roman" w:hAnsi="Times New Roman" w:cs="Times New Roman"/>
              </w:rPr>
              <w:t>和</w:t>
            </w:r>
            <w:r>
              <w:rPr>
                <w:rFonts w:hint="default" w:ascii="Times New Roman" w:hAnsi="Times New Roman" w:cs="Times New Roman"/>
                <w:position w:val="-12"/>
              </w:rPr>
              <w:drawing>
                <wp:inline distT="0" distB="0" distL="0" distR="0">
                  <wp:extent cx="180975" cy="276225"/>
                  <wp:effectExtent l="0" t="0" r="952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80975" cy="276225"/>
                          </a:xfrm>
                          <a:prstGeom prst="rect">
                            <a:avLst/>
                          </a:prstGeom>
                          <a:noFill/>
                          <a:ln>
                            <a:noFill/>
                          </a:ln>
                        </pic:spPr>
                      </pic:pic>
                    </a:graphicData>
                  </a:graphic>
                </wp:inline>
              </w:drawing>
            </w:r>
            <w:r>
              <w:rPr>
                <w:rFonts w:hint="default" w:ascii="Times New Roman" w:hAnsi="Times New Roman" w:cs="Times New Roman"/>
              </w:rPr>
              <w:t>均按T时间内实际工作时间计算。</w:t>
            </w:r>
          </w:p>
          <w:p>
            <w:pPr>
              <w:ind w:firstLine="480"/>
              <w:jc w:val="left"/>
              <w:rPr>
                <w:rFonts w:hint="default" w:ascii="Times New Roman" w:hAnsi="Times New Roman" w:cs="Times New Roman"/>
              </w:rPr>
            </w:pPr>
            <w:r>
              <w:rPr>
                <w:rFonts w:hint="default" w:ascii="Times New Roman" w:hAnsi="Times New Roman" w:cs="Times New Roman"/>
              </w:rPr>
              <w:t>3、噪声预测结果</w:t>
            </w:r>
          </w:p>
          <w:p>
            <w:pPr>
              <w:ind w:firstLine="480"/>
              <w:rPr>
                <w:rFonts w:hint="default" w:ascii="Times New Roman" w:hAnsi="Times New Roman" w:cs="Times New Roman"/>
              </w:rPr>
            </w:pPr>
            <w:r>
              <w:rPr>
                <w:rFonts w:hint="default" w:ascii="Times New Roman" w:hAnsi="Times New Roman" w:cs="Times New Roman"/>
              </w:rPr>
              <w:t>根据项目的机械设备声级、所在位置，利用噪声预测模式和方法，对厂界噪声进行预测，得到项目建成后各预测点的昼间噪声级，噪声影响预测结果见表</w:t>
            </w:r>
            <w:r>
              <w:rPr>
                <w:rFonts w:hint="eastAsia" w:ascii="Times New Roman" w:hAnsi="Times New Roman" w:cs="Times New Roman"/>
                <w:lang w:val="en-US" w:eastAsia="zh-CN"/>
              </w:rPr>
              <w:t>6</w:t>
            </w:r>
            <w:r>
              <w:rPr>
                <w:rFonts w:hint="default" w:ascii="Times New Roman" w:hAnsi="Times New Roman" w:cs="Times New Roman"/>
                <w:lang w:val="en-US" w:eastAsia="zh-CN"/>
              </w:rPr>
              <w:t>-6</w:t>
            </w:r>
            <w:r>
              <w:rPr>
                <w:rFonts w:hint="default" w:ascii="Times New Roman" w:hAnsi="Times New Roman" w:cs="Times New Roman"/>
              </w:rPr>
              <w:t>，本次环评取厂界预测最大值。</w:t>
            </w:r>
          </w:p>
          <w:p>
            <w:pPr>
              <w:tabs>
                <w:tab w:val="left" w:pos="3030"/>
              </w:tabs>
              <w:spacing w:line="240" w:lineRule="auto"/>
              <w:jc w:val="center"/>
              <w:rPr>
                <w:rFonts w:hint="default" w:ascii="Times New Roman" w:hAnsi="Times New Roman" w:cs="Times New Roman"/>
                <w:b/>
                <w:bCs/>
                <w:sz w:val="21"/>
                <w:szCs w:val="21"/>
              </w:rPr>
            </w:pPr>
            <w:r>
              <w:rPr>
                <w:rFonts w:hint="default" w:ascii="Times New Roman" w:hAnsi="Times New Roman" w:eastAsia="宋体" w:cs="Times New Roman"/>
                <w:b/>
                <w:bCs/>
                <w:color w:val="auto"/>
                <w:kern w:val="2"/>
                <w:sz w:val="21"/>
                <w:szCs w:val="21"/>
                <w:lang w:val="en-US" w:eastAsia="zh-CN" w:bidi="ar-SA"/>
              </w:rPr>
              <w:t>表</w:t>
            </w:r>
            <w:r>
              <w:rPr>
                <w:rFonts w:hint="eastAsia" w:ascii="Times New Roman" w:hAnsi="Times New Roman" w:cs="Times New Roman"/>
                <w:b/>
                <w:bCs/>
                <w:color w:val="auto"/>
                <w:kern w:val="2"/>
                <w:sz w:val="21"/>
                <w:szCs w:val="21"/>
                <w:lang w:val="en-US" w:eastAsia="zh-CN" w:bidi="ar-SA"/>
              </w:rPr>
              <w:t>6</w:t>
            </w:r>
            <w:r>
              <w:rPr>
                <w:rFonts w:hint="default" w:ascii="Times New Roman" w:hAnsi="Times New Roman" w:cs="Times New Roman"/>
                <w:b/>
                <w:bCs/>
                <w:color w:val="auto"/>
                <w:kern w:val="2"/>
                <w:sz w:val="21"/>
                <w:szCs w:val="21"/>
                <w:lang w:val="en-US" w:eastAsia="zh-CN" w:bidi="ar-SA"/>
              </w:rPr>
              <w:t>-6</w:t>
            </w:r>
            <w:r>
              <w:rPr>
                <w:rFonts w:hint="default" w:ascii="Times New Roman" w:hAnsi="Times New Roman" w:eastAsia="宋体" w:cs="Times New Roman"/>
                <w:b/>
                <w:bCs/>
                <w:color w:val="auto"/>
                <w:kern w:val="2"/>
                <w:sz w:val="21"/>
                <w:szCs w:val="21"/>
                <w:lang w:val="en-US" w:eastAsia="zh-CN" w:bidi="ar-SA"/>
              </w:rPr>
              <w:t xml:space="preserve">   </w:t>
            </w:r>
            <w:r>
              <w:rPr>
                <w:rFonts w:hint="default" w:ascii="Times New Roman" w:hAnsi="Times New Roman" w:cs="Times New Roman"/>
                <w:b/>
                <w:bCs/>
                <w:sz w:val="21"/>
                <w:szCs w:val="21"/>
              </w:rPr>
              <w:t>项目营运期噪声预测结果（单位：dB（A））</w:t>
            </w:r>
          </w:p>
          <w:tbl>
            <w:tblPr>
              <w:tblStyle w:val="20"/>
              <w:tblW w:w="859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25"/>
              <w:gridCol w:w="2089"/>
              <w:gridCol w:w="2097"/>
              <w:gridCol w:w="20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32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预测点位</w:t>
                  </w:r>
                </w:p>
              </w:tc>
              <w:tc>
                <w:tcPr>
                  <w:tcW w:w="208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cs="Times New Roman"/>
                      <w:b/>
                      <w:bCs/>
                      <w:color w:val="auto"/>
                      <w:sz w:val="21"/>
                      <w:szCs w:val="21"/>
                      <w:lang w:eastAsia="zh-CN"/>
                    </w:rPr>
                    <w:t>背景值</w:t>
                  </w:r>
                </w:p>
              </w:tc>
              <w:tc>
                <w:tcPr>
                  <w:tcW w:w="20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b/>
                      <w:bCs/>
                      <w:color w:val="auto"/>
                    </w:rPr>
                  </w:pPr>
                  <w:r>
                    <w:rPr>
                      <w:rFonts w:hint="default" w:ascii="Times New Roman" w:hAnsi="Times New Roman" w:cs="Times New Roman"/>
                      <w:b/>
                      <w:bCs/>
                      <w:color w:val="auto"/>
                      <w:sz w:val="21"/>
                      <w:szCs w:val="21"/>
                    </w:rPr>
                    <w:t>贡献值</w:t>
                  </w:r>
                </w:p>
              </w:tc>
              <w:tc>
                <w:tcPr>
                  <w:tcW w:w="208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cs="Times New Roman"/>
                      <w:b/>
                      <w:bCs/>
                      <w:color w:val="auto"/>
                      <w:sz w:val="21"/>
                      <w:szCs w:val="21"/>
                      <w:lang w:eastAsia="zh-CN"/>
                    </w:rPr>
                    <w:t>预测值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32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1#（厂界东）</w:t>
                  </w:r>
                </w:p>
              </w:tc>
              <w:tc>
                <w:tcPr>
                  <w:tcW w:w="208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c>
                <w:tcPr>
                  <w:tcW w:w="20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28.76</w:t>
                  </w:r>
                </w:p>
              </w:tc>
              <w:tc>
                <w:tcPr>
                  <w:tcW w:w="208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32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2#（厂界南）</w:t>
                  </w:r>
                </w:p>
              </w:tc>
              <w:tc>
                <w:tcPr>
                  <w:tcW w:w="208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c>
                <w:tcPr>
                  <w:tcW w:w="20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24.08</w:t>
                  </w:r>
                </w:p>
              </w:tc>
              <w:tc>
                <w:tcPr>
                  <w:tcW w:w="208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32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3#（厂界西）</w:t>
                  </w:r>
                </w:p>
              </w:tc>
              <w:tc>
                <w:tcPr>
                  <w:tcW w:w="208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c>
                <w:tcPr>
                  <w:tcW w:w="20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30.17</w:t>
                  </w:r>
                </w:p>
              </w:tc>
              <w:tc>
                <w:tcPr>
                  <w:tcW w:w="208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32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4#（厂界北）</w:t>
                  </w:r>
                </w:p>
              </w:tc>
              <w:tc>
                <w:tcPr>
                  <w:tcW w:w="208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c>
                <w:tcPr>
                  <w:tcW w:w="20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35.33</w:t>
                  </w:r>
                </w:p>
              </w:tc>
              <w:tc>
                <w:tcPr>
                  <w:tcW w:w="208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32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sz w:val="21"/>
                      <w:szCs w:val="21"/>
                      <w:lang w:val="en-US" w:eastAsia="zh-CN"/>
                    </w:rPr>
                  </w:pPr>
                  <w:r>
                    <w:rPr>
                      <w:rFonts w:hint="default" w:ascii="Times New Roman" w:hAnsi="Times New Roman" w:cs="Times New Roman"/>
                      <w:color w:val="auto"/>
                      <w:sz w:val="21"/>
                      <w:szCs w:val="21"/>
                      <w:lang w:val="en-US" w:eastAsia="zh-CN"/>
                    </w:rPr>
                    <w:t>5#铁孟村</w:t>
                  </w:r>
                </w:p>
              </w:tc>
              <w:tc>
                <w:tcPr>
                  <w:tcW w:w="208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53.2</w:t>
                  </w:r>
                </w:p>
              </w:tc>
              <w:tc>
                <w:tcPr>
                  <w:tcW w:w="20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19.64</w:t>
                  </w:r>
                </w:p>
              </w:tc>
              <w:tc>
                <w:tcPr>
                  <w:tcW w:w="208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53.2</w:t>
                  </w:r>
                </w:p>
              </w:tc>
            </w:tr>
          </w:tbl>
          <w:p>
            <w:pPr>
              <w:spacing w:before="240"/>
              <w:ind w:firstLine="480"/>
              <w:rPr>
                <w:rFonts w:hint="default" w:ascii="Times New Roman" w:hAnsi="Times New Roman" w:cs="Times New Roman"/>
              </w:rPr>
            </w:pPr>
            <w:r>
              <w:rPr>
                <w:rFonts w:hint="default" w:ascii="Times New Roman" w:hAnsi="Times New Roman" w:cs="Times New Roman"/>
              </w:rPr>
              <w:t>由预测结果可知：项目建成运行后，对厂</w:t>
            </w:r>
            <w:r>
              <w:rPr>
                <w:rFonts w:hint="default" w:ascii="Times New Roman" w:hAnsi="Times New Roman" w:cs="Times New Roman"/>
                <w:highlight w:val="none"/>
              </w:rPr>
              <w:t>界噪声贡献值在</w:t>
            </w:r>
            <w:r>
              <w:rPr>
                <w:rFonts w:hint="default" w:ascii="Times New Roman" w:hAnsi="Times New Roman" w:cs="Times New Roman"/>
                <w:highlight w:val="none"/>
                <w:lang w:val="en-US" w:eastAsia="zh-CN"/>
              </w:rPr>
              <w:t>24.08~35.33</w:t>
            </w:r>
            <w:r>
              <w:rPr>
                <w:rFonts w:hint="default" w:ascii="Times New Roman" w:hAnsi="Times New Roman" w:cs="Times New Roman"/>
                <w:highlight w:val="none"/>
              </w:rPr>
              <w:t>dB(A)之间</w:t>
            </w:r>
            <w:r>
              <w:rPr>
                <w:rFonts w:hint="default" w:ascii="Times New Roman" w:hAnsi="Times New Roman" w:cs="Times New Roman"/>
              </w:rPr>
              <w:t>，厂界昼间噪声贡献值满足《工业企业厂界环境噪声排放标准》2类标准。</w:t>
            </w:r>
          </w:p>
          <w:p>
            <w:pPr>
              <w:keepNext w:val="0"/>
              <w:keepLines w:val="0"/>
              <w:pageBreakBefore w:val="0"/>
              <w:widowControl w:val="0"/>
              <w:kinsoku/>
              <w:wordWrap/>
              <w:overflowPunct/>
              <w:topLinePunct w:val="0"/>
              <w:autoSpaceDE/>
              <w:autoSpaceDN/>
              <w:bidi w:val="0"/>
              <w:adjustRightInd w:val="0"/>
              <w:snapToGrid w:val="0"/>
              <w:ind w:firstLine="480"/>
              <w:textAlignment w:val="auto"/>
              <w:outlineLvl w:val="9"/>
              <w:rPr>
                <w:rFonts w:hint="default" w:ascii="Times New Roman" w:hAnsi="Times New Roman" w:cs="Times New Roman"/>
              </w:rPr>
            </w:pPr>
            <w:r>
              <w:rPr>
                <w:rFonts w:hint="default" w:ascii="Times New Roman" w:hAnsi="Times New Roman" w:cs="Times New Roman"/>
                <w:lang w:eastAsia="zh-CN"/>
              </w:rPr>
              <w:t>同时</w:t>
            </w:r>
            <w:r>
              <w:rPr>
                <w:rFonts w:hint="default" w:ascii="Times New Roman" w:hAnsi="Times New Roman" w:cs="Times New Roman"/>
              </w:rPr>
              <w:t>项目建成运行后</w:t>
            </w:r>
            <w:r>
              <w:rPr>
                <w:rFonts w:hint="default" w:ascii="Times New Roman" w:hAnsi="Times New Roman" w:cs="Times New Roman"/>
                <w:lang w:eastAsia="zh-CN"/>
              </w:rPr>
              <w:t>，</w:t>
            </w:r>
            <w:r>
              <w:rPr>
                <w:rFonts w:hint="default" w:ascii="Times New Roman" w:hAnsi="Times New Roman" w:cs="Times New Roman"/>
                <w:color w:val="auto"/>
                <w:lang w:eastAsia="zh-CN"/>
              </w:rPr>
              <w:t>铁孟村</w:t>
            </w:r>
            <w:r>
              <w:rPr>
                <w:rFonts w:hint="default" w:ascii="Times New Roman" w:hAnsi="Times New Roman" w:cs="Times New Roman"/>
              </w:rPr>
              <w:t>噪声预测值满足</w:t>
            </w:r>
            <w:r>
              <w:rPr>
                <w:rFonts w:hint="default" w:ascii="Times New Roman" w:hAnsi="Times New Roman" w:cs="Times New Roman"/>
                <w:kern w:val="0"/>
                <w:szCs w:val="24"/>
              </w:rPr>
              <w:t>《声环境质量标准》（GB3096-2008）中的2类标准要求，</w:t>
            </w:r>
            <w:r>
              <w:rPr>
                <w:rFonts w:hint="default" w:ascii="Times New Roman" w:hAnsi="Times New Roman" w:cs="Times New Roman"/>
              </w:rPr>
              <w:t>项目建成后设备噪声对环境影响较小。</w:t>
            </w:r>
          </w:p>
          <w:p>
            <w:pPr>
              <w:pStyle w:val="26"/>
              <w:numPr>
                <w:ilvl w:val="0"/>
                <w:numId w:val="5"/>
              </w:numPr>
              <w:ind w:firstLineChars="0"/>
              <w:rPr>
                <w:rFonts w:hint="default" w:ascii="Times New Roman" w:hAnsi="Times New Roman" w:cs="Times New Roman"/>
              </w:rPr>
            </w:pPr>
            <w:r>
              <w:rPr>
                <w:rFonts w:hint="default" w:ascii="Times New Roman" w:hAnsi="Times New Roman" w:cs="Times New Roman"/>
              </w:rPr>
              <w:t>噪声防治措施</w:t>
            </w:r>
          </w:p>
          <w:p>
            <w:pPr>
              <w:pStyle w:val="26"/>
              <w:ind w:firstLine="480"/>
              <w:rPr>
                <w:rFonts w:hint="default" w:ascii="Times New Roman" w:hAnsi="Times New Roman" w:eastAsia="宋体" w:cs="Times New Roman"/>
                <w:lang w:eastAsia="zh-CN"/>
              </w:rPr>
            </w:pPr>
            <w:r>
              <w:rPr>
                <w:rFonts w:hint="default" w:ascii="Times New Roman" w:hAnsi="Times New Roman" w:cs="Times New Roman"/>
              </w:rPr>
              <w:t>（1）</w:t>
            </w:r>
            <w:r>
              <w:rPr>
                <w:rFonts w:hint="default" w:ascii="Times New Roman" w:hAnsi="Times New Roman" w:cs="Times New Roman"/>
                <w:lang w:eastAsia="zh-CN"/>
              </w:rPr>
              <w:t>水泵加装减振器，进水管道设可曲绕管道橡胶伸缩接头以减少水锤冲击和水泵振动产生的噪声；</w:t>
            </w:r>
          </w:p>
          <w:p>
            <w:pPr>
              <w:pStyle w:val="26"/>
              <w:ind w:firstLine="480"/>
              <w:rPr>
                <w:rFonts w:hint="default" w:ascii="Times New Roman" w:hAnsi="Times New Roman" w:cs="Times New Roman"/>
              </w:rPr>
            </w:pPr>
            <w:r>
              <w:rPr>
                <w:rFonts w:hint="default" w:ascii="Times New Roman" w:hAnsi="Times New Roman" w:cs="Times New Roman"/>
              </w:rPr>
              <w:t>（2）设备应选用低噪声低振动设备，并在设备和基础底座之间安装减震垫；</w:t>
            </w:r>
          </w:p>
          <w:p>
            <w:pPr>
              <w:pStyle w:val="26"/>
              <w:ind w:firstLine="480"/>
              <w:rPr>
                <w:rFonts w:hint="default" w:ascii="Times New Roman" w:hAnsi="Times New Roman" w:cs="Times New Roman"/>
              </w:rPr>
            </w:pPr>
            <w:r>
              <w:rPr>
                <w:rFonts w:hint="default" w:ascii="Times New Roman" w:hAnsi="Times New Roman" w:cs="Times New Roman"/>
              </w:rPr>
              <w:t>（3）加强检查，维护和保养机械设备，保持润滑，紧固各部件，减少运行震动噪声；</w:t>
            </w:r>
          </w:p>
          <w:p>
            <w:pPr>
              <w:pStyle w:val="26"/>
              <w:ind w:firstLine="480"/>
              <w:rPr>
                <w:rFonts w:hint="default" w:ascii="Times New Roman" w:hAnsi="Times New Roman" w:cs="Times New Roman"/>
              </w:rPr>
            </w:pPr>
            <w:r>
              <w:rPr>
                <w:rFonts w:hint="default" w:ascii="Times New Roman" w:hAnsi="Times New Roman" w:cs="Times New Roman"/>
              </w:rPr>
              <w:t>（4）在厂房边界种植草木，利用绿化队声音的吸声效果，降低噪声源强；</w:t>
            </w:r>
          </w:p>
          <w:p>
            <w:pPr>
              <w:pStyle w:val="26"/>
              <w:ind w:firstLine="480"/>
              <w:rPr>
                <w:rFonts w:hint="default" w:ascii="Times New Roman" w:hAnsi="Times New Roman" w:cs="Times New Roman"/>
              </w:rPr>
            </w:pPr>
            <w:r>
              <w:rPr>
                <w:rFonts w:hint="default" w:ascii="Times New Roman" w:hAnsi="Times New Roman" w:cs="Times New Roman"/>
              </w:rPr>
              <w:t>（5）加强管理，减少对周边声环境的影响。</w:t>
            </w:r>
          </w:p>
          <w:p>
            <w:pPr>
              <w:ind w:firstLine="0" w:firstLineChars="0"/>
              <w:rPr>
                <w:rFonts w:hint="default" w:ascii="Times New Roman" w:hAnsi="Times New Roman" w:cs="Times New Roman"/>
                <w:b/>
              </w:rPr>
            </w:pPr>
            <w:r>
              <w:rPr>
                <w:rFonts w:hint="default" w:ascii="Times New Roman" w:hAnsi="Times New Roman" w:cs="Times New Roman"/>
                <w:b/>
              </w:rPr>
              <w:t>四、固废影响分析</w:t>
            </w:r>
          </w:p>
          <w:p>
            <w:pPr>
              <w:ind w:firstLine="480"/>
              <w:rPr>
                <w:rFonts w:hint="default" w:ascii="Times New Roman" w:hAnsi="Times New Roman" w:cs="Times New Roman"/>
                <w:highlight w:val="none"/>
              </w:rPr>
            </w:pPr>
            <w:r>
              <w:rPr>
                <w:rFonts w:hint="default" w:ascii="Times New Roman" w:hAnsi="Times New Roman" w:cs="Times New Roman"/>
              </w:rPr>
              <w:t>项目运营期固体废物主要为</w:t>
            </w:r>
            <w:r>
              <w:rPr>
                <w:rFonts w:hint="default" w:ascii="Times New Roman" w:hAnsi="Times New Roman" w:cs="Times New Roman"/>
                <w:lang w:eastAsia="zh-CN"/>
              </w:rPr>
              <w:t>、原料包装物</w:t>
            </w:r>
            <w:r>
              <w:rPr>
                <w:rFonts w:hint="default" w:ascii="Times New Roman" w:hAnsi="Times New Roman" w:cs="Times New Roman"/>
                <w:highlight w:val="none"/>
                <w:lang w:eastAsia="zh-CN"/>
              </w:rPr>
              <w:t>、生活垃圾</w:t>
            </w:r>
            <w:r>
              <w:rPr>
                <w:rFonts w:hint="default" w:ascii="Times New Roman" w:hAnsi="Times New Roman" w:cs="Times New Roman"/>
                <w:highlight w:val="none"/>
              </w:rPr>
              <w:t>。</w:t>
            </w:r>
          </w:p>
          <w:p>
            <w:pPr>
              <w:ind w:firstLine="480"/>
              <w:rPr>
                <w:rFonts w:hint="default" w:ascii="Times New Roman" w:hAnsi="Times New Roman" w:cs="Times New Roman"/>
                <w:highlight w:val="none"/>
              </w:rPr>
            </w:pPr>
            <w:r>
              <w:rPr>
                <w:rFonts w:hint="default" w:ascii="Times New Roman" w:hAnsi="Times New Roman" w:cs="Times New Roman"/>
                <w:highlight w:val="none"/>
              </w:rPr>
              <w:t>（</w:t>
            </w:r>
            <w:r>
              <w:rPr>
                <w:rFonts w:hint="default" w:ascii="Times New Roman" w:hAnsi="Times New Roman" w:cs="Times New Roman"/>
                <w:highlight w:val="none"/>
                <w:lang w:val="en-US" w:eastAsia="zh-CN"/>
              </w:rPr>
              <w:t>1</w:t>
            </w:r>
            <w:r>
              <w:rPr>
                <w:rFonts w:hint="default" w:ascii="Times New Roman" w:hAnsi="Times New Roman" w:cs="Times New Roman"/>
                <w:highlight w:val="none"/>
              </w:rPr>
              <w:t>）生活垃圾</w:t>
            </w:r>
          </w:p>
          <w:p>
            <w:pPr>
              <w:pStyle w:val="26"/>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480" w:firstLineChars="200"/>
              <w:textAlignment w:val="auto"/>
              <w:outlineLvl w:val="9"/>
              <w:rPr>
                <w:rFonts w:hint="default" w:ascii="Times New Roman" w:hAnsi="Times New Roman" w:cs="Times New Roman"/>
                <w:highlight w:val="none"/>
              </w:rPr>
            </w:pPr>
            <w:r>
              <w:rPr>
                <w:rFonts w:hint="default" w:ascii="Times New Roman" w:hAnsi="Times New Roman" w:cs="Times New Roman"/>
                <w:highlight w:val="none"/>
                <w:lang w:eastAsia="zh-CN"/>
              </w:rPr>
              <w:t>项目</w:t>
            </w:r>
            <w:r>
              <w:rPr>
                <w:rFonts w:hint="default" w:ascii="Times New Roman" w:hAnsi="Times New Roman" w:cs="Times New Roman"/>
                <w:highlight w:val="none"/>
              </w:rPr>
              <w:t>生活垃圾产生量为</w:t>
            </w:r>
            <w:r>
              <w:rPr>
                <w:rFonts w:hint="default" w:ascii="Times New Roman" w:hAnsi="Times New Roman" w:cs="Times New Roman"/>
                <w:highlight w:val="none"/>
                <w:lang w:val="en-US" w:eastAsia="zh-CN"/>
              </w:rPr>
              <w:t>1.05</w:t>
            </w:r>
            <w:r>
              <w:rPr>
                <w:rFonts w:hint="default" w:ascii="Times New Roman" w:hAnsi="Times New Roman" w:cs="Times New Roman"/>
                <w:highlight w:val="none"/>
              </w:rPr>
              <w:t>t/a，生活垃圾收集后由环卫部门统一处理</w:t>
            </w:r>
            <w:r>
              <w:rPr>
                <w:rFonts w:hint="default" w:ascii="Times New Roman" w:hAnsi="Times New Roman" w:cs="Times New Roman"/>
                <w:highlight w:val="none"/>
                <w:lang w:eastAsia="zh-CN"/>
              </w:rPr>
              <w:t>，不外排</w:t>
            </w:r>
            <w:r>
              <w:rPr>
                <w:rFonts w:hint="default" w:ascii="Times New Roman" w:hAnsi="Times New Roman" w:cs="Times New Roman"/>
                <w:highlight w:val="none"/>
              </w:rPr>
              <w:t>。</w:t>
            </w:r>
          </w:p>
          <w:p>
            <w:pPr>
              <w:keepNext w:val="0"/>
              <w:keepLines w:val="0"/>
              <w:pageBreakBefore w:val="0"/>
              <w:widowControl w:val="0"/>
              <w:numPr>
                <w:ilvl w:val="0"/>
                <w:numId w:val="0"/>
              </w:numPr>
              <w:kinsoku/>
              <w:wordWrap/>
              <w:overflowPunct/>
              <w:topLinePunct w:val="0"/>
              <w:bidi w:val="0"/>
              <w:spacing w:line="360" w:lineRule="auto"/>
              <w:ind w:leftChars="200"/>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）苯甲酸钠、荧光素包装物</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项目在生产过程中使用的苯甲酸钠和荧光素会产生废弃包装物，为</w:t>
            </w:r>
            <w:r>
              <w:rPr>
                <w:rFonts w:hint="eastAsia" w:cs="Times New Roman"/>
                <w:color w:val="auto"/>
                <w:lang w:val="en-US" w:eastAsia="zh-CN"/>
              </w:rPr>
              <w:t>危险</w:t>
            </w:r>
            <w:r>
              <w:rPr>
                <w:rFonts w:hint="default" w:ascii="Times New Roman" w:hAnsi="Times New Roman" w:cs="Times New Roman"/>
                <w:color w:val="auto"/>
                <w:lang w:val="en-US" w:eastAsia="zh-CN"/>
              </w:rPr>
              <w:t>固体废物废包装物的产生量约0.1t/a，</w:t>
            </w:r>
            <w:r>
              <w:rPr>
                <w:rFonts w:hint="eastAsia" w:cs="Times New Roman"/>
                <w:color w:val="auto"/>
                <w:lang w:val="en-US" w:eastAsia="zh-CN"/>
              </w:rPr>
              <w:t>收集后暂存在危废暂存间</w:t>
            </w:r>
            <w:r>
              <w:rPr>
                <w:rFonts w:hint="default" w:ascii="Times New Roman" w:hAnsi="Times New Roman" w:cs="Times New Roman"/>
                <w:color w:val="auto"/>
                <w:highlight w:val="none"/>
                <w:lang w:eastAsia="zh-CN"/>
              </w:rPr>
              <w:t>，</w:t>
            </w:r>
            <w:r>
              <w:rPr>
                <w:rFonts w:hint="eastAsia" w:cs="Times New Roman"/>
                <w:color w:val="auto"/>
                <w:highlight w:val="none"/>
                <w:lang w:eastAsia="zh-CN"/>
              </w:rPr>
              <w:t>定期交由有资质单位回收处理，</w:t>
            </w:r>
            <w:r>
              <w:rPr>
                <w:rFonts w:hint="default" w:ascii="Times New Roman" w:hAnsi="Times New Roman" w:cs="Times New Roman"/>
                <w:color w:val="auto"/>
                <w:highlight w:val="none"/>
                <w:lang w:eastAsia="zh-CN"/>
              </w:rPr>
              <w:t>不外排</w:t>
            </w:r>
            <w:r>
              <w:rPr>
                <w:rFonts w:hint="default" w:ascii="Times New Roman" w:hAnsi="Times New Roman" w:cs="Times New Roman"/>
                <w:color w:val="auto"/>
                <w:lang w:val="en-US" w:eastAsia="zh-CN"/>
              </w:rPr>
              <w:t>。</w:t>
            </w:r>
          </w:p>
          <w:p>
            <w:pPr>
              <w:ind w:firstLine="48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lang w:eastAsia="zh-CN"/>
              </w:rPr>
              <w:t>）</w:t>
            </w:r>
            <w:r>
              <w:rPr>
                <w:rFonts w:hint="default" w:ascii="Times New Roman" w:hAnsi="Times New Roman" w:cs="Times New Roman"/>
                <w:color w:val="auto"/>
                <w:lang w:eastAsia="zh-CN"/>
              </w:rPr>
              <w:t>乙二醇包装空桶</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项目配液所用主要原料</w:t>
            </w:r>
            <w:r>
              <w:rPr>
                <w:rFonts w:hint="default" w:ascii="Times New Roman" w:hAnsi="Times New Roman" w:cs="Times New Roman"/>
                <w:b w:val="0"/>
                <w:bCs w:val="0"/>
                <w:color w:val="auto"/>
                <w:lang w:val="en-US" w:eastAsia="zh-CN"/>
              </w:rPr>
              <w:t>乙二醇</w:t>
            </w:r>
            <w:r>
              <w:rPr>
                <w:rFonts w:hint="default" w:ascii="Times New Roman" w:hAnsi="Times New Roman" w:cs="Times New Roman"/>
                <w:color w:val="auto"/>
                <w:lang w:val="en-US" w:eastAsia="zh-CN"/>
              </w:rPr>
              <w:t>包装空桶产生量约为5.0t/a，企业目前将其放置在</w:t>
            </w:r>
            <w:r>
              <w:rPr>
                <w:rFonts w:hint="eastAsia" w:ascii="Times New Roman" w:hAnsi="Times New Roman" w:cs="Times New Roman"/>
                <w:color w:val="auto"/>
                <w:lang w:val="en-US" w:eastAsia="zh-CN"/>
              </w:rPr>
              <w:t>原料车间</w:t>
            </w:r>
            <w:r>
              <w:rPr>
                <w:rFonts w:hint="default" w:ascii="Times New Roman" w:hAnsi="Times New Roman" w:cs="Times New Roman"/>
                <w:color w:val="auto"/>
                <w:lang w:val="en-US" w:eastAsia="zh-CN"/>
              </w:rPr>
              <w:t>，</w:t>
            </w:r>
            <w:r>
              <w:rPr>
                <w:rFonts w:hint="eastAsia" w:cs="Times New Roman"/>
                <w:color w:val="auto"/>
                <w:lang w:val="en-US" w:eastAsia="zh-CN"/>
              </w:rPr>
              <w:t>按照危险废物管理要求需集中收集暂存于危废暂存间，</w:t>
            </w:r>
            <w:r>
              <w:rPr>
                <w:rFonts w:hint="default" w:ascii="Times New Roman" w:hAnsi="Times New Roman" w:cs="Times New Roman"/>
                <w:color w:val="auto"/>
                <w:lang w:eastAsia="zh-CN"/>
              </w:rPr>
              <w:t>由原料厂商定期及时回收</w:t>
            </w:r>
            <w:r>
              <w:rPr>
                <w:rFonts w:hint="default" w:ascii="Times New Roman" w:hAnsi="Times New Roman" w:cs="Times New Roman"/>
                <w:color w:val="auto"/>
                <w:lang w:val="en-US" w:eastAsia="zh-CN"/>
              </w:rPr>
              <w:t>。</w:t>
            </w:r>
          </w:p>
          <w:p>
            <w:pPr>
              <w:ind w:firstLine="480"/>
              <w:rPr>
                <w:rFonts w:hint="default" w:ascii="Times New Roman" w:hAnsi="Times New Roman" w:cs="Times New Roman"/>
              </w:rPr>
            </w:pPr>
            <w:r>
              <w:rPr>
                <w:rFonts w:hint="default" w:ascii="Times New Roman" w:hAnsi="Times New Roman" w:cs="Times New Roman"/>
              </w:rPr>
              <w:t>项目运营期总固废产生情况见表</w:t>
            </w:r>
            <w:r>
              <w:rPr>
                <w:rFonts w:hint="eastAsia" w:ascii="Times New Roman" w:hAnsi="Times New Roman" w:cs="Times New Roman"/>
                <w:lang w:val="en-US" w:eastAsia="zh-CN"/>
              </w:rPr>
              <w:t>6</w:t>
            </w:r>
            <w:r>
              <w:rPr>
                <w:rFonts w:hint="default" w:ascii="Times New Roman" w:hAnsi="Times New Roman" w:cs="Times New Roman"/>
                <w:lang w:val="en-US" w:eastAsia="zh-CN"/>
              </w:rPr>
              <w:t>-7</w:t>
            </w:r>
            <w:r>
              <w:rPr>
                <w:rFonts w:hint="default" w:ascii="Times New Roman" w:hAnsi="Times New Roman" w:cs="Times New Roman"/>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表</w:t>
            </w:r>
            <w:r>
              <w:rPr>
                <w:rFonts w:hint="eastAsia" w:ascii="Times New Roman" w:hAnsi="Times New Roman" w:eastAsia="宋体" w:cs="Times New Roman"/>
                <w:b/>
                <w:bCs/>
                <w:color w:val="auto"/>
                <w:sz w:val="21"/>
                <w:szCs w:val="21"/>
                <w:lang w:val="en-US" w:eastAsia="zh-CN"/>
              </w:rPr>
              <w:t>6</w:t>
            </w:r>
            <w:r>
              <w:rPr>
                <w:rFonts w:hint="default" w:ascii="Times New Roman" w:hAnsi="Times New Roman" w:eastAsia="宋体" w:cs="Times New Roman"/>
                <w:b/>
                <w:bCs/>
                <w:color w:val="auto"/>
                <w:sz w:val="21"/>
                <w:szCs w:val="21"/>
                <w:lang w:val="en-US" w:eastAsia="zh-CN"/>
              </w:rPr>
              <w:t xml:space="preserve">-7  </w:t>
            </w:r>
            <w:r>
              <w:rPr>
                <w:rFonts w:hint="default" w:ascii="Times New Roman" w:hAnsi="Times New Roman" w:eastAsia="宋体" w:cs="Times New Roman"/>
                <w:b/>
                <w:bCs/>
                <w:color w:val="auto"/>
                <w:sz w:val="21"/>
                <w:szCs w:val="21"/>
                <w:lang w:eastAsia="zh-CN"/>
              </w:rPr>
              <w:t>固体废物产生和处置情况一览表</w:t>
            </w:r>
          </w:p>
          <w:tbl>
            <w:tblPr>
              <w:tblStyle w:val="20"/>
              <w:tblW w:w="8599"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661"/>
              <w:gridCol w:w="1502"/>
              <w:gridCol w:w="1321"/>
              <w:gridCol w:w="1642"/>
              <w:gridCol w:w="347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0" w:hRule="atLeast"/>
                <w:tblHeader/>
                <w:jc w:val="center"/>
              </w:trPr>
              <w:tc>
                <w:tcPr>
                  <w:tcW w:w="661" w:type="dxa"/>
                  <w:vAlign w:val="center"/>
                </w:tcPr>
                <w:p>
                  <w:pPr>
                    <w:spacing w:line="240" w:lineRule="auto"/>
                    <w:ind w:firstLine="0" w:firstLineChars="0"/>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序号</w:t>
                  </w:r>
                </w:p>
              </w:tc>
              <w:tc>
                <w:tcPr>
                  <w:tcW w:w="1502" w:type="dxa"/>
                  <w:vAlign w:val="center"/>
                </w:tcPr>
                <w:p>
                  <w:pPr>
                    <w:spacing w:line="240" w:lineRule="auto"/>
                    <w:ind w:firstLine="0" w:firstLineChars="0"/>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名称</w:t>
                  </w:r>
                </w:p>
              </w:tc>
              <w:tc>
                <w:tcPr>
                  <w:tcW w:w="1321" w:type="dxa"/>
                  <w:vAlign w:val="center"/>
                </w:tcPr>
                <w:p>
                  <w:pPr>
                    <w:spacing w:line="240" w:lineRule="auto"/>
                    <w:ind w:firstLine="0" w:firstLineChars="0"/>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废物类别</w:t>
                  </w:r>
                </w:p>
              </w:tc>
              <w:tc>
                <w:tcPr>
                  <w:tcW w:w="1642" w:type="dxa"/>
                  <w:vAlign w:val="center"/>
                </w:tcPr>
                <w:p>
                  <w:pPr>
                    <w:spacing w:line="240" w:lineRule="auto"/>
                    <w:ind w:firstLine="0" w:firstLineChars="0"/>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产生量（t/a）</w:t>
                  </w:r>
                </w:p>
              </w:tc>
              <w:tc>
                <w:tcPr>
                  <w:tcW w:w="3473" w:type="dxa"/>
                  <w:vAlign w:val="center"/>
                </w:tcPr>
                <w:p>
                  <w:pPr>
                    <w:spacing w:line="240" w:lineRule="auto"/>
                    <w:ind w:firstLine="0" w:firstLineChars="0"/>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处置方式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blHeader/>
                <w:jc w:val="center"/>
              </w:trPr>
              <w:tc>
                <w:tcPr>
                  <w:tcW w:w="661" w:type="dxa"/>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1</w:t>
                  </w:r>
                </w:p>
              </w:tc>
              <w:tc>
                <w:tcPr>
                  <w:tcW w:w="1502" w:type="dxa"/>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生活垃圾</w:t>
                  </w:r>
                </w:p>
              </w:tc>
              <w:tc>
                <w:tcPr>
                  <w:tcW w:w="1321" w:type="dxa"/>
                  <w:vAlign w:val="center"/>
                </w:tcPr>
                <w:p>
                  <w:pPr>
                    <w:spacing w:line="240" w:lineRule="auto"/>
                    <w:ind w:firstLine="0" w:firstLineChars="0"/>
                    <w:jc w:val="center"/>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生活垃圾</w:t>
                  </w:r>
                </w:p>
              </w:tc>
              <w:tc>
                <w:tcPr>
                  <w:tcW w:w="1642" w:type="dxa"/>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1.05</w:t>
                  </w:r>
                </w:p>
              </w:tc>
              <w:tc>
                <w:tcPr>
                  <w:tcW w:w="3473" w:type="dxa"/>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集中收集后交环卫部门定期清运</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0" w:hRule="atLeast"/>
                <w:jc w:val="center"/>
              </w:trPr>
              <w:tc>
                <w:tcPr>
                  <w:tcW w:w="661" w:type="dxa"/>
                  <w:vAlign w:val="center"/>
                </w:tcPr>
                <w:p>
                  <w:pPr>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w:t>
                  </w:r>
                </w:p>
              </w:tc>
              <w:tc>
                <w:tcPr>
                  <w:tcW w:w="1502" w:type="dxa"/>
                  <w:vAlign w:val="center"/>
                </w:tcPr>
                <w:p>
                  <w:pPr>
                    <w:pStyle w:val="22"/>
                    <w:jc w:val="center"/>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vertAlign w:val="baseline"/>
                      <w:lang w:val="en-US" w:eastAsia="zh-CN"/>
                    </w:rPr>
                    <w:t>苯甲酸钠、荧光素包装物</w:t>
                  </w:r>
                </w:p>
              </w:tc>
              <w:tc>
                <w:tcPr>
                  <w:tcW w:w="1321" w:type="dxa"/>
                  <w:vAlign w:val="center"/>
                </w:tcPr>
                <w:p>
                  <w:pPr>
                    <w:pStyle w:val="22"/>
                    <w:jc w:val="center"/>
                    <w:rPr>
                      <w:rFonts w:hint="default" w:ascii="Times New Roman" w:hAnsi="Times New Roman" w:cs="Times New Roman"/>
                      <w:color w:val="auto"/>
                      <w:sz w:val="21"/>
                      <w:szCs w:val="21"/>
                      <w:highlight w:val="none"/>
                    </w:rPr>
                  </w:pPr>
                  <w:r>
                    <w:rPr>
                      <w:rFonts w:hint="eastAsia" w:ascii="Times New Roman" w:hAnsi="Times New Roman" w:eastAsia="宋体" w:cs="Times New Roman"/>
                      <w:color w:val="auto"/>
                      <w:sz w:val="21"/>
                      <w:szCs w:val="21"/>
                      <w:vertAlign w:val="baseline"/>
                      <w:lang w:val="en-US" w:eastAsia="zh-CN"/>
                    </w:rPr>
                    <w:t>危险</w:t>
                  </w:r>
                  <w:r>
                    <w:rPr>
                      <w:rFonts w:hint="default" w:ascii="Times New Roman" w:hAnsi="Times New Roman" w:eastAsia="宋体" w:cs="Times New Roman"/>
                      <w:color w:val="auto"/>
                      <w:sz w:val="21"/>
                      <w:szCs w:val="21"/>
                      <w:vertAlign w:val="baseline"/>
                      <w:lang w:val="en-US" w:eastAsia="zh-CN"/>
                    </w:rPr>
                    <w:t>固废</w:t>
                  </w:r>
                </w:p>
              </w:tc>
              <w:tc>
                <w:tcPr>
                  <w:tcW w:w="1642" w:type="dxa"/>
                  <w:vAlign w:val="center"/>
                </w:tcPr>
                <w:p>
                  <w:pPr>
                    <w:pStyle w:val="22"/>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0.1</w:t>
                  </w:r>
                </w:p>
              </w:tc>
              <w:tc>
                <w:tcPr>
                  <w:tcW w:w="3473" w:type="dxa"/>
                  <w:vAlign w:val="center"/>
                </w:tcPr>
                <w:p>
                  <w:pPr>
                    <w:pStyle w:val="22"/>
                    <w:jc w:val="center"/>
                    <w:rPr>
                      <w:rFonts w:hint="default" w:ascii="Times New Roman" w:hAnsi="Times New Roman" w:cs="Times New Roman"/>
                      <w:sz w:val="21"/>
                      <w:szCs w:val="21"/>
                      <w:highlight w:val="none"/>
                    </w:rPr>
                  </w:pPr>
                  <w:r>
                    <w:rPr>
                      <w:rFonts w:hint="default" w:ascii="Times New Roman" w:hAnsi="Times New Roman" w:eastAsia="宋体" w:cs="Times New Roman"/>
                      <w:sz w:val="21"/>
                      <w:szCs w:val="21"/>
                      <w:vertAlign w:val="baseline"/>
                      <w:lang w:val="en-US" w:eastAsia="zh-CN"/>
                    </w:rPr>
                    <w:t>，收集后暂存在危废暂存间，定期交由有资质单位回收处理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0" w:hRule="atLeast"/>
                <w:jc w:val="center"/>
              </w:trPr>
              <w:tc>
                <w:tcPr>
                  <w:tcW w:w="661" w:type="dxa"/>
                  <w:vAlign w:val="center"/>
                </w:tcPr>
                <w:p>
                  <w:pPr>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3</w:t>
                  </w:r>
                </w:p>
              </w:tc>
              <w:tc>
                <w:tcPr>
                  <w:tcW w:w="1502" w:type="dxa"/>
                  <w:vAlign w:val="center"/>
                </w:tcPr>
                <w:p>
                  <w:pPr>
                    <w:pStyle w:val="22"/>
                    <w:jc w:val="center"/>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vertAlign w:val="baseline"/>
                      <w:lang w:val="en-US" w:eastAsia="zh-CN"/>
                    </w:rPr>
                    <w:t>乙二醇包装空桶</w:t>
                  </w:r>
                </w:p>
              </w:tc>
              <w:tc>
                <w:tcPr>
                  <w:tcW w:w="1321" w:type="dxa"/>
                  <w:vAlign w:val="center"/>
                </w:tcPr>
                <w:p>
                  <w:pPr>
                    <w:pStyle w:val="22"/>
                    <w:jc w:val="center"/>
                    <w:rPr>
                      <w:rFonts w:hint="default" w:ascii="Times New Roman" w:hAnsi="Times New Roman" w:cs="Times New Roman"/>
                      <w:color w:val="auto"/>
                      <w:sz w:val="21"/>
                      <w:szCs w:val="21"/>
                      <w:highlight w:val="none"/>
                    </w:rPr>
                  </w:pPr>
                  <w:r>
                    <w:rPr>
                      <w:rFonts w:hint="eastAsia" w:ascii="Times New Roman" w:hAnsi="Times New Roman" w:eastAsia="宋体" w:cs="Times New Roman"/>
                      <w:color w:val="auto"/>
                      <w:sz w:val="21"/>
                      <w:szCs w:val="21"/>
                      <w:vertAlign w:val="baseline"/>
                      <w:lang w:val="en-US" w:eastAsia="zh-CN"/>
                    </w:rPr>
                    <w:t>危险</w:t>
                  </w:r>
                  <w:r>
                    <w:rPr>
                      <w:rFonts w:hint="default" w:ascii="Times New Roman" w:hAnsi="Times New Roman" w:eastAsia="宋体" w:cs="Times New Roman"/>
                      <w:color w:val="auto"/>
                      <w:sz w:val="21"/>
                      <w:szCs w:val="21"/>
                      <w:vertAlign w:val="baseline"/>
                      <w:lang w:val="en-US" w:eastAsia="zh-CN"/>
                    </w:rPr>
                    <w:t>固废</w:t>
                  </w:r>
                </w:p>
              </w:tc>
              <w:tc>
                <w:tcPr>
                  <w:tcW w:w="1642" w:type="dxa"/>
                  <w:vAlign w:val="center"/>
                </w:tcPr>
                <w:p>
                  <w:pPr>
                    <w:pStyle w:val="22"/>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5.0</w:t>
                  </w:r>
                </w:p>
              </w:tc>
              <w:tc>
                <w:tcPr>
                  <w:tcW w:w="3473" w:type="dxa"/>
                  <w:vAlign w:val="center"/>
                </w:tcPr>
                <w:p>
                  <w:pPr>
                    <w:pStyle w:val="22"/>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vertAlign w:val="baseline"/>
                      <w:lang w:val="en-US" w:eastAsia="zh-CN"/>
                    </w:rPr>
                    <w:t>暂存于</w:t>
                  </w:r>
                  <w:r>
                    <w:rPr>
                      <w:rFonts w:hint="eastAsia" w:ascii="Times New Roman" w:hAnsi="Times New Roman" w:eastAsia="宋体" w:cs="Times New Roman"/>
                      <w:sz w:val="21"/>
                      <w:szCs w:val="21"/>
                      <w:vertAlign w:val="baseline"/>
                      <w:lang w:val="en-US" w:eastAsia="zh-CN"/>
                    </w:rPr>
                    <w:t>固</w:t>
                  </w:r>
                  <w:r>
                    <w:rPr>
                      <w:rFonts w:hint="default" w:ascii="Times New Roman" w:hAnsi="Times New Roman" w:eastAsia="宋体" w:cs="Times New Roman"/>
                      <w:sz w:val="21"/>
                      <w:szCs w:val="21"/>
                      <w:vertAlign w:val="baseline"/>
                      <w:lang w:val="en-US" w:eastAsia="zh-CN"/>
                    </w:rPr>
                    <w:t>废暂存间，由原料供应商定期回收处理</w:t>
                  </w:r>
                </w:p>
              </w:tc>
            </w:tr>
          </w:tbl>
          <w:p>
            <w:pPr>
              <w:ind w:firstLine="480"/>
              <w:rPr>
                <w:rFonts w:hint="default" w:ascii="Times New Roman" w:hAnsi="Times New Roman" w:cs="Times New Roman"/>
              </w:rPr>
            </w:pPr>
            <w:r>
              <w:rPr>
                <w:rFonts w:hint="default" w:ascii="Times New Roman" w:hAnsi="Times New Roman" w:cs="Times New Roman"/>
              </w:rPr>
              <w:t>综上，</w:t>
            </w:r>
            <w:r>
              <w:rPr>
                <w:rFonts w:hint="default" w:ascii="Times New Roman" w:hAnsi="Times New Roman" w:cs="Times New Roman"/>
                <w:color w:val="auto"/>
                <w:highlight w:val="none"/>
              </w:rPr>
              <w:t>项目产生的固体废物经环评提出的各项措施后，均能得到有效处置，</w:t>
            </w:r>
            <w:r>
              <w:rPr>
                <w:rFonts w:hint="default" w:ascii="Times New Roman" w:hAnsi="Times New Roman" w:cs="Times New Roman"/>
                <w:highlight w:val="none"/>
              </w:rPr>
              <w:t>处置率100%，满足《</w:t>
            </w:r>
            <w:r>
              <w:rPr>
                <w:rFonts w:hint="eastAsia" w:cs="Times New Roman"/>
                <w:highlight w:val="none"/>
                <w:lang w:eastAsia="zh-CN"/>
              </w:rPr>
              <w:t>危险</w:t>
            </w:r>
            <w:r>
              <w:rPr>
                <w:rFonts w:hint="default" w:ascii="Times New Roman" w:hAnsi="Times New Roman" w:cs="Times New Roman"/>
                <w:highlight w:val="none"/>
              </w:rPr>
              <w:t>工业固体废物贮存、处置场污染控制标准》（GB18599-2001）及修改单中有关规定。对周围环境影响较小。</w:t>
            </w:r>
          </w:p>
          <w:p>
            <w:pPr>
              <w:widowControl/>
              <w:numPr>
                <w:ilvl w:val="0"/>
                <w:numId w:val="6"/>
              </w:numPr>
              <w:adjustRightInd w:val="0"/>
              <w:snapToGrid w:val="0"/>
              <w:spacing w:line="360" w:lineRule="auto"/>
              <w:ind w:firstLine="482" w:firstLineChars="200"/>
              <w:rPr>
                <w:rFonts w:hint="eastAsia" w:cs="Times New Roman"/>
                <w:b/>
                <w:color w:val="auto"/>
                <w:lang w:eastAsia="zh-CN"/>
              </w:rPr>
            </w:pPr>
            <w:r>
              <w:rPr>
                <w:rFonts w:hint="eastAsia" w:cs="Times New Roman"/>
                <w:b/>
                <w:color w:val="auto"/>
                <w:lang w:eastAsia="zh-CN"/>
              </w:rPr>
              <w:t>环境风险分析</w:t>
            </w:r>
          </w:p>
          <w:p>
            <w:pPr>
              <w:spacing w:line="360" w:lineRule="auto"/>
              <w:ind w:firstLine="420"/>
              <w:rPr>
                <w:rFonts w:hint="eastAsia" w:hAnsi="Times New Roman" w:eastAsia="宋体" w:cs="Times New Roman"/>
                <w:bCs/>
                <w:color w:val="000000"/>
                <w:sz w:val="24"/>
                <w:szCs w:val="24"/>
                <w:lang w:val="en-US" w:eastAsia="zh-CN"/>
              </w:rPr>
            </w:pPr>
            <w:r>
              <w:rPr>
                <w:rFonts w:hint="eastAsia" w:hAnsi="Times New Roman" w:eastAsia="宋体" w:cs="Times New Roman"/>
                <w:bCs/>
                <w:color w:val="000000"/>
                <w:sz w:val="24"/>
                <w:szCs w:val="24"/>
                <w:lang w:val="en-US" w:eastAsia="zh-CN"/>
              </w:rPr>
              <w:t>（1）重危险源辨识</w:t>
            </w:r>
          </w:p>
          <w:p>
            <w:pPr>
              <w:spacing w:line="360" w:lineRule="auto"/>
              <w:ind w:firstLine="420"/>
              <w:rPr>
                <w:rFonts w:hint="eastAsia"/>
                <w:lang w:val="en-US" w:eastAsia="zh-CN"/>
              </w:rPr>
            </w:pPr>
            <w:r>
              <w:rPr>
                <w:rFonts w:hint="eastAsia" w:hAnsi="Times New Roman" w:eastAsia="宋体" w:cs="Times New Roman"/>
                <w:bCs/>
                <w:color w:val="000000"/>
                <w:sz w:val="24"/>
                <w:szCs w:val="24"/>
                <w:lang w:val="en-US" w:eastAsia="zh-CN"/>
              </w:rPr>
              <w:t xml:space="preserve"> ①判定依据</w:t>
            </w:r>
          </w:p>
          <w:p>
            <w:pPr>
              <w:spacing w:line="360" w:lineRule="auto"/>
              <w:ind w:firstLine="420"/>
              <w:rPr>
                <w:rFonts w:hint="eastAsia" w:hAnsi="Times New Roman" w:eastAsia="宋体" w:cs="Times New Roman"/>
                <w:bCs/>
                <w:color w:val="000000"/>
                <w:sz w:val="24"/>
                <w:szCs w:val="24"/>
                <w:lang w:val="zh-CN" w:eastAsia="zh-CN"/>
              </w:rPr>
            </w:pPr>
            <w:r>
              <w:rPr>
                <w:rFonts w:hint="eastAsia" w:hAnsi="Times New Roman" w:eastAsia="宋体" w:cs="Times New Roman"/>
                <w:bCs/>
                <w:color w:val="000000"/>
                <w:sz w:val="24"/>
                <w:szCs w:val="24"/>
                <w:lang w:val="en-US" w:eastAsia="zh-CN"/>
              </w:rPr>
              <w:t>国家标准《危险化学品重大危险源辨识》（GB18218-2014）中重大危险源分为生产场所重大危险源和贮存场所重大危险源两种，根据物质不同的特性，将危险物质分为爆炸性物质、易燃物质、活性化学物质和有毒物质四大类</w:t>
            </w:r>
            <w:r>
              <w:rPr>
                <w:rFonts w:hint="eastAsia" w:cs="Times New Roman"/>
                <w:bCs/>
                <w:color w:val="000000"/>
                <w:sz w:val="24"/>
                <w:szCs w:val="24"/>
                <w:lang w:val="en-US" w:eastAsia="zh-CN"/>
              </w:rPr>
              <w:t>。经查阅，乙二醇不属于</w:t>
            </w:r>
            <w:r>
              <w:rPr>
                <w:rFonts w:hint="eastAsia" w:hAnsi="Times New Roman" w:eastAsia="宋体" w:cs="Times New Roman"/>
                <w:bCs/>
                <w:color w:val="000000"/>
                <w:sz w:val="24"/>
                <w:szCs w:val="24"/>
                <w:lang w:val="en-US" w:eastAsia="zh-CN"/>
              </w:rPr>
              <w:t>《危险化学品重大危险源辨识》（GB18218-2014）</w:t>
            </w:r>
            <w:r>
              <w:rPr>
                <w:rFonts w:hint="eastAsia" w:cs="Times New Roman"/>
                <w:bCs/>
                <w:color w:val="000000"/>
                <w:sz w:val="24"/>
                <w:szCs w:val="24"/>
                <w:lang w:val="en-US" w:eastAsia="zh-CN"/>
              </w:rPr>
              <w:t>中的四大类。同时乙二醇在厂区最大储存量为100t，</w:t>
            </w:r>
            <w:r>
              <w:rPr>
                <w:rFonts w:hint="eastAsia" w:hAnsi="Times New Roman" w:eastAsia="宋体" w:cs="Times New Roman"/>
                <w:bCs/>
                <w:color w:val="000000"/>
                <w:sz w:val="24"/>
                <w:szCs w:val="24"/>
                <w:lang w:val="en-US" w:eastAsia="zh-CN"/>
              </w:rPr>
              <w:t>本项目</w:t>
            </w:r>
            <w:r>
              <w:rPr>
                <w:rFonts w:hint="eastAsia" w:hAnsi="Times New Roman" w:eastAsia="宋体" w:cs="Times New Roman"/>
                <w:bCs/>
                <w:color w:val="000000"/>
                <w:sz w:val="24"/>
                <w:szCs w:val="24"/>
                <w:lang w:val="zh-CN" w:eastAsia="zh-CN"/>
              </w:rPr>
              <w:t>不</w:t>
            </w:r>
            <w:r>
              <w:rPr>
                <w:rFonts w:hint="eastAsia" w:hAnsi="Times New Roman" w:eastAsia="宋体" w:cs="Times New Roman"/>
                <w:bCs/>
                <w:color w:val="000000"/>
                <w:sz w:val="24"/>
                <w:szCs w:val="24"/>
                <w:lang w:val="en-US" w:eastAsia="zh-CN"/>
              </w:rPr>
              <w:t>属于重大危险源</w:t>
            </w:r>
            <w:r>
              <w:rPr>
                <w:rFonts w:hint="eastAsia" w:hAnsi="Times New Roman" w:eastAsia="宋体" w:cs="Times New Roman"/>
                <w:bCs/>
                <w:color w:val="000000"/>
                <w:sz w:val="24"/>
                <w:szCs w:val="24"/>
                <w:lang w:val="zh-CN" w:eastAsia="zh-CN"/>
              </w:rPr>
              <w:t>。</w:t>
            </w:r>
          </w:p>
          <w:p>
            <w:pPr>
              <w:spacing w:line="360" w:lineRule="auto"/>
              <w:ind w:firstLine="420"/>
              <w:rPr>
                <w:rFonts w:hint="eastAsia" w:hAnsi="Times New Roman" w:eastAsia="宋体" w:cs="Times New Roman"/>
                <w:bCs/>
                <w:color w:val="000000"/>
                <w:sz w:val="24"/>
                <w:szCs w:val="24"/>
                <w:lang w:val="en-US" w:eastAsia="zh-CN"/>
              </w:rPr>
            </w:pPr>
            <w:r>
              <w:rPr>
                <w:rFonts w:hint="eastAsia" w:hAnsi="Times New Roman" w:eastAsia="宋体" w:cs="Times New Roman"/>
                <w:bCs/>
                <w:color w:val="000000"/>
                <w:sz w:val="24"/>
                <w:szCs w:val="24"/>
                <w:lang w:val="en-US" w:eastAsia="zh-CN"/>
              </w:rPr>
              <w:t>（2）评价等级</w:t>
            </w:r>
          </w:p>
          <w:p>
            <w:pPr>
              <w:spacing w:line="360" w:lineRule="auto"/>
              <w:ind w:firstLine="420"/>
              <w:rPr>
                <w:rFonts w:hint="eastAsia" w:hAnsi="Times New Roman" w:eastAsia="宋体" w:cs="Times New Roman"/>
                <w:bCs/>
                <w:color w:val="000000"/>
                <w:sz w:val="24"/>
                <w:szCs w:val="24"/>
                <w:lang w:val="zh-CN" w:eastAsia="zh-CN"/>
              </w:rPr>
            </w:pPr>
            <w:r>
              <w:rPr>
                <w:rFonts w:hint="eastAsia" w:hAnsi="Times New Roman" w:eastAsia="宋体" w:cs="Times New Roman"/>
                <w:bCs/>
                <w:color w:val="000000"/>
                <w:sz w:val="24"/>
                <w:szCs w:val="24"/>
                <w:lang w:val="zh-CN" w:eastAsia="zh-CN"/>
              </w:rPr>
              <w:t>按照《建设项目环境风险评价技术导则》（</w:t>
            </w:r>
            <w:r>
              <w:rPr>
                <w:rFonts w:hint="eastAsia" w:hAnsi="Times New Roman" w:eastAsia="宋体" w:cs="Times New Roman"/>
                <w:bCs/>
                <w:color w:val="000000"/>
                <w:sz w:val="24"/>
                <w:szCs w:val="24"/>
                <w:lang w:val="en-US" w:eastAsia="zh-CN"/>
              </w:rPr>
              <w:t>HJ/T169-2004</w:t>
            </w:r>
            <w:r>
              <w:rPr>
                <w:rFonts w:hint="eastAsia" w:hAnsi="Times New Roman" w:eastAsia="宋体" w:cs="Times New Roman"/>
                <w:bCs/>
                <w:color w:val="000000"/>
                <w:sz w:val="24"/>
                <w:szCs w:val="24"/>
                <w:lang w:val="zh-CN" w:eastAsia="zh-CN"/>
              </w:rPr>
              <w:t>）的规定，环境风险评价应根据评价项目的物质危险性、辨识单元重大污染源判定结果以及环境敏感程度等原因，划分为一、二级，划分依据见表</w:t>
            </w:r>
            <w:r>
              <w:rPr>
                <w:rFonts w:hint="eastAsia" w:cs="Times New Roman"/>
                <w:bCs/>
                <w:color w:val="000000"/>
                <w:sz w:val="24"/>
                <w:szCs w:val="24"/>
                <w:lang w:val="en-US" w:eastAsia="zh-CN"/>
              </w:rPr>
              <w:t>6-8</w:t>
            </w:r>
            <w:r>
              <w:rPr>
                <w:rFonts w:hint="eastAsia" w:hAnsi="Times New Roman" w:eastAsia="宋体" w:cs="Times New Roman"/>
                <w:bCs/>
                <w:color w:val="000000"/>
                <w:sz w:val="24"/>
                <w:szCs w:val="24"/>
                <w:lang w:val="zh-CN" w:eastAsia="zh-CN"/>
              </w:rPr>
              <w:t>。</w:t>
            </w:r>
          </w:p>
          <w:p>
            <w:pPr>
              <w:pStyle w:val="33"/>
              <w:spacing w:line="360" w:lineRule="auto"/>
              <w:ind w:firstLine="422" w:firstLineChars="200"/>
              <w:jc w:val="center"/>
              <w:rPr>
                <w:rFonts w:hint="eastAsia"/>
                <w:lang w:val="zh-CN" w:eastAsia="zh-CN"/>
              </w:rPr>
            </w:pPr>
            <w:r>
              <w:rPr>
                <w:rFonts w:hint="eastAsia" w:ascii="Times New Roman" w:hAnsi="Times New Roman" w:eastAsia="宋体" w:cs="Times New Roman"/>
                <w:b/>
                <w:bCs/>
                <w:sz w:val="21"/>
                <w:szCs w:val="21"/>
                <w:lang w:val="en-GB" w:eastAsia="zh-CN"/>
              </w:rPr>
              <w:t>表</w:t>
            </w:r>
            <w:r>
              <w:rPr>
                <w:rFonts w:hint="eastAsia" w:cs="Times New Roman"/>
                <w:b/>
                <w:bCs/>
                <w:sz w:val="21"/>
                <w:szCs w:val="21"/>
                <w:lang w:val="en-US" w:eastAsia="zh-CN"/>
              </w:rPr>
              <w:t>6-8</w:t>
            </w:r>
            <w:r>
              <w:rPr>
                <w:rFonts w:hint="eastAsia" w:ascii="Times New Roman" w:hAnsi="Times New Roman" w:eastAsia="宋体" w:cs="Times New Roman"/>
                <w:b/>
                <w:bCs/>
                <w:sz w:val="21"/>
                <w:szCs w:val="21"/>
                <w:lang w:val="en-US" w:eastAsia="zh-CN"/>
              </w:rPr>
              <w:t xml:space="preserve">  </w:t>
            </w:r>
            <w:r>
              <w:rPr>
                <w:rFonts w:hint="eastAsia" w:ascii="Times New Roman" w:hAnsi="Times New Roman" w:eastAsia="宋体" w:cs="Times New Roman"/>
                <w:b/>
                <w:bCs/>
                <w:sz w:val="21"/>
                <w:szCs w:val="21"/>
                <w:lang w:val="en-GB" w:eastAsia="zh-CN"/>
              </w:rPr>
              <w:t>评价工作级别（一、二级）</w:t>
            </w:r>
          </w:p>
          <w:tbl>
            <w:tblPr>
              <w:tblStyle w:val="20"/>
              <w:tblW w:w="882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67"/>
              <w:gridCol w:w="1645"/>
              <w:gridCol w:w="1887"/>
              <w:gridCol w:w="2290"/>
              <w:gridCol w:w="1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36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1645"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lang w:val="zh-CN"/>
                    </w:rPr>
                    <w:t>剧毒危险性物质</w:t>
                  </w:r>
                </w:p>
              </w:tc>
              <w:tc>
                <w:tcPr>
                  <w:tcW w:w="188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lang w:val="zh-CN"/>
                    </w:rPr>
                    <w:t>一般毒性危险物质</w:t>
                  </w:r>
                </w:p>
              </w:tc>
              <w:tc>
                <w:tcPr>
                  <w:tcW w:w="2290"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lang w:val="zh-CN"/>
                    </w:rPr>
                    <w:t>可燃、易燃危险性物质</w:t>
                  </w:r>
                </w:p>
              </w:tc>
              <w:tc>
                <w:tcPr>
                  <w:tcW w:w="163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lang w:val="zh-CN"/>
                    </w:rPr>
                    <w:t>爆炸危险性物质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 w:hRule="atLeast"/>
                <w:jc w:val="center"/>
              </w:trPr>
              <w:tc>
                <w:tcPr>
                  <w:tcW w:w="136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重大危险源</w:t>
                  </w:r>
                </w:p>
              </w:tc>
              <w:tc>
                <w:tcPr>
                  <w:tcW w:w="1645"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一</w:t>
                  </w:r>
                </w:p>
              </w:tc>
              <w:tc>
                <w:tcPr>
                  <w:tcW w:w="188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二</w:t>
                  </w:r>
                </w:p>
              </w:tc>
              <w:tc>
                <w:tcPr>
                  <w:tcW w:w="2290"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一</w:t>
                  </w:r>
                </w:p>
              </w:tc>
              <w:tc>
                <w:tcPr>
                  <w:tcW w:w="163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 w:hRule="atLeast"/>
                <w:jc w:val="center"/>
              </w:trPr>
              <w:tc>
                <w:tcPr>
                  <w:tcW w:w="136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非重大危险源</w:t>
                  </w:r>
                </w:p>
              </w:tc>
              <w:tc>
                <w:tcPr>
                  <w:tcW w:w="1645"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二</w:t>
                  </w:r>
                </w:p>
              </w:tc>
              <w:tc>
                <w:tcPr>
                  <w:tcW w:w="188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二</w:t>
                  </w:r>
                </w:p>
              </w:tc>
              <w:tc>
                <w:tcPr>
                  <w:tcW w:w="2290"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二</w:t>
                  </w:r>
                </w:p>
              </w:tc>
              <w:tc>
                <w:tcPr>
                  <w:tcW w:w="163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 w:hRule="atLeast"/>
                <w:jc w:val="center"/>
              </w:trPr>
              <w:tc>
                <w:tcPr>
                  <w:tcW w:w="136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环境敏感地区</w:t>
                  </w:r>
                </w:p>
              </w:tc>
              <w:tc>
                <w:tcPr>
                  <w:tcW w:w="1645"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一</w:t>
                  </w:r>
                </w:p>
              </w:tc>
              <w:tc>
                <w:tcPr>
                  <w:tcW w:w="188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一</w:t>
                  </w:r>
                </w:p>
              </w:tc>
              <w:tc>
                <w:tcPr>
                  <w:tcW w:w="2290"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一</w:t>
                  </w:r>
                </w:p>
              </w:tc>
              <w:tc>
                <w:tcPr>
                  <w:tcW w:w="1637" w:type="dxa"/>
                  <w:tcMar>
                    <w:left w:w="28" w:type="dxa"/>
                    <w:right w:w="28" w:type="dxa"/>
                  </w:tcMar>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lang w:val="zh-CN"/>
                    </w:rPr>
                    <w:t>一</w:t>
                  </w:r>
                </w:p>
              </w:tc>
            </w:tr>
          </w:tbl>
          <w:p>
            <w:pPr>
              <w:adjustRightInd w:val="0"/>
              <w:spacing w:line="520" w:lineRule="exact"/>
              <w:ind w:firstLine="448"/>
              <w:rPr>
                <w:rFonts w:hAnsi="宋体"/>
                <w:sz w:val="24"/>
                <w:szCs w:val="24"/>
              </w:rPr>
            </w:pPr>
            <w:r>
              <w:rPr>
                <w:rFonts w:hint="eastAsia" w:hAnsi="宋体"/>
                <w:sz w:val="24"/>
                <w:szCs w:val="24"/>
              </w:rPr>
              <w:t>经分析</w:t>
            </w:r>
            <w:r>
              <w:rPr>
                <w:rFonts w:hAnsi="宋体"/>
                <w:sz w:val="24"/>
                <w:szCs w:val="24"/>
              </w:rPr>
              <w:t>，本项目</w:t>
            </w:r>
            <w:r>
              <w:rPr>
                <w:rFonts w:hAnsi="宋体"/>
                <w:sz w:val="24"/>
                <w:szCs w:val="24"/>
                <w:lang w:val="zh-CN"/>
              </w:rPr>
              <w:t>辨识单元</w:t>
            </w:r>
            <w:r>
              <w:rPr>
                <w:rFonts w:hint="eastAsia" w:hAnsi="宋体"/>
                <w:sz w:val="24"/>
                <w:szCs w:val="24"/>
                <w:lang w:val="zh-CN"/>
              </w:rPr>
              <w:t>不</w:t>
            </w:r>
            <w:r>
              <w:rPr>
                <w:rFonts w:hAnsi="宋体"/>
                <w:sz w:val="24"/>
                <w:szCs w:val="24"/>
              </w:rPr>
              <w:t>属于重大危险源</w:t>
            </w:r>
            <w:r>
              <w:rPr>
                <w:rFonts w:hint="eastAsia" w:hAnsi="宋体"/>
                <w:sz w:val="24"/>
                <w:szCs w:val="24"/>
                <w:lang w:eastAsia="zh-CN"/>
              </w:rPr>
              <w:t>，不属于环境敏感区</w:t>
            </w:r>
            <w:r>
              <w:rPr>
                <w:rFonts w:hint="eastAsia" w:hAnsi="宋体"/>
                <w:sz w:val="24"/>
                <w:szCs w:val="24"/>
              </w:rPr>
              <w:t>。</w:t>
            </w:r>
            <w:r>
              <w:rPr>
                <w:rFonts w:hAnsi="宋体"/>
                <w:sz w:val="24"/>
                <w:szCs w:val="24"/>
              </w:rPr>
              <w:t>根据</w:t>
            </w:r>
            <w:r>
              <w:rPr>
                <w:sz w:val="24"/>
                <w:szCs w:val="24"/>
              </w:rPr>
              <w:t>HJ/T169-2004</w:t>
            </w:r>
            <w:r>
              <w:rPr>
                <w:rFonts w:hAnsi="宋体"/>
                <w:sz w:val="24"/>
                <w:szCs w:val="24"/>
                <w:lang w:val="zh-CN"/>
              </w:rPr>
              <w:t>中对于评价工作等级的划分依据</w:t>
            </w:r>
            <w:r>
              <w:rPr>
                <w:rFonts w:hAnsi="宋体"/>
                <w:sz w:val="24"/>
                <w:szCs w:val="24"/>
              </w:rPr>
              <w:t>，确定本项目环境风险评价工作等级为</w:t>
            </w:r>
            <w:r>
              <w:rPr>
                <w:rFonts w:hint="eastAsia" w:hAnsi="宋体"/>
                <w:b w:val="0"/>
                <w:bCs/>
                <w:sz w:val="24"/>
                <w:szCs w:val="24"/>
              </w:rPr>
              <w:t>二</w:t>
            </w:r>
            <w:r>
              <w:rPr>
                <w:rFonts w:hAnsi="宋体"/>
                <w:b w:val="0"/>
                <w:bCs/>
                <w:sz w:val="24"/>
                <w:szCs w:val="24"/>
              </w:rPr>
              <w:t>级</w:t>
            </w:r>
            <w:r>
              <w:rPr>
                <w:rFonts w:hAnsi="宋体"/>
                <w:sz w:val="24"/>
                <w:szCs w:val="24"/>
              </w:rPr>
              <w:t>。</w:t>
            </w:r>
          </w:p>
          <w:p>
            <w:pPr>
              <w:spacing w:line="520" w:lineRule="exact"/>
              <w:ind w:firstLine="480" w:firstLineChars="200"/>
              <w:rPr>
                <w:rFonts w:hint="eastAsia"/>
                <w:bCs/>
                <w:color w:val="000000"/>
                <w:sz w:val="24"/>
                <w:szCs w:val="24"/>
                <w:lang w:val="en-US" w:eastAsia="zh-CN"/>
              </w:rPr>
            </w:pPr>
            <w:r>
              <w:rPr>
                <w:rFonts w:hint="eastAsia"/>
                <w:bCs/>
                <w:color w:val="000000"/>
                <w:sz w:val="24"/>
                <w:szCs w:val="24"/>
                <w:lang w:val="en-US" w:eastAsia="zh-CN"/>
              </w:rPr>
              <w:t>（3）评价范围</w:t>
            </w:r>
          </w:p>
          <w:p>
            <w:pPr>
              <w:spacing w:line="520" w:lineRule="exact"/>
              <w:ind w:firstLine="480" w:firstLineChars="200"/>
              <w:rPr>
                <w:rFonts w:hint="eastAsia"/>
                <w:bCs/>
                <w:color w:val="000000"/>
                <w:sz w:val="24"/>
                <w:szCs w:val="24"/>
                <w:lang w:val="zh-CN" w:eastAsia="zh-CN"/>
              </w:rPr>
            </w:pPr>
            <w:r>
              <w:rPr>
                <w:rFonts w:hint="eastAsia"/>
                <w:bCs/>
                <w:color w:val="000000"/>
                <w:sz w:val="24"/>
                <w:szCs w:val="24"/>
                <w:lang w:val="en-US" w:eastAsia="zh-CN"/>
              </w:rPr>
              <w:t>根据《建设项目环境风险评价技术导则》（HJ/169-2004）中4.5条关于评价范围的规定中对风险二级评价的要求，</w:t>
            </w:r>
            <w:r>
              <w:rPr>
                <w:rFonts w:hint="eastAsia"/>
                <w:bCs/>
                <w:color w:val="000000"/>
                <w:sz w:val="24"/>
                <w:szCs w:val="24"/>
                <w:lang w:val="zh-CN" w:eastAsia="zh-CN"/>
              </w:rPr>
              <w:t>项目环境风险评价范围为以原料车间</w:t>
            </w:r>
            <w:r>
              <w:rPr>
                <w:rFonts w:hint="eastAsia"/>
                <w:bCs/>
                <w:color w:val="000000"/>
                <w:sz w:val="24"/>
                <w:szCs w:val="24"/>
                <w:lang w:val="en-US" w:eastAsia="zh-CN"/>
              </w:rPr>
              <w:t>为中心</w:t>
            </w:r>
            <w:r>
              <w:rPr>
                <w:rFonts w:hint="eastAsia"/>
                <w:bCs/>
                <w:color w:val="000000"/>
                <w:sz w:val="24"/>
                <w:szCs w:val="24"/>
                <w:lang w:val="zh-CN" w:eastAsia="zh-CN"/>
              </w:rPr>
              <w:t>，半径3km的圆形区域。</w:t>
            </w:r>
          </w:p>
          <w:p>
            <w:pPr>
              <w:spacing w:line="520" w:lineRule="exact"/>
              <w:ind w:firstLine="480" w:firstLineChars="200"/>
              <w:rPr>
                <w:rFonts w:hint="eastAsia"/>
                <w:bCs/>
                <w:color w:val="000000"/>
                <w:sz w:val="24"/>
                <w:szCs w:val="24"/>
                <w:lang w:val="en-US" w:eastAsia="zh-CN"/>
              </w:rPr>
            </w:pPr>
            <w:r>
              <w:rPr>
                <w:rFonts w:hint="eastAsia"/>
                <w:bCs/>
                <w:color w:val="000000"/>
                <w:sz w:val="24"/>
                <w:szCs w:val="24"/>
                <w:lang w:val="en-US" w:eastAsia="zh-CN"/>
              </w:rPr>
              <w:t>（4）风险识别</w:t>
            </w:r>
          </w:p>
          <w:p>
            <w:pPr>
              <w:spacing w:line="520" w:lineRule="exact"/>
              <w:ind w:firstLine="480" w:firstLineChars="200"/>
              <w:rPr>
                <w:rFonts w:hint="eastAsia"/>
                <w:bCs/>
                <w:color w:val="000000"/>
                <w:sz w:val="24"/>
                <w:szCs w:val="24"/>
                <w:lang w:val="en-US" w:eastAsia="zh-CN"/>
              </w:rPr>
            </w:pPr>
            <w:r>
              <w:rPr>
                <w:rFonts w:hint="eastAsia"/>
                <w:bCs/>
                <w:color w:val="000000"/>
                <w:sz w:val="24"/>
                <w:szCs w:val="24"/>
                <w:lang w:val="en-US" w:eastAsia="zh-CN"/>
              </w:rPr>
              <w:t>①生产设施风险识别</w:t>
            </w:r>
          </w:p>
          <w:p>
            <w:pPr>
              <w:spacing w:line="520" w:lineRule="exact"/>
              <w:ind w:firstLine="480" w:firstLineChars="200"/>
              <w:rPr>
                <w:rFonts w:hint="eastAsia"/>
                <w:bCs/>
                <w:color w:val="000000"/>
                <w:sz w:val="24"/>
                <w:szCs w:val="24"/>
                <w:lang w:val="zh-CN" w:eastAsia="zh-CN"/>
              </w:rPr>
            </w:pPr>
            <w:r>
              <w:rPr>
                <w:rFonts w:hint="eastAsia"/>
                <w:bCs/>
                <w:color w:val="000000"/>
                <w:sz w:val="24"/>
                <w:szCs w:val="24"/>
                <w:lang w:val="zh-CN" w:eastAsia="zh-CN"/>
              </w:rPr>
              <w:t>本项目运营过程中</w:t>
            </w:r>
            <w:r>
              <w:rPr>
                <w:rFonts w:hint="eastAsia"/>
                <w:bCs/>
                <w:color w:val="auto"/>
                <w:sz w:val="24"/>
                <w:szCs w:val="24"/>
                <w:lang w:val="en-US" w:eastAsia="zh-CN"/>
              </w:rPr>
              <w:t>原料、成品贮存以及搅拌工序</w:t>
            </w:r>
            <w:r>
              <w:rPr>
                <w:rFonts w:hint="eastAsia"/>
                <w:bCs/>
                <w:color w:val="000000"/>
                <w:sz w:val="24"/>
                <w:szCs w:val="24"/>
                <w:lang w:val="zh-CN" w:eastAsia="zh-CN"/>
              </w:rPr>
              <w:t>有可能导致危险物质泄漏，发生毒害、火灾和爆炸事故。根据对环境风险物质的筛选及对储存系统的分析，确定本项目的风险设施主要</w:t>
            </w:r>
            <w:r>
              <w:rPr>
                <w:rFonts w:hint="eastAsia"/>
                <w:bCs/>
                <w:color w:val="auto"/>
                <w:sz w:val="24"/>
                <w:szCs w:val="24"/>
                <w:lang w:val="zh-CN" w:eastAsia="zh-CN"/>
              </w:rPr>
              <w:t>为乙二醇槽和</w:t>
            </w:r>
            <w:r>
              <w:rPr>
                <w:rFonts w:hint="eastAsia"/>
                <w:bCs/>
                <w:color w:val="auto"/>
                <w:sz w:val="24"/>
                <w:szCs w:val="24"/>
                <w:lang w:val="en-US" w:eastAsia="zh-CN"/>
              </w:rPr>
              <w:t>搅拌釜</w:t>
            </w:r>
            <w:r>
              <w:rPr>
                <w:rFonts w:hint="eastAsia"/>
                <w:bCs/>
                <w:color w:val="000000"/>
                <w:sz w:val="24"/>
                <w:szCs w:val="24"/>
                <w:lang w:val="zh-CN" w:eastAsia="zh-CN"/>
              </w:rPr>
              <w:t>。</w:t>
            </w:r>
          </w:p>
          <w:p>
            <w:pPr>
              <w:spacing w:line="520" w:lineRule="exact"/>
              <w:ind w:firstLine="480" w:firstLineChars="200"/>
              <w:rPr>
                <w:rFonts w:hint="eastAsia"/>
                <w:bCs/>
                <w:color w:val="000000"/>
                <w:sz w:val="24"/>
                <w:szCs w:val="24"/>
                <w:lang w:val="en-US" w:eastAsia="zh-CN"/>
              </w:rPr>
            </w:pPr>
            <w:r>
              <w:rPr>
                <w:rFonts w:hint="eastAsia"/>
                <w:bCs/>
                <w:color w:val="000000"/>
                <w:sz w:val="24"/>
                <w:szCs w:val="24"/>
                <w:lang w:val="en-US" w:eastAsia="zh-CN"/>
              </w:rPr>
              <w:t>①物质风险识别</w:t>
            </w:r>
          </w:p>
          <w:p>
            <w:pPr>
              <w:adjustRightInd w:val="0"/>
              <w:spacing w:line="520" w:lineRule="exact"/>
              <w:ind w:firstLine="448"/>
            </w:pPr>
            <w:r>
              <w:rPr>
                <w:rFonts w:hint="eastAsia" w:hAnsi="宋体"/>
                <w:sz w:val="24"/>
                <w:szCs w:val="24"/>
              </w:rPr>
              <w:t>《危险化学品重大危险源辨识》（</w:t>
            </w:r>
            <w:r>
              <w:rPr>
                <w:sz w:val="24"/>
                <w:szCs w:val="24"/>
              </w:rPr>
              <w:t>GB18218-2014</w:t>
            </w:r>
            <w:r>
              <w:rPr>
                <w:rFonts w:hint="eastAsia" w:hAnsi="宋体"/>
                <w:sz w:val="24"/>
                <w:szCs w:val="24"/>
              </w:rPr>
              <w:t>），</w:t>
            </w:r>
            <w:r>
              <w:rPr>
                <w:rFonts w:hint="eastAsia" w:hAnsi="宋体"/>
                <w:sz w:val="24"/>
                <w:szCs w:val="24"/>
                <w:lang w:val="zh-CN"/>
              </w:rPr>
              <w:t>确定本项目风险物质为乙二醇</w:t>
            </w:r>
            <w:r>
              <w:rPr>
                <w:rFonts w:hint="eastAsia" w:hAnsi="宋体"/>
                <w:sz w:val="24"/>
                <w:szCs w:val="24"/>
              </w:rPr>
              <w:t>，其</w:t>
            </w:r>
            <w:r>
              <w:rPr>
                <w:rFonts w:hAnsi="宋体"/>
                <w:sz w:val="24"/>
                <w:szCs w:val="24"/>
                <w:lang w:val="zh-CN"/>
              </w:rPr>
              <w:t>主要</w:t>
            </w:r>
            <w:r>
              <w:rPr>
                <w:rFonts w:hint="eastAsia" w:hAnsi="宋体"/>
                <w:sz w:val="24"/>
                <w:szCs w:val="24"/>
                <w:lang w:val="zh-CN"/>
              </w:rPr>
              <w:t>危险特性见表</w:t>
            </w:r>
            <w:r>
              <w:rPr>
                <w:rFonts w:hint="eastAsia" w:hAnsi="宋体"/>
                <w:sz w:val="24"/>
                <w:szCs w:val="24"/>
                <w:lang w:val="en-US" w:eastAsia="zh-CN"/>
              </w:rPr>
              <w:t>6-9</w:t>
            </w:r>
            <w:r>
              <w:rPr>
                <w:rFonts w:hint="eastAsia" w:hAnsi="宋体"/>
                <w:sz w:val="24"/>
                <w:szCs w:val="24"/>
              </w:rPr>
              <w:t>。</w:t>
            </w:r>
          </w:p>
          <w:p>
            <w:pPr>
              <w:pStyle w:val="33"/>
              <w:spacing w:line="360" w:lineRule="auto"/>
              <w:ind w:firstLine="422" w:firstLineChars="200"/>
              <w:jc w:val="center"/>
              <w:rPr>
                <w:rFonts w:hint="eastAsia" w:ascii="Times New Roman" w:hAnsi="Times New Roman" w:eastAsia="宋体" w:cs="Times New Roman"/>
                <w:b/>
                <w:bCs/>
                <w:sz w:val="21"/>
                <w:szCs w:val="21"/>
                <w:lang w:val="en-GB" w:eastAsia="zh-CN"/>
              </w:rPr>
            </w:pPr>
            <w:r>
              <w:rPr>
                <w:rFonts w:hint="eastAsia" w:ascii="Times New Roman" w:hAnsi="Times New Roman" w:eastAsia="宋体" w:cs="Times New Roman"/>
                <w:b/>
                <w:bCs/>
                <w:sz w:val="21"/>
                <w:szCs w:val="21"/>
                <w:lang w:val="en-GB" w:eastAsia="zh-CN"/>
              </w:rPr>
              <w:t>表</w:t>
            </w:r>
            <w:r>
              <w:rPr>
                <w:rFonts w:hint="eastAsia" w:cs="Times New Roman"/>
                <w:b/>
                <w:bCs/>
                <w:sz w:val="21"/>
                <w:szCs w:val="21"/>
                <w:lang w:val="en-US" w:eastAsia="zh-CN"/>
              </w:rPr>
              <w:t>6-9</w:t>
            </w:r>
            <w:r>
              <w:rPr>
                <w:rFonts w:hint="eastAsia" w:ascii="Times New Roman" w:hAnsi="Times New Roman" w:eastAsia="宋体" w:cs="Times New Roman"/>
                <w:b/>
                <w:bCs/>
                <w:sz w:val="21"/>
                <w:szCs w:val="21"/>
                <w:lang w:val="en-US" w:eastAsia="zh-CN"/>
              </w:rPr>
              <w:t xml:space="preserve">   </w:t>
            </w:r>
            <w:r>
              <w:rPr>
                <w:rFonts w:hint="eastAsia" w:cs="Times New Roman"/>
                <w:b/>
                <w:bCs/>
                <w:sz w:val="21"/>
                <w:szCs w:val="21"/>
                <w:lang w:val="en-GB" w:eastAsia="zh-CN"/>
              </w:rPr>
              <w:t>乙二醇</w:t>
            </w:r>
            <w:r>
              <w:rPr>
                <w:rFonts w:hint="eastAsia" w:ascii="Times New Roman" w:hAnsi="Times New Roman" w:eastAsia="宋体" w:cs="Times New Roman"/>
                <w:b/>
                <w:bCs/>
                <w:sz w:val="21"/>
                <w:szCs w:val="21"/>
                <w:lang w:val="en-GB" w:eastAsia="zh-CN"/>
              </w:rPr>
              <w:t>危险特性表</w:t>
            </w:r>
          </w:p>
          <w:tbl>
            <w:tblPr>
              <w:tblStyle w:val="20"/>
              <w:tblW w:w="87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2"/>
              <w:gridCol w:w="4083"/>
              <w:gridCol w:w="41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eastAsia="zh-CN"/>
                    </w:rPr>
                    <w:t>理</w:t>
                  </w:r>
                  <w:r>
                    <w:rPr>
                      <w:rFonts w:hint="default" w:ascii="Times New Roman" w:hAnsi="Times New Roman" w:eastAsia="宋体" w:cs="Times New Roman"/>
                      <w:b w:val="0"/>
                      <w:bCs w:val="0"/>
                      <w:sz w:val="21"/>
                      <w:szCs w:val="21"/>
                      <w:highlight w:val="none"/>
                    </w:rPr>
                    <w:t>化性质</w:t>
                  </w:r>
                </w:p>
              </w:tc>
              <w:tc>
                <w:tcPr>
                  <w:tcW w:w="4083"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外观与形状：无色、有甜味、粘稠液体</w:t>
                  </w:r>
                </w:p>
              </w:tc>
              <w:tc>
                <w:tcPr>
                  <w:tcW w:w="4195"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溶解性:</w:t>
                  </w:r>
                  <w:r>
                    <w:rPr>
                      <w:rFonts w:hint="eastAsia" w:ascii="Times New Roman" w:hAnsi="Times New Roman" w:eastAsia="宋体" w:cs="Times New Roman"/>
                      <w:b w:val="0"/>
                      <w:bCs w:val="0"/>
                      <w:sz w:val="21"/>
                      <w:szCs w:val="21"/>
                      <w:highlight w:val="none"/>
                      <w:lang w:val="en-US" w:eastAsia="zh-CN"/>
                    </w:rPr>
                    <w:t>与水、乙醇、病痛、醋酸甘油吡啶等混溶，微溶于乙醚，不溶于石油烃及油类。浓度较高时易吸潮。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42" w:type="dxa"/>
                  <w:vMerge w:val="restart"/>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eastAsia="zh-CN"/>
                    </w:rPr>
                    <w:t>风</w:t>
                  </w:r>
                  <w:r>
                    <w:rPr>
                      <w:rFonts w:hint="default" w:ascii="Times New Roman" w:hAnsi="Times New Roman" w:eastAsia="宋体" w:cs="Times New Roman"/>
                      <w:b w:val="0"/>
                      <w:bCs w:val="0"/>
                      <w:sz w:val="21"/>
                      <w:szCs w:val="21"/>
                      <w:highlight w:val="none"/>
                    </w:rPr>
                    <w:t>险特性</w:t>
                  </w:r>
                </w:p>
              </w:tc>
              <w:tc>
                <w:tcPr>
                  <w:tcW w:w="4083"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lang w:eastAsia="zh-CN"/>
                    </w:rPr>
                    <w:t>闪点（</w:t>
                  </w:r>
                  <w:r>
                    <w:rPr>
                      <w:rFonts w:hint="eastAsia" w:ascii="宋体" w:hAnsi="宋体" w:eastAsia="宋体" w:cs="宋体"/>
                      <w:b w:val="0"/>
                      <w:bCs w:val="0"/>
                      <w:sz w:val="21"/>
                      <w:szCs w:val="21"/>
                      <w:highlight w:val="none"/>
                      <w:lang w:eastAsia="zh-CN"/>
                    </w:rPr>
                    <w:t>℃</w:t>
                  </w:r>
                  <w:r>
                    <w:rPr>
                      <w:rFonts w:hint="eastAsia" w:ascii="Times New Roman" w:hAnsi="Times New Roman" w:eastAsia="宋体" w:cs="Times New Roman"/>
                      <w:b w:val="0"/>
                      <w:bCs w:val="0"/>
                      <w:sz w:val="21"/>
                      <w:szCs w:val="21"/>
                      <w:highlight w:val="none"/>
                      <w:lang w:eastAsia="zh-CN"/>
                    </w:rPr>
                    <w:t>）：</w:t>
                  </w:r>
                  <w:r>
                    <w:rPr>
                      <w:rFonts w:hint="eastAsia" w:ascii="Times New Roman" w:hAnsi="Times New Roman" w:eastAsia="宋体" w:cs="Times New Roman"/>
                      <w:b w:val="0"/>
                      <w:bCs w:val="0"/>
                      <w:sz w:val="21"/>
                      <w:szCs w:val="21"/>
                      <w:highlight w:val="none"/>
                      <w:lang w:val="en-US" w:eastAsia="zh-CN"/>
                    </w:rPr>
                    <w:t>110</w:t>
                  </w:r>
                </w:p>
              </w:tc>
              <w:tc>
                <w:tcPr>
                  <w:tcW w:w="4195"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lang w:val="en-US"/>
                    </w:rPr>
                  </w:pPr>
                  <w:r>
                    <w:rPr>
                      <w:rFonts w:hint="eastAsia" w:ascii="Times New Roman" w:hAnsi="Times New Roman" w:eastAsia="宋体" w:cs="Times New Roman"/>
                      <w:b w:val="0"/>
                      <w:bCs w:val="0"/>
                      <w:sz w:val="21"/>
                      <w:szCs w:val="21"/>
                      <w:highlight w:val="none"/>
                      <w:lang w:eastAsia="zh-CN"/>
                    </w:rPr>
                    <w:t>引燃温度（</w:t>
                  </w:r>
                  <w:r>
                    <w:rPr>
                      <w:rFonts w:hint="eastAsia" w:ascii="宋体" w:hAnsi="宋体" w:eastAsia="宋体" w:cs="宋体"/>
                      <w:b w:val="0"/>
                      <w:bCs w:val="0"/>
                      <w:sz w:val="21"/>
                      <w:szCs w:val="21"/>
                      <w:highlight w:val="none"/>
                      <w:lang w:eastAsia="zh-CN"/>
                    </w:rPr>
                    <w:t>℃</w:t>
                  </w:r>
                  <w:r>
                    <w:rPr>
                      <w:rFonts w:hint="eastAsia" w:ascii="Times New Roman" w:hAnsi="Times New Roman" w:eastAsia="宋体" w:cs="Times New Roman"/>
                      <w:b w:val="0"/>
                      <w:bCs w:val="0"/>
                      <w:sz w:val="21"/>
                      <w:szCs w:val="21"/>
                      <w:highlight w:val="none"/>
                      <w:lang w:eastAsia="zh-CN"/>
                    </w:rPr>
                    <w:t>）：</w:t>
                  </w:r>
                  <w:r>
                    <w:rPr>
                      <w:rFonts w:hint="eastAsia" w:ascii="Times New Roman" w:hAnsi="Times New Roman" w:eastAsia="宋体" w:cs="Times New Roman"/>
                      <w:b w:val="0"/>
                      <w:bCs w:val="0"/>
                      <w:sz w:val="21"/>
                      <w:szCs w:val="21"/>
                      <w:highlight w:val="none"/>
                      <w:lang w:val="en-US" w:eastAsia="zh-CN"/>
                    </w:rPr>
                    <w:t>380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442" w:type="dxa"/>
                  <w:vMerge w:val="continue"/>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4083"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lang w:eastAsia="zh-CN"/>
                    </w:rPr>
                    <w:t>爆炸极限：</w:t>
                  </w:r>
                  <w:r>
                    <w:rPr>
                      <w:rFonts w:hint="eastAsia" w:ascii="Times New Roman" w:hAnsi="Times New Roman" w:eastAsia="宋体" w:cs="Times New Roman"/>
                      <w:b w:val="0"/>
                      <w:bCs w:val="0"/>
                      <w:sz w:val="21"/>
                      <w:szCs w:val="21"/>
                      <w:highlight w:val="none"/>
                      <w:lang w:val="en-US" w:eastAsia="zh-CN"/>
                    </w:rPr>
                    <w:t>3.2~15.3（v/v%）</w:t>
                  </w:r>
                </w:p>
              </w:tc>
              <w:tc>
                <w:tcPr>
                  <w:tcW w:w="4195"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lang w:val="en-US" w:eastAsia="zh-CN"/>
                    </w:rPr>
                    <w:t>禁忌物：强氧化剂、强酸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jc w:val="center"/>
              </w:trPr>
              <w:tc>
                <w:tcPr>
                  <w:tcW w:w="442" w:type="dxa"/>
                  <w:vMerge w:val="continue"/>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8278" w:type="dxa"/>
                  <w:gridSpan w:val="2"/>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default" w:ascii="Times New Roman" w:hAnsi="Times New Roman" w:eastAsia="宋体" w:cs="Times New Roman"/>
                      <w:b w:val="0"/>
                      <w:bCs w:val="0"/>
                      <w:sz w:val="21"/>
                      <w:szCs w:val="21"/>
                      <w:highlight w:val="none"/>
                    </w:rPr>
                    <w:t>危险特性：遇明火、高热可燃易燃，</w:t>
                  </w:r>
                  <w:r>
                    <w:rPr>
                      <w:rFonts w:hint="eastAsia" w:ascii="Times New Roman" w:hAnsi="Times New Roman" w:eastAsia="宋体" w:cs="Times New Roman"/>
                      <w:b w:val="0"/>
                      <w:bCs w:val="0"/>
                      <w:sz w:val="21"/>
                      <w:szCs w:val="21"/>
                      <w:highlight w:val="none"/>
                      <w:lang w:eastAsia="zh-CN"/>
                    </w:rPr>
                    <w:t>与氧化剂可发生反应。若遇高热，容器内压增大，有开裂和爆炸的风险。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vMerge w:val="continue"/>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8278" w:type="dxa"/>
                  <w:gridSpan w:val="2"/>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灭火方法:喷水冷却容器，可能的话将容器从火场移至空旷处。处在火场中的容器若已变色或从安全泄压装置中产生声音，必须马上撤离。灭火剂：泡沫、干粉、二氧化碳、砂土。用水灭火无效。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vMerge w:val="restart"/>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eastAsia="zh-CN"/>
                    </w:rPr>
                    <w:t>健</w:t>
                  </w:r>
                  <w:r>
                    <w:rPr>
                      <w:rFonts w:hint="default" w:ascii="Times New Roman" w:hAnsi="Times New Roman" w:eastAsia="宋体" w:cs="Times New Roman"/>
                      <w:b w:val="0"/>
                      <w:bCs w:val="0"/>
                      <w:sz w:val="21"/>
                      <w:szCs w:val="21"/>
                      <w:highlight w:val="none"/>
                    </w:rPr>
                    <w:t>康危害</w:t>
                  </w:r>
                </w:p>
              </w:tc>
              <w:tc>
                <w:tcPr>
                  <w:tcW w:w="8278" w:type="dxa"/>
                  <w:gridSpan w:val="2"/>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毒性：大鼠经口LD50=5.8ml/kg，小鼠经口LD50=1.31-13.8ml/kg。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vMerge w:val="continue"/>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8278" w:type="dxa"/>
                  <w:gridSpan w:val="2"/>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侵入途径:</w:t>
                  </w:r>
                  <w:r>
                    <w:rPr>
                      <w:rFonts w:hint="eastAsia" w:ascii="Times New Roman" w:hAnsi="Times New Roman" w:eastAsia="宋体" w:cs="Times New Roman"/>
                      <w:b w:val="0"/>
                      <w:bCs w:val="0"/>
                      <w:sz w:val="21"/>
                      <w:szCs w:val="21"/>
                      <w:highlight w:val="none"/>
                      <w:lang w:val="en-US" w:eastAsia="zh-CN"/>
                    </w:rPr>
                    <w:t>吸入、食入、经皮吸收。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vMerge w:val="continue"/>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8278" w:type="dxa"/>
                  <w:gridSpan w:val="2"/>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健康危害:</w:t>
                  </w:r>
                  <w:r>
                    <w:rPr>
                      <w:rFonts w:hint="eastAsia" w:ascii="Times New Roman" w:hAnsi="Times New Roman" w:eastAsia="宋体" w:cs="Times New Roman"/>
                      <w:b w:val="0"/>
                      <w:bCs w:val="0"/>
                      <w:sz w:val="21"/>
                      <w:szCs w:val="21"/>
                      <w:highlight w:val="none"/>
                      <w:lang w:val="en-US" w:eastAsia="zh-CN"/>
                    </w:rPr>
                    <w:t>国内尚未见本品急慢性中毒报道。国外的急性中毒多系因误服。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vMerge w:val="continue"/>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8278" w:type="dxa"/>
                  <w:gridSpan w:val="2"/>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急性中毒：</w:t>
                  </w:r>
                  <w:r>
                    <w:rPr>
                      <w:rFonts w:hint="eastAsia" w:ascii="Times New Roman" w:hAnsi="Times New Roman" w:eastAsia="宋体" w:cs="Times New Roman"/>
                      <w:b w:val="0"/>
                      <w:bCs w:val="0"/>
                      <w:sz w:val="21"/>
                      <w:szCs w:val="21"/>
                      <w:highlight w:val="none"/>
                    </w:rPr>
                    <w:t>口服后急性中毒分三个阶段：第一阶段主要为中枢神经系统症状，轻者似乙醇中毒表现，重者迅速产生昏迷抽搐，最后死亡；第二阶段，心肺症状明显，严重病例可有肺水肿，支气管肺炎，心力衰竭；第三阶段主要表现为不同程度肾功能衰竭。人的本品一次口服致死量估计为1.4ml/kg(1.56g/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vMerge w:val="continue"/>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p>
              </w:tc>
              <w:tc>
                <w:tcPr>
                  <w:tcW w:w="8278" w:type="dxa"/>
                  <w:gridSpan w:val="2"/>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eastAsia="zh-CN"/>
                    </w:rPr>
                    <w:t>慢</w:t>
                  </w:r>
                  <w:r>
                    <w:rPr>
                      <w:rFonts w:hint="default" w:ascii="Times New Roman" w:hAnsi="Times New Roman" w:eastAsia="宋体" w:cs="Times New Roman"/>
                      <w:b w:val="0"/>
                      <w:bCs w:val="0"/>
                      <w:sz w:val="21"/>
                      <w:szCs w:val="21"/>
                      <w:highlight w:val="none"/>
                    </w:rPr>
                    <w:t>性中毒：</w:t>
                  </w:r>
                  <w:r>
                    <w:rPr>
                      <w:rFonts w:hint="eastAsia" w:ascii="Times New Roman" w:hAnsi="Times New Roman" w:eastAsia="宋体" w:cs="Times New Roman"/>
                      <w:b w:val="0"/>
                      <w:bCs w:val="0"/>
                      <w:sz w:val="21"/>
                      <w:szCs w:val="21"/>
                      <w:highlight w:val="none"/>
                      <w:lang w:val="en-US" w:eastAsia="zh-CN"/>
                    </w:rPr>
                    <w:t>吸入中毒表现为反复发作性昏厥，并可有眼球震颤，淋巴细胞增多。急救措施皮肤接触：脱去污染的衣着，用大量流动清水冲洗。眼睛接触：提起眼睑，用流动清水或生理盐水冲洗。就医。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eastAsia="zh-CN"/>
                    </w:rPr>
                    <w:t>急</w:t>
                  </w:r>
                  <w:r>
                    <w:rPr>
                      <w:rFonts w:hint="default" w:ascii="Times New Roman" w:hAnsi="Times New Roman" w:eastAsia="宋体" w:cs="Times New Roman"/>
                      <w:b w:val="0"/>
                      <w:bCs w:val="0"/>
                      <w:sz w:val="21"/>
                      <w:szCs w:val="21"/>
                      <w:highlight w:val="none"/>
                    </w:rPr>
                    <w:t>救</w:t>
                  </w:r>
                </w:p>
              </w:tc>
              <w:tc>
                <w:tcPr>
                  <w:tcW w:w="8278" w:type="dxa"/>
                  <w:gridSpan w:val="2"/>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lang w:val="en-US" w:eastAsia="zh-CN"/>
                    </w:rPr>
                    <w:t>吸入：迅速脱离现场至空气新鲜处。保持呼吸道通畅。如呼吸困难，给输氧。如呼吸停止，立即进行人工呼吸，就医。</w:t>
                  </w:r>
                </w:p>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val="en-US" w:eastAsia="zh-CN"/>
                    </w:rPr>
                    <w:t>食入：饮足量温水，催吐。洗胃，导泄。就医。如呼吸停止，立即进行人工呼吸。就医。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442"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eastAsia="zh-CN"/>
                    </w:rPr>
                    <w:t>泄</w:t>
                  </w:r>
                  <w:r>
                    <w:rPr>
                      <w:rFonts w:hint="default" w:ascii="Times New Roman" w:hAnsi="Times New Roman" w:eastAsia="宋体" w:cs="Times New Roman"/>
                      <w:b w:val="0"/>
                      <w:bCs w:val="0"/>
                      <w:sz w:val="21"/>
                      <w:szCs w:val="21"/>
                      <w:highlight w:val="none"/>
                    </w:rPr>
                    <w:t>漏处理</w:t>
                  </w:r>
                </w:p>
              </w:tc>
              <w:tc>
                <w:tcPr>
                  <w:tcW w:w="8278" w:type="dxa"/>
                  <w:gridSpan w:val="2"/>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lang w:val="en-US" w:eastAsia="zh-CN"/>
                    </w:rPr>
                    <w:t>储存注意事项：按易燃化学品规定贮运。</w:t>
                  </w:r>
                </w:p>
              </w:tc>
            </w:tr>
          </w:tbl>
          <w:p>
            <w:pPr>
              <w:numPr>
                <w:ilvl w:val="0"/>
                <w:numId w:val="7"/>
              </w:numPr>
              <w:spacing w:line="520" w:lineRule="exact"/>
              <w:ind w:firstLine="480" w:firstLineChars="200"/>
              <w:rPr>
                <w:rFonts w:hint="eastAsia"/>
                <w:bCs/>
                <w:color w:val="000000"/>
                <w:sz w:val="24"/>
                <w:szCs w:val="24"/>
                <w:lang w:val="en-US" w:eastAsia="zh-CN"/>
              </w:rPr>
            </w:pPr>
            <w:r>
              <w:rPr>
                <w:rFonts w:hint="eastAsia"/>
                <w:bCs/>
                <w:color w:val="000000"/>
                <w:sz w:val="24"/>
                <w:szCs w:val="24"/>
                <w:lang w:val="en-US" w:eastAsia="zh-CN"/>
              </w:rPr>
              <w:t>风险类型</w:t>
            </w:r>
          </w:p>
          <w:p>
            <w:pPr>
              <w:spacing w:line="360" w:lineRule="auto"/>
              <w:ind w:firstLine="480" w:firstLineChars="200"/>
              <w:rPr>
                <w:rFonts w:hint="eastAsia"/>
                <w:sz w:val="24"/>
                <w:lang w:val="zh-CN"/>
              </w:rPr>
            </w:pPr>
            <w:r>
              <w:rPr>
                <w:rFonts w:hint="eastAsia"/>
                <w:sz w:val="24"/>
                <w:lang w:val="zh-CN"/>
              </w:rPr>
              <w:t>根据项目的生产设施和危险物质危险性识别，本项目可能发生的环境风险为乙二醇槽泄漏、搅拌釜中的乙二醇泄漏、泄漏的乙二醇遇明火或热源发生火灾、爆炸事故。因此确定本项目风险事故主要类型为泄漏，及由泄漏引起的火灾、爆炸事故。</w:t>
            </w:r>
          </w:p>
          <w:p>
            <w:pPr>
              <w:numPr>
                <w:ilvl w:val="0"/>
                <w:numId w:val="7"/>
              </w:numPr>
              <w:spacing w:line="520" w:lineRule="exact"/>
              <w:ind w:firstLine="480" w:firstLineChars="200"/>
              <w:rPr>
                <w:rFonts w:hint="eastAsia"/>
                <w:bCs/>
                <w:color w:val="000000"/>
                <w:sz w:val="24"/>
                <w:szCs w:val="24"/>
                <w:lang w:val="en-US" w:eastAsia="zh-CN"/>
              </w:rPr>
            </w:pPr>
            <w:r>
              <w:rPr>
                <w:rFonts w:hint="eastAsia"/>
                <w:bCs/>
                <w:color w:val="000000"/>
                <w:sz w:val="24"/>
                <w:szCs w:val="24"/>
                <w:lang w:val="zh-CN" w:eastAsia="zh-CN"/>
              </w:rPr>
              <w:t>源项分析</w:t>
            </w:r>
          </w:p>
          <w:p>
            <w:pPr>
              <w:spacing w:line="520" w:lineRule="exact"/>
              <w:ind w:firstLine="482"/>
              <w:rPr>
                <w:rFonts w:hint="eastAsia" w:hAnsi="宋体"/>
                <w:color w:val="000000"/>
                <w:sz w:val="24"/>
              </w:rPr>
            </w:pPr>
            <w:r>
              <w:rPr>
                <w:rFonts w:hint="eastAsia" w:hAnsi="宋体"/>
                <w:color w:val="000000"/>
                <w:sz w:val="24"/>
              </w:rPr>
              <w:t>液体泄漏速度采用柏努利方程计算：</w:t>
            </w:r>
          </w:p>
          <w:p>
            <w:pPr>
              <w:ind w:firstLine="480" w:firstLineChars="200"/>
              <w:jc w:val="center"/>
              <w:rPr>
                <w:rFonts w:hint="eastAsia"/>
              </w:rPr>
            </w:pPr>
            <w:r>
              <w:rPr>
                <w:rFonts w:hint="eastAsia"/>
              </w:rPr>
              <w:object>
                <v:shape id="_x0000_i1025" o:spt="75" type="#_x0000_t75" style="height:37pt;width:144pt;" o:ole="t" filled="f" o:preferrelative="t" stroked="f" coordsize="21600,21600">
                  <v:path/>
                  <v:fill on="f" alignshape="1" focussize="0,0"/>
                  <v:stroke on="f"/>
                  <v:imagedata r:id="rId26" o:title=""/>
                  <o:lock v:ext="edit" aspectratio="t"/>
                  <w10:wrap type="none"/>
                  <w10:anchorlock/>
                </v:shape>
                <o:OLEObject Type="Embed" ProgID="Equation.3" ShapeID="_x0000_i1025" DrawAspect="Content" ObjectID="_1468075725" r:id="rId25">
                  <o:LockedField>false</o:LockedField>
                </o:OLEObject>
              </w:object>
            </w:r>
            <w:r>
              <w:rPr>
                <w:rFonts w:hint="eastAsia"/>
              </w:rPr>
              <w:object>
                <v:shape id="_x0000_i1026" o:spt="75" type="#_x0000_t75" style="height:17pt;width:9pt;" o:ole="t" filled="f" stroked="f" coordsize="21600,21600">
                  <v:path/>
                  <v:fill on="f" alignshape="1" focussize="0,0"/>
                  <v:stroke on="f"/>
                  <v:imagedata r:id="rId28" o:title=""/>
                  <o:lock v:ext="edit" aspectratio="t"/>
                  <w10:wrap type="none"/>
                  <w10:anchorlock/>
                </v:shape>
                <o:OLEObject Type="Embed" ProgID="Equation.3" ShapeID="_x0000_i1026" DrawAspect="Content" ObjectID="_1468075726" r:id="rId27">
                  <o:LockedField>false</o:LockedField>
                </o:OLEObject>
              </w:object>
            </w:r>
          </w:p>
          <w:p>
            <w:pPr>
              <w:spacing w:line="520" w:lineRule="exact"/>
              <w:ind w:firstLine="480" w:firstLineChars="200"/>
              <w:jc w:val="left"/>
              <w:rPr>
                <w:sz w:val="24"/>
                <w:szCs w:val="24"/>
              </w:rPr>
            </w:pPr>
            <w:r>
              <w:rPr>
                <w:sz w:val="24"/>
                <w:szCs w:val="24"/>
              </w:rPr>
              <w:t>式中：Q</w:t>
            </w:r>
            <w:r>
              <w:rPr>
                <w:sz w:val="24"/>
                <w:szCs w:val="24"/>
                <w:vertAlign w:val="subscript"/>
              </w:rPr>
              <w:t>0</w:t>
            </w:r>
            <w:r>
              <w:rPr>
                <w:sz w:val="24"/>
                <w:szCs w:val="24"/>
              </w:rPr>
              <w:t>—液体的泄漏速度，kg/s；</w:t>
            </w:r>
          </w:p>
          <w:p>
            <w:pPr>
              <w:spacing w:line="520" w:lineRule="exact"/>
              <w:ind w:firstLine="1200" w:firstLineChars="500"/>
              <w:jc w:val="left"/>
              <w:rPr>
                <w:sz w:val="24"/>
                <w:szCs w:val="24"/>
              </w:rPr>
            </w:pPr>
            <w:r>
              <w:rPr>
                <w:sz w:val="24"/>
                <w:szCs w:val="24"/>
              </w:rPr>
              <w:t>C</w:t>
            </w:r>
            <w:r>
              <w:rPr>
                <w:sz w:val="24"/>
                <w:szCs w:val="24"/>
                <w:vertAlign w:val="subscript"/>
              </w:rPr>
              <w:t>d</w:t>
            </w:r>
            <w:r>
              <w:rPr>
                <w:sz w:val="24"/>
                <w:szCs w:val="24"/>
              </w:rPr>
              <w:t>—液体泄漏系数；此值常用0.6-0.64。</w:t>
            </w:r>
          </w:p>
          <w:p>
            <w:pPr>
              <w:tabs>
                <w:tab w:val="left" w:pos="1215"/>
              </w:tabs>
              <w:spacing w:line="520" w:lineRule="exact"/>
              <w:ind w:firstLine="1200" w:firstLineChars="500"/>
              <w:jc w:val="left"/>
              <w:rPr>
                <w:sz w:val="24"/>
                <w:szCs w:val="24"/>
              </w:rPr>
            </w:pPr>
            <w:r>
              <w:rPr>
                <w:sz w:val="24"/>
                <w:szCs w:val="24"/>
              </w:rPr>
              <w:t>A—裂口面积，m</w:t>
            </w:r>
            <w:r>
              <w:rPr>
                <w:sz w:val="24"/>
                <w:szCs w:val="24"/>
                <w:vertAlign w:val="superscript"/>
              </w:rPr>
              <w:t>2</w:t>
            </w:r>
            <w:r>
              <w:rPr>
                <w:sz w:val="24"/>
                <w:szCs w:val="24"/>
              </w:rPr>
              <w:t>；</w:t>
            </w:r>
          </w:p>
          <w:p>
            <w:pPr>
              <w:tabs>
                <w:tab w:val="left" w:pos="1215"/>
              </w:tabs>
              <w:spacing w:line="520" w:lineRule="exact"/>
              <w:ind w:firstLine="1200" w:firstLineChars="500"/>
              <w:jc w:val="left"/>
              <w:rPr>
                <w:sz w:val="24"/>
                <w:szCs w:val="24"/>
              </w:rPr>
            </w:pPr>
            <w:r>
              <w:rPr>
                <w:sz w:val="24"/>
                <w:szCs w:val="24"/>
              </w:rPr>
              <w:t>ρ—泄漏液体密度，kg/m</w:t>
            </w:r>
            <w:r>
              <w:rPr>
                <w:sz w:val="24"/>
                <w:szCs w:val="24"/>
                <w:vertAlign w:val="superscript"/>
              </w:rPr>
              <w:t>3</w:t>
            </w:r>
            <w:r>
              <w:rPr>
                <w:sz w:val="24"/>
                <w:szCs w:val="24"/>
              </w:rPr>
              <w:t>；</w:t>
            </w:r>
          </w:p>
          <w:p>
            <w:pPr>
              <w:tabs>
                <w:tab w:val="left" w:pos="1095"/>
              </w:tabs>
              <w:spacing w:line="520" w:lineRule="exact"/>
              <w:ind w:firstLine="720" w:firstLineChars="300"/>
              <w:jc w:val="left"/>
              <w:rPr>
                <w:sz w:val="24"/>
                <w:szCs w:val="24"/>
              </w:rPr>
            </w:pPr>
            <w:r>
              <w:rPr>
                <w:sz w:val="24"/>
                <w:szCs w:val="24"/>
              </w:rPr>
              <w:t>P，P</w:t>
            </w:r>
            <w:r>
              <w:rPr>
                <w:sz w:val="24"/>
                <w:szCs w:val="24"/>
                <w:vertAlign w:val="subscript"/>
              </w:rPr>
              <w:t>0</w:t>
            </w:r>
            <w:r>
              <w:rPr>
                <w:sz w:val="24"/>
                <w:szCs w:val="24"/>
              </w:rPr>
              <w:t>—</w:t>
            </w:r>
            <w:r>
              <w:rPr>
                <w:rFonts w:hint="eastAsia"/>
                <w:sz w:val="24"/>
                <w:szCs w:val="24"/>
                <w:lang w:eastAsia="zh-CN"/>
              </w:rPr>
              <w:t>原料槽</w:t>
            </w:r>
            <w:r>
              <w:rPr>
                <w:sz w:val="24"/>
                <w:szCs w:val="24"/>
              </w:rPr>
              <w:t>内介质压力及环境压力，Pa；</w:t>
            </w:r>
          </w:p>
          <w:p>
            <w:pPr>
              <w:tabs>
                <w:tab w:val="left" w:pos="1215"/>
              </w:tabs>
              <w:spacing w:line="520" w:lineRule="exact"/>
              <w:ind w:firstLine="1200" w:firstLineChars="500"/>
              <w:jc w:val="left"/>
              <w:rPr>
                <w:sz w:val="24"/>
                <w:szCs w:val="24"/>
              </w:rPr>
            </w:pPr>
            <w:r>
              <w:rPr>
                <w:sz w:val="24"/>
                <w:szCs w:val="24"/>
              </w:rPr>
              <w:t>h—裂口之上液位高度</w:t>
            </w:r>
            <w:r>
              <w:rPr>
                <w:rFonts w:hint="eastAsia"/>
                <w:sz w:val="24"/>
                <w:szCs w:val="24"/>
              </w:rPr>
              <w:t>，</w:t>
            </w:r>
            <w:r>
              <w:rPr>
                <w:sz w:val="24"/>
                <w:szCs w:val="24"/>
              </w:rPr>
              <w:t>液位高度</w:t>
            </w:r>
            <w:r>
              <w:rPr>
                <w:rFonts w:hint="eastAsia"/>
                <w:sz w:val="24"/>
                <w:szCs w:val="24"/>
                <w:lang w:val="en-US" w:eastAsia="zh-CN"/>
              </w:rPr>
              <w:t>1</w:t>
            </w:r>
            <w:r>
              <w:rPr>
                <w:rFonts w:hint="eastAsia"/>
                <w:sz w:val="24"/>
                <w:szCs w:val="24"/>
              </w:rPr>
              <w:t>m</w:t>
            </w:r>
            <w:r>
              <w:rPr>
                <w:sz w:val="24"/>
                <w:szCs w:val="24"/>
              </w:rPr>
              <w:t>。</w:t>
            </w:r>
          </w:p>
          <w:p>
            <w:pPr>
              <w:autoSpaceDE w:val="0"/>
              <w:autoSpaceDN w:val="0"/>
              <w:adjustRightInd w:val="0"/>
              <w:spacing w:line="520" w:lineRule="exact"/>
              <w:ind w:firstLine="480" w:firstLineChars="200"/>
              <w:rPr>
                <w:rFonts w:hint="eastAsia"/>
                <w:sz w:val="24"/>
                <w:szCs w:val="24"/>
              </w:rPr>
            </w:pPr>
            <w:r>
              <w:rPr>
                <w:rFonts w:hint="eastAsia"/>
                <w:sz w:val="24"/>
                <w:szCs w:val="24"/>
                <w:lang w:eastAsia="zh-CN"/>
              </w:rPr>
              <w:t>乙二醇</w:t>
            </w:r>
            <w:r>
              <w:rPr>
                <w:rFonts w:hint="eastAsia" w:cs="仿宋_GB2312"/>
                <w:kern w:val="0"/>
                <w:sz w:val="24"/>
                <w:szCs w:val="24"/>
              </w:rPr>
              <w:t>泄漏一般发生于密封处的泄漏以及由于机械破坏等导致的泄漏。</w:t>
            </w:r>
            <w:r>
              <w:rPr>
                <w:rFonts w:hint="eastAsia"/>
                <w:sz w:val="24"/>
                <w:szCs w:val="24"/>
              </w:rPr>
              <w:t>评价按照</w:t>
            </w:r>
            <w:r>
              <w:rPr>
                <w:rFonts w:hint="eastAsia" w:cs="宋体"/>
                <w:kern w:val="0"/>
                <w:sz w:val="24"/>
                <w:szCs w:val="24"/>
              </w:rPr>
              <w:t>典型故障损坏尺寸考虑，</w:t>
            </w:r>
            <w:r>
              <w:rPr>
                <w:rFonts w:hint="eastAsia"/>
                <w:sz w:val="24"/>
                <w:szCs w:val="24"/>
              </w:rPr>
              <w:t>即孔径10mm，裂口面积为0.0000785m</w:t>
            </w:r>
            <w:r>
              <w:rPr>
                <w:rFonts w:hint="eastAsia"/>
                <w:sz w:val="24"/>
                <w:szCs w:val="24"/>
                <w:vertAlign w:val="superscript"/>
              </w:rPr>
              <w:t>2</w:t>
            </w:r>
            <w:r>
              <w:rPr>
                <w:rFonts w:hint="eastAsia"/>
                <w:sz w:val="24"/>
                <w:szCs w:val="24"/>
              </w:rPr>
              <w:t>，</w:t>
            </w:r>
            <w:r>
              <w:rPr>
                <w:rFonts w:hint="eastAsia"/>
                <w:sz w:val="24"/>
                <w:szCs w:val="24"/>
                <w:lang w:eastAsia="zh-CN"/>
              </w:rPr>
              <w:t>乙二醇槽、搅拌釜</w:t>
            </w:r>
            <w:r>
              <w:rPr>
                <w:rFonts w:hint="eastAsia"/>
                <w:sz w:val="24"/>
                <w:szCs w:val="24"/>
              </w:rPr>
              <w:t>选择参数及计算结果见表</w:t>
            </w:r>
            <w:r>
              <w:rPr>
                <w:rFonts w:hint="eastAsia"/>
                <w:sz w:val="24"/>
                <w:szCs w:val="24"/>
                <w:lang w:val="en-US" w:eastAsia="zh-CN"/>
              </w:rPr>
              <w:t>6-9、表6-10。</w:t>
            </w:r>
          </w:p>
          <w:p>
            <w:pPr>
              <w:pStyle w:val="33"/>
              <w:spacing w:line="360" w:lineRule="auto"/>
              <w:ind w:firstLine="422" w:firstLineChars="200"/>
              <w:jc w:val="center"/>
              <w:rPr>
                <w:rFonts w:hint="eastAsia" w:ascii="Times New Roman" w:hAnsi="Times New Roman" w:eastAsia="宋体" w:cs="Times New Roman"/>
                <w:b/>
                <w:bCs/>
                <w:sz w:val="21"/>
                <w:szCs w:val="21"/>
                <w:lang w:val="en-GB" w:eastAsia="zh-CN"/>
              </w:rPr>
            </w:pPr>
            <w:r>
              <w:rPr>
                <w:rFonts w:hint="eastAsia" w:ascii="Times New Roman" w:hAnsi="Times New Roman" w:eastAsia="宋体" w:cs="Times New Roman"/>
                <w:b/>
                <w:bCs/>
                <w:sz w:val="21"/>
                <w:szCs w:val="21"/>
                <w:lang w:val="en-GB" w:eastAsia="zh-CN"/>
              </w:rPr>
              <w:t>表</w:t>
            </w:r>
            <w:r>
              <w:rPr>
                <w:rFonts w:hint="eastAsia" w:cs="Times New Roman"/>
                <w:b/>
                <w:bCs/>
                <w:sz w:val="21"/>
                <w:szCs w:val="21"/>
                <w:lang w:val="en-US" w:eastAsia="zh-CN"/>
              </w:rPr>
              <w:t>6-9</w:t>
            </w:r>
            <w:r>
              <w:rPr>
                <w:rFonts w:hint="eastAsia" w:ascii="Times New Roman" w:hAnsi="Times New Roman" w:eastAsia="宋体" w:cs="Times New Roman"/>
                <w:b/>
                <w:bCs/>
                <w:sz w:val="21"/>
                <w:szCs w:val="21"/>
                <w:lang w:val="en-US" w:eastAsia="zh-CN"/>
              </w:rPr>
              <w:t xml:space="preserve">  </w:t>
            </w:r>
            <w:r>
              <w:rPr>
                <w:rFonts w:hint="eastAsia" w:cs="Times New Roman"/>
                <w:b/>
                <w:bCs/>
                <w:sz w:val="21"/>
                <w:szCs w:val="21"/>
                <w:lang w:val="en-GB" w:eastAsia="zh-CN"/>
              </w:rPr>
              <w:t>乙二醇槽</w:t>
            </w:r>
            <w:r>
              <w:rPr>
                <w:rFonts w:hint="eastAsia" w:ascii="Times New Roman" w:hAnsi="Times New Roman" w:eastAsia="宋体" w:cs="Times New Roman"/>
                <w:b/>
                <w:bCs/>
                <w:sz w:val="21"/>
                <w:szCs w:val="21"/>
                <w:lang w:val="en-GB" w:eastAsia="zh-CN"/>
              </w:rPr>
              <w:t>泄漏参数及结果表</w:t>
            </w:r>
          </w:p>
          <w:tbl>
            <w:tblPr>
              <w:tblStyle w:val="20"/>
              <w:tblW w:w="867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981"/>
              <w:gridCol w:w="1312"/>
              <w:gridCol w:w="496"/>
              <w:gridCol w:w="981"/>
              <w:gridCol w:w="981"/>
              <w:gridCol w:w="981"/>
              <w:gridCol w:w="980"/>
              <w:gridCol w:w="981"/>
              <w:gridCol w:w="9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91" w:hRule="atLeast"/>
                <w:jc w:val="center"/>
              </w:trPr>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危险物质</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名称</w:t>
                  </w:r>
                </w:p>
              </w:tc>
              <w:tc>
                <w:tcPr>
                  <w:tcW w:w="1312"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裂口面积m</w:t>
                  </w:r>
                  <w:r>
                    <w:rPr>
                      <w:rFonts w:hint="eastAsia" w:ascii="Times New Roman" w:hAnsi="Times New Roman" w:eastAsia="宋体" w:cs="Times New Roman"/>
                      <w:b w:val="0"/>
                      <w:bCs w:val="0"/>
                      <w:sz w:val="21"/>
                      <w:szCs w:val="21"/>
                      <w:highlight w:val="none"/>
                      <w:vertAlign w:val="superscript"/>
                    </w:rPr>
                    <w:t>2</w:t>
                  </w:r>
                </w:p>
              </w:tc>
              <w:tc>
                <w:tcPr>
                  <w:tcW w:w="496"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泄漏</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系数</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cs="Times New Roman"/>
                      <w:b w:val="0"/>
                      <w:bCs w:val="0"/>
                      <w:sz w:val="21"/>
                      <w:szCs w:val="21"/>
                      <w:highlight w:val="none"/>
                      <w:lang w:eastAsia="zh-CN"/>
                    </w:rPr>
                    <w:t>槽</w:t>
                  </w:r>
                  <w:r>
                    <w:rPr>
                      <w:rFonts w:hint="eastAsia" w:ascii="Times New Roman" w:hAnsi="Times New Roman" w:eastAsia="宋体" w:cs="Times New Roman"/>
                      <w:b w:val="0"/>
                      <w:bCs w:val="0"/>
                      <w:sz w:val="21"/>
                      <w:szCs w:val="21"/>
                      <w:highlight w:val="none"/>
                    </w:rPr>
                    <w:t>内密度</w:t>
                  </w:r>
                </w:p>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default" w:ascii="Times New Roman" w:hAnsi="Times New Roman" w:eastAsia="宋体" w:cs="Times New Roman"/>
                      <w:b w:val="0"/>
                      <w:bCs w:val="0"/>
                      <w:sz w:val="21"/>
                      <w:szCs w:val="21"/>
                      <w:highlight w:val="none"/>
                    </w:rPr>
                    <w:t>kg/m</w:t>
                  </w:r>
                  <w:r>
                    <w:rPr>
                      <w:rFonts w:hint="default" w:ascii="Times New Roman" w:hAnsi="Times New Roman" w:eastAsia="宋体" w:cs="Times New Roman"/>
                      <w:b w:val="0"/>
                      <w:bCs w:val="0"/>
                      <w:sz w:val="21"/>
                      <w:szCs w:val="21"/>
                      <w:highlight w:val="none"/>
                      <w:vertAlign w:val="superscript"/>
                    </w:rPr>
                    <w:t>3</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cs="Times New Roman"/>
                      <w:b w:val="0"/>
                      <w:bCs w:val="0"/>
                      <w:sz w:val="21"/>
                      <w:szCs w:val="21"/>
                      <w:highlight w:val="none"/>
                      <w:lang w:eastAsia="zh-CN"/>
                    </w:rPr>
                    <w:t>槽</w:t>
                  </w:r>
                  <w:r>
                    <w:rPr>
                      <w:rFonts w:hint="eastAsia" w:ascii="Times New Roman" w:hAnsi="Times New Roman" w:eastAsia="宋体" w:cs="Times New Roman"/>
                      <w:b w:val="0"/>
                      <w:bCs w:val="0"/>
                      <w:sz w:val="21"/>
                      <w:szCs w:val="21"/>
                      <w:highlight w:val="none"/>
                    </w:rPr>
                    <w:t>内压力</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M</w:t>
                  </w:r>
                  <w:r>
                    <w:rPr>
                      <w:rFonts w:hint="default" w:ascii="Times New Roman" w:hAnsi="Times New Roman" w:eastAsia="宋体" w:cs="Times New Roman"/>
                      <w:b w:val="0"/>
                      <w:bCs w:val="0"/>
                      <w:sz w:val="21"/>
                      <w:szCs w:val="21"/>
                      <w:highlight w:val="none"/>
                    </w:rPr>
                    <w:t>Pa</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环境压力</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M</w:t>
                  </w:r>
                  <w:r>
                    <w:rPr>
                      <w:rFonts w:hint="default" w:ascii="Times New Roman" w:hAnsi="Times New Roman" w:eastAsia="宋体" w:cs="Times New Roman"/>
                      <w:b w:val="0"/>
                      <w:bCs w:val="0"/>
                      <w:sz w:val="21"/>
                      <w:szCs w:val="21"/>
                      <w:highlight w:val="none"/>
                    </w:rPr>
                    <w:t>Pa</w:t>
                  </w:r>
                </w:p>
              </w:tc>
              <w:tc>
                <w:tcPr>
                  <w:tcW w:w="980"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泄漏速度</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kg/s</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泄</w:t>
                  </w:r>
                  <w:r>
                    <w:rPr>
                      <w:rFonts w:hint="eastAsia" w:ascii="Times New Roman" w:hAnsi="Times New Roman" w:eastAsia="宋体" w:cs="Times New Roman"/>
                      <w:b w:val="0"/>
                      <w:bCs w:val="0"/>
                      <w:sz w:val="21"/>
                      <w:szCs w:val="21"/>
                      <w:highlight w:val="none"/>
                      <w:lang w:eastAsia="zh-CN"/>
                    </w:rPr>
                    <w:t>漏</w:t>
                  </w:r>
                  <w:r>
                    <w:rPr>
                      <w:rFonts w:hint="eastAsia" w:ascii="Times New Roman" w:hAnsi="Times New Roman" w:eastAsia="宋体" w:cs="Times New Roman"/>
                      <w:b w:val="0"/>
                      <w:bCs w:val="0"/>
                      <w:sz w:val="21"/>
                      <w:szCs w:val="21"/>
                      <w:highlight w:val="none"/>
                    </w:rPr>
                    <w:t>时间</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s</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总泄漏量</w:t>
                  </w:r>
                </w:p>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cs="Times New Roman"/>
                      <w:b w:val="0"/>
                      <w:bCs w:val="0"/>
                      <w:sz w:val="21"/>
                      <w:szCs w:val="21"/>
                      <w:highlight w:val="none"/>
                      <w:lang w:val="en-US" w:eastAsia="zh-CN"/>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91" w:hRule="atLeast"/>
                <w:jc w:val="center"/>
              </w:trPr>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eastAsia="zh-CN"/>
                    </w:rPr>
                    <w:t>乙二醇</w:t>
                  </w:r>
                </w:p>
              </w:tc>
              <w:tc>
                <w:tcPr>
                  <w:tcW w:w="1312"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0.0000785</w:t>
                  </w:r>
                </w:p>
              </w:tc>
              <w:tc>
                <w:tcPr>
                  <w:tcW w:w="496"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0.62</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lang w:val="en-US" w:eastAsia="zh-CN"/>
                    </w:rPr>
                    <w:t>1.11</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val="en-US" w:eastAsia="zh-CN"/>
                    </w:rPr>
                    <w:t>0.1</w:t>
                  </w:r>
                </w:p>
              </w:tc>
              <w:tc>
                <w:tcPr>
                  <w:tcW w:w="981"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0.1</w:t>
                  </w:r>
                </w:p>
              </w:tc>
              <w:tc>
                <w:tcPr>
                  <w:tcW w:w="980"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val="en-US" w:eastAsia="zh-CN"/>
                    </w:rPr>
                    <w:t>0.11</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900</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cs="Times New Roman"/>
                      <w:b w:val="0"/>
                      <w:bCs w:val="0"/>
                      <w:sz w:val="21"/>
                      <w:szCs w:val="21"/>
                      <w:highlight w:val="none"/>
                      <w:lang w:val="en-US" w:eastAsia="zh-CN"/>
                    </w:rPr>
                    <w:t>1</w:t>
                  </w:r>
                </w:p>
              </w:tc>
            </w:tr>
          </w:tbl>
          <w:p>
            <w:pPr>
              <w:spacing w:line="520" w:lineRule="exact"/>
              <w:ind w:firstLine="480" w:firstLineChars="200"/>
              <w:rPr>
                <w:rFonts w:hint="eastAsia"/>
                <w:sz w:val="24"/>
                <w:szCs w:val="24"/>
              </w:rPr>
            </w:pPr>
            <w:r>
              <w:rPr>
                <w:rFonts w:hint="eastAsia"/>
                <w:sz w:val="24"/>
                <w:szCs w:val="24"/>
              </w:rPr>
              <w:t>由表中</w:t>
            </w:r>
            <w:r>
              <w:rPr>
                <w:rFonts w:hint="eastAsia" w:cs="宋体"/>
                <w:kern w:val="0"/>
                <w:sz w:val="24"/>
                <w:szCs w:val="24"/>
              </w:rPr>
              <w:t>计算得出</w:t>
            </w:r>
            <w:r>
              <w:rPr>
                <w:rFonts w:hint="eastAsia"/>
                <w:sz w:val="24"/>
                <w:szCs w:val="24"/>
              </w:rPr>
              <w:t>，泄漏时间按照15min计算，</w:t>
            </w:r>
            <w:r>
              <w:rPr>
                <w:rFonts w:hint="eastAsia" w:cs="宋体"/>
                <w:kern w:val="0"/>
                <w:sz w:val="24"/>
                <w:szCs w:val="24"/>
                <w:lang w:eastAsia="zh-CN"/>
              </w:rPr>
              <w:t>乙二醇</w:t>
            </w:r>
            <w:r>
              <w:rPr>
                <w:rFonts w:hint="eastAsia" w:cs="宋体"/>
                <w:kern w:val="0"/>
                <w:sz w:val="24"/>
                <w:szCs w:val="24"/>
              </w:rPr>
              <w:t>初始泄漏速率为</w:t>
            </w:r>
            <w:r>
              <w:rPr>
                <w:rFonts w:hint="eastAsia"/>
                <w:sz w:val="24"/>
                <w:szCs w:val="24"/>
              </w:rPr>
              <w:t>Q</w:t>
            </w:r>
            <w:r>
              <w:rPr>
                <w:rFonts w:hint="eastAsia"/>
                <w:sz w:val="24"/>
                <w:szCs w:val="24"/>
                <w:vertAlign w:val="subscript"/>
              </w:rPr>
              <w:t>0</w:t>
            </w:r>
            <w:r>
              <w:rPr>
                <w:rFonts w:hint="eastAsia"/>
                <w:sz w:val="24"/>
                <w:szCs w:val="24"/>
              </w:rPr>
              <w:t>=</w:t>
            </w:r>
            <w:r>
              <w:rPr>
                <w:rFonts w:hint="eastAsia"/>
                <w:sz w:val="24"/>
                <w:szCs w:val="24"/>
                <w:lang w:val="en-US" w:eastAsia="zh-CN"/>
              </w:rPr>
              <w:t>4.6*10</w:t>
            </w:r>
            <w:r>
              <w:rPr>
                <w:rFonts w:hint="eastAsia"/>
                <w:sz w:val="24"/>
                <w:szCs w:val="24"/>
                <w:vertAlign w:val="superscript"/>
                <w:lang w:val="en-US" w:eastAsia="zh-CN"/>
              </w:rPr>
              <w:t>-6</w:t>
            </w:r>
            <w:r>
              <w:rPr>
                <w:rFonts w:hint="eastAsia"/>
                <w:sz w:val="24"/>
                <w:szCs w:val="24"/>
              </w:rPr>
              <w:t>kg/s。</w:t>
            </w:r>
          </w:p>
          <w:p>
            <w:pPr>
              <w:pStyle w:val="33"/>
              <w:spacing w:line="360" w:lineRule="auto"/>
              <w:ind w:firstLine="422" w:firstLineChars="200"/>
              <w:jc w:val="center"/>
              <w:rPr>
                <w:rFonts w:hint="eastAsia" w:ascii="Times New Roman" w:hAnsi="Times New Roman" w:eastAsia="宋体" w:cs="Times New Roman"/>
                <w:b/>
                <w:bCs/>
                <w:sz w:val="21"/>
                <w:szCs w:val="21"/>
                <w:lang w:val="en-GB" w:eastAsia="zh-CN"/>
              </w:rPr>
            </w:pPr>
            <w:r>
              <w:rPr>
                <w:rFonts w:hint="eastAsia" w:ascii="Times New Roman" w:hAnsi="Times New Roman" w:eastAsia="宋体" w:cs="Times New Roman"/>
                <w:b/>
                <w:bCs/>
                <w:sz w:val="21"/>
                <w:szCs w:val="21"/>
                <w:lang w:val="en-GB" w:eastAsia="zh-CN"/>
              </w:rPr>
              <w:t>表</w:t>
            </w:r>
            <w:r>
              <w:rPr>
                <w:rFonts w:hint="eastAsia" w:cs="Times New Roman"/>
                <w:b/>
                <w:bCs/>
                <w:sz w:val="21"/>
                <w:szCs w:val="21"/>
                <w:lang w:val="en-US" w:eastAsia="zh-CN"/>
              </w:rPr>
              <w:t>6-10 搅拌釜</w:t>
            </w:r>
            <w:r>
              <w:rPr>
                <w:rFonts w:hint="eastAsia" w:ascii="Times New Roman" w:hAnsi="Times New Roman" w:eastAsia="宋体" w:cs="Times New Roman"/>
                <w:b/>
                <w:bCs/>
                <w:sz w:val="21"/>
                <w:szCs w:val="21"/>
                <w:lang w:val="en-GB" w:eastAsia="zh-CN"/>
              </w:rPr>
              <w:t>泄漏参数及结果表</w:t>
            </w:r>
          </w:p>
          <w:tbl>
            <w:tblPr>
              <w:tblStyle w:val="20"/>
              <w:tblW w:w="867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981"/>
              <w:gridCol w:w="1312"/>
              <w:gridCol w:w="496"/>
              <w:gridCol w:w="981"/>
              <w:gridCol w:w="981"/>
              <w:gridCol w:w="981"/>
              <w:gridCol w:w="980"/>
              <w:gridCol w:w="981"/>
              <w:gridCol w:w="9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91" w:hRule="atLeast"/>
                <w:jc w:val="center"/>
              </w:trPr>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危险物质</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名称</w:t>
                  </w:r>
                </w:p>
              </w:tc>
              <w:tc>
                <w:tcPr>
                  <w:tcW w:w="1312"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裂口面积m</w:t>
                  </w:r>
                  <w:r>
                    <w:rPr>
                      <w:rFonts w:hint="eastAsia" w:ascii="Times New Roman" w:hAnsi="Times New Roman" w:eastAsia="宋体" w:cs="Times New Roman"/>
                      <w:b w:val="0"/>
                      <w:bCs w:val="0"/>
                      <w:sz w:val="21"/>
                      <w:szCs w:val="21"/>
                      <w:highlight w:val="none"/>
                      <w:vertAlign w:val="superscript"/>
                    </w:rPr>
                    <w:t>2</w:t>
                  </w:r>
                </w:p>
              </w:tc>
              <w:tc>
                <w:tcPr>
                  <w:tcW w:w="496"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泄漏</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系数</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cs="Times New Roman"/>
                      <w:b w:val="0"/>
                      <w:bCs w:val="0"/>
                      <w:sz w:val="21"/>
                      <w:szCs w:val="21"/>
                      <w:highlight w:val="none"/>
                      <w:lang w:eastAsia="zh-CN"/>
                    </w:rPr>
                    <w:t>槽</w:t>
                  </w:r>
                  <w:r>
                    <w:rPr>
                      <w:rFonts w:hint="eastAsia" w:ascii="Times New Roman" w:hAnsi="Times New Roman" w:eastAsia="宋体" w:cs="Times New Roman"/>
                      <w:b w:val="0"/>
                      <w:bCs w:val="0"/>
                      <w:sz w:val="21"/>
                      <w:szCs w:val="21"/>
                      <w:highlight w:val="none"/>
                    </w:rPr>
                    <w:t>内密度</w:t>
                  </w:r>
                </w:p>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default" w:ascii="Times New Roman" w:hAnsi="Times New Roman" w:eastAsia="宋体" w:cs="Times New Roman"/>
                      <w:b w:val="0"/>
                      <w:bCs w:val="0"/>
                      <w:sz w:val="21"/>
                      <w:szCs w:val="21"/>
                      <w:highlight w:val="none"/>
                    </w:rPr>
                    <w:t>kg/m</w:t>
                  </w:r>
                  <w:r>
                    <w:rPr>
                      <w:rFonts w:hint="default" w:ascii="Times New Roman" w:hAnsi="Times New Roman" w:eastAsia="宋体" w:cs="Times New Roman"/>
                      <w:b w:val="0"/>
                      <w:bCs w:val="0"/>
                      <w:sz w:val="21"/>
                      <w:szCs w:val="21"/>
                      <w:highlight w:val="none"/>
                      <w:vertAlign w:val="superscript"/>
                    </w:rPr>
                    <w:t>3</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cs="Times New Roman"/>
                      <w:b w:val="0"/>
                      <w:bCs w:val="0"/>
                      <w:sz w:val="21"/>
                      <w:szCs w:val="21"/>
                      <w:highlight w:val="none"/>
                      <w:lang w:eastAsia="zh-CN"/>
                    </w:rPr>
                    <w:t>槽</w:t>
                  </w:r>
                  <w:r>
                    <w:rPr>
                      <w:rFonts w:hint="eastAsia" w:ascii="Times New Roman" w:hAnsi="Times New Roman" w:eastAsia="宋体" w:cs="Times New Roman"/>
                      <w:b w:val="0"/>
                      <w:bCs w:val="0"/>
                      <w:sz w:val="21"/>
                      <w:szCs w:val="21"/>
                      <w:highlight w:val="none"/>
                    </w:rPr>
                    <w:t>内压力</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M</w:t>
                  </w:r>
                  <w:r>
                    <w:rPr>
                      <w:rFonts w:hint="default" w:ascii="Times New Roman" w:hAnsi="Times New Roman" w:eastAsia="宋体" w:cs="Times New Roman"/>
                      <w:b w:val="0"/>
                      <w:bCs w:val="0"/>
                      <w:sz w:val="21"/>
                      <w:szCs w:val="21"/>
                      <w:highlight w:val="none"/>
                    </w:rPr>
                    <w:t>Pa</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环境压力</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M</w:t>
                  </w:r>
                  <w:r>
                    <w:rPr>
                      <w:rFonts w:hint="default" w:ascii="Times New Roman" w:hAnsi="Times New Roman" w:eastAsia="宋体" w:cs="Times New Roman"/>
                      <w:b w:val="0"/>
                      <w:bCs w:val="0"/>
                      <w:sz w:val="21"/>
                      <w:szCs w:val="21"/>
                      <w:highlight w:val="none"/>
                    </w:rPr>
                    <w:t>Pa</w:t>
                  </w:r>
                </w:p>
              </w:tc>
              <w:tc>
                <w:tcPr>
                  <w:tcW w:w="980"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泄漏速度</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kg/s</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泄</w:t>
                  </w:r>
                  <w:r>
                    <w:rPr>
                      <w:rFonts w:hint="eastAsia" w:ascii="Times New Roman" w:hAnsi="Times New Roman" w:eastAsia="宋体" w:cs="Times New Roman"/>
                      <w:b w:val="0"/>
                      <w:bCs w:val="0"/>
                      <w:sz w:val="21"/>
                      <w:szCs w:val="21"/>
                      <w:highlight w:val="none"/>
                      <w:lang w:eastAsia="zh-CN"/>
                    </w:rPr>
                    <w:t>漏</w:t>
                  </w:r>
                  <w:r>
                    <w:rPr>
                      <w:rFonts w:hint="eastAsia" w:ascii="Times New Roman" w:hAnsi="Times New Roman" w:eastAsia="宋体" w:cs="Times New Roman"/>
                      <w:b w:val="0"/>
                      <w:bCs w:val="0"/>
                      <w:sz w:val="21"/>
                      <w:szCs w:val="21"/>
                      <w:highlight w:val="none"/>
                    </w:rPr>
                    <w:t>时间</w:t>
                  </w:r>
                </w:p>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sz w:val="21"/>
                      <w:szCs w:val="21"/>
                      <w:highlight w:val="none"/>
                    </w:rPr>
                    <w:t>s</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总泄漏量</w:t>
                  </w:r>
                </w:p>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val="en-US" w:eastAsia="zh-CN"/>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91" w:hRule="atLeast"/>
                <w:jc w:val="center"/>
              </w:trPr>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eastAsia="zh-CN"/>
                    </w:rPr>
                    <w:t>乙二醇</w:t>
                  </w:r>
                </w:p>
              </w:tc>
              <w:tc>
                <w:tcPr>
                  <w:tcW w:w="1312"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0.0000785</w:t>
                  </w:r>
                </w:p>
              </w:tc>
              <w:tc>
                <w:tcPr>
                  <w:tcW w:w="496"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0.62</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lang w:val="en-US" w:eastAsia="zh-CN"/>
                    </w:rPr>
                    <w:t>1.06</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val="en-US" w:eastAsia="zh-CN"/>
                    </w:rPr>
                    <w:t>0.1</w:t>
                  </w:r>
                </w:p>
              </w:tc>
              <w:tc>
                <w:tcPr>
                  <w:tcW w:w="981"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0.1</w:t>
                  </w:r>
                </w:p>
              </w:tc>
              <w:tc>
                <w:tcPr>
                  <w:tcW w:w="980"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val="en-US" w:eastAsia="zh-CN"/>
                    </w:rPr>
                    <w:t>0.11</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900</w:t>
                  </w:r>
                </w:p>
              </w:tc>
              <w:tc>
                <w:tcPr>
                  <w:tcW w:w="981" w:type="dxa"/>
                  <w:tcBorders>
                    <w:tl2br w:val="nil"/>
                    <w:tr2bl w:val="nil"/>
                  </w:tcBorders>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lang w:val="en-US" w:eastAsia="zh-CN"/>
                    </w:rPr>
                    <w:t>2.5</w:t>
                  </w:r>
                </w:p>
              </w:tc>
            </w:tr>
          </w:tbl>
          <w:p>
            <w:pPr>
              <w:spacing w:line="520" w:lineRule="exact"/>
              <w:ind w:firstLine="480" w:firstLineChars="200"/>
              <w:rPr>
                <w:rFonts w:hint="eastAsia"/>
                <w:sz w:val="24"/>
                <w:szCs w:val="24"/>
              </w:rPr>
            </w:pPr>
            <w:r>
              <w:rPr>
                <w:rFonts w:hint="eastAsia"/>
                <w:sz w:val="24"/>
                <w:szCs w:val="24"/>
              </w:rPr>
              <w:t>由表中</w:t>
            </w:r>
            <w:r>
              <w:rPr>
                <w:rFonts w:hint="eastAsia" w:cs="宋体"/>
                <w:kern w:val="0"/>
                <w:sz w:val="24"/>
                <w:szCs w:val="24"/>
              </w:rPr>
              <w:t>计算得出</w:t>
            </w:r>
            <w:r>
              <w:rPr>
                <w:rFonts w:hint="eastAsia"/>
                <w:sz w:val="24"/>
                <w:szCs w:val="24"/>
              </w:rPr>
              <w:t>，泄漏时间按照15min计算，</w:t>
            </w:r>
            <w:r>
              <w:rPr>
                <w:rFonts w:hint="eastAsia" w:cs="宋体"/>
                <w:kern w:val="0"/>
                <w:sz w:val="24"/>
                <w:szCs w:val="24"/>
                <w:lang w:eastAsia="zh-CN"/>
              </w:rPr>
              <w:t>乙二醇</w:t>
            </w:r>
            <w:r>
              <w:rPr>
                <w:rFonts w:hint="eastAsia" w:cs="宋体"/>
                <w:kern w:val="0"/>
                <w:sz w:val="24"/>
                <w:szCs w:val="24"/>
              </w:rPr>
              <w:t>初始泄漏速率为</w:t>
            </w:r>
            <w:r>
              <w:rPr>
                <w:rFonts w:hint="eastAsia"/>
                <w:sz w:val="24"/>
                <w:szCs w:val="24"/>
              </w:rPr>
              <w:t>Q</w:t>
            </w:r>
            <w:r>
              <w:rPr>
                <w:rFonts w:hint="eastAsia"/>
                <w:sz w:val="24"/>
                <w:szCs w:val="24"/>
                <w:vertAlign w:val="subscript"/>
              </w:rPr>
              <w:t>0</w:t>
            </w:r>
            <w:r>
              <w:rPr>
                <w:rFonts w:hint="eastAsia"/>
                <w:sz w:val="24"/>
                <w:szCs w:val="24"/>
              </w:rPr>
              <w:t>=</w:t>
            </w:r>
            <w:r>
              <w:rPr>
                <w:rFonts w:hint="eastAsia"/>
                <w:sz w:val="24"/>
                <w:szCs w:val="24"/>
                <w:lang w:val="en-US" w:eastAsia="zh-CN"/>
              </w:rPr>
              <w:t>1.15*10</w:t>
            </w:r>
            <w:r>
              <w:rPr>
                <w:rFonts w:hint="eastAsia"/>
                <w:sz w:val="24"/>
                <w:szCs w:val="24"/>
                <w:vertAlign w:val="superscript"/>
                <w:lang w:val="en-US" w:eastAsia="zh-CN"/>
              </w:rPr>
              <w:t>-5</w:t>
            </w:r>
            <w:r>
              <w:rPr>
                <w:rFonts w:hint="eastAsia"/>
                <w:sz w:val="24"/>
                <w:szCs w:val="24"/>
              </w:rPr>
              <w:t>kg/s。</w:t>
            </w:r>
          </w:p>
          <w:p>
            <w:pPr>
              <w:ind w:firstLine="480" w:firstLineChars="200"/>
              <w:outlineLvl w:val="1"/>
            </w:pPr>
            <w:r>
              <w:t>泄漏量汇总</w:t>
            </w:r>
          </w:p>
          <w:p>
            <w:pPr>
              <w:ind w:firstLine="480" w:firstLineChars="200"/>
              <w:outlineLvl w:val="1"/>
              <w:rPr>
                <w:rFonts w:hint="eastAsia" w:eastAsia="黑体"/>
                <w:bCs/>
              </w:rPr>
            </w:pPr>
            <w:r>
              <w:t>由以上计算可知，</w:t>
            </w:r>
            <w:r>
              <w:rPr>
                <w:rFonts w:hint="eastAsia"/>
              </w:rPr>
              <w:t>乙二醇槽</w:t>
            </w:r>
            <w:r>
              <w:t>和</w:t>
            </w:r>
            <w:r>
              <w:rPr>
                <w:rFonts w:hint="eastAsia"/>
              </w:rPr>
              <w:t>反应釜</w:t>
            </w:r>
            <w:r>
              <w:t>发生泄漏后泄漏量详见表</w:t>
            </w:r>
            <w:r>
              <w:rPr>
                <w:rFonts w:hint="eastAsia"/>
                <w:lang w:val="en-US" w:eastAsia="zh-CN"/>
              </w:rPr>
              <w:t>6-11</w:t>
            </w:r>
            <w:r>
              <w:t>。</w:t>
            </w:r>
          </w:p>
          <w:p>
            <w:pPr>
              <w:pStyle w:val="33"/>
              <w:spacing w:line="360" w:lineRule="auto"/>
              <w:ind w:firstLine="422" w:firstLineChars="200"/>
              <w:jc w:val="center"/>
              <w:rPr>
                <w:rFonts w:hint="eastAsia" w:ascii="Times New Roman" w:hAnsi="Times New Roman" w:eastAsia="宋体" w:cs="Times New Roman"/>
                <w:b/>
                <w:bCs/>
                <w:sz w:val="21"/>
                <w:szCs w:val="21"/>
                <w:lang w:val="en-GB" w:eastAsia="zh-CN"/>
              </w:rPr>
            </w:pPr>
            <w:r>
              <w:rPr>
                <w:rFonts w:hint="eastAsia" w:ascii="Times New Roman" w:hAnsi="Times New Roman" w:eastAsia="宋体" w:cs="Times New Roman"/>
                <w:b/>
                <w:bCs/>
                <w:sz w:val="21"/>
                <w:szCs w:val="21"/>
                <w:lang w:val="en-GB" w:eastAsia="zh-CN"/>
              </w:rPr>
              <w:t>表</w:t>
            </w:r>
            <w:r>
              <w:rPr>
                <w:rFonts w:hint="eastAsia" w:ascii="Times New Roman" w:hAnsi="Times New Roman" w:cs="Times New Roman"/>
                <w:b/>
                <w:bCs/>
                <w:sz w:val="21"/>
                <w:szCs w:val="21"/>
                <w:lang w:val="en-US" w:eastAsia="zh-CN"/>
              </w:rPr>
              <w:t xml:space="preserve">6-11 </w:t>
            </w:r>
            <w:r>
              <w:rPr>
                <w:rFonts w:hint="eastAsia" w:ascii="Times New Roman" w:hAnsi="Times New Roman" w:eastAsia="宋体" w:cs="Times New Roman"/>
                <w:b/>
                <w:bCs/>
                <w:sz w:val="21"/>
                <w:szCs w:val="21"/>
                <w:lang w:val="en-GB" w:eastAsia="zh-CN"/>
              </w:rPr>
              <w:t>乙二醇槽和反应釜发生泄漏后泄漏量一览表</w:t>
            </w:r>
          </w:p>
          <w:tbl>
            <w:tblPr>
              <w:tblStyle w:val="20"/>
              <w:tblW w:w="850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25"/>
              <w:gridCol w:w="2826"/>
              <w:gridCol w:w="28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825"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事故源</w:t>
                  </w:r>
                </w:p>
              </w:tc>
              <w:tc>
                <w:tcPr>
                  <w:tcW w:w="282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事故诱因</w:t>
                  </w:r>
                </w:p>
              </w:tc>
              <w:tc>
                <w:tcPr>
                  <w:tcW w:w="2853"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泄漏量（</w:t>
                  </w:r>
                  <w:r>
                    <w:rPr>
                      <w:rFonts w:hint="eastAsia" w:ascii="Times New Roman" w:hAnsi="Times New Roman" w:cs="Times New Roman"/>
                      <w:b w:val="0"/>
                      <w:bCs w:val="0"/>
                      <w:sz w:val="21"/>
                      <w:szCs w:val="21"/>
                      <w:highlight w:val="none"/>
                      <w:lang w:val="en-US" w:eastAsia="zh-CN"/>
                    </w:rPr>
                    <w:t>t</w:t>
                  </w:r>
                  <w:r>
                    <w:rPr>
                      <w:rFonts w:hint="eastAsia" w:ascii="Times New Roman" w:hAnsi="Times New Roman" w:eastAsia="宋体" w:cs="Times New Roman"/>
                      <w:b w:val="0"/>
                      <w:bCs w:val="0"/>
                      <w:sz w:val="21"/>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2825"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cs="Times New Roman"/>
                      <w:b w:val="0"/>
                      <w:bCs w:val="0"/>
                      <w:sz w:val="21"/>
                      <w:szCs w:val="21"/>
                      <w:highlight w:val="none"/>
                      <w:lang w:val="en-US" w:eastAsia="zh-CN"/>
                    </w:rPr>
                    <w:t>乙二醇槽</w:t>
                  </w:r>
                </w:p>
              </w:tc>
              <w:tc>
                <w:tcPr>
                  <w:tcW w:w="282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小孔径泄漏</w:t>
                  </w:r>
                </w:p>
              </w:tc>
              <w:tc>
                <w:tcPr>
                  <w:tcW w:w="2853"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825"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eastAsia="zh-CN"/>
                    </w:rPr>
                  </w:pPr>
                  <w:r>
                    <w:rPr>
                      <w:rFonts w:hint="eastAsia" w:ascii="Times New Roman" w:hAnsi="Times New Roman" w:cs="Times New Roman"/>
                      <w:b w:val="0"/>
                      <w:bCs w:val="0"/>
                      <w:sz w:val="21"/>
                      <w:szCs w:val="21"/>
                      <w:highlight w:val="none"/>
                      <w:lang w:eastAsia="zh-CN"/>
                    </w:rPr>
                    <w:t>反应釜</w:t>
                  </w:r>
                </w:p>
              </w:tc>
              <w:tc>
                <w:tcPr>
                  <w:tcW w:w="282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小孔径泄漏</w:t>
                  </w:r>
                </w:p>
              </w:tc>
              <w:tc>
                <w:tcPr>
                  <w:tcW w:w="2853"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rPr>
                    <w:t>2</w:t>
                  </w:r>
                  <w:r>
                    <w:rPr>
                      <w:rFonts w:hint="eastAsia" w:ascii="Times New Roman" w:hAnsi="Times New Roman" w:cs="Times New Roman"/>
                      <w:b w:val="0"/>
                      <w:bCs w:val="0"/>
                      <w:sz w:val="21"/>
                      <w:szCs w:val="21"/>
                      <w:highlight w:val="none"/>
                      <w:lang w:val="en-US" w:eastAsia="zh-CN"/>
                    </w:rPr>
                    <w:t>.5</w:t>
                  </w:r>
                </w:p>
              </w:tc>
            </w:tr>
          </w:tbl>
          <w:p>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rPr>
            </w:pPr>
            <w:r>
              <w:rPr>
                <w:rFonts w:hint="eastAsia"/>
                <w:lang w:eastAsia="zh-CN"/>
              </w:rPr>
              <w:t>（</w:t>
            </w:r>
            <w:r>
              <w:rPr>
                <w:rFonts w:hint="eastAsia"/>
                <w:lang w:val="en-US" w:eastAsia="zh-CN"/>
              </w:rPr>
              <w:t>7</w:t>
            </w:r>
            <w:r>
              <w:rPr>
                <w:rFonts w:hint="eastAsia"/>
                <w:lang w:eastAsia="zh-CN"/>
              </w:rPr>
              <w:t>）</w:t>
            </w:r>
            <w:r>
              <w:t>事故风险分析</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pPr>
            <w:r>
              <w:rPr>
                <w:rFonts w:hint="eastAsia"/>
                <w:lang w:eastAsia="zh-CN"/>
              </w:rPr>
              <w:t>乙二醇泄漏</w:t>
            </w:r>
            <w:r>
              <w:t>其后果将主要表现在可能产生火灾爆炸和对环境造成重大污染</w:t>
            </w:r>
            <w:r>
              <w:rPr>
                <w:rFonts w:hint="eastAsia"/>
                <w:lang w:eastAsia="zh-CN"/>
              </w:rPr>
              <w:t>，</w:t>
            </w:r>
            <w:r>
              <w:t>对环境的影响主要取决于</w:t>
            </w:r>
            <w:r>
              <w:rPr>
                <w:rFonts w:hint="eastAsia"/>
                <w:lang w:eastAsia="zh-CN"/>
              </w:rPr>
              <w:t>乙二醇</w:t>
            </w:r>
            <w:r>
              <w:t>类型和数量；</w:t>
            </w:r>
            <w:r>
              <w:rPr>
                <w:rFonts w:hint="eastAsia"/>
                <w:lang w:eastAsia="zh-CN"/>
              </w:rPr>
              <w:t>乙二醇泄漏</w:t>
            </w:r>
            <w:r>
              <w:t>的区域；环境特征情况；气象、水文情况等。 </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pPr>
            <w:r>
              <w:t>陆上</w:t>
            </w:r>
            <w:r>
              <w:rPr>
                <w:rFonts w:hint="eastAsia"/>
                <w:lang w:eastAsia="zh-CN"/>
              </w:rPr>
              <w:t>乙二醇泄漏</w:t>
            </w:r>
            <w:r>
              <w:t>后果多样，视</w:t>
            </w:r>
            <w:r>
              <w:rPr>
                <w:rFonts w:hint="eastAsia"/>
                <w:lang w:eastAsia="zh-CN"/>
              </w:rPr>
              <w:t>乙二醇泄漏</w:t>
            </w:r>
            <w:r>
              <w:t>地点而异。但</w:t>
            </w:r>
            <w:r>
              <w:rPr>
                <w:rFonts w:hint="eastAsia"/>
                <w:lang w:eastAsia="zh-CN"/>
              </w:rPr>
              <w:t>乙二醇泄漏</w:t>
            </w:r>
            <w:r>
              <w:t>对地下水的污染，包括饮用水井污染是值得重视的共同问题。发生</w:t>
            </w:r>
            <w:r>
              <w:rPr>
                <w:rFonts w:hint="eastAsia"/>
                <w:lang w:eastAsia="zh-CN"/>
              </w:rPr>
              <w:t>乙二醇泄漏</w:t>
            </w:r>
            <w:r>
              <w:t>事故时，向下渗透量是</w:t>
            </w:r>
            <w:r>
              <w:rPr>
                <w:rFonts w:hint="eastAsia"/>
                <w:lang w:eastAsia="zh-CN"/>
              </w:rPr>
              <w:t>乙二醇泄漏</w:t>
            </w:r>
            <w:r>
              <w:t>量和含水层的可渗透性及水力梯度的函数。垂直方向的渗透是由于重力作用，而水平方向的渗透是由于毛细管的作用。在高渗透层中主要是垂直方向渗透，而在低渗透层中毛细作用是主要迁移作用。 </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pPr>
            <w:r>
              <w:t>当</w:t>
            </w:r>
            <w:r>
              <w:rPr>
                <w:rFonts w:hint="eastAsia"/>
                <w:lang w:eastAsia="zh-CN"/>
              </w:rPr>
              <w:t>乙二醇泄漏</w:t>
            </w:r>
            <w:r>
              <w:t>发生在水源井的影响范围内时，</w:t>
            </w:r>
            <w:r>
              <w:rPr>
                <w:rFonts w:hint="eastAsia"/>
                <w:lang w:eastAsia="zh-CN"/>
              </w:rPr>
              <w:t>乙二醇</w:t>
            </w:r>
            <w:r>
              <w:t>污染的涡流在井中会被周围来的水稀释，形成有限补给带，凡在补给带内的渗漏污水都有可能进入</w:t>
            </w:r>
            <w:r>
              <w:rPr>
                <w:rFonts w:hint="eastAsia"/>
              </w:rPr>
              <w:t>土壤</w:t>
            </w:r>
            <w:r>
              <w:t>而污染地下水。</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pPr>
            <w:r>
              <w:rPr>
                <w:rFonts w:hint="eastAsia"/>
                <w:lang w:eastAsia="zh-CN"/>
              </w:rPr>
              <w:t>本项目</w:t>
            </w:r>
            <w:r>
              <w:rPr>
                <w:rFonts w:hint="eastAsia"/>
              </w:rPr>
              <w:t>占地</w:t>
            </w:r>
            <w:r>
              <w:t>内无断层，地下水文地质条件简单，场地岩层稳定，</w:t>
            </w:r>
            <w:r>
              <w:rPr>
                <w:rFonts w:hint="eastAsia"/>
              </w:rPr>
              <w:t>水位埋深较深</w:t>
            </w:r>
            <w:r>
              <w:t>，因此，既使发生</w:t>
            </w:r>
            <w:r>
              <w:rPr>
                <w:rFonts w:hint="eastAsia"/>
                <w:lang w:eastAsia="zh-CN"/>
              </w:rPr>
              <w:t>乙二醇</w:t>
            </w:r>
            <w:r>
              <w:t>泄漏事故其风险也在可接受范围。</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outlineLvl w:val="0"/>
              <w:rPr>
                <w:rFonts w:hint="eastAsia"/>
                <w:b w:val="0"/>
                <w:bCs/>
              </w:rPr>
            </w:pPr>
            <w:r>
              <w:rPr>
                <w:rFonts w:hint="eastAsia"/>
                <w:b w:val="0"/>
                <w:bCs/>
                <w:lang w:eastAsia="zh-CN"/>
              </w:rPr>
              <w:t>（</w:t>
            </w:r>
            <w:r>
              <w:rPr>
                <w:rFonts w:hint="eastAsia"/>
                <w:b w:val="0"/>
                <w:bCs/>
                <w:lang w:val="en-US" w:eastAsia="zh-CN"/>
              </w:rPr>
              <w:t>8</w:t>
            </w:r>
            <w:r>
              <w:rPr>
                <w:rFonts w:hint="eastAsia"/>
                <w:b w:val="0"/>
                <w:bCs/>
                <w:lang w:eastAsia="zh-CN"/>
              </w:rPr>
              <w:t>）</w:t>
            </w:r>
            <w:r>
              <w:rPr>
                <w:rFonts w:hint="eastAsia"/>
                <w:b w:val="0"/>
                <w:bCs/>
              </w:rPr>
              <w:t>风险计算和评价</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pPr>
            <w:r>
              <w:rPr>
                <w:rFonts w:hint="eastAsia"/>
              </w:rPr>
              <w:t>风险值是风险评价表征量，包括事故的发生概率和事故的危害程度。定义为：</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pPr>
            <w:r>
              <w:rPr>
                <w:position w:val="-30"/>
              </w:rPr>
              <w:object>
                <v:shape id="_x0000_i1027" o:spt="75" type="#_x0000_t75" style="height:36pt;width:291pt;" o:ole="t" filled="f" o:preferrelative="t" stroked="f" coordsize="21600,21600">
                  <v:path/>
                  <v:fill on="f" focussize="0,0"/>
                  <v:stroke on="f"/>
                  <v:imagedata r:id="rId30" o:title=""/>
                  <o:lock v:ext="edit" grouping="f" rotation="f" text="f" aspectratio="t"/>
                  <w10:wrap type="none"/>
                  <w10:anchorlock/>
                </v:shape>
                <o:OLEObject Type="Embed" ProgID="Equation.3" ShapeID="_x0000_i1027" DrawAspect="Content" ObjectID="_1468075727" r:id="rId29">
                  <o:LockedField>false</o:LockedField>
                </o:OLEObject>
              </w:objec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sz w:val="24"/>
                <w:szCs w:val="24"/>
              </w:rPr>
            </w:pPr>
            <w:r>
              <w:rPr>
                <w:rFonts w:hint="eastAsia"/>
                <w:sz w:val="24"/>
                <w:szCs w:val="24"/>
              </w:rPr>
              <w:t>风险的单位多采用“死亡</w:t>
            </w:r>
            <w:r>
              <w:rPr>
                <w:sz w:val="24"/>
                <w:szCs w:val="24"/>
              </w:rPr>
              <w:t>/</w:t>
            </w:r>
            <w:r>
              <w:rPr>
                <w:rFonts w:hint="eastAsia"/>
                <w:sz w:val="24"/>
                <w:szCs w:val="24"/>
              </w:rPr>
              <w:t>年”。</w:t>
            </w:r>
          </w:p>
          <w:p>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lang w:eastAsia="zh-CN"/>
              </w:rPr>
            </w:pPr>
            <w:r>
              <w:rPr>
                <w:rFonts w:hint="eastAsia"/>
              </w:rPr>
              <w:t>按事故风险度=事故发生概率×事故发生的后果性（致死人数）计算，本项目事故最大风险值为1.0×10</w:t>
            </w:r>
            <w:r>
              <w:rPr>
                <w:rFonts w:hint="eastAsia"/>
                <w:vertAlign w:val="superscript"/>
              </w:rPr>
              <w:t>-5</w:t>
            </w:r>
            <w:r>
              <w:rPr>
                <w:rFonts w:hint="eastAsia"/>
              </w:rPr>
              <w:t>/a，低于化工行业风险统计值8.3×10</w:t>
            </w:r>
            <w:r>
              <w:rPr>
                <w:rFonts w:hint="eastAsia"/>
                <w:vertAlign w:val="superscript"/>
              </w:rPr>
              <w:t>-5</w:t>
            </w:r>
            <w:r>
              <w:rPr>
                <w:rFonts w:hint="eastAsia"/>
              </w:rPr>
              <w:t>/a。因此，在采取环评、安评提出可行的防范措施前提下，风险水平是可以接受的。</w:t>
            </w:r>
          </w:p>
          <w:p>
            <w:pPr>
              <w:spacing w:line="520" w:lineRule="exact"/>
              <w:ind w:firstLine="480" w:firstLineChars="200"/>
              <w:rPr>
                <w:rFonts w:hint="eastAsia"/>
                <w:bCs/>
                <w:color w:val="000000"/>
                <w:sz w:val="24"/>
                <w:szCs w:val="24"/>
                <w:lang w:val="en-US" w:eastAsia="zh-CN"/>
              </w:rPr>
            </w:pPr>
            <w:r>
              <w:rPr>
                <w:rFonts w:hint="eastAsia"/>
                <w:bCs/>
                <w:color w:val="000000"/>
                <w:sz w:val="24"/>
                <w:szCs w:val="24"/>
                <w:lang w:val="en-US" w:eastAsia="zh-CN"/>
              </w:rPr>
              <w:t>（9）风险防范措施</w:t>
            </w:r>
          </w:p>
          <w:p>
            <w:pPr>
              <w:spacing w:line="360" w:lineRule="auto"/>
              <w:ind w:firstLine="480" w:firstLineChars="200"/>
              <w:rPr>
                <w:rFonts w:hint="eastAsia" w:eastAsia="宋体"/>
                <w:sz w:val="24"/>
                <w:lang w:val="en-US" w:eastAsia="zh-CN"/>
              </w:rPr>
            </w:pPr>
            <w:r>
              <w:rPr>
                <w:sz w:val="24"/>
              </w:rPr>
              <w:t>本次评价按照建设项目环境风险评价技术导则要求提出的风险防范措施要求与建议见表</w:t>
            </w:r>
            <w:r>
              <w:rPr>
                <w:rFonts w:hint="eastAsia"/>
                <w:sz w:val="24"/>
                <w:lang w:val="en-US" w:eastAsia="zh-CN"/>
              </w:rPr>
              <w:t>6-12</w:t>
            </w:r>
            <w:r>
              <w:rPr>
                <w:sz w:val="24"/>
              </w:rPr>
              <w:t>。</w:t>
            </w:r>
          </w:p>
          <w:p>
            <w:pPr>
              <w:pStyle w:val="33"/>
              <w:spacing w:line="360" w:lineRule="auto"/>
              <w:ind w:firstLine="422" w:firstLineChars="200"/>
              <w:jc w:val="center"/>
              <w:rPr>
                <w:rFonts w:hint="eastAsia" w:ascii="Times New Roman" w:hAnsi="Times New Roman" w:eastAsia="宋体" w:cs="Times New Roman"/>
                <w:b/>
                <w:bCs/>
                <w:sz w:val="21"/>
                <w:szCs w:val="21"/>
                <w:lang w:val="en-GB" w:eastAsia="zh-CN"/>
              </w:rPr>
            </w:pPr>
            <w:r>
              <w:rPr>
                <w:rFonts w:hint="eastAsia" w:ascii="Times New Roman" w:hAnsi="Times New Roman" w:eastAsia="宋体" w:cs="Times New Roman"/>
                <w:b/>
                <w:bCs/>
                <w:sz w:val="21"/>
                <w:szCs w:val="21"/>
                <w:lang w:val="en-GB" w:eastAsia="zh-CN"/>
              </w:rPr>
              <w:t>表</w:t>
            </w:r>
            <w:r>
              <w:rPr>
                <w:rFonts w:hint="eastAsia" w:cs="Times New Roman"/>
                <w:b/>
                <w:bCs/>
                <w:sz w:val="21"/>
                <w:szCs w:val="21"/>
                <w:lang w:val="en-US" w:eastAsia="zh-CN"/>
              </w:rPr>
              <w:t xml:space="preserve">6-12 </w:t>
            </w:r>
            <w:r>
              <w:rPr>
                <w:rFonts w:hint="eastAsia" w:ascii="Times New Roman" w:hAnsi="Times New Roman" w:eastAsia="宋体" w:cs="Times New Roman"/>
                <w:b/>
                <w:bCs/>
                <w:sz w:val="21"/>
                <w:szCs w:val="21"/>
                <w:lang w:val="en-GB" w:eastAsia="zh-CN"/>
              </w:rPr>
              <w:t xml:space="preserve"> 风险防范措施要求与建议</w:t>
            </w:r>
          </w:p>
          <w:tbl>
            <w:tblPr>
              <w:tblStyle w:val="20"/>
              <w:tblW w:w="850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6"/>
              <w:gridCol w:w="909"/>
              <w:gridCol w:w="69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45" w:hRule="atLeast"/>
                <w:jc w:val="center"/>
              </w:trPr>
              <w:tc>
                <w:tcPr>
                  <w:tcW w:w="65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序号</w:t>
                  </w:r>
                </w:p>
              </w:tc>
              <w:tc>
                <w:tcPr>
                  <w:tcW w:w="909"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类别</w:t>
                  </w:r>
                </w:p>
              </w:tc>
              <w:tc>
                <w:tcPr>
                  <w:tcW w:w="6939"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防范措施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1</w:t>
                  </w:r>
                </w:p>
              </w:tc>
              <w:tc>
                <w:tcPr>
                  <w:tcW w:w="909"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选址、总图布置和建筑安全防范措施</w:t>
                  </w:r>
                </w:p>
              </w:tc>
              <w:tc>
                <w:tcPr>
                  <w:tcW w:w="6939" w:type="dxa"/>
                  <w:vAlign w:val="center"/>
                </w:tcPr>
                <w:p>
                  <w:pPr>
                    <w:spacing w:line="240" w:lineRule="auto"/>
                    <w:ind w:firstLine="0" w:firstLineChars="0"/>
                    <w:jc w:val="left"/>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rPr>
                    <w:t>①</w:t>
                  </w:r>
                  <w:r>
                    <w:rPr>
                      <w:rFonts w:hint="eastAsia" w:cs="Times New Roman"/>
                      <w:b w:val="0"/>
                      <w:bCs w:val="0"/>
                      <w:sz w:val="21"/>
                      <w:szCs w:val="21"/>
                      <w:highlight w:val="none"/>
                      <w:lang w:eastAsia="zh-CN"/>
                    </w:rPr>
                    <w:t>企业应在乙二醇槽、搅拌釜周围设置</w:t>
                  </w:r>
                  <w:r>
                    <w:rPr>
                      <w:rFonts w:hint="eastAsia"/>
                      <w:sz w:val="21"/>
                      <w:szCs w:val="21"/>
                      <w:lang w:eastAsia="zh-CN"/>
                    </w:rPr>
                    <w:t>围堰、导流系统、事故池三级防控措施；</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②厂房建筑设计中，采取防爆泄压和通风措施，个别地方设防爆机械通风机，避免火灾爆炸危险物质和有毒物质积聚，并降温。</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③在各危险地点和危险设备处，设立安全标志或涂刷相应的安全色。</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fldChar w:fldCharType="begin"/>
                  </w:r>
                  <w:r>
                    <w:rPr>
                      <w:rFonts w:hint="eastAsia" w:ascii="Times New Roman" w:hAnsi="Times New Roman" w:eastAsia="宋体" w:cs="Times New Roman"/>
                      <w:b w:val="0"/>
                      <w:bCs w:val="0"/>
                      <w:sz w:val="21"/>
                      <w:szCs w:val="21"/>
                      <w:highlight w:val="none"/>
                    </w:rPr>
                    <w:instrText xml:space="preserve"> = 4 \* GB3 \* MERGEFORMAT </w:instrText>
                  </w:r>
                  <w:r>
                    <w:rPr>
                      <w:rFonts w:hint="eastAsia" w:ascii="Times New Roman" w:hAnsi="Times New Roman" w:eastAsia="宋体" w:cs="Times New Roman"/>
                      <w:b w:val="0"/>
                      <w:bCs w:val="0"/>
                      <w:sz w:val="21"/>
                      <w:szCs w:val="21"/>
                      <w:highlight w:val="none"/>
                    </w:rPr>
                    <w:fldChar w:fldCharType="separate"/>
                  </w:r>
                  <w:r>
                    <w:rPr>
                      <w:sz w:val="21"/>
                      <w:szCs w:val="21"/>
                    </w:rPr>
                    <w:t>④</w:t>
                  </w:r>
                  <w:r>
                    <w:rPr>
                      <w:rFonts w:hint="eastAsia" w:ascii="Times New Roman" w:hAnsi="Times New Roman" w:eastAsia="宋体" w:cs="Times New Roman"/>
                      <w:b w:val="0"/>
                      <w:bCs w:val="0"/>
                      <w:sz w:val="21"/>
                      <w:szCs w:val="21"/>
                      <w:highlight w:val="none"/>
                    </w:rPr>
                    <w:fldChar w:fldCharType="end"/>
                  </w:r>
                  <w:r>
                    <w:rPr>
                      <w:rFonts w:hint="eastAsia" w:ascii="Times New Roman" w:hAnsi="Times New Roman" w:eastAsia="宋体" w:cs="Times New Roman"/>
                      <w:b w:val="0"/>
                      <w:bCs w:val="0"/>
                      <w:sz w:val="21"/>
                      <w:szCs w:val="21"/>
                      <w:highlight w:val="none"/>
                    </w:rPr>
                    <w:t>对于易燃、易爆介质，在操作条件下，使其置于封闭的设备中，杜绝跑、冒、滴、漏现象发生。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2</w:t>
                  </w:r>
                </w:p>
              </w:tc>
              <w:tc>
                <w:tcPr>
                  <w:tcW w:w="909"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工艺技术设计安全防范措施</w:t>
                  </w:r>
                </w:p>
              </w:tc>
              <w:tc>
                <w:tcPr>
                  <w:tcW w:w="6939" w:type="dxa"/>
                  <w:vAlign w:val="center"/>
                </w:tcPr>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①根据该项目的工艺流程危险因素类别和生产特点，进行防火、防爆、防腐蚀、防潮、防噪声、防静电等因素进行设计。</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②选用高质量的设备、管件、阀门等，避免因设计不当引起腐蚀与</w:t>
                  </w:r>
                  <w:r>
                    <w:rPr>
                      <w:rFonts w:hint="eastAsia" w:ascii="Times New Roman" w:hAnsi="Times New Roman" w:eastAsia="宋体" w:cs="Times New Roman"/>
                      <w:b w:val="0"/>
                      <w:bCs w:val="0"/>
                      <w:sz w:val="21"/>
                      <w:szCs w:val="21"/>
                      <w:highlight w:val="none"/>
                      <w:lang w:eastAsia="zh-CN"/>
                    </w:rPr>
                    <w:t>泄漏</w:t>
                  </w:r>
                  <w:r>
                    <w:rPr>
                      <w:rFonts w:hint="eastAsia" w:ascii="Times New Roman" w:hAnsi="Times New Roman" w:eastAsia="宋体" w:cs="Times New Roman"/>
                      <w:b w:val="0"/>
                      <w:bCs w:val="0"/>
                      <w:sz w:val="21"/>
                      <w:szCs w:val="21"/>
                      <w:highlight w:val="none"/>
                    </w:rPr>
                    <w:t>。建设单位在安装过程中严格保证安装质量，生产单位在运行过程中严格操作管理和日常维护，严防生产、维修和储运过程中物料的跑冒滴漏发生。</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③在可能发生</w:t>
                  </w:r>
                  <w:r>
                    <w:rPr>
                      <w:rFonts w:hint="eastAsia" w:ascii="Times New Roman" w:hAnsi="Times New Roman" w:eastAsia="宋体" w:cs="Times New Roman"/>
                      <w:b w:val="0"/>
                      <w:bCs w:val="0"/>
                      <w:sz w:val="21"/>
                      <w:szCs w:val="21"/>
                      <w:highlight w:val="none"/>
                      <w:lang w:eastAsia="zh-CN"/>
                    </w:rPr>
                    <w:t>乙二醇</w:t>
                  </w:r>
                  <w:r>
                    <w:rPr>
                      <w:rFonts w:hint="eastAsia" w:ascii="Times New Roman" w:hAnsi="Times New Roman" w:eastAsia="宋体" w:cs="Times New Roman"/>
                      <w:b w:val="0"/>
                      <w:bCs w:val="0"/>
                      <w:sz w:val="21"/>
                      <w:szCs w:val="21"/>
                      <w:highlight w:val="none"/>
                    </w:rPr>
                    <w:t>泄漏的地方，按照相关要求设置可燃气体报警装置。</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④接触有毒有害物质处设防护面具、氧气呼吸器、防护手套、防护眼镜、防护工作服等。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3</w:t>
                  </w:r>
                </w:p>
              </w:tc>
              <w:tc>
                <w:tcPr>
                  <w:tcW w:w="909"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电气、电讯安全防范措施</w:t>
                  </w:r>
                </w:p>
              </w:tc>
              <w:tc>
                <w:tcPr>
                  <w:tcW w:w="6939" w:type="dxa"/>
                  <w:vAlign w:val="center"/>
                </w:tcPr>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①采用双回路双变压器供电，仪表负荷、事故照明、消防报警等按一类负荷设计。</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②根据装置物料的特点，按《爆炸和火灾危险环境电力装置设计规范》选用电气设备，全厂可能产生静电的设备、管道等均采取防静电接地措施，电气防静电接地与保护接地公用接地装置，有关设备、管道接在接地干线上。在较高建筑、构筑物上设避雷装置。</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③应急照明由应急电源装置不间断供电，部分装置设有局部照明和检修照明，爆炸危险场所配防爆灯具、防爆开关，并在各主要装置、太平门设火灾疏散标志。</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④值班室内设置消防报警外线电话及与工厂安全相关生产相关重要设施之间通电话。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4</w:t>
                  </w:r>
                </w:p>
              </w:tc>
              <w:tc>
                <w:tcPr>
                  <w:tcW w:w="909"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消防及火灾报警系统</w:t>
                  </w:r>
                </w:p>
              </w:tc>
              <w:tc>
                <w:tcPr>
                  <w:tcW w:w="6939" w:type="dxa"/>
                  <w:vAlign w:val="center"/>
                </w:tcPr>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①设一套火灾自动报警系统，该系统由火灾报警控制器、火灾探测器、手动报警按钮等组成。在生产车间、重要通道口安装若干个手动报警按钮，在配电室等重要建筑室内安装火灾探测器，或在报警控制器设在控制室。当发生火灾时，由火灾探测器或手动报警按钮迅速将火警信号报至火警控制器，以便迅速采取措施，及时组织扑救。</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②室外消防给水管网按环状独立敷设，管网压力不小于0.9MPa，管网上设有室内外消火栓、消防水炮（枪）、消防冷却水喷淋等。</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③依据《建筑灭火器配置设计规范》GBJ140－90（1997版），在主要生产及辅助设施内设置移动式灭火器。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6"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5</w:t>
                  </w:r>
                </w:p>
              </w:tc>
              <w:tc>
                <w:tcPr>
                  <w:tcW w:w="909" w:type="dxa"/>
                  <w:vAlign w:val="center"/>
                </w:tcPr>
                <w:p>
                  <w:pPr>
                    <w:spacing w:line="240" w:lineRule="auto"/>
                    <w:ind w:firstLine="0" w:firstLineChars="0"/>
                    <w:jc w:val="center"/>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其他</w:t>
                  </w:r>
                </w:p>
              </w:tc>
              <w:tc>
                <w:tcPr>
                  <w:tcW w:w="6939" w:type="dxa"/>
                  <w:vAlign w:val="center"/>
                </w:tcPr>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①建议在厂区内设置风向标，以便在事故状态进行有效的疏散和撤离。</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t>②建议建设单位购置事故应急监测设备。</w:t>
                  </w:r>
                </w:p>
                <w:p>
                  <w:pPr>
                    <w:spacing w:line="240" w:lineRule="auto"/>
                    <w:ind w:firstLine="0" w:firstLineChars="0"/>
                    <w:jc w:val="left"/>
                    <w:rPr>
                      <w:rFonts w:hint="eastAsia" w:ascii="Times New Roman" w:hAnsi="Times New Roman" w:eastAsia="宋体" w:cs="Times New Roman"/>
                      <w:b w:val="0"/>
                      <w:bCs w:val="0"/>
                      <w:sz w:val="21"/>
                      <w:szCs w:val="21"/>
                      <w:highlight w:val="none"/>
                      <w:lang w:eastAsia="zh-CN"/>
                    </w:rPr>
                  </w:pPr>
                  <w:r>
                    <w:rPr>
                      <w:rFonts w:hint="eastAsia" w:ascii="Times New Roman" w:hAnsi="Times New Roman" w:eastAsia="宋体" w:cs="Times New Roman"/>
                      <w:b w:val="0"/>
                      <w:bCs w:val="0"/>
                      <w:sz w:val="21"/>
                      <w:szCs w:val="21"/>
                      <w:highlight w:val="none"/>
                    </w:rPr>
                    <w:t>③企业必须设置强有力的安全环保生产管理机构，根据安全环保管理工作的需要，配备必要的人员进行安全环保管理工作，建立健全安环保生产责任制，制定并教育全体职工遵守《安全生产规程》</w:t>
                  </w:r>
                  <w:r>
                    <w:rPr>
                      <w:rFonts w:hint="eastAsia" w:cs="Times New Roman"/>
                      <w:b w:val="0"/>
                      <w:bCs w:val="0"/>
                      <w:sz w:val="21"/>
                      <w:szCs w:val="21"/>
                      <w:highlight w:val="none"/>
                      <w:lang w:eastAsia="zh-CN"/>
                    </w:rPr>
                    <w:t>。</w:t>
                  </w:r>
                </w:p>
                <w:p>
                  <w:pPr>
                    <w:spacing w:line="240" w:lineRule="auto"/>
                    <w:ind w:firstLine="0" w:firstLineChars="0"/>
                    <w:jc w:val="left"/>
                    <w:rPr>
                      <w:rFonts w:hint="eastAsia" w:ascii="Times New Roman" w:hAnsi="Times New Roman" w:eastAsia="宋体" w:cs="Times New Roman"/>
                      <w:b w:val="0"/>
                      <w:bCs w:val="0"/>
                      <w:sz w:val="21"/>
                      <w:szCs w:val="21"/>
                      <w:highlight w:val="none"/>
                    </w:rPr>
                  </w:pPr>
                  <w:r>
                    <w:rPr>
                      <w:rFonts w:hint="eastAsia" w:ascii="Times New Roman" w:hAnsi="Times New Roman" w:eastAsia="宋体" w:cs="Times New Roman"/>
                      <w:b w:val="0"/>
                      <w:bCs w:val="0"/>
                      <w:sz w:val="21"/>
                      <w:szCs w:val="21"/>
                      <w:highlight w:val="none"/>
                    </w:rPr>
                    <w:fldChar w:fldCharType="begin"/>
                  </w:r>
                  <w:r>
                    <w:rPr>
                      <w:rFonts w:hint="eastAsia" w:ascii="Times New Roman" w:hAnsi="Times New Roman" w:eastAsia="宋体" w:cs="Times New Roman"/>
                      <w:b w:val="0"/>
                      <w:bCs w:val="0"/>
                      <w:sz w:val="21"/>
                      <w:szCs w:val="21"/>
                      <w:highlight w:val="none"/>
                    </w:rPr>
                    <w:instrText xml:space="preserve"> = 4 \* GB3 \* MERGEFORMAT </w:instrText>
                  </w:r>
                  <w:r>
                    <w:rPr>
                      <w:rFonts w:hint="eastAsia" w:ascii="Times New Roman" w:hAnsi="Times New Roman" w:eastAsia="宋体" w:cs="Times New Roman"/>
                      <w:b w:val="0"/>
                      <w:bCs w:val="0"/>
                      <w:sz w:val="21"/>
                      <w:szCs w:val="21"/>
                      <w:highlight w:val="none"/>
                    </w:rPr>
                    <w:fldChar w:fldCharType="separate"/>
                  </w:r>
                  <w:r>
                    <w:rPr>
                      <w:sz w:val="21"/>
                      <w:szCs w:val="21"/>
                    </w:rPr>
                    <w:t>④</w:t>
                  </w:r>
                  <w:r>
                    <w:rPr>
                      <w:rFonts w:hint="eastAsia" w:ascii="Times New Roman" w:hAnsi="Times New Roman" w:eastAsia="宋体" w:cs="Times New Roman"/>
                      <w:b w:val="0"/>
                      <w:bCs w:val="0"/>
                      <w:sz w:val="21"/>
                      <w:szCs w:val="21"/>
                      <w:highlight w:val="none"/>
                    </w:rPr>
                    <w:fldChar w:fldCharType="end"/>
                  </w:r>
                  <w:r>
                    <w:rPr>
                      <w:rFonts w:hint="eastAsia" w:cs="Times New Roman"/>
                      <w:b w:val="0"/>
                      <w:bCs w:val="0"/>
                      <w:sz w:val="21"/>
                      <w:szCs w:val="21"/>
                      <w:highlight w:val="none"/>
                      <w:lang w:eastAsia="zh-CN"/>
                    </w:rPr>
                    <w:t>本评价</w:t>
                  </w:r>
                  <w:r>
                    <w:rPr>
                      <w:rFonts w:hint="eastAsia" w:ascii="Times New Roman" w:hAnsi="Times New Roman" w:eastAsia="宋体" w:cs="Times New Roman"/>
                      <w:b w:val="0"/>
                      <w:bCs w:val="0"/>
                      <w:sz w:val="21"/>
                      <w:szCs w:val="21"/>
                      <w:highlight w:val="none"/>
                    </w:rPr>
                    <w:t>要求企业制定突发环境事件应急预案。</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rPr>
            </w:pPr>
            <w:r>
              <w:rPr>
                <w:rFonts w:hint="eastAsia" w:ascii="宋体" w:hAnsi="宋体"/>
              </w:rPr>
              <w:t>本项目涉及的主要危险物质为</w:t>
            </w:r>
            <w:r>
              <w:rPr>
                <w:rFonts w:hint="eastAsia" w:ascii="宋体" w:hAnsi="宋体"/>
                <w:lang w:eastAsia="zh-CN"/>
              </w:rPr>
              <w:t>乙二醇槽、搅拌釜</w:t>
            </w:r>
            <w:r>
              <w:rPr>
                <w:rFonts w:hint="eastAsia" w:ascii="宋体" w:hAnsi="宋体"/>
              </w:rPr>
              <w:t>。通过最大危险源辨识，项目站区不属于重大危险源，主要事故类型为乙二醇槽、搅拌釜泄漏及火灾、爆炸事故。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pacing w:val="-6"/>
              </w:rPr>
            </w:pPr>
            <w:r>
              <w:rPr>
                <w:rFonts w:hint="eastAsia" w:ascii="宋体" w:hAnsi="宋体"/>
              </w:rPr>
              <w:t>本项目</w:t>
            </w:r>
            <w:r>
              <w:rPr>
                <w:rFonts w:hint="eastAsia" w:ascii="宋体" w:hAnsi="宋体"/>
                <w:lang w:eastAsia="zh-CN"/>
              </w:rPr>
              <w:t>乙二醇槽和反应釜</w:t>
            </w:r>
            <w:r>
              <w:rPr>
                <w:rFonts w:hint="eastAsia" w:ascii="宋体" w:hAnsi="宋体"/>
              </w:rPr>
              <w:t>发生泄漏及火灾爆炸事故后产生的有毒有害气体</w:t>
            </w:r>
            <w:r>
              <w:t>对环境空气影响的最大风险值为1.0×10</w:t>
            </w:r>
            <w:r>
              <w:rPr>
                <w:vertAlign w:val="superscript"/>
              </w:rPr>
              <w:t>-5</w:t>
            </w:r>
            <w:r>
              <w:t>，低于化工行业风险统计</w:t>
            </w:r>
            <w:r>
              <w:rPr>
                <w:spacing w:val="-6"/>
              </w:rPr>
              <w:t>值，在采取环评、</w:t>
            </w:r>
            <w:r>
              <w:rPr>
                <w:rFonts w:hint="eastAsia"/>
                <w:spacing w:val="-6"/>
              </w:rPr>
              <w:t>可行性研究报告</w:t>
            </w:r>
            <w:r>
              <w:rPr>
                <w:spacing w:val="-6"/>
              </w:rPr>
              <w:t>提出可行的防范措施前提下，风险水平是可以接受的。</w:t>
            </w:r>
          </w:p>
          <w:p>
            <w:pPr>
              <w:keepNext w:val="0"/>
              <w:keepLines w:val="0"/>
              <w:pageBreakBefore w:val="0"/>
              <w:widowControl w:val="0"/>
              <w:kinsoku/>
              <w:wordWrap/>
              <w:overflowPunct/>
              <w:topLinePunct w:val="0"/>
              <w:autoSpaceDE/>
              <w:autoSpaceDN/>
              <w:bidi w:val="0"/>
              <w:adjustRightInd w:val="0"/>
              <w:snapToGrid w:val="0"/>
              <w:spacing w:line="360" w:lineRule="auto"/>
              <w:ind w:firstLine="456" w:firstLineChars="200"/>
              <w:textAlignment w:val="auto"/>
              <w:rPr>
                <w:rFonts w:hint="default"/>
                <w:lang w:eastAsia="zh-CN"/>
              </w:rPr>
            </w:pPr>
            <w:r>
              <w:rPr>
                <w:rFonts w:hint="eastAsia"/>
                <w:spacing w:val="-6"/>
              </w:rPr>
              <w:t xml:space="preserve"> 建设单位必须予以高度重视，采取有效的防范、减缓措施，并制定突发性事故应急预案，强化安全管理。</w:t>
            </w:r>
          </w:p>
          <w:p>
            <w:pPr>
              <w:widowControl/>
              <w:adjustRightInd w:val="0"/>
              <w:snapToGrid w:val="0"/>
              <w:spacing w:line="360" w:lineRule="auto"/>
              <w:ind w:firstLine="482" w:firstLineChars="200"/>
              <w:rPr>
                <w:rFonts w:hint="default" w:ascii="Times New Roman" w:hAnsi="Times New Roman" w:cs="Times New Roman"/>
                <w:b/>
              </w:rPr>
            </w:pPr>
            <w:r>
              <w:rPr>
                <w:rFonts w:hint="eastAsia" w:cs="Times New Roman"/>
                <w:b/>
                <w:lang w:eastAsia="zh-CN"/>
              </w:rPr>
              <w:t>六、</w:t>
            </w:r>
            <w:r>
              <w:rPr>
                <w:rFonts w:hint="default" w:ascii="Times New Roman" w:hAnsi="Times New Roman" w:eastAsia="宋体" w:cs="Times New Roman"/>
                <w:b/>
                <w:color w:val="000000" w:themeColor="text1"/>
                <w:sz w:val="24"/>
                <w:szCs w:val="22"/>
                <w14:textFill>
                  <w14:solidFill>
                    <w14:schemeClr w14:val="tx1"/>
                  </w14:solidFill>
                </w14:textFill>
              </w:rPr>
              <w:t>环境</w:t>
            </w:r>
            <w:r>
              <w:rPr>
                <w:rFonts w:hint="default" w:ascii="Times New Roman" w:hAnsi="Times New Roman" w:cs="Times New Roman"/>
                <w:b/>
              </w:rPr>
              <w:t>管理与监测计划</w:t>
            </w:r>
          </w:p>
          <w:p>
            <w:pPr>
              <w:ind w:firstLine="480"/>
              <w:rPr>
                <w:rFonts w:hint="default" w:ascii="Times New Roman" w:hAnsi="Times New Roman" w:cs="Times New Roman"/>
              </w:rPr>
            </w:pPr>
            <w:r>
              <w:rPr>
                <w:rFonts w:hint="default" w:ascii="Times New Roman" w:hAnsi="Times New Roman" w:cs="Times New Roman"/>
              </w:rPr>
              <w:t>1、环境管理</w:t>
            </w:r>
          </w:p>
          <w:p>
            <w:pPr>
              <w:ind w:firstLine="480"/>
              <w:rPr>
                <w:rFonts w:hint="default" w:ascii="Times New Roman" w:hAnsi="Times New Roman" w:cs="Times New Roman"/>
              </w:rPr>
            </w:pPr>
            <w:r>
              <w:rPr>
                <w:rFonts w:hint="default" w:ascii="Times New Roman" w:hAnsi="Times New Roman" w:cs="Times New Roman"/>
              </w:rPr>
              <w:t>本项目运营期，区域内应设环保管理人员，对各项环保设施的运行情况进行管理检查，主要环境管理内容应包括：</w:t>
            </w:r>
          </w:p>
          <w:p>
            <w:pPr>
              <w:ind w:firstLine="480"/>
              <w:rPr>
                <w:rFonts w:hint="default" w:ascii="Times New Roman" w:hAnsi="Times New Roman" w:cs="Times New Roman"/>
              </w:rPr>
            </w:pPr>
            <w:r>
              <w:rPr>
                <w:rFonts w:hint="default" w:ascii="Times New Roman" w:hAnsi="Times New Roman" w:cs="Times New Roman"/>
              </w:rPr>
              <w:t>（1）进行环保教育宣传，并对有环境影响隐患的岗位人员进行技术培训，并制定紧急情况应急措施，预防或减少可能的环境影响。</w:t>
            </w:r>
          </w:p>
          <w:p>
            <w:pPr>
              <w:ind w:firstLine="480"/>
              <w:jc w:val="left"/>
              <w:rPr>
                <w:rFonts w:hint="default" w:ascii="Times New Roman" w:hAnsi="Times New Roman" w:cs="Times New Roman"/>
              </w:rPr>
            </w:pPr>
            <w:r>
              <w:rPr>
                <w:rFonts w:hint="default" w:ascii="Times New Roman" w:hAnsi="Times New Roman" w:cs="Times New Roman"/>
              </w:rPr>
              <w:t>（2）维护环保设施的正常运行和安全生产，对各种环保设施进行定期检查和维修，确保污染物达标排放，同时要推广和应用先进的环保技术和经验，最大限度降低污染物的排放量；组织和协调环境监测工作，制定监测计划。</w:t>
            </w:r>
          </w:p>
          <w:p>
            <w:pPr>
              <w:ind w:firstLine="480"/>
              <w:jc w:val="left"/>
              <w:rPr>
                <w:rFonts w:hint="default" w:ascii="Times New Roman" w:hAnsi="Times New Roman" w:cs="Times New Roman"/>
              </w:rPr>
            </w:pPr>
            <w:r>
              <w:rPr>
                <w:rFonts w:hint="default" w:ascii="Times New Roman" w:hAnsi="Times New Roman" w:cs="Times New Roman"/>
              </w:rPr>
              <w:t>（3）建立污染源档案，优化污染防治措施。按照上级环保部门的规范要求，建立本企业有关“三废”排放量、排放浓度、噪声情况、固体废物综合利用、污染控制效果等情况档案，并按照有关规定编制各种报告与报表，负责向上级领导及环保部门呈报。</w:t>
            </w:r>
          </w:p>
          <w:p>
            <w:pPr>
              <w:ind w:firstLine="480"/>
              <w:rPr>
                <w:rFonts w:hint="default" w:ascii="Times New Roman" w:hAnsi="Times New Roman" w:cs="Times New Roman"/>
              </w:rPr>
            </w:pPr>
            <w:r>
              <w:rPr>
                <w:rFonts w:hint="default" w:ascii="Times New Roman" w:hAnsi="Times New Roman" w:cs="Times New Roman"/>
              </w:rPr>
              <w:t>（4）项目竣工后及时进行环保验收、排污许可等环保手续的办理。</w:t>
            </w:r>
          </w:p>
          <w:p>
            <w:pPr>
              <w:ind w:firstLine="480"/>
              <w:rPr>
                <w:rFonts w:hint="default" w:ascii="Times New Roman" w:hAnsi="Times New Roman" w:cs="Times New Roman"/>
              </w:rPr>
            </w:pPr>
            <w:r>
              <w:rPr>
                <w:rFonts w:hint="default" w:ascii="Times New Roman" w:hAnsi="Times New Roman" w:cs="Times New Roman"/>
              </w:rPr>
              <w:t>2、环境监测</w:t>
            </w:r>
          </w:p>
          <w:p>
            <w:pPr>
              <w:ind w:firstLine="480"/>
              <w:rPr>
                <w:rFonts w:hint="default" w:ascii="Times New Roman" w:hAnsi="Times New Roman" w:cs="Times New Roman"/>
              </w:rPr>
            </w:pPr>
            <w:r>
              <w:rPr>
                <w:rFonts w:hint="default" w:ascii="Times New Roman" w:hAnsi="Times New Roman" w:cs="Times New Roman"/>
              </w:rPr>
              <w:t>环境监测是环境管理的依据和基础，它为环境统计和环境定量评价提供科学依据，并据此制定污染防治对策和规划。</w:t>
            </w:r>
          </w:p>
          <w:p>
            <w:pPr>
              <w:ind w:firstLine="480"/>
              <w:rPr>
                <w:rFonts w:hint="default" w:ascii="Times New Roman" w:hAnsi="Times New Roman" w:cs="Times New Roman"/>
              </w:rPr>
            </w:pPr>
            <w:r>
              <w:rPr>
                <w:rFonts w:hint="default" w:ascii="Times New Roman" w:hAnsi="Times New Roman" w:cs="Times New Roman"/>
              </w:rPr>
              <w:t>针对本项目排放的主要大气污染物颗粒物、噪声建议定期委托有资质的单位进行检测，确保达标排放，减轻对周围环境的污染。项目运营期环境监测计划分别见表</w:t>
            </w:r>
            <w:r>
              <w:rPr>
                <w:rFonts w:hint="eastAsia" w:ascii="Times New Roman" w:hAnsi="Times New Roman" w:cs="Times New Roman"/>
                <w:lang w:val="en-US" w:eastAsia="zh-CN"/>
              </w:rPr>
              <w:t>6</w:t>
            </w:r>
            <w:r>
              <w:rPr>
                <w:rFonts w:hint="default" w:ascii="Times New Roman" w:hAnsi="Times New Roman" w:cs="Times New Roman"/>
                <w:lang w:val="en-US" w:eastAsia="zh-CN"/>
              </w:rPr>
              <w:t>-</w:t>
            </w:r>
            <w:r>
              <w:rPr>
                <w:rFonts w:hint="eastAsia" w:cs="Times New Roman"/>
                <w:lang w:val="en-US" w:eastAsia="zh-CN"/>
              </w:rPr>
              <w:t>13</w:t>
            </w:r>
            <w:r>
              <w:rPr>
                <w:rFonts w:hint="default" w:ascii="Times New Roman" w:hAnsi="Times New Roman" w:cs="Times New Roman"/>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表</w:t>
            </w:r>
            <w:r>
              <w:rPr>
                <w:rFonts w:hint="eastAsia" w:ascii="Times New Roman" w:hAnsi="Times New Roman" w:eastAsia="宋体" w:cs="Times New Roman"/>
                <w:b/>
                <w:bCs/>
                <w:color w:val="auto"/>
                <w:sz w:val="21"/>
                <w:szCs w:val="21"/>
                <w:lang w:val="en-US" w:eastAsia="zh-CN"/>
              </w:rPr>
              <w:t>6</w:t>
            </w:r>
            <w:r>
              <w:rPr>
                <w:rFonts w:hint="default" w:ascii="Times New Roman" w:hAnsi="Times New Roman" w:eastAsia="宋体" w:cs="Times New Roman"/>
                <w:b/>
                <w:bCs/>
                <w:color w:val="auto"/>
                <w:sz w:val="21"/>
                <w:szCs w:val="21"/>
                <w:lang w:val="en-US" w:eastAsia="zh-CN"/>
              </w:rPr>
              <w:t>-</w:t>
            </w:r>
            <w:r>
              <w:rPr>
                <w:rFonts w:hint="eastAsia" w:eastAsia="宋体" w:cs="Times New Roman"/>
                <w:b/>
                <w:bCs/>
                <w:color w:val="auto"/>
                <w:sz w:val="21"/>
                <w:szCs w:val="21"/>
                <w:lang w:val="en-US" w:eastAsia="zh-CN"/>
              </w:rPr>
              <w:t>13</w:t>
            </w:r>
            <w:r>
              <w:rPr>
                <w:rFonts w:hint="default" w:ascii="Times New Roman" w:hAnsi="Times New Roman" w:eastAsia="宋体" w:cs="Times New Roman"/>
                <w:b/>
                <w:bCs/>
                <w:color w:val="auto"/>
                <w:sz w:val="21"/>
                <w:szCs w:val="21"/>
                <w:lang w:eastAsia="zh-CN"/>
              </w:rPr>
              <w:t xml:space="preserve">  污染源与环境监测计划表</w:t>
            </w:r>
          </w:p>
          <w:tbl>
            <w:tblPr>
              <w:tblStyle w:val="20"/>
              <w:tblW w:w="861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545"/>
              <w:gridCol w:w="2797"/>
              <w:gridCol w:w="1134"/>
              <w:gridCol w:w="18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313" w:type="dxa"/>
                  <w:tcBorders>
                    <w:tl2br w:val="nil"/>
                    <w:tr2bl w:val="nil"/>
                  </w:tcBorders>
                  <w:vAlign w:val="center"/>
                </w:tcPr>
                <w:p>
                  <w:pPr>
                    <w:spacing w:line="240" w:lineRule="auto"/>
                    <w:ind w:firstLine="0" w:firstLineChars="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污染源名称</w:t>
                  </w:r>
                </w:p>
              </w:tc>
              <w:tc>
                <w:tcPr>
                  <w:tcW w:w="1545" w:type="dxa"/>
                  <w:tcBorders>
                    <w:tl2br w:val="nil"/>
                    <w:tr2bl w:val="nil"/>
                  </w:tcBorders>
                  <w:vAlign w:val="center"/>
                </w:tcPr>
                <w:p>
                  <w:pPr>
                    <w:spacing w:line="240" w:lineRule="auto"/>
                    <w:ind w:firstLine="0" w:firstLineChars="0"/>
                    <w:jc w:val="center"/>
                    <w:rPr>
                      <w:rFonts w:hint="default" w:ascii="Times New Roman" w:hAnsi="Times New Roman" w:cs="Times New Roman"/>
                      <w:b/>
                      <w:bCs/>
                      <w:sz w:val="21"/>
                      <w:szCs w:val="21"/>
                    </w:rPr>
                  </w:pPr>
                  <w:r>
                    <w:rPr>
                      <w:rFonts w:hint="default" w:ascii="Times New Roman" w:hAnsi="Times New Roman" w:cs="Times New Roman"/>
                      <w:b/>
                      <w:bCs/>
                      <w:sz w:val="21"/>
                      <w:szCs w:val="21"/>
                    </w:rPr>
                    <w:t>监测项目</w:t>
                  </w:r>
                </w:p>
              </w:tc>
              <w:tc>
                <w:tcPr>
                  <w:tcW w:w="2797" w:type="dxa"/>
                  <w:tcBorders>
                    <w:tl2br w:val="nil"/>
                    <w:tr2bl w:val="nil"/>
                  </w:tcBorders>
                  <w:vAlign w:val="center"/>
                </w:tcPr>
                <w:p>
                  <w:pPr>
                    <w:spacing w:line="240" w:lineRule="auto"/>
                    <w:ind w:firstLine="0" w:firstLineChars="0"/>
                    <w:jc w:val="center"/>
                    <w:rPr>
                      <w:rFonts w:hint="default" w:ascii="Times New Roman" w:hAnsi="Times New Roman" w:cs="Times New Roman"/>
                      <w:b/>
                      <w:bCs/>
                      <w:sz w:val="21"/>
                      <w:szCs w:val="21"/>
                    </w:rPr>
                  </w:pPr>
                  <w:r>
                    <w:rPr>
                      <w:rFonts w:hint="default" w:ascii="Times New Roman" w:hAnsi="Times New Roman" w:cs="Times New Roman"/>
                      <w:b/>
                      <w:bCs/>
                      <w:sz w:val="21"/>
                      <w:szCs w:val="21"/>
                    </w:rPr>
                    <w:t>监测点位置</w:t>
                  </w:r>
                </w:p>
              </w:tc>
              <w:tc>
                <w:tcPr>
                  <w:tcW w:w="1134" w:type="dxa"/>
                  <w:tcBorders>
                    <w:tl2br w:val="nil"/>
                    <w:tr2bl w:val="nil"/>
                  </w:tcBorders>
                  <w:vAlign w:val="center"/>
                </w:tcPr>
                <w:p>
                  <w:pPr>
                    <w:spacing w:line="240" w:lineRule="auto"/>
                    <w:ind w:firstLine="0" w:firstLineChars="0"/>
                    <w:jc w:val="center"/>
                    <w:rPr>
                      <w:rFonts w:hint="default" w:ascii="Times New Roman" w:hAnsi="Times New Roman" w:cs="Times New Roman"/>
                      <w:b/>
                      <w:bCs/>
                      <w:sz w:val="21"/>
                      <w:szCs w:val="21"/>
                    </w:rPr>
                  </w:pPr>
                  <w:r>
                    <w:rPr>
                      <w:rFonts w:hint="default" w:ascii="Times New Roman" w:hAnsi="Times New Roman" w:cs="Times New Roman"/>
                      <w:b/>
                      <w:bCs/>
                      <w:sz w:val="21"/>
                      <w:szCs w:val="21"/>
                    </w:rPr>
                    <w:t>监测点数</w:t>
                  </w:r>
                </w:p>
              </w:tc>
              <w:tc>
                <w:tcPr>
                  <w:tcW w:w="1830" w:type="dxa"/>
                  <w:tcBorders>
                    <w:tl2br w:val="nil"/>
                    <w:tr2bl w:val="nil"/>
                  </w:tcBorders>
                  <w:vAlign w:val="center"/>
                </w:tcPr>
                <w:p>
                  <w:pPr>
                    <w:spacing w:line="240" w:lineRule="auto"/>
                    <w:ind w:firstLine="0" w:firstLineChars="0"/>
                    <w:jc w:val="center"/>
                    <w:rPr>
                      <w:rFonts w:hint="default" w:ascii="Times New Roman" w:hAnsi="Times New Roman" w:cs="Times New Roman"/>
                      <w:b/>
                      <w:bCs/>
                      <w:sz w:val="21"/>
                      <w:szCs w:val="21"/>
                    </w:rPr>
                  </w:pPr>
                  <w:r>
                    <w:rPr>
                      <w:rFonts w:hint="default" w:ascii="Times New Roman" w:hAnsi="Times New Roman" w:cs="Times New Roman"/>
                      <w:b/>
                      <w:bCs/>
                      <w:sz w:val="21"/>
                      <w:szCs w:val="21"/>
                    </w:rPr>
                    <w:t>监测频率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313"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环境噪声</w:t>
                  </w:r>
                </w:p>
              </w:tc>
              <w:tc>
                <w:tcPr>
                  <w:tcW w:w="1545"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Leq(A)</w:t>
                  </w:r>
                </w:p>
              </w:tc>
              <w:tc>
                <w:tcPr>
                  <w:tcW w:w="2797"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场界四周外1m处</w:t>
                  </w:r>
                  <w:r>
                    <w:rPr>
                      <w:rFonts w:hint="default" w:ascii="Times New Roman" w:hAnsi="Times New Roman" w:cs="Times New Roman"/>
                      <w:sz w:val="21"/>
                      <w:szCs w:val="21"/>
                      <w:lang w:eastAsia="zh-CN"/>
                    </w:rPr>
                    <w:t>、铁孟村</w:t>
                  </w:r>
                </w:p>
              </w:tc>
              <w:tc>
                <w:tcPr>
                  <w:tcW w:w="1134"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个点</w:t>
                  </w:r>
                </w:p>
              </w:tc>
              <w:tc>
                <w:tcPr>
                  <w:tcW w:w="1830"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一年</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次，每次连续监测2天</w:t>
                  </w:r>
                </w:p>
              </w:tc>
            </w:tr>
          </w:tbl>
          <w:p>
            <w:pPr>
              <w:ind w:firstLine="0" w:firstLineChars="0"/>
              <w:rPr>
                <w:rFonts w:hint="default" w:ascii="Times New Roman" w:hAnsi="Times New Roman" w:cs="Times New Roman"/>
                <w:b/>
              </w:rPr>
            </w:pPr>
            <w:r>
              <w:rPr>
                <w:rFonts w:hint="default" w:ascii="Times New Roman" w:hAnsi="Times New Roman" w:cs="Times New Roman"/>
                <w:b/>
              </w:rPr>
              <w:t>3、项目污染物排放情况</w:t>
            </w:r>
          </w:p>
          <w:p>
            <w:pPr>
              <w:ind w:firstLine="480"/>
              <w:rPr>
                <w:rFonts w:hint="default" w:ascii="Times New Roman" w:hAnsi="Times New Roman" w:cs="Times New Roman"/>
              </w:rPr>
            </w:pPr>
            <w:r>
              <w:rPr>
                <w:rFonts w:hint="default" w:ascii="Times New Roman" w:hAnsi="Times New Roman" w:cs="Times New Roman"/>
              </w:rPr>
              <w:t>建设项目污染物排放清单见表</w:t>
            </w:r>
            <w:r>
              <w:rPr>
                <w:rFonts w:hint="eastAsia" w:ascii="Times New Roman" w:hAnsi="Times New Roman" w:cs="Times New Roman"/>
                <w:lang w:val="en-US" w:eastAsia="zh-CN"/>
              </w:rPr>
              <w:t>6</w:t>
            </w:r>
            <w:r>
              <w:rPr>
                <w:rFonts w:hint="default" w:ascii="Times New Roman" w:hAnsi="Times New Roman" w:cs="Times New Roman"/>
                <w:lang w:val="en-US" w:eastAsia="zh-CN"/>
              </w:rPr>
              <w:t>-</w:t>
            </w:r>
            <w:r>
              <w:rPr>
                <w:rFonts w:hint="eastAsia" w:cs="Times New Roman"/>
                <w:lang w:val="en-US" w:eastAsia="zh-CN"/>
              </w:rPr>
              <w:t>14</w:t>
            </w:r>
            <w:r>
              <w:rPr>
                <w:rFonts w:hint="default" w:ascii="Times New Roman" w:hAnsi="Times New Roman" w:cs="Times New Roman"/>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表</w:t>
            </w:r>
            <w:r>
              <w:rPr>
                <w:rFonts w:hint="eastAsia" w:ascii="Times New Roman" w:hAnsi="Times New Roman" w:eastAsia="宋体" w:cs="Times New Roman"/>
                <w:b/>
                <w:bCs/>
                <w:color w:val="auto"/>
                <w:sz w:val="21"/>
                <w:szCs w:val="21"/>
                <w:lang w:val="en-US" w:eastAsia="zh-CN"/>
              </w:rPr>
              <w:t>6</w:t>
            </w:r>
            <w:r>
              <w:rPr>
                <w:rFonts w:hint="default" w:ascii="Times New Roman" w:hAnsi="Times New Roman" w:eastAsia="宋体" w:cs="Times New Roman"/>
                <w:b/>
                <w:bCs/>
                <w:color w:val="auto"/>
                <w:sz w:val="21"/>
                <w:szCs w:val="21"/>
                <w:lang w:val="en-US" w:eastAsia="zh-CN"/>
              </w:rPr>
              <w:t>-</w:t>
            </w:r>
            <w:r>
              <w:rPr>
                <w:rFonts w:hint="eastAsia" w:eastAsia="宋体" w:cs="Times New Roman"/>
                <w:b/>
                <w:bCs/>
                <w:color w:val="auto"/>
                <w:sz w:val="21"/>
                <w:szCs w:val="21"/>
                <w:lang w:val="en-US" w:eastAsia="zh-CN"/>
              </w:rPr>
              <w:t>14</w:t>
            </w:r>
            <w:r>
              <w:rPr>
                <w:rFonts w:hint="default"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lang w:eastAsia="zh-CN"/>
              </w:rPr>
              <w:t xml:space="preserve">  污染物排放清单</w:t>
            </w:r>
          </w:p>
          <w:tbl>
            <w:tblPr>
              <w:tblStyle w:val="20"/>
              <w:tblW w:w="863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648"/>
              <w:gridCol w:w="1116"/>
              <w:gridCol w:w="1750"/>
              <w:gridCol w:w="721"/>
              <w:gridCol w:w="1064"/>
              <w:gridCol w:w="699"/>
              <w:gridCol w:w="19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694"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污染类型</w:t>
                  </w:r>
                </w:p>
              </w:tc>
              <w:tc>
                <w:tcPr>
                  <w:tcW w:w="648"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污染源</w:t>
                  </w:r>
                </w:p>
              </w:tc>
              <w:tc>
                <w:tcPr>
                  <w:tcW w:w="1116"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污染因子</w:t>
                  </w:r>
                </w:p>
              </w:tc>
              <w:tc>
                <w:tcPr>
                  <w:tcW w:w="1750"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治理措施</w:t>
                  </w:r>
                </w:p>
              </w:tc>
              <w:tc>
                <w:tcPr>
                  <w:tcW w:w="721"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eastAsia="zh-CN"/>
                    </w:rPr>
                    <w:t>排放浓度</w:t>
                  </w:r>
                </w:p>
              </w:tc>
              <w:tc>
                <w:tcPr>
                  <w:tcW w:w="1064"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排放量</w:t>
                  </w:r>
                </w:p>
              </w:tc>
              <w:tc>
                <w:tcPr>
                  <w:tcW w:w="699"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总量控制t/a</w:t>
                  </w:r>
                </w:p>
              </w:tc>
              <w:tc>
                <w:tcPr>
                  <w:tcW w:w="1947" w:type="dxa"/>
                  <w:tcBorders>
                    <w:tl2br w:val="nil"/>
                    <w:tr2bl w:val="nil"/>
                  </w:tcBorders>
                  <w:vAlign w:val="center"/>
                </w:tcPr>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废水</w:t>
                  </w:r>
                </w:p>
              </w:tc>
              <w:tc>
                <w:tcPr>
                  <w:tcW w:w="64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生活污水</w:t>
                  </w:r>
                </w:p>
              </w:tc>
              <w:tc>
                <w:tcPr>
                  <w:tcW w:w="11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w:t>
                  </w:r>
                </w:p>
              </w:tc>
              <w:tc>
                <w:tcPr>
                  <w:tcW w:w="1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排入旱厕，定期清掏</w:t>
                  </w:r>
                  <w:r>
                    <w:rPr>
                      <w:rFonts w:hint="default" w:ascii="Times New Roman" w:hAnsi="Times New Roman" w:cs="Times New Roman"/>
                      <w:sz w:val="21"/>
                      <w:szCs w:val="21"/>
                      <w:lang w:eastAsia="zh-CN"/>
                    </w:rPr>
                    <w:t>沤肥</w:t>
                  </w:r>
                </w:p>
              </w:tc>
              <w:tc>
                <w:tcPr>
                  <w:tcW w:w="7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t>
                  </w:r>
                </w:p>
              </w:tc>
              <w:tc>
                <w:tcPr>
                  <w:tcW w:w="10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t>
                  </w:r>
                </w:p>
              </w:tc>
              <w:tc>
                <w:tcPr>
                  <w:tcW w:w="6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t>
                  </w:r>
                </w:p>
              </w:tc>
              <w:tc>
                <w:tcPr>
                  <w:tcW w:w="194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6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噪声</w:t>
                  </w:r>
                </w:p>
              </w:tc>
              <w:tc>
                <w:tcPr>
                  <w:tcW w:w="64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设备噪声</w:t>
                  </w:r>
                </w:p>
              </w:tc>
              <w:tc>
                <w:tcPr>
                  <w:tcW w:w="11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Leq（A）</w:t>
                  </w:r>
                </w:p>
              </w:tc>
              <w:tc>
                <w:tcPr>
                  <w:tcW w:w="1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室内安装、基础减震、建筑隔声、优化布局</w:t>
                  </w:r>
                </w:p>
              </w:tc>
              <w:tc>
                <w:tcPr>
                  <w:tcW w:w="7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p>
              </w:tc>
              <w:tc>
                <w:tcPr>
                  <w:tcW w:w="10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昼间</w:t>
                  </w:r>
                  <w:r>
                    <w:rPr>
                      <w:rFonts w:hint="default" w:ascii="Times New Roman" w:hAnsi="Times New Roman" w:cs="Times New Roman"/>
                      <w:bCs/>
                      <w:color w:val="auto"/>
                      <w:sz w:val="21"/>
                      <w:szCs w:val="21"/>
                      <w:lang w:val="en-US" w:eastAsia="zh-CN"/>
                    </w:rPr>
                    <w:t>≤</w:t>
                  </w:r>
                  <w:r>
                    <w:rPr>
                      <w:rFonts w:hint="default" w:ascii="Times New Roman" w:hAnsi="Times New Roman" w:cs="Times New Roman"/>
                      <w:sz w:val="21"/>
                      <w:szCs w:val="21"/>
                    </w:rPr>
                    <w:t>60dB(A)</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，夜间</w:t>
                  </w:r>
                  <w:r>
                    <w:rPr>
                      <w:rFonts w:hint="default" w:ascii="Times New Roman" w:hAnsi="Times New Roman" w:cs="Times New Roman"/>
                      <w:bCs/>
                      <w:color w:val="auto"/>
                      <w:sz w:val="21"/>
                      <w:szCs w:val="21"/>
                      <w:lang w:val="en-US" w:eastAsia="zh-CN"/>
                    </w:rPr>
                    <w:t>≤</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0dB(A)</w:t>
                  </w:r>
                </w:p>
              </w:tc>
              <w:tc>
                <w:tcPr>
                  <w:tcW w:w="6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p>
              </w:tc>
              <w:tc>
                <w:tcPr>
                  <w:tcW w:w="194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《工业企业厂界环境噪声排放标准》（GB12348-2008）中的2类标准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78" w:hRule="atLeast"/>
              </w:trPr>
              <w:tc>
                <w:tcPr>
                  <w:tcW w:w="69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固体废物</w:t>
                  </w:r>
                </w:p>
              </w:tc>
              <w:tc>
                <w:tcPr>
                  <w:tcW w:w="64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kern w:val="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kern w:val="0"/>
                      <w:sz w:val="21"/>
                      <w:szCs w:val="21"/>
                      <w:lang w:eastAsia="zh-CN"/>
                    </w:rPr>
                  </w:pPr>
                  <w:r>
                    <w:rPr>
                      <w:rFonts w:hint="eastAsia" w:cs="Times New Roman"/>
                      <w:kern w:val="0"/>
                      <w:sz w:val="21"/>
                      <w:szCs w:val="21"/>
                      <w:lang w:eastAsia="zh-CN"/>
                    </w:rPr>
                    <w:t>一般固废</w:t>
                  </w:r>
                </w:p>
              </w:tc>
              <w:tc>
                <w:tcPr>
                  <w:tcW w:w="1116"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kern w:val="0"/>
                      <w:sz w:val="21"/>
                      <w:szCs w:val="21"/>
                      <w:lang w:eastAsia="zh-CN"/>
                    </w:rPr>
                  </w:pPr>
                  <w:r>
                    <w:rPr>
                      <w:rFonts w:hint="default" w:ascii="Times New Roman" w:hAnsi="Times New Roman" w:cs="Times New Roman"/>
                      <w:sz w:val="21"/>
                      <w:szCs w:val="21"/>
                      <w:highlight w:val="none"/>
                    </w:rPr>
                    <w:t>生活垃圾</w:t>
                  </w:r>
                </w:p>
              </w:tc>
              <w:tc>
                <w:tcPr>
                  <w:tcW w:w="1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集中收集环卫部门定期清运</w:t>
                  </w:r>
                </w:p>
              </w:tc>
              <w:tc>
                <w:tcPr>
                  <w:tcW w:w="7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p>
              </w:tc>
              <w:tc>
                <w:tcPr>
                  <w:tcW w:w="10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0</w:t>
                  </w:r>
                </w:p>
              </w:tc>
              <w:tc>
                <w:tcPr>
                  <w:tcW w:w="6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p>
              </w:tc>
              <w:tc>
                <w:tcPr>
                  <w:tcW w:w="1947"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一般固体废弃物执行（GB18599-2001）及其修改单的规定要求</w:t>
                  </w:r>
                  <w:r>
                    <w:rPr>
                      <w:rFonts w:hint="eastAsia" w:cs="Times New Roman"/>
                      <w:sz w:val="21"/>
                      <w:szCs w:val="21"/>
                      <w:lang w:eastAsia="zh-CN"/>
                    </w:rPr>
                    <w:t>；</w:t>
                  </w:r>
                  <w:r>
                    <w:rPr>
                      <w:rFonts w:hint="default" w:ascii="Times New Roman" w:hAnsi="Times New Roman" w:cs="Times New Roman"/>
                      <w:sz w:val="21"/>
                      <w:szCs w:val="21"/>
                    </w:rPr>
                    <w:t>危险废物执行（GB18597-2001）及修改单的相关规定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69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p>
              </w:tc>
              <w:tc>
                <w:tcPr>
                  <w:tcW w:w="648"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kern w:val="0"/>
                      <w:sz w:val="21"/>
                      <w:szCs w:val="21"/>
                    </w:rPr>
                  </w:pPr>
                  <w:r>
                    <w:rPr>
                      <w:rFonts w:hint="eastAsia" w:cs="Times New Roman"/>
                      <w:sz w:val="21"/>
                      <w:szCs w:val="21"/>
                      <w:lang w:eastAsia="zh-CN"/>
                    </w:rPr>
                    <w:t>危险</w:t>
                  </w:r>
                  <w:r>
                    <w:rPr>
                      <w:rFonts w:hint="default" w:ascii="Times New Roman" w:hAnsi="Times New Roman" w:cs="Times New Roman"/>
                      <w:sz w:val="21"/>
                      <w:szCs w:val="21"/>
                    </w:rPr>
                    <w:t>固废</w:t>
                  </w:r>
                </w:p>
              </w:tc>
              <w:tc>
                <w:tcPr>
                  <w:tcW w:w="1116" w:type="dxa"/>
                  <w:tcBorders>
                    <w:tl2br w:val="nil"/>
                    <w:tr2bl w:val="nil"/>
                  </w:tcBorders>
                  <w:vAlign w:val="center"/>
                </w:tcPr>
                <w:p>
                  <w:pPr>
                    <w:pStyle w:val="22"/>
                    <w:jc w:val="center"/>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sz w:val="21"/>
                      <w:szCs w:val="21"/>
                      <w:vertAlign w:val="baseline"/>
                      <w:lang w:val="en-US" w:eastAsia="zh-CN"/>
                    </w:rPr>
                    <w:t>苯甲酸钠、荧光素包装物</w:t>
                  </w:r>
                </w:p>
              </w:tc>
              <w:tc>
                <w:tcPr>
                  <w:tcW w:w="1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收集后暂存在危废暂存间，定期交由有资质单位回收处理</w:t>
                  </w:r>
                </w:p>
              </w:tc>
              <w:tc>
                <w:tcPr>
                  <w:tcW w:w="7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p>
              </w:tc>
              <w:tc>
                <w:tcPr>
                  <w:tcW w:w="10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0</w:t>
                  </w:r>
                </w:p>
              </w:tc>
              <w:tc>
                <w:tcPr>
                  <w:tcW w:w="6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w:t>
                  </w:r>
                </w:p>
              </w:tc>
              <w:tc>
                <w:tcPr>
                  <w:tcW w:w="194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69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p>
              </w:tc>
              <w:tc>
                <w:tcPr>
                  <w:tcW w:w="64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kern w:val="0"/>
                      <w:sz w:val="21"/>
                      <w:szCs w:val="21"/>
                      <w:lang w:eastAsia="zh-CN"/>
                    </w:rPr>
                  </w:pPr>
                </w:p>
              </w:tc>
              <w:tc>
                <w:tcPr>
                  <w:tcW w:w="11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sz w:val="21"/>
                      <w:szCs w:val="21"/>
                      <w:vertAlign w:val="baseline"/>
                      <w:lang w:val="en-US" w:eastAsia="zh-CN"/>
                    </w:rPr>
                    <w:t>乙二醇包装空桶</w:t>
                  </w:r>
                </w:p>
              </w:tc>
              <w:tc>
                <w:tcPr>
                  <w:tcW w:w="17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vertAlign w:val="baseline"/>
                      <w:lang w:val="en-US" w:eastAsia="zh-CN"/>
                    </w:rPr>
                    <w:t>暂存于</w:t>
                  </w:r>
                  <w:r>
                    <w:rPr>
                      <w:rFonts w:hint="default" w:ascii="Times New Roman" w:hAnsi="Times New Roman" w:cs="Times New Roman"/>
                      <w:sz w:val="21"/>
                      <w:szCs w:val="21"/>
                    </w:rPr>
                    <w:t>危废暂存间</w:t>
                  </w:r>
                  <w:r>
                    <w:rPr>
                      <w:rFonts w:hint="default" w:ascii="Times New Roman" w:hAnsi="Times New Roman" w:eastAsia="宋体" w:cs="Times New Roman"/>
                      <w:sz w:val="21"/>
                      <w:szCs w:val="21"/>
                      <w:vertAlign w:val="baseline"/>
                      <w:lang w:val="en-US" w:eastAsia="zh-CN"/>
                    </w:rPr>
                    <w:t>，由原料供应商定期回收处理</w:t>
                  </w:r>
                </w:p>
              </w:tc>
              <w:tc>
                <w:tcPr>
                  <w:tcW w:w="72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p>
              </w:tc>
              <w:tc>
                <w:tcPr>
                  <w:tcW w:w="106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0</w:t>
                  </w:r>
                </w:p>
              </w:tc>
              <w:tc>
                <w:tcPr>
                  <w:tcW w:w="6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rPr>
                  </w:pPr>
                  <w:r>
                    <w:rPr>
                      <w:rFonts w:hint="default"/>
                    </w:rPr>
                    <w:t>/</w:t>
                  </w:r>
                </w:p>
                <w:p>
                  <w:pPr>
                    <w:jc w:val="left"/>
                    <w:rPr>
                      <w:rFonts w:hint="default" w:ascii="Times New Roman" w:hAnsi="Times New Roman" w:eastAsia="宋体" w:cs="Times New Roman"/>
                      <w:kern w:val="2"/>
                      <w:sz w:val="21"/>
                      <w:szCs w:val="21"/>
                      <w:lang w:val="en-US" w:eastAsia="zh-CN" w:bidi="ar-SA"/>
                    </w:rPr>
                  </w:pPr>
                </w:p>
              </w:tc>
              <w:tc>
                <w:tcPr>
                  <w:tcW w:w="194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p>
              </w:tc>
            </w:tr>
          </w:tbl>
          <w:p>
            <w:pPr>
              <w:ind w:firstLine="0" w:firstLineChars="0"/>
              <w:rPr>
                <w:rFonts w:hint="default" w:ascii="Times New Roman" w:hAnsi="Times New Roman" w:cs="Times New Roman"/>
                <w:b/>
              </w:rPr>
            </w:pPr>
            <w:r>
              <w:rPr>
                <w:rFonts w:hint="default" w:ascii="Times New Roman" w:hAnsi="Times New Roman" w:cs="Times New Roman"/>
                <w:b/>
              </w:rPr>
              <w:t>五、项目环保设施及投资</w:t>
            </w:r>
          </w:p>
          <w:p>
            <w:pPr>
              <w:ind w:firstLine="480"/>
              <w:rPr>
                <w:rFonts w:hint="default" w:ascii="Times New Roman" w:hAnsi="Times New Roman" w:cs="Times New Roman"/>
              </w:rPr>
            </w:pPr>
            <w:r>
              <w:rPr>
                <w:rFonts w:hint="default" w:ascii="Times New Roman" w:hAnsi="Times New Roman" w:cs="Times New Roman"/>
                <w:color w:val="auto"/>
              </w:rPr>
              <w:t>为了加强建设项目的环境管理，防止环境污染，减轻或防止环境质量下降，根据“建设项目环境保护设计规定”的要求，建设项目的环保设施必须与主体工程同时设计、施工、投产，同时应保证环保投资的足额及时到位。</w:t>
            </w:r>
          </w:p>
          <w:p>
            <w:pPr>
              <w:ind w:firstLine="480"/>
              <w:rPr>
                <w:rFonts w:hint="default" w:ascii="Times New Roman" w:hAnsi="Times New Roman" w:cs="Times New Roman"/>
              </w:rPr>
            </w:pPr>
            <w:r>
              <w:rPr>
                <w:rFonts w:hint="default" w:ascii="Times New Roman" w:hAnsi="Times New Roman" w:cs="Times New Roman"/>
              </w:rPr>
              <w:t>项目估算总投资100万元，经统计估算，该工程用于环境保护的建</w:t>
            </w:r>
            <w:r>
              <w:rPr>
                <w:rFonts w:hint="default" w:ascii="Times New Roman" w:hAnsi="Times New Roman" w:cs="Times New Roman"/>
                <w:color w:val="auto"/>
              </w:rPr>
              <w:t>设投资为</w:t>
            </w:r>
            <w:r>
              <w:rPr>
                <w:rFonts w:hint="eastAsia" w:cs="Times New Roman"/>
                <w:color w:val="auto"/>
                <w:lang w:val="en-US" w:eastAsia="zh-CN"/>
              </w:rPr>
              <w:t>13.5</w:t>
            </w:r>
            <w:r>
              <w:rPr>
                <w:rFonts w:hint="default" w:ascii="Times New Roman" w:hAnsi="Times New Roman" w:cs="Times New Roman"/>
                <w:color w:val="auto"/>
              </w:rPr>
              <w:t>万元，占项目总投资的</w:t>
            </w:r>
            <w:r>
              <w:rPr>
                <w:rFonts w:hint="eastAsia" w:cs="Times New Roman"/>
                <w:color w:val="auto"/>
                <w:lang w:val="en-US" w:eastAsia="zh-CN"/>
              </w:rPr>
              <w:t>13.5</w:t>
            </w:r>
            <w:r>
              <w:rPr>
                <w:rFonts w:hint="default" w:ascii="Times New Roman" w:hAnsi="Times New Roman" w:cs="Times New Roman"/>
                <w:color w:val="auto"/>
              </w:rPr>
              <w:t>%。投资估算见表</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-1</w:t>
            </w:r>
            <w:r>
              <w:rPr>
                <w:rFonts w:hint="eastAsia" w:cs="Times New Roman"/>
                <w:color w:val="auto"/>
                <w:lang w:val="en-US" w:eastAsia="zh-CN"/>
              </w:rPr>
              <w:t>5，</w:t>
            </w:r>
            <w:r>
              <w:rPr>
                <w:rFonts w:hint="eastAsia" w:cs="Times New Roman"/>
                <w:color w:val="auto"/>
                <w:lang w:eastAsia="zh-CN"/>
              </w:rPr>
              <w:t>环境保护</w:t>
            </w:r>
            <w:r>
              <w:rPr>
                <w:rFonts w:hint="default" w:ascii="Times New Roman" w:hAnsi="Times New Roman" w:cs="Times New Roman"/>
                <w:color w:val="auto"/>
              </w:rPr>
              <w:t>措施见表</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-1</w:t>
            </w:r>
            <w:r>
              <w:rPr>
                <w:rFonts w:hint="eastAsia" w:ascii="Times New Roman" w:hAnsi="Times New Roman" w:cs="Times New Roman"/>
                <w:color w:val="auto"/>
                <w:lang w:val="en-US" w:eastAsia="zh-CN"/>
              </w:rPr>
              <w:t>6</w:t>
            </w:r>
            <w:r>
              <w:rPr>
                <w:rFonts w:hint="default" w:ascii="Times New Roman" w:hAnsi="Times New Roman" w:cs="Times New Roman"/>
                <w:color w:val="auto"/>
              </w:rPr>
              <w:t>。</w:t>
            </w:r>
          </w:p>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表</w:t>
            </w:r>
            <w:r>
              <w:rPr>
                <w:rFonts w:hint="eastAsia" w:ascii="Times New Roman" w:hAnsi="Times New Roman" w:eastAsia="宋体" w:cs="Times New Roman"/>
                <w:b/>
                <w:bCs/>
                <w:color w:val="auto"/>
                <w:sz w:val="21"/>
                <w:szCs w:val="21"/>
                <w:lang w:val="en-US" w:eastAsia="zh-CN"/>
              </w:rPr>
              <w:t>6</w:t>
            </w:r>
            <w:r>
              <w:rPr>
                <w:rFonts w:hint="default" w:ascii="Times New Roman" w:hAnsi="Times New Roman" w:eastAsia="宋体" w:cs="Times New Roman"/>
                <w:b/>
                <w:bCs/>
                <w:color w:val="auto"/>
                <w:sz w:val="21"/>
                <w:szCs w:val="21"/>
                <w:lang w:val="en-US" w:eastAsia="zh-CN"/>
              </w:rPr>
              <w:t>-1</w:t>
            </w:r>
            <w:r>
              <w:rPr>
                <w:rFonts w:hint="eastAsia" w:eastAsia="宋体" w:cs="Times New Roman"/>
                <w:b/>
                <w:bCs/>
                <w:color w:val="auto"/>
                <w:sz w:val="21"/>
                <w:szCs w:val="21"/>
                <w:lang w:val="en-US" w:eastAsia="zh-CN"/>
              </w:rPr>
              <w:t>5</w:t>
            </w:r>
            <w:r>
              <w:rPr>
                <w:rFonts w:hint="default"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lang w:eastAsia="zh-CN"/>
              </w:rPr>
              <w:t xml:space="preserve">  环保投资估算一览表</w:t>
            </w:r>
          </w:p>
          <w:tbl>
            <w:tblPr>
              <w:tblStyle w:val="20"/>
              <w:tblW w:w="861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866"/>
              <w:gridCol w:w="2117"/>
              <w:gridCol w:w="2772"/>
              <w:gridCol w:w="11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类型</w:t>
                  </w:r>
                </w:p>
              </w:tc>
              <w:tc>
                <w:tcPr>
                  <w:tcW w:w="1866"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污染源</w:t>
                  </w:r>
                </w:p>
              </w:tc>
              <w:tc>
                <w:tcPr>
                  <w:tcW w:w="2117" w:type="dxa"/>
                  <w:tcBorders>
                    <w:tl2br w:val="nil"/>
                    <w:tr2bl w:val="nil"/>
                  </w:tcBorders>
                  <w:vAlign w:val="center"/>
                </w:tcPr>
                <w:p>
                  <w:pPr>
                    <w:pStyle w:val="2"/>
                    <w:snapToGrid w:val="0"/>
                    <w:spacing w:line="240" w:lineRule="auto"/>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污染防治措施</w:t>
                  </w:r>
                </w:p>
              </w:tc>
              <w:tc>
                <w:tcPr>
                  <w:tcW w:w="2772"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数量</w:t>
                  </w:r>
                </w:p>
              </w:tc>
              <w:tc>
                <w:tcPr>
                  <w:tcW w:w="1108"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环保投资</w:t>
                  </w:r>
                </w:p>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废水</w:t>
                  </w:r>
                </w:p>
              </w:tc>
              <w:tc>
                <w:tcPr>
                  <w:tcW w:w="1866"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生活污水</w:t>
                  </w:r>
                </w:p>
              </w:tc>
              <w:tc>
                <w:tcPr>
                  <w:tcW w:w="2117"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排入旱厕，定期清掏</w:t>
                  </w:r>
                </w:p>
              </w:tc>
              <w:tc>
                <w:tcPr>
                  <w:tcW w:w="2772" w:type="dxa"/>
                  <w:tcBorders>
                    <w:tl2br w:val="nil"/>
                    <w:tr2bl w:val="nil"/>
                  </w:tcBorders>
                  <w:vAlign w:val="center"/>
                </w:tcPr>
                <w:p>
                  <w:pPr>
                    <w:pStyle w:val="2"/>
                    <w:snapToGrid w:val="0"/>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rPr>
                    <w:t>1座</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5m</w:t>
                  </w:r>
                  <w:r>
                    <w:rPr>
                      <w:rFonts w:hint="default" w:ascii="Times New Roman" w:hAnsi="Times New Roman" w:cs="Times New Roman"/>
                      <w:szCs w:val="21"/>
                      <w:vertAlign w:val="superscript"/>
                      <w:lang w:val="en-US" w:eastAsia="zh-CN"/>
                    </w:rPr>
                    <w:t>3</w:t>
                  </w:r>
                </w:p>
              </w:tc>
              <w:tc>
                <w:tcPr>
                  <w:tcW w:w="1108" w:type="dxa"/>
                  <w:tcBorders>
                    <w:tl2br w:val="nil"/>
                    <w:tr2bl w:val="nil"/>
                  </w:tcBorders>
                  <w:vAlign w:val="center"/>
                </w:tcPr>
                <w:p>
                  <w:pPr>
                    <w:pStyle w:val="2"/>
                    <w:snapToGrid w:val="0"/>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50" w:type="dxa"/>
                  <w:vMerge w:val="restart"/>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固废</w:t>
                  </w:r>
                </w:p>
              </w:tc>
              <w:tc>
                <w:tcPr>
                  <w:tcW w:w="1866"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生活垃圾</w:t>
                  </w:r>
                </w:p>
              </w:tc>
              <w:tc>
                <w:tcPr>
                  <w:tcW w:w="2117"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垃圾桶若干</w:t>
                  </w:r>
                </w:p>
              </w:tc>
              <w:tc>
                <w:tcPr>
                  <w:tcW w:w="2772"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w:t>
                  </w:r>
                </w:p>
              </w:tc>
              <w:tc>
                <w:tcPr>
                  <w:tcW w:w="1108" w:type="dxa"/>
                  <w:tcBorders>
                    <w:tl2br w:val="nil"/>
                    <w:tr2bl w:val="nil"/>
                  </w:tcBorders>
                  <w:vAlign w:val="center"/>
                </w:tcPr>
                <w:p>
                  <w:pPr>
                    <w:pStyle w:val="2"/>
                    <w:snapToGrid w:val="0"/>
                    <w:spacing w:line="240" w:lineRule="auto"/>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rPr>
                    <w:t>0.</w:t>
                  </w:r>
                  <w:r>
                    <w:rPr>
                      <w:rFonts w:hint="eastAsia" w:ascii="Times New Roman" w:hAnsi="Times New Roman" w:cs="Times New Roman"/>
                      <w:color w:val="auto"/>
                      <w:szCs w:val="21"/>
                      <w:lang w:val="en-US" w:eastAsia="zh-CN"/>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50" w:type="dxa"/>
                  <w:vMerge w:val="continue"/>
                  <w:tcBorders>
                    <w:tl2br w:val="nil"/>
                    <w:tr2bl w:val="nil"/>
                  </w:tcBorders>
                  <w:vAlign w:val="center"/>
                </w:tcPr>
                <w:p>
                  <w:pPr>
                    <w:pStyle w:val="2"/>
                    <w:snapToGrid w:val="0"/>
                    <w:spacing w:line="240" w:lineRule="auto"/>
                    <w:jc w:val="center"/>
                    <w:rPr>
                      <w:rFonts w:hint="default" w:ascii="Times New Roman" w:hAnsi="Times New Roman" w:cs="Times New Roman"/>
                      <w:szCs w:val="21"/>
                    </w:rPr>
                  </w:pPr>
                </w:p>
              </w:tc>
              <w:tc>
                <w:tcPr>
                  <w:tcW w:w="1866"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eastAsia="宋体" w:cs="Times New Roman"/>
                      <w:sz w:val="21"/>
                      <w:szCs w:val="21"/>
                      <w:vertAlign w:val="baseline"/>
                      <w:lang w:val="en-US" w:eastAsia="zh-CN"/>
                    </w:rPr>
                    <w:t>乙二醇包装空桶</w:t>
                  </w:r>
                  <w:r>
                    <w:rPr>
                      <w:rFonts w:hint="eastAsia" w:cs="Times New Roman"/>
                      <w:sz w:val="21"/>
                      <w:szCs w:val="21"/>
                      <w:vertAlign w:val="baseline"/>
                      <w:lang w:val="en-US" w:eastAsia="zh-CN"/>
                    </w:rPr>
                    <w:t>、</w:t>
                  </w:r>
                  <w:r>
                    <w:rPr>
                      <w:rFonts w:hint="default" w:ascii="Times New Roman" w:hAnsi="Times New Roman" w:eastAsia="宋体" w:cs="Times New Roman"/>
                      <w:sz w:val="21"/>
                      <w:szCs w:val="21"/>
                      <w:vertAlign w:val="baseline"/>
                      <w:lang w:val="en-US" w:eastAsia="zh-CN"/>
                    </w:rPr>
                    <w:t>苯甲酸钠、荧光素包装物</w:t>
                  </w:r>
                </w:p>
              </w:tc>
              <w:tc>
                <w:tcPr>
                  <w:tcW w:w="2117" w:type="dxa"/>
                  <w:tcBorders>
                    <w:tl2br w:val="nil"/>
                    <w:tr2bl w:val="nil"/>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eastAsia="zh-CN"/>
                    </w:rPr>
                    <w:t>危险</w:t>
                  </w:r>
                  <w:r>
                    <w:rPr>
                      <w:rFonts w:hint="default" w:ascii="Times New Roman" w:hAnsi="Times New Roman" w:cs="Times New Roman"/>
                      <w:sz w:val="21"/>
                      <w:szCs w:val="21"/>
                    </w:rPr>
                    <w:t>固废暂存区</w:t>
                  </w:r>
                </w:p>
              </w:tc>
              <w:tc>
                <w:tcPr>
                  <w:tcW w:w="2772"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1处</w:t>
                  </w:r>
                </w:p>
              </w:tc>
              <w:tc>
                <w:tcPr>
                  <w:tcW w:w="1108" w:type="dxa"/>
                  <w:tcBorders>
                    <w:tl2br w:val="nil"/>
                    <w:tr2bl w:val="nil"/>
                  </w:tcBorders>
                  <w:vAlign w:val="center"/>
                </w:tcPr>
                <w:p>
                  <w:pPr>
                    <w:pStyle w:val="2"/>
                    <w:snapToGrid w:val="0"/>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10</w:t>
                  </w:r>
                  <w:r>
                    <w:rPr>
                      <w:rFonts w:hint="default" w:ascii="Times New Roman" w:hAnsi="Times New Roman" w:cs="Times New Roman"/>
                      <w:color w:val="auto"/>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50"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噪声</w:t>
                  </w:r>
                </w:p>
              </w:tc>
              <w:tc>
                <w:tcPr>
                  <w:tcW w:w="1866"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设备噪声</w:t>
                  </w:r>
                </w:p>
              </w:tc>
              <w:tc>
                <w:tcPr>
                  <w:tcW w:w="2117"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选用低噪声设备、室内安装、基础减震、建筑隔声、优化布局</w:t>
                  </w:r>
                </w:p>
              </w:tc>
              <w:tc>
                <w:tcPr>
                  <w:tcW w:w="2772" w:type="dxa"/>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w:t>
                  </w:r>
                </w:p>
              </w:tc>
              <w:tc>
                <w:tcPr>
                  <w:tcW w:w="1108" w:type="dxa"/>
                  <w:tcBorders>
                    <w:tl2br w:val="nil"/>
                    <w:tr2bl w:val="nil"/>
                  </w:tcBorders>
                  <w:vAlign w:val="center"/>
                </w:tcPr>
                <w:p>
                  <w:pPr>
                    <w:pStyle w:val="2"/>
                    <w:snapToGrid w:val="0"/>
                    <w:spacing w:line="240" w:lineRule="auto"/>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505" w:type="dxa"/>
                  <w:gridSpan w:val="4"/>
                  <w:tcBorders>
                    <w:tl2br w:val="nil"/>
                    <w:tr2bl w:val="nil"/>
                  </w:tcBorders>
                  <w:vAlign w:val="center"/>
                </w:tcPr>
                <w:p>
                  <w:pPr>
                    <w:pStyle w:val="2"/>
                    <w:snapToGrid w:val="0"/>
                    <w:spacing w:line="240" w:lineRule="auto"/>
                    <w:jc w:val="center"/>
                    <w:rPr>
                      <w:rFonts w:hint="default" w:ascii="Times New Roman" w:hAnsi="Times New Roman" w:cs="Times New Roman"/>
                      <w:szCs w:val="21"/>
                    </w:rPr>
                  </w:pPr>
                  <w:r>
                    <w:rPr>
                      <w:rFonts w:hint="default" w:ascii="Times New Roman" w:hAnsi="Times New Roman" w:cs="Times New Roman"/>
                      <w:szCs w:val="21"/>
                    </w:rPr>
                    <w:t>合计</w:t>
                  </w:r>
                </w:p>
              </w:tc>
              <w:tc>
                <w:tcPr>
                  <w:tcW w:w="1108" w:type="dxa"/>
                  <w:tcBorders>
                    <w:tl2br w:val="nil"/>
                    <w:tr2bl w:val="nil"/>
                  </w:tcBorders>
                  <w:vAlign w:val="center"/>
                </w:tcPr>
                <w:p>
                  <w:pPr>
                    <w:pStyle w:val="2"/>
                    <w:snapToGrid w:val="0"/>
                    <w:spacing w:line="240" w:lineRule="auto"/>
                    <w:jc w:val="center"/>
                    <w:rPr>
                      <w:rFonts w:hint="default" w:ascii="Times New Roman" w:hAnsi="Times New Roman" w:eastAsia="宋体" w:cs="Times New Roman"/>
                      <w:color w:val="00B0F0"/>
                      <w:szCs w:val="21"/>
                      <w:lang w:val="en-US" w:eastAsia="zh-CN"/>
                    </w:rPr>
                  </w:pPr>
                  <w:r>
                    <w:rPr>
                      <w:rFonts w:hint="eastAsia" w:ascii="Times New Roman" w:hAnsi="Times New Roman" w:cs="Times New Roman"/>
                      <w:color w:val="auto"/>
                      <w:szCs w:val="21"/>
                      <w:lang w:val="en-US" w:eastAsia="zh-CN"/>
                    </w:rPr>
                    <w:t>13.5</w:t>
                  </w:r>
                </w:p>
              </w:tc>
            </w:tr>
          </w:tbl>
          <w:p>
            <w:pPr>
              <w:pStyle w:val="24"/>
              <w:keepNext w:val="0"/>
              <w:keepLines w:val="0"/>
              <w:pageBreakBefore w:val="0"/>
              <w:widowControl w:val="0"/>
              <w:kinsoku/>
              <w:wordWrap/>
              <w:overflowPunct/>
              <w:topLinePunct w:val="0"/>
              <w:autoSpaceDE/>
              <w:autoSpaceDN/>
              <w:bidi w:val="0"/>
              <w:adjustRightInd w:val="0"/>
              <w:snapToGrid w:val="0"/>
              <w:spacing w:line="240" w:lineRule="auto"/>
              <w:ind w:firstLine="0"/>
              <w:textAlignment w:val="auto"/>
              <w:outlineLvl w:val="9"/>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表</w:t>
            </w:r>
            <w:r>
              <w:rPr>
                <w:rFonts w:hint="eastAsia" w:ascii="Times New Roman" w:hAnsi="Times New Roman" w:eastAsia="宋体" w:cs="Times New Roman"/>
                <w:b/>
                <w:bCs/>
                <w:color w:val="auto"/>
                <w:sz w:val="21"/>
                <w:szCs w:val="21"/>
                <w:lang w:val="en-US" w:eastAsia="zh-CN"/>
              </w:rPr>
              <w:t>6</w:t>
            </w:r>
            <w:r>
              <w:rPr>
                <w:rFonts w:hint="default" w:ascii="Times New Roman" w:hAnsi="Times New Roman" w:eastAsia="宋体" w:cs="Times New Roman"/>
                <w:b/>
                <w:bCs/>
                <w:color w:val="auto"/>
                <w:sz w:val="21"/>
                <w:szCs w:val="21"/>
                <w:lang w:val="en-US" w:eastAsia="zh-CN"/>
              </w:rPr>
              <w:t>-</w:t>
            </w:r>
            <w:r>
              <w:rPr>
                <w:rFonts w:hint="eastAsia" w:eastAsia="宋体" w:cs="Times New Roman"/>
                <w:b/>
                <w:bCs/>
                <w:color w:val="auto"/>
                <w:sz w:val="21"/>
                <w:szCs w:val="21"/>
                <w:lang w:val="en-US" w:eastAsia="zh-CN"/>
              </w:rPr>
              <w:t>16</w:t>
            </w:r>
            <w:r>
              <w:rPr>
                <w:rFonts w:hint="default"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lang w:eastAsia="zh-CN"/>
              </w:rPr>
              <w:t>环境保护措施一览表</w:t>
            </w:r>
          </w:p>
          <w:tbl>
            <w:tblPr>
              <w:tblStyle w:val="20"/>
              <w:tblW w:w="861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04"/>
              <w:gridCol w:w="2375"/>
              <w:gridCol w:w="1785"/>
              <w:gridCol w:w="24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701"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项目</w:t>
                  </w:r>
                </w:p>
              </w:tc>
              <w:tc>
                <w:tcPr>
                  <w:tcW w:w="130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污染源</w:t>
                  </w:r>
                </w:p>
              </w:tc>
              <w:tc>
                <w:tcPr>
                  <w:tcW w:w="237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环保治理措施</w:t>
                  </w:r>
                </w:p>
              </w:tc>
              <w:tc>
                <w:tcPr>
                  <w:tcW w:w="178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数量</w:t>
                  </w:r>
                </w:p>
              </w:tc>
              <w:tc>
                <w:tcPr>
                  <w:tcW w:w="2448"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验收标准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6" w:hRule="atLeast"/>
                <w:jc w:val="center"/>
              </w:trPr>
              <w:tc>
                <w:tcPr>
                  <w:tcW w:w="701"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废水</w:t>
                  </w:r>
                </w:p>
              </w:tc>
              <w:tc>
                <w:tcPr>
                  <w:tcW w:w="130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生活污水</w:t>
                  </w:r>
                </w:p>
              </w:tc>
              <w:tc>
                <w:tcPr>
                  <w:tcW w:w="237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pacing w:val="2"/>
                      <w:sz w:val="21"/>
                      <w:szCs w:val="21"/>
                      <w:lang w:eastAsia="zh-CN"/>
                    </w:rPr>
                  </w:pPr>
                  <w:r>
                    <w:rPr>
                      <w:rFonts w:hint="default" w:ascii="Times New Roman" w:hAnsi="Times New Roman" w:cs="Times New Roman" w:eastAsiaTheme="minorEastAsia"/>
                      <w:spacing w:val="2"/>
                      <w:sz w:val="21"/>
                      <w:szCs w:val="21"/>
                      <w:lang w:eastAsia="zh-CN"/>
                    </w:rPr>
                    <w:t>旱厕</w:t>
                  </w:r>
                </w:p>
              </w:tc>
              <w:tc>
                <w:tcPr>
                  <w:tcW w:w="178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1座</w:t>
                  </w:r>
                  <w:r>
                    <w:rPr>
                      <w:rFonts w:hint="default" w:ascii="Times New Roman" w:hAnsi="Times New Roman" w:cs="Times New Roman" w:eastAsiaTheme="minorEastAsia"/>
                      <w:sz w:val="21"/>
                      <w:szCs w:val="21"/>
                      <w:lang w:eastAsia="zh-CN"/>
                    </w:rPr>
                    <w:t>，</w:t>
                  </w:r>
                  <w:r>
                    <w:rPr>
                      <w:rFonts w:hint="default" w:ascii="Times New Roman" w:hAnsi="Times New Roman" w:cs="Times New Roman"/>
                      <w:szCs w:val="21"/>
                      <w:lang w:val="en-US" w:eastAsia="zh-CN"/>
                    </w:rPr>
                    <w:t>5m</w:t>
                  </w:r>
                  <w:r>
                    <w:rPr>
                      <w:rFonts w:hint="default" w:ascii="Times New Roman" w:hAnsi="Times New Roman" w:cs="Times New Roman"/>
                      <w:szCs w:val="21"/>
                      <w:vertAlign w:val="superscript"/>
                      <w:lang w:val="en-US" w:eastAsia="zh-CN"/>
                    </w:rPr>
                    <w:t>3</w:t>
                  </w:r>
                </w:p>
              </w:tc>
              <w:tc>
                <w:tcPr>
                  <w:tcW w:w="2448"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综合利用，不外排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1" w:type="dxa"/>
                  <w:vMerge w:val="restar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固废</w:t>
                  </w:r>
                </w:p>
              </w:tc>
              <w:tc>
                <w:tcPr>
                  <w:tcW w:w="130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苯甲酸钠、荧光素包装物</w:t>
                  </w:r>
                </w:p>
              </w:tc>
              <w:tc>
                <w:tcPr>
                  <w:tcW w:w="2375" w:type="dxa"/>
                  <w:tcBorders>
                    <w:tl2br w:val="nil"/>
                    <w:tr2bl w:val="nil"/>
                  </w:tcBorders>
                  <w:vAlign w:val="center"/>
                </w:tcPr>
                <w:p>
                  <w:pPr>
                    <w:spacing w:line="240" w:lineRule="auto"/>
                    <w:ind w:firstLine="0" w:firstLineChars="0"/>
                    <w:jc w:val="center"/>
                    <w:rPr>
                      <w:rFonts w:hint="default" w:ascii="Times New Roman" w:hAnsi="Times New Roman" w:cs="Times New Roman"/>
                    </w:rPr>
                  </w:pPr>
                  <w:r>
                    <w:rPr>
                      <w:rFonts w:hint="default" w:ascii="Times New Roman" w:hAnsi="Times New Roman" w:cs="Times New Roman" w:eastAsiaTheme="minorEastAsia"/>
                      <w:bCs/>
                      <w:color w:val="000000"/>
                      <w:sz w:val="21"/>
                      <w:szCs w:val="21"/>
                    </w:rPr>
                    <w:t>收集后暂存在危废暂存间，定期交由有资质单位回收处理</w:t>
                  </w:r>
                </w:p>
              </w:tc>
              <w:tc>
                <w:tcPr>
                  <w:tcW w:w="1785" w:type="dxa"/>
                  <w:vMerge w:val="restar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r>
                    <w:rPr>
                      <w:rFonts w:hint="eastAsia" w:cs="Times New Roman" w:eastAsiaTheme="minorEastAsia"/>
                      <w:bCs/>
                      <w:color w:val="000000"/>
                      <w:sz w:val="21"/>
                      <w:szCs w:val="21"/>
                      <w:lang w:eastAsia="zh-CN"/>
                    </w:rPr>
                    <w:t>危废暂存间</w:t>
                  </w:r>
                  <w:r>
                    <w:rPr>
                      <w:rFonts w:hint="eastAsia" w:cs="Times New Roman" w:eastAsiaTheme="minorEastAsia"/>
                      <w:bCs/>
                      <w:color w:val="000000"/>
                      <w:sz w:val="21"/>
                      <w:szCs w:val="21"/>
                      <w:lang w:val="en-US" w:eastAsia="zh-CN"/>
                    </w:rPr>
                    <w:t>1座，50</w:t>
                  </w:r>
                  <w:r>
                    <w:rPr>
                      <w:rFonts w:hint="default" w:ascii="Times New Roman" w:hAnsi="Times New Roman" w:cs="Times New Roman"/>
                      <w:szCs w:val="21"/>
                      <w:lang w:val="en-US" w:eastAsia="zh-CN"/>
                    </w:rPr>
                    <w:t>m</w:t>
                  </w:r>
                  <w:r>
                    <w:rPr>
                      <w:rFonts w:hint="eastAsia" w:cs="Times New Roman"/>
                      <w:szCs w:val="21"/>
                      <w:vertAlign w:val="superscript"/>
                      <w:lang w:val="en-US" w:eastAsia="zh-CN"/>
                    </w:rPr>
                    <w:t>2</w:t>
                  </w:r>
                </w:p>
              </w:tc>
              <w:tc>
                <w:tcPr>
                  <w:tcW w:w="2448" w:type="dxa"/>
                  <w:vMerge w:val="restar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固体废物不外排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37" w:hRule="atLeast"/>
                <w:jc w:val="center"/>
              </w:trPr>
              <w:tc>
                <w:tcPr>
                  <w:tcW w:w="701" w:type="dxa"/>
                  <w:vMerge w:val="continue"/>
                  <w:tcBorders>
                    <w:tl2br w:val="nil"/>
                    <w:tr2bl w:val="nil"/>
                  </w:tcBorders>
                  <w:vAlign w:val="center"/>
                </w:tcPr>
                <w:p>
                  <w:pPr>
                    <w:spacing w:line="240" w:lineRule="auto"/>
                    <w:ind w:firstLine="0" w:firstLineChars="0"/>
                    <w:jc w:val="center"/>
                    <w:rPr>
                      <w:rFonts w:hint="default" w:ascii="Times New Roman" w:hAnsi="Times New Roman" w:cs="Times New Roman"/>
                    </w:rPr>
                  </w:pPr>
                </w:p>
              </w:tc>
              <w:tc>
                <w:tcPr>
                  <w:tcW w:w="130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kern w:val="0"/>
                      <w:sz w:val="21"/>
                      <w:szCs w:val="21"/>
                      <w:lang w:eastAsia="zh-CN"/>
                    </w:rPr>
                    <w:t>乙二醇包装空桶</w:t>
                  </w:r>
                </w:p>
              </w:tc>
              <w:tc>
                <w:tcPr>
                  <w:tcW w:w="237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sz w:val="21"/>
                      <w:szCs w:val="21"/>
                      <w:lang w:eastAsia="zh-CN"/>
                    </w:rPr>
                    <w:t>暂存于</w:t>
                  </w:r>
                  <w:r>
                    <w:rPr>
                      <w:rFonts w:hint="default" w:ascii="Times New Roman" w:hAnsi="Times New Roman" w:cs="Times New Roman" w:eastAsiaTheme="minorEastAsia"/>
                      <w:bCs/>
                      <w:color w:val="000000"/>
                      <w:sz w:val="21"/>
                      <w:szCs w:val="21"/>
                    </w:rPr>
                    <w:t>危废暂存间</w:t>
                  </w:r>
                  <w:r>
                    <w:rPr>
                      <w:rFonts w:hint="eastAsia" w:ascii="Times New Roman" w:hAnsi="Times New Roman" w:cs="Times New Roman"/>
                      <w:sz w:val="21"/>
                      <w:szCs w:val="21"/>
                      <w:lang w:eastAsia="zh-CN"/>
                    </w:rPr>
                    <w:t>，定期由厂家回收</w:t>
                  </w:r>
                </w:p>
              </w:tc>
              <w:tc>
                <w:tcPr>
                  <w:tcW w:w="1785" w:type="dxa"/>
                  <w:vMerge w:val="continue"/>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lang w:val="en-US" w:eastAsia="zh-CN"/>
                    </w:rPr>
                  </w:pPr>
                </w:p>
              </w:tc>
              <w:tc>
                <w:tcPr>
                  <w:tcW w:w="2448" w:type="dxa"/>
                  <w:vMerge w:val="continue"/>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1" w:type="dxa"/>
                  <w:vMerge w:val="continue"/>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p>
              </w:tc>
              <w:tc>
                <w:tcPr>
                  <w:tcW w:w="130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生活垃圾</w:t>
                  </w:r>
                </w:p>
              </w:tc>
              <w:tc>
                <w:tcPr>
                  <w:tcW w:w="237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bCs/>
                      <w:color w:val="000000"/>
                      <w:sz w:val="21"/>
                      <w:szCs w:val="21"/>
                    </w:rPr>
                  </w:pPr>
                  <w:r>
                    <w:rPr>
                      <w:rFonts w:hint="default" w:ascii="Times New Roman" w:hAnsi="Times New Roman" w:cs="Times New Roman" w:eastAsiaTheme="minorEastAsia"/>
                      <w:bCs/>
                      <w:color w:val="000000"/>
                      <w:sz w:val="21"/>
                      <w:szCs w:val="21"/>
                    </w:rPr>
                    <w:t>集中收集由环卫部门统一处理</w:t>
                  </w:r>
                </w:p>
              </w:tc>
              <w:tc>
                <w:tcPr>
                  <w:tcW w:w="178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bCs/>
                      <w:color w:val="000000"/>
                      <w:sz w:val="21"/>
                      <w:szCs w:val="21"/>
                    </w:rPr>
                    <w:t>集中收集由环卫部门统一处理</w:t>
                  </w:r>
                </w:p>
              </w:tc>
              <w:tc>
                <w:tcPr>
                  <w:tcW w:w="2448" w:type="dxa"/>
                  <w:vMerge w:val="continue"/>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1"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噪声</w:t>
                  </w:r>
                </w:p>
              </w:tc>
              <w:tc>
                <w:tcPr>
                  <w:tcW w:w="130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设备噪声</w:t>
                  </w:r>
                </w:p>
              </w:tc>
              <w:tc>
                <w:tcPr>
                  <w:tcW w:w="237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bCs/>
                      <w:sz w:val="21"/>
                      <w:szCs w:val="21"/>
                    </w:rPr>
                  </w:pPr>
                  <w:r>
                    <w:rPr>
                      <w:rFonts w:hint="default" w:ascii="Times New Roman" w:hAnsi="Times New Roman" w:cs="Times New Roman"/>
                      <w:spacing w:val="2"/>
                      <w:sz w:val="21"/>
                      <w:szCs w:val="21"/>
                    </w:rPr>
                    <w:t>选用低噪声设备、室内安装、基础减震、建筑隔声、</w:t>
                  </w:r>
                  <w:r>
                    <w:rPr>
                      <w:rFonts w:hint="default" w:ascii="Times New Roman" w:hAnsi="Times New Roman" w:cs="Times New Roman"/>
                      <w:sz w:val="21"/>
                      <w:szCs w:val="21"/>
                    </w:rPr>
                    <w:t>优化布局</w:t>
                  </w:r>
                </w:p>
              </w:tc>
              <w:tc>
                <w:tcPr>
                  <w:tcW w:w="178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spacing w:val="2"/>
                      <w:sz w:val="21"/>
                      <w:szCs w:val="21"/>
                    </w:rPr>
                    <w:t>/</w:t>
                  </w:r>
                </w:p>
              </w:tc>
              <w:tc>
                <w:tcPr>
                  <w:tcW w:w="2448"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《工业企业厂界环境噪声排放标准》（GB12348-2008）中的2类标准</w:t>
                  </w:r>
                </w:p>
              </w:tc>
            </w:tr>
          </w:tbl>
          <w:p>
            <w:pPr>
              <w:ind w:firstLine="0" w:firstLineChars="0"/>
              <w:rPr>
                <w:rFonts w:hint="default" w:ascii="Times New Roman" w:hAnsi="Times New Roman" w:cs="Times New Roman" w:eastAsiaTheme="minorEastAsia"/>
                <w:b/>
                <w:bCs/>
                <w:color w:val="000000"/>
                <w:sz w:val="28"/>
                <w:szCs w:val="28"/>
              </w:rPr>
            </w:pPr>
          </w:p>
        </w:tc>
      </w:tr>
    </w:tbl>
    <w:p>
      <w:pPr>
        <w:pStyle w:val="22"/>
        <w:rPr>
          <w:rFonts w:hint="eastAsia"/>
        </w:rPr>
        <w:sectPr>
          <w:pgSz w:w="11906" w:h="16838"/>
          <w:pgMar w:top="1701" w:right="1588" w:bottom="1701" w:left="1588" w:header="851" w:footer="1134" w:gutter="0"/>
          <w:pgBorders>
            <w:top w:val="none" w:sz="0" w:space="0"/>
            <w:left w:val="none" w:sz="0" w:space="0"/>
            <w:bottom w:val="none" w:sz="0" w:space="0"/>
            <w:right w:val="none" w:sz="0" w:space="0"/>
          </w:pgBorders>
          <w:pgNumType w:fmt="decimal"/>
          <w:cols w:space="720" w:num="1"/>
          <w:docGrid w:type="lines" w:linePitch="312" w:charSpace="0"/>
        </w:sectPr>
      </w:pPr>
    </w:p>
    <w:p>
      <w:pPr>
        <w:pStyle w:val="23"/>
        <w:outlineLvl w:val="0"/>
      </w:pPr>
      <w:r>
        <w:rPr>
          <w:rFonts w:hint="eastAsia"/>
        </w:rPr>
        <w:t>建设项目拟采取的防治措施及预期治理效果</w:t>
      </w:r>
      <w:bookmarkEnd w:id="14"/>
    </w:p>
    <w:tbl>
      <w:tblPr>
        <w:tblStyle w:val="20"/>
        <w:tblW w:w="884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1788"/>
        <w:gridCol w:w="1950"/>
        <w:gridCol w:w="30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817" w:type="dxa"/>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内容</w:t>
            </w:r>
          </w:p>
          <w:p>
            <w:pPr>
              <w:spacing w:line="240" w:lineRule="auto"/>
              <w:ind w:firstLine="0" w:firstLineChars="0"/>
              <w:rPr>
                <w:rFonts w:eastAsiaTheme="minorEastAsia"/>
                <w:bCs/>
                <w:spacing w:val="-6"/>
                <w:szCs w:val="24"/>
              </w:rPr>
            </w:pPr>
            <w:r>
              <w:rPr>
                <w:rFonts w:hAnsiTheme="minorEastAsia" w:eastAsiaTheme="minorEastAsia"/>
                <w:bCs/>
                <w:spacing w:val="-6"/>
                <w:szCs w:val="24"/>
              </w:rPr>
              <w:t>类型</w:t>
            </w:r>
          </w:p>
        </w:tc>
        <w:tc>
          <w:tcPr>
            <w:tcW w:w="1276" w:type="dxa"/>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排放源</w:t>
            </w:r>
          </w:p>
        </w:tc>
        <w:tc>
          <w:tcPr>
            <w:tcW w:w="1788" w:type="dxa"/>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污染物名称</w:t>
            </w:r>
          </w:p>
        </w:tc>
        <w:tc>
          <w:tcPr>
            <w:tcW w:w="1950" w:type="dxa"/>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防治措施</w:t>
            </w:r>
          </w:p>
        </w:tc>
        <w:tc>
          <w:tcPr>
            <w:tcW w:w="3014" w:type="dxa"/>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预期治理效果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817" w:type="dxa"/>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水污染物</w:t>
            </w:r>
          </w:p>
        </w:tc>
        <w:tc>
          <w:tcPr>
            <w:tcW w:w="1276" w:type="dxa"/>
            <w:tcBorders>
              <w:tl2br w:val="nil"/>
              <w:tr2bl w:val="nil"/>
            </w:tcBorders>
            <w:vAlign w:val="center"/>
          </w:tcPr>
          <w:p>
            <w:pPr>
              <w:spacing w:line="240" w:lineRule="auto"/>
              <w:ind w:firstLine="0" w:firstLineChars="0"/>
              <w:jc w:val="center"/>
              <w:rPr>
                <w:rFonts w:eastAsiaTheme="minorEastAsia"/>
                <w:bCs/>
                <w:szCs w:val="24"/>
              </w:rPr>
            </w:pPr>
            <w:r>
              <w:rPr>
                <w:rFonts w:hint="eastAsia" w:eastAsiaTheme="minorEastAsia"/>
                <w:bCs/>
                <w:szCs w:val="24"/>
              </w:rPr>
              <w:t>生活污水</w:t>
            </w:r>
          </w:p>
        </w:tc>
        <w:tc>
          <w:tcPr>
            <w:tcW w:w="1788" w:type="dxa"/>
            <w:tcBorders>
              <w:tl2br w:val="nil"/>
              <w:tr2bl w:val="nil"/>
            </w:tcBorders>
            <w:vAlign w:val="center"/>
          </w:tcPr>
          <w:p>
            <w:pPr>
              <w:spacing w:line="240" w:lineRule="auto"/>
              <w:ind w:firstLine="0" w:firstLineChars="0"/>
              <w:jc w:val="center"/>
              <w:rPr>
                <w:rFonts w:eastAsiaTheme="minorEastAsia"/>
                <w:bCs/>
                <w:szCs w:val="24"/>
              </w:rPr>
            </w:pPr>
            <w:r>
              <w:rPr>
                <w:szCs w:val="24"/>
              </w:rPr>
              <w:t>COD</w:t>
            </w:r>
            <w:r>
              <w:rPr>
                <w:rFonts w:hint="eastAsia"/>
                <w:szCs w:val="24"/>
              </w:rPr>
              <w:t>、</w:t>
            </w:r>
            <w:r>
              <w:rPr>
                <w:szCs w:val="24"/>
              </w:rPr>
              <w:t>BOD</w:t>
            </w:r>
            <w:r>
              <w:rPr>
                <w:rFonts w:hAnsi="宋体"/>
                <w:szCs w:val="24"/>
              </w:rPr>
              <w:t>、</w:t>
            </w:r>
            <w:r>
              <w:rPr>
                <w:szCs w:val="24"/>
              </w:rPr>
              <w:t>SS</w:t>
            </w:r>
            <w:r>
              <w:rPr>
                <w:rFonts w:hAnsi="宋体"/>
                <w:szCs w:val="24"/>
              </w:rPr>
              <w:t>、</w:t>
            </w:r>
            <w:r>
              <w:rPr>
                <w:rFonts w:hint="eastAsia"/>
                <w:szCs w:val="24"/>
              </w:rPr>
              <w:t>氨氮</w:t>
            </w:r>
          </w:p>
        </w:tc>
        <w:tc>
          <w:tcPr>
            <w:tcW w:w="1950" w:type="dxa"/>
            <w:tcBorders>
              <w:tl2br w:val="nil"/>
              <w:tr2bl w:val="nil"/>
            </w:tcBorders>
            <w:vAlign w:val="center"/>
          </w:tcPr>
          <w:p>
            <w:pPr>
              <w:spacing w:line="240" w:lineRule="auto"/>
              <w:ind w:firstLine="0" w:firstLineChars="0"/>
              <w:jc w:val="center"/>
              <w:rPr>
                <w:rFonts w:eastAsiaTheme="minorEastAsia"/>
                <w:szCs w:val="24"/>
              </w:rPr>
            </w:pPr>
            <w:r>
              <w:rPr>
                <w:rFonts w:hint="eastAsia" w:eastAsiaTheme="minorEastAsia"/>
                <w:szCs w:val="24"/>
                <w:lang w:eastAsia="zh-CN"/>
              </w:rPr>
              <w:t>盥洗废水泼洒扬尘；其余</w:t>
            </w:r>
            <w:r>
              <w:rPr>
                <w:rFonts w:hint="eastAsia" w:eastAsiaTheme="minorEastAsia"/>
                <w:szCs w:val="24"/>
              </w:rPr>
              <w:t>排入旱厕，定期清掏</w:t>
            </w:r>
          </w:p>
        </w:tc>
        <w:tc>
          <w:tcPr>
            <w:tcW w:w="3014" w:type="dxa"/>
            <w:tcBorders>
              <w:tl2br w:val="nil"/>
              <w:tr2bl w:val="nil"/>
            </w:tcBorders>
            <w:vAlign w:val="center"/>
          </w:tcPr>
          <w:p>
            <w:pPr>
              <w:spacing w:line="240" w:lineRule="auto"/>
              <w:ind w:firstLine="0" w:firstLineChars="0"/>
              <w:jc w:val="center"/>
              <w:rPr>
                <w:rFonts w:eastAsiaTheme="minorEastAsia"/>
                <w:szCs w:val="24"/>
              </w:rPr>
            </w:pPr>
            <w:r>
              <w:rPr>
                <w:rFonts w:hint="eastAsia" w:eastAsiaTheme="minorEastAsia"/>
                <w:szCs w:val="24"/>
              </w:rPr>
              <w:t>综合利用，不外排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817" w:type="dxa"/>
            <w:vMerge w:val="restart"/>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固体废物</w:t>
            </w:r>
          </w:p>
        </w:tc>
        <w:tc>
          <w:tcPr>
            <w:tcW w:w="1276" w:type="dxa"/>
            <w:tcBorders>
              <w:tl2br w:val="nil"/>
              <w:tr2bl w:val="nil"/>
            </w:tcBorders>
            <w:vAlign w:val="center"/>
          </w:tcPr>
          <w:p>
            <w:pPr>
              <w:spacing w:line="240" w:lineRule="auto"/>
              <w:ind w:firstLine="0" w:firstLineChars="0"/>
              <w:jc w:val="center"/>
              <w:rPr>
                <w:rFonts w:hint="eastAsia" w:eastAsiaTheme="minorEastAsia"/>
                <w:bCs/>
                <w:szCs w:val="24"/>
                <w:lang w:eastAsia="zh-CN"/>
              </w:rPr>
            </w:pPr>
            <w:r>
              <w:rPr>
                <w:rFonts w:hint="eastAsia" w:eastAsiaTheme="minorEastAsia"/>
                <w:bCs/>
                <w:szCs w:val="24"/>
              </w:rPr>
              <w:t>生活区</w:t>
            </w:r>
          </w:p>
        </w:tc>
        <w:tc>
          <w:tcPr>
            <w:tcW w:w="1788" w:type="dxa"/>
            <w:tcBorders>
              <w:tl2br w:val="nil"/>
              <w:tr2bl w:val="nil"/>
            </w:tcBorders>
            <w:vAlign w:val="center"/>
          </w:tcPr>
          <w:p>
            <w:pPr>
              <w:spacing w:line="240" w:lineRule="auto"/>
              <w:ind w:firstLine="0" w:firstLineChars="0"/>
              <w:jc w:val="center"/>
              <w:rPr>
                <w:rFonts w:hint="eastAsia" w:eastAsiaTheme="minorEastAsia"/>
                <w:bCs/>
                <w:szCs w:val="24"/>
                <w:lang w:eastAsia="zh-CN"/>
              </w:rPr>
            </w:pPr>
            <w:r>
              <w:rPr>
                <w:rFonts w:hint="eastAsia" w:eastAsiaTheme="minorEastAsia"/>
                <w:bCs/>
                <w:szCs w:val="24"/>
              </w:rPr>
              <w:t>生活垃圾</w:t>
            </w:r>
          </w:p>
        </w:tc>
        <w:tc>
          <w:tcPr>
            <w:tcW w:w="1950" w:type="dxa"/>
            <w:tcBorders>
              <w:tl2br w:val="nil"/>
              <w:tr2bl w:val="nil"/>
            </w:tcBorders>
            <w:vAlign w:val="center"/>
          </w:tcPr>
          <w:p>
            <w:pPr>
              <w:spacing w:line="240" w:lineRule="auto"/>
              <w:ind w:firstLine="0" w:firstLineChars="0"/>
              <w:jc w:val="center"/>
              <w:rPr>
                <w:rFonts w:eastAsiaTheme="minorEastAsia"/>
                <w:bCs/>
                <w:szCs w:val="24"/>
              </w:rPr>
            </w:pPr>
            <w:r>
              <w:rPr>
                <w:rFonts w:hint="eastAsia" w:eastAsiaTheme="minorEastAsia"/>
                <w:bCs/>
                <w:szCs w:val="24"/>
              </w:rPr>
              <w:t>集中收集由环卫部门统一处理</w:t>
            </w:r>
          </w:p>
        </w:tc>
        <w:tc>
          <w:tcPr>
            <w:tcW w:w="3014" w:type="dxa"/>
            <w:vMerge w:val="restart"/>
            <w:tcBorders>
              <w:tl2br w:val="nil"/>
              <w:tr2bl w:val="nil"/>
            </w:tcBorders>
            <w:vAlign w:val="center"/>
          </w:tcPr>
          <w:p>
            <w:pPr>
              <w:spacing w:line="240" w:lineRule="auto"/>
              <w:ind w:firstLine="0" w:firstLineChars="0"/>
              <w:jc w:val="center"/>
              <w:rPr>
                <w:rFonts w:eastAsiaTheme="minorEastAsia"/>
                <w:bCs/>
                <w:spacing w:val="-6"/>
                <w:szCs w:val="24"/>
              </w:rPr>
            </w:pPr>
            <w:r>
              <w:rPr>
                <w:rFonts w:hint="eastAsia" w:eastAsiaTheme="minorEastAsia"/>
                <w:bCs/>
                <w:spacing w:val="-6"/>
                <w:szCs w:val="24"/>
              </w:rPr>
              <w:t>（GB18597-2001）及</w:t>
            </w:r>
            <w:r>
              <w:rPr>
                <w:rFonts w:hint="eastAsia" w:eastAsiaTheme="minorEastAsia"/>
                <w:bCs/>
                <w:spacing w:val="-6"/>
                <w:szCs w:val="24"/>
                <w:lang w:val="en-US" w:eastAsia="zh-CN"/>
              </w:rPr>
              <w:t>2013</w:t>
            </w:r>
            <w:r>
              <w:rPr>
                <w:rFonts w:hint="eastAsia" w:eastAsiaTheme="minorEastAsia"/>
                <w:bCs/>
                <w:spacing w:val="-6"/>
                <w:szCs w:val="24"/>
              </w:rPr>
              <w:t>修改单的相关规定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817" w:type="dxa"/>
            <w:vMerge w:val="continue"/>
            <w:tcBorders>
              <w:tl2br w:val="nil"/>
              <w:tr2bl w:val="nil"/>
            </w:tcBorders>
            <w:vAlign w:val="center"/>
          </w:tcPr>
          <w:p>
            <w:pPr>
              <w:spacing w:line="240" w:lineRule="auto"/>
              <w:ind w:firstLine="0" w:firstLineChars="0"/>
              <w:jc w:val="center"/>
            </w:pPr>
          </w:p>
        </w:tc>
        <w:tc>
          <w:tcPr>
            <w:tcW w:w="1276" w:type="dxa"/>
            <w:vMerge w:val="restart"/>
            <w:tcBorders>
              <w:tl2br w:val="nil"/>
              <w:tr2bl w:val="nil"/>
            </w:tcBorders>
            <w:vAlign w:val="center"/>
          </w:tcPr>
          <w:p>
            <w:pPr>
              <w:spacing w:line="240" w:lineRule="auto"/>
              <w:ind w:firstLine="0" w:firstLineChars="0"/>
              <w:jc w:val="center"/>
              <w:rPr>
                <w:rFonts w:eastAsiaTheme="minorEastAsia"/>
                <w:bCs/>
                <w:szCs w:val="24"/>
              </w:rPr>
            </w:pPr>
            <w:r>
              <w:rPr>
                <w:rFonts w:hint="eastAsia" w:eastAsiaTheme="minorEastAsia"/>
                <w:bCs/>
                <w:szCs w:val="24"/>
              </w:rPr>
              <w:t>生产过程</w:t>
            </w:r>
          </w:p>
        </w:tc>
        <w:tc>
          <w:tcPr>
            <w:tcW w:w="1788" w:type="dxa"/>
            <w:tcBorders>
              <w:tl2br w:val="nil"/>
              <w:tr2bl w:val="nil"/>
            </w:tcBorders>
            <w:vAlign w:val="center"/>
          </w:tcPr>
          <w:p>
            <w:pPr>
              <w:spacing w:line="240" w:lineRule="auto"/>
              <w:ind w:firstLine="0" w:firstLineChars="0"/>
              <w:jc w:val="center"/>
              <w:rPr>
                <w:rFonts w:hint="eastAsia" w:eastAsiaTheme="minorEastAsia"/>
                <w:bCs/>
                <w:szCs w:val="24"/>
                <w:lang w:eastAsia="zh-CN"/>
              </w:rPr>
            </w:pPr>
            <w:r>
              <w:rPr>
                <w:rFonts w:hint="eastAsia" w:eastAsiaTheme="minorEastAsia"/>
                <w:szCs w:val="24"/>
                <w:lang w:eastAsia="zh-CN"/>
              </w:rPr>
              <w:t>苯甲酸钠、荧光素包装物</w:t>
            </w:r>
          </w:p>
        </w:tc>
        <w:tc>
          <w:tcPr>
            <w:tcW w:w="1950" w:type="dxa"/>
            <w:vMerge w:val="restart"/>
            <w:tcBorders>
              <w:tl2br w:val="nil"/>
              <w:tr2bl w:val="nil"/>
            </w:tcBorders>
            <w:vAlign w:val="center"/>
          </w:tcPr>
          <w:p>
            <w:pPr>
              <w:spacing w:line="240" w:lineRule="auto"/>
              <w:ind w:firstLine="0" w:firstLineChars="0"/>
              <w:jc w:val="center"/>
              <w:rPr>
                <w:rFonts w:eastAsiaTheme="minorEastAsia"/>
                <w:bCs/>
                <w:sz w:val="32"/>
                <w:szCs w:val="32"/>
              </w:rPr>
            </w:pPr>
            <w:r>
              <w:rPr>
                <w:rFonts w:hint="default" w:ascii="Times New Roman" w:hAnsi="Times New Roman" w:cs="Times New Roman" w:eastAsiaTheme="minorEastAsia"/>
                <w:bCs/>
                <w:color w:val="000000"/>
                <w:sz w:val="24"/>
                <w:szCs w:val="24"/>
              </w:rPr>
              <w:t>收集后暂存在危废暂存间，定期交由有资质单位回收处理</w:t>
            </w:r>
          </w:p>
        </w:tc>
        <w:tc>
          <w:tcPr>
            <w:tcW w:w="3014" w:type="dxa"/>
            <w:vMerge w:val="continue"/>
            <w:tcBorders>
              <w:tl2br w:val="nil"/>
              <w:tr2bl w:val="nil"/>
            </w:tcBorders>
            <w:vAlign w:val="center"/>
          </w:tcPr>
          <w:p>
            <w:pPr>
              <w:spacing w:line="240" w:lineRule="auto"/>
              <w:ind w:firstLine="0" w:firstLineChars="0"/>
              <w:jc w:val="center"/>
              <w:rPr>
                <w:rFonts w:hint="eastAsia" w:eastAsiaTheme="minorEastAsia"/>
                <w:bCs/>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817" w:type="dxa"/>
            <w:vMerge w:val="continue"/>
            <w:tcBorders>
              <w:tl2br w:val="nil"/>
              <w:tr2bl w:val="nil"/>
            </w:tcBorders>
            <w:vAlign w:val="center"/>
          </w:tcPr>
          <w:p>
            <w:pPr>
              <w:spacing w:line="240" w:lineRule="auto"/>
              <w:ind w:firstLine="0" w:firstLineChars="0"/>
              <w:jc w:val="center"/>
            </w:pPr>
          </w:p>
        </w:tc>
        <w:tc>
          <w:tcPr>
            <w:tcW w:w="1276" w:type="dxa"/>
            <w:vMerge w:val="continue"/>
            <w:tcBorders>
              <w:tl2br w:val="nil"/>
              <w:tr2bl w:val="nil"/>
            </w:tcBorders>
            <w:vAlign w:val="center"/>
          </w:tcPr>
          <w:p>
            <w:pPr>
              <w:spacing w:line="240" w:lineRule="auto"/>
              <w:ind w:firstLine="0" w:firstLineChars="0"/>
              <w:jc w:val="center"/>
            </w:pPr>
          </w:p>
        </w:tc>
        <w:tc>
          <w:tcPr>
            <w:tcW w:w="1788" w:type="dxa"/>
            <w:tcBorders>
              <w:tl2br w:val="nil"/>
              <w:tr2bl w:val="nil"/>
            </w:tcBorders>
            <w:vAlign w:val="center"/>
          </w:tcPr>
          <w:p>
            <w:pPr>
              <w:spacing w:line="240" w:lineRule="auto"/>
              <w:ind w:firstLine="0" w:firstLineChars="0"/>
              <w:jc w:val="center"/>
              <w:rPr>
                <w:rFonts w:hint="eastAsia" w:eastAsiaTheme="minorEastAsia"/>
                <w:szCs w:val="24"/>
                <w:highlight w:val="none"/>
                <w:lang w:eastAsia="zh-CN"/>
              </w:rPr>
            </w:pPr>
            <w:r>
              <w:rPr>
                <w:rFonts w:hint="eastAsia" w:eastAsiaTheme="minorEastAsia"/>
                <w:szCs w:val="24"/>
                <w:highlight w:val="none"/>
                <w:lang w:eastAsia="zh-CN"/>
              </w:rPr>
              <w:t>乙二醇包装空桶</w:t>
            </w:r>
          </w:p>
        </w:tc>
        <w:tc>
          <w:tcPr>
            <w:tcW w:w="195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Theme="minorEastAsia"/>
                <w:sz w:val="32"/>
                <w:szCs w:val="32"/>
                <w:highlight w:val="none"/>
                <w:lang w:eastAsia="zh-CN"/>
              </w:rPr>
            </w:pPr>
            <w:r>
              <w:rPr>
                <w:rFonts w:hint="default" w:ascii="Times New Roman" w:hAnsi="Times New Roman" w:cs="Times New Roman"/>
                <w:sz w:val="24"/>
                <w:szCs w:val="24"/>
                <w:lang w:eastAsia="zh-CN"/>
              </w:rPr>
              <w:t>暂存于</w:t>
            </w:r>
            <w:r>
              <w:rPr>
                <w:rFonts w:hint="default" w:ascii="Times New Roman" w:hAnsi="Times New Roman" w:cs="Times New Roman" w:eastAsiaTheme="minorEastAsia"/>
                <w:bCs/>
                <w:color w:val="000000"/>
                <w:sz w:val="24"/>
                <w:szCs w:val="24"/>
              </w:rPr>
              <w:t>危废暂存间</w:t>
            </w:r>
            <w:r>
              <w:rPr>
                <w:rFonts w:hint="eastAsia" w:ascii="Times New Roman" w:hAnsi="Times New Roman" w:cs="Times New Roman"/>
                <w:sz w:val="24"/>
                <w:szCs w:val="24"/>
                <w:lang w:eastAsia="zh-CN"/>
              </w:rPr>
              <w:t>，定期由厂家回收</w:t>
            </w:r>
          </w:p>
        </w:tc>
        <w:tc>
          <w:tcPr>
            <w:tcW w:w="3014" w:type="dxa"/>
            <w:vMerge w:val="continue"/>
            <w:tcBorders>
              <w:tl2br w:val="nil"/>
              <w:tr2bl w:val="nil"/>
            </w:tcBorders>
            <w:vAlign w:val="center"/>
          </w:tcPr>
          <w:p>
            <w:pPr>
              <w:spacing w:line="240" w:lineRule="auto"/>
              <w:ind w:firstLine="0" w:firstLineChars="0"/>
              <w:jc w:val="center"/>
              <w:rPr>
                <w:rFonts w:hint="eastAsia" w:eastAsiaTheme="minorEastAsia"/>
                <w:szCs w:val="24"/>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817" w:type="dxa"/>
            <w:tcBorders>
              <w:tl2br w:val="nil"/>
              <w:tr2bl w:val="nil"/>
            </w:tcBorders>
            <w:vAlign w:val="center"/>
          </w:tcPr>
          <w:p>
            <w:pPr>
              <w:spacing w:line="240" w:lineRule="auto"/>
              <w:ind w:firstLine="0" w:firstLineChars="0"/>
              <w:jc w:val="center"/>
              <w:rPr>
                <w:rFonts w:eastAsiaTheme="minorEastAsia"/>
                <w:bCs/>
                <w:spacing w:val="-6"/>
                <w:szCs w:val="24"/>
              </w:rPr>
            </w:pPr>
            <w:r>
              <w:rPr>
                <w:rFonts w:hAnsiTheme="minorEastAsia" w:eastAsiaTheme="minorEastAsia"/>
                <w:bCs/>
                <w:spacing w:val="-6"/>
                <w:szCs w:val="24"/>
              </w:rPr>
              <w:t>噪声</w:t>
            </w:r>
          </w:p>
        </w:tc>
        <w:tc>
          <w:tcPr>
            <w:tcW w:w="1276" w:type="dxa"/>
            <w:tcBorders>
              <w:tl2br w:val="nil"/>
              <w:tr2bl w:val="nil"/>
            </w:tcBorders>
            <w:vAlign w:val="center"/>
          </w:tcPr>
          <w:p>
            <w:pPr>
              <w:pStyle w:val="9"/>
              <w:spacing w:after="0" w:line="240" w:lineRule="auto"/>
              <w:ind w:left="0" w:leftChars="0" w:firstLine="0" w:firstLineChars="0"/>
              <w:jc w:val="center"/>
              <w:rPr>
                <w:rFonts w:eastAsiaTheme="minorEastAsia"/>
                <w:szCs w:val="24"/>
              </w:rPr>
            </w:pPr>
            <w:r>
              <w:rPr>
                <w:rFonts w:hint="eastAsia" w:eastAsiaTheme="minorEastAsia"/>
                <w:szCs w:val="24"/>
              </w:rPr>
              <w:t>设备噪声</w:t>
            </w:r>
          </w:p>
        </w:tc>
        <w:tc>
          <w:tcPr>
            <w:tcW w:w="3738" w:type="dxa"/>
            <w:gridSpan w:val="2"/>
            <w:tcBorders>
              <w:tl2br w:val="nil"/>
              <w:tr2bl w:val="nil"/>
            </w:tcBorders>
            <w:vAlign w:val="center"/>
          </w:tcPr>
          <w:p>
            <w:pPr>
              <w:spacing w:line="240" w:lineRule="auto"/>
              <w:ind w:firstLine="0" w:firstLineChars="0"/>
              <w:jc w:val="center"/>
              <w:rPr>
                <w:rFonts w:eastAsiaTheme="minorEastAsia"/>
                <w:szCs w:val="24"/>
              </w:rPr>
            </w:pPr>
            <w:r>
              <w:rPr>
                <w:rFonts w:hint="eastAsia" w:eastAsiaTheme="minorEastAsia"/>
                <w:szCs w:val="24"/>
              </w:rPr>
              <w:t>选用低噪声设备、室内安装、基础减震、建筑隔声、优化布局</w:t>
            </w:r>
          </w:p>
        </w:tc>
        <w:tc>
          <w:tcPr>
            <w:tcW w:w="3014" w:type="dxa"/>
            <w:tcBorders>
              <w:tl2br w:val="nil"/>
              <w:tr2bl w:val="nil"/>
            </w:tcBorders>
            <w:vAlign w:val="center"/>
          </w:tcPr>
          <w:p>
            <w:pPr>
              <w:spacing w:line="240" w:lineRule="auto"/>
              <w:ind w:firstLine="0" w:firstLineChars="0"/>
              <w:jc w:val="center"/>
              <w:rPr>
                <w:rFonts w:eastAsiaTheme="minorEastAsia"/>
                <w:szCs w:val="24"/>
              </w:rPr>
            </w:pPr>
            <w:r>
              <w:rPr>
                <w:rFonts w:hint="eastAsia" w:eastAsiaTheme="minorEastAsia"/>
                <w:szCs w:val="24"/>
              </w:rPr>
              <w:t>《工业企业厂界环境噪声排放标准》（GB12348-2008）2类标准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trPr>
        <w:tc>
          <w:tcPr>
            <w:tcW w:w="8845" w:type="dxa"/>
            <w:gridSpan w:val="5"/>
            <w:tcBorders>
              <w:tl2br w:val="nil"/>
              <w:tr2bl w:val="nil"/>
            </w:tcBorders>
            <w:vAlign w:val="center"/>
          </w:tcPr>
          <w:p>
            <w:pPr>
              <w:ind w:firstLine="0" w:firstLineChars="0"/>
              <w:rPr>
                <w:b/>
                <w:bCs/>
                <w:szCs w:val="24"/>
              </w:rPr>
            </w:pPr>
            <w:r>
              <w:rPr>
                <w:b/>
                <w:bCs/>
                <w:szCs w:val="24"/>
              </w:rPr>
              <w:t>生态保护措施及预期效果</w:t>
            </w:r>
            <w:r>
              <w:rPr>
                <w:rFonts w:hint="eastAsia"/>
                <w:b/>
                <w:bCs/>
                <w:szCs w:val="24"/>
              </w:rPr>
              <w:t>：</w:t>
            </w:r>
          </w:p>
          <w:p>
            <w:pPr>
              <w:ind w:firstLine="480"/>
              <w:rPr>
                <w:rFonts w:hint="eastAsia"/>
                <w:szCs w:val="24"/>
              </w:rPr>
            </w:pPr>
            <w:r>
              <w:rPr>
                <w:rFonts w:hint="eastAsia"/>
                <w:szCs w:val="24"/>
              </w:rPr>
              <w:t>项目运营后，生产过程中产生的废水、固废经过采取有效的防治措施后，可以达到相应的标准。项目实施后，基本不改变评价区的生态系统结构和生态系统功能，对周围的生态环境影响较小。</w:t>
            </w:r>
          </w:p>
        </w:tc>
      </w:tr>
    </w:tbl>
    <w:p>
      <w:pPr>
        <w:rPr>
          <w:rFonts w:hint="eastAsia"/>
        </w:rPr>
        <w:sectPr>
          <w:pgSz w:w="11906" w:h="16838"/>
          <w:pgMar w:top="1701" w:right="1588" w:bottom="1701" w:left="1588" w:header="851" w:footer="1134" w:gutter="0"/>
          <w:pgBorders>
            <w:top w:val="none" w:sz="0" w:space="0"/>
            <w:left w:val="none" w:sz="0" w:space="0"/>
            <w:bottom w:val="none" w:sz="0" w:space="0"/>
            <w:right w:val="none" w:sz="0" w:space="0"/>
          </w:pgBorders>
          <w:pgNumType w:fmt="decimal"/>
          <w:cols w:space="720" w:num="1"/>
          <w:docGrid w:type="lines" w:linePitch="312" w:charSpace="0"/>
        </w:sectPr>
      </w:pPr>
      <w:bookmarkStart w:id="16" w:name="_Toc478030065"/>
    </w:p>
    <w:p>
      <w:pPr>
        <w:pStyle w:val="23"/>
        <w:outlineLvl w:val="0"/>
      </w:pPr>
      <w:r>
        <w:rPr>
          <w:rFonts w:hint="eastAsia"/>
        </w:rPr>
        <w:t>结论与建议</w:t>
      </w:r>
      <w:bookmarkEnd w:id="16"/>
    </w:p>
    <w:tbl>
      <w:tblPr>
        <w:tblStyle w:val="21"/>
        <w:tblW w:w="8845"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84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0" w:hRule="atLeast"/>
        </w:trPr>
        <w:tc>
          <w:tcPr>
            <w:tcW w:w="8845" w:type="dxa"/>
            <w:tcBorders>
              <w:tl2br w:val="nil"/>
              <w:tr2bl w:val="nil"/>
            </w:tcBorders>
            <w:vAlign w:val="top"/>
          </w:tcPr>
          <w:p>
            <w:pPr>
              <w:pStyle w:val="5"/>
              <w:ind w:firstLine="482"/>
              <w:rPr>
                <w:b/>
                <w:bCs/>
                <w:sz w:val="24"/>
                <w:szCs w:val="24"/>
              </w:rPr>
            </w:pPr>
            <w:r>
              <w:rPr>
                <w:rFonts w:hint="eastAsia"/>
                <w:b/>
                <w:bCs/>
                <w:sz w:val="24"/>
                <w:szCs w:val="24"/>
              </w:rPr>
              <w:t>一、结论</w:t>
            </w:r>
          </w:p>
          <w:p>
            <w:pPr>
              <w:pStyle w:val="5"/>
              <w:ind w:firstLine="482"/>
              <w:rPr>
                <w:b/>
                <w:bCs/>
                <w:sz w:val="24"/>
                <w:szCs w:val="24"/>
              </w:rPr>
            </w:pPr>
            <w:r>
              <w:rPr>
                <w:b/>
                <w:bCs/>
                <w:sz w:val="24"/>
                <w:szCs w:val="24"/>
              </w:rPr>
              <w:t>1</w:t>
            </w:r>
            <w:r>
              <w:rPr>
                <w:rFonts w:hint="eastAsia"/>
                <w:b/>
                <w:bCs/>
                <w:sz w:val="24"/>
                <w:szCs w:val="24"/>
              </w:rPr>
              <w:t>、项目概况</w:t>
            </w:r>
          </w:p>
          <w:p>
            <w:pPr>
              <w:ind w:firstLine="480"/>
              <w:rPr>
                <w:rFonts w:hint="eastAsia" w:eastAsia="宋体"/>
                <w:highlight w:val="none"/>
                <w:lang w:val="en-US" w:eastAsia="zh-CN"/>
              </w:rPr>
            </w:pPr>
            <w:r>
              <w:rPr>
                <w:rFonts w:hint="eastAsia"/>
                <w:color w:val="auto"/>
              </w:rPr>
              <w:t>本项目为</w:t>
            </w:r>
            <w:r>
              <w:rPr>
                <w:rFonts w:hint="eastAsia"/>
                <w:color w:val="auto"/>
                <w:lang w:eastAsia="zh-CN"/>
              </w:rPr>
              <w:t>陕西润业工贸防冻液生产项目</w:t>
            </w:r>
            <w:r>
              <w:rPr>
                <w:rFonts w:hint="eastAsia"/>
                <w:color w:val="auto"/>
                <w:highlight w:val="none"/>
              </w:rPr>
              <w:t>，项目总投资100万元，其中环保投资</w:t>
            </w:r>
            <w:r>
              <w:rPr>
                <w:rFonts w:hint="eastAsia"/>
                <w:color w:val="auto"/>
                <w:highlight w:val="none"/>
                <w:lang w:val="en-US" w:eastAsia="zh-CN"/>
              </w:rPr>
              <w:t>13.5</w:t>
            </w:r>
            <w:r>
              <w:rPr>
                <w:rFonts w:hint="eastAsia"/>
                <w:color w:val="auto"/>
                <w:highlight w:val="none"/>
              </w:rPr>
              <w:t>万元，占总投资</w:t>
            </w:r>
            <w:r>
              <w:rPr>
                <w:rFonts w:hint="eastAsia"/>
                <w:color w:val="auto"/>
                <w:highlight w:val="none"/>
                <w:lang w:val="en-US" w:eastAsia="zh-CN"/>
              </w:rPr>
              <w:t>13.5%</w:t>
            </w:r>
            <w:r>
              <w:rPr>
                <w:rFonts w:hint="eastAsia"/>
                <w:color w:val="auto"/>
                <w:highlight w:val="none"/>
              </w:rPr>
              <w:t>，</w:t>
            </w:r>
            <w:r>
              <w:rPr>
                <w:highlight w:val="none"/>
              </w:rPr>
              <w:t>项目位于</w:t>
            </w:r>
            <w:r>
              <w:rPr>
                <w:rFonts w:hint="eastAsia"/>
                <w:highlight w:val="none"/>
                <w:lang w:eastAsia="zh-CN"/>
              </w:rPr>
              <w:t>陕西省西咸新区泾河新城永乐镇铁孟村18号</w:t>
            </w:r>
            <w:r>
              <w:rPr>
                <w:rFonts w:hint="eastAsia"/>
                <w:lang w:eastAsia="zh-CN"/>
              </w:rPr>
              <w:t>。</w:t>
            </w:r>
            <w:r>
              <w:rPr>
                <w:rFonts w:hint="eastAsia"/>
              </w:rPr>
              <w:t>项目</w:t>
            </w:r>
            <w:r>
              <w:rPr>
                <w:rFonts w:hint="eastAsia"/>
                <w:lang w:eastAsia="zh-CN"/>
              </w:rPr>
              <w:t>为租赁厂房，</w:t>
            </w:r>
            <w:r>
              <w:t>总占地</w:t>
            </w:r>
            <w:r>
              <w:rPr>
                <w:rFonts w:hint="eastAsia"/>
                <w:lang w:eastAsia="zh-CN"/>
              </w:rPr>
              <w:t>面积3300</w:t>
            </w:r>
            <w:r>
              <w:t>m</w:t>
            </w:r>
            <w:r>
              <w:rPr>
                <w:vertAlign w:val="superscript"/>
              </w:rPr>
              <w:t>2</w:t>
            </w:r>
            <w:r>
              <w:rPr>
                <w:rFonts w:hint="eastAsia"/>
                <w:lang w:eastAsia="zh-CN"/>
              </w:rPr>
              <w:t>，</w:t>
            </w:r>
            <w:r>
              <w:rPr>
                <w:rFonts w:hint="eastAsia"/>
                <w:color w:val="auto"/>
              </w:rPr>
              <w:t>建筑</w:t>
            </w:r>
            <w:r>
              <w:rPr>
                <w:rFonts w:hint="eastAsia"/>
                <w:color w:val="auto"/>
                <w:highlight w:val="none"/>
              </w:rPr>
              <w:t>面积</w:t>
            </w:r>
            <w:r>
              <w:rPr>
                <w:rFonts w:hint="eastAsia"/>
                <w:color w:val="auto"/>
                <w:highlight w:val="none"/>
                <w:lang w:val="en-US" w:eastAsia="zh-CN"/>
              </w:rPr>
              <w:t>1462</w:t>
            </w:r>
            <w:r>
              <w:rPr>
                <w:color w:val="auto"/>
                <w:highlight w:val="none"/>
              </w:rPr>
              <w:t>m</w:t>
            </w:r>
            <w:r>
              <w:rPr>
                <w:color w:val="auto"/>
                <w:highlight w:val="none"/>
                <w:vertAlign w:val="superscript"/>
              </w:rPr>
              <w:t>2</w:t>
            </w:r>
            <w:r>
              <w:rPr>
                <w:rFonts w:hint="eastAsia"/>
                <w:color w:val="auto"/>
                <w:highlight w:val="none"/>
              </w:rPr>
              <w:t>。</w:t>
            </w:r>
            <w:r>
              <w:rPr>
                <w:rFonts w:hint="eastAsia"/>
                <w:color w:val="auto"/>
                <w:highlight w:val="none"/>
                <w:lang w:eastAsia="zh-CN"/>
              </w:rPr>
              <w:t>主要生产汽车专用防冻液，年产</w:t>
            </w:r>
            <w:r>
              <w:rPr>
                <w:rFonts w:hint="eastAsia"/>
                <w:color w:val="auto"/>
                <w:highlight w:val="none"/>
                <w:lang w:val="en-US" w:eastAsia="zh-CN"/>
              </w:rPr>
              <w:t>2000吨。</w:t>
            </w:r>
          </w:p>
          <w:p>
            <w:pPr>
              <w:ind w:firstLine="482"/>
              <w:rPr>
                <w:b/>
              </w:rPr>
            </w:pPr>
            <w:r>
              <w:rPr>
                <w:rFonts w:hint="eastAsia"/>
                <w:b/>
              </w:rPr>
              <w:t>2、项目产业政策，规划及选址合理性分析</w:t>
            </w:r>
          </w:p>
          <w:p>
            <w:pPr>
              <w:ind w:firstLine="480"/>
              <w:rPr>
                <w:bCs/>
                <w:snapToGrid w:val="0"/>
                <w:kern w:val="0"/>
              </w:rPr>
            </w:pPr>
            <w:r>
              <w:rPr>
                <w:shd w:val="clear" w:color="auto" w:fill="FFFFFF"/>
              </w:rPr>
              <w:t>经查阅国家发展和改革委员会令第21号《产业结构调整指导目录（2011年本）（201</w:t>
            </w:r>
            <w:r>
              <w:rPr>
                <w:rFonts w:hint="eastAsia"/>
                <w:shd w:val="clear" w:color="auto" w:fill="FFFFFF"/>
              </w:rPr>
              <w:t>3</w:t>
            </w:r>
            <w:r>
              <w:rPr>
                <w:shd w:val="clear" w:color="auto" w:fill="FFFFFF"/>
              </w:rPr>
              <w:t>年修正）》，本项目不属于限制类和淘汰类项目，属允许类。</w:t>
            </w:r>
            <w:r>
              <w:rPr>
                <w:rFonts w:hint="eastAsia"/>
              </w:rPr>
              <w:t>此外，本项目不属于《陕西省限制投资类产业指导目录》（陕发改产业[</w:t>
            </w:r>
            <w:r>
              <w:t>2</w:t>
            </w:r>
            <w:r>
              <w:rPr>
                <w:rFonts w:hint="eastAsia"/>
              </w:rPr>
              <w:t>007]97号）。</w:t>
            </w:r>
            <w:r>
              <w:rPr>
                <w:rFonts w:hint="eastAsia"/>
                <w:shd w:val="clear" w:color="auto" w:fill="FFFFFF"/>
                <w:lang w:eastAsia="zh-CN"/>
              </w:rPr>
              <w:t>泾河新城行政审批局</w:t>
            </w:r>
            <w:r>
              <w:rPr>
                <w:shd w:val="clear" w:color="auto" w:fill="FFFFFF"/>
              </w:rPr>
              <w:t>审核后同意备案，项目已取得《陕西省企业投资项目备案确认书》，本项目符合国家产业政策。</w:t>
            </w:r>
          </w:p>
          <w:p>
            <w:pPr>
              <w:ind w:firstLine="480"/>
            </w:pPr>
            <w:r>
              <w:t>本项目位于</w:t>
            </w:r>
            <w:r>
              <w:rPr>
                <w:rFonts w:hint="eastAsia"/>
                <w:lang w:eastAsia="zh-CN"/>
              </w:rPr>
              <w:t>陕西省西咸新区泾河新城永乐镇铁孟村18号</w:t>
            </w:r>
            <w:r>
              <w:t>，项目所占地</w:t>
            </w:r>
            <w:r>
              <w:rPr>
                <w:rFonts w:hint="eastAsia"/>
              </w:rPr>
              <w:t>为工业用地，</w:t>
            </w:r>
            <w:r>
              <w:t>企业已取得</w:t>
            </w:r>
            <w:r>
              <w:rPr>
                <w:rFonts w:hint="eastAsia"/>
                <w:color w:val="auto"/>
              </w:rPr>
              <w:t>泾阳县土地管理局出具的《集体土地建设用地使用证》</w:t>
            </w:r>
            <w:r>
              <w:t>，</w:t>
            </w:r>
            <w:r>
              <w:rPr>
                <w:rFonts w:hint="eastAsia"/>
              </w:rPr>
              <w:t>企业用地为集体建设用地，</w:t>
            </w:r>
            <w:r>
              <w:t>项目选址符合相关政策。</w:t>
            </w:r>
          </w:p>
          <w:p>
            <w:pPr>
              <w:pStyle w:val="5"/>
              <w:ind w:firstLine="482"/>
              <w:rPr>
                <w:b/>
                <w:bCs/>
                <w:sz w:val="24"/>
                <w:szCs w:val="24"/>
              </w:rPr>
            </w:pPr>
            <w:r>
              <w:rPr>
                <w:b/>
                <w:bCs/>
                <w:sz w:val="24"/>
                <w:szCs w:val="24"/>
              </w:rPr>
              <w:t>2</w:t>
            </w:r>
            <w:r>
              <w:rPr>
                <w:rFonts w:hint="eastAsia"/>
                <w:b/>
                <w:bCs/>
                <w:sz w:val="24"/>
                <w:szCs w:val="24"/>
              </w:rPr>
              <w:t>、环境质量现状评价结论</w:t>
            </w:r>
          </w:p>
          <w:p>
            <w:pPr>
              <w:ind w:firstLine="480"/>
            </w:pPr>
            <w:r>
              <w:rPr>
                <w:rFonts w:hint="eastAsia"/>
              </w:rPr>
              <w:t>根据监测结果，项目所在地SO</w:t>
            </w:r>
            <w:r>
              <w:rPr>
                <w:rFonts w:hint="eastAsia"/>
                <w:vertAlign w:val="subscript"/>
              </w:rPr>
              <w:t>2</w:t>
            </w:r>
            <w:r>
              <w:rPr>
                <w:rFonts w:hint="eastAsia"/>
              </w:rPr>
              <w:t>、NO</w:t>
            </w:r>
            <w:r>
              <w:rPr>
                <w:rFonts w:hint="eastAsia"/>
                <w:vertAlign w:val="subscript"/>
              </w:rPr>
              <w:t>2</w:t>
            </w:r>
            <w:r>
              <w:rPr>
                <w:rFonts w:hint="eastAsia"/>
              </w:rPr>
              <w:t>1小时平均值、24小时平均值</w:t>
            </w:r>
            <w:r>
              <w:rPr>
                <w:rFonts w:hint="eastAsia"/>
                <w:lang w:eastAsia="zh-CN"/>
              </w:rPr>
              <w:t>，</w:t>
            </w:r>
            <w:r>
              <w:rPr>
                <w:rFonts w:hint="eastAsia"/>
              </w:rPr>
              <w:t>PM</w:t>
            </w:r>
            <w:r>
              <w:rPr>
                <w:rFonts w:hint="eastAsia"/>
                <w:vertAlign w:val="subscript"/>
                <w:lang w:val="en-US" w:eastAsia="zh-CN"/>
              </w:rPr>
              <w:t>10</w:t>
            </w:r>
            <w:r>
              <w:rPr>
                <w:rFonts w:hint="eastAsia"/>
                <w:vertAlign w:val="baseline"/>
              </w:rPr>
              <w:t>24</w:t>
            </w:r>
            <w:r>
              <w:rPr>
                <w:rFonts w:hint="eastAsia"/>
              </w:rPr>
              <w:t>小时平均值满足《环境空气质量标准》（GB3095-2012）二级标准</w:t>
            </w:r>
            <w:r>
              <w:rPr>
                <w:rFonts w:hint="eastAsia"/>
                <w:color w:val="auto"/>
                <w:sz w:val="24"/>
                <w:szCs w:val="24"/>
                <w:lang w:eastAsia="zh-CN"/>
              </w:rPr>
              <w:t>，</w:t>
            </w:r>
            <w:r>
              <w:rPr>
                <w:rFonts w:hint="eastAsia"/>
              </w:rPr>
              <w:t>项目所在地空气质量较好。</w:t>
            </w:r>
          </w:p>
          <w:p>
            <w:pPr>
              <w:pStyle w:val="31"/>
              <w:spacing w:before="156" w:beforeLines="50"/>
              <w:rPr>
                <w:rFonts w:hint="eastAsia"/>
                <w:color w:val="auto"/>
              </w:rPr>
            </w:pPr>
            <w:r>
              <w:rPr>
                <w:rFonts w:hint="eastAsia"/>
                <w:color w:val="auto"/>
              </w:rPr>
              <w:t>根据监测报告，项目厂界噪声满足《声环境质量标准》（GB3096-2008）中的2类标准值，敏感点满足《声环境质量标准》（GB3096-2008）中的2类标准值。项目所在地声环境质量良好。</w:t>
            </w:r>
          </w:p>
          <w:p>
            <w:pPr>
              <w:pStyle w:val="31"/>
              <w:spacing w:before="156" w:beforeLines="50"/>
              <w:rPr>
                <w:color w:val="FF0000"/>
              </w:rPr>
            </w:pPr>
            <w:r>
              <w:rPr>
                <w:rFonts w:hAnsi="宋体"/>
                <w:color w:val="FF0000"/>
              </w:rPr>
              <w:t>由</w:t>
            </w:r>
            <w:r>
              <w:rPr>
                <w:rFonts w:hint="eastAsia" w:hAnsi="宋体"/>
                <w:color w:val="FF0000"/>
                <w:lang w:eastAsia="zh-CN"/>
              </w:rPr>
              <w:t>地下水</w:t>
            </w:r>
            <w:r>
              <w:rPr>
                <w:rFonts w:hAnsi="宋体"/>
                <w:color w:val="FF0000"/>
              </w:rPr>
              <w:t>监测结果可知，各水质</w:t>
            </w:r>
            <w:r>
              <w:rPr>
                <w:rFonts w:hint="eastAsia" w:hAnsi="宋体"/>
                <w:color w:val="FF0000"/>
                <w:lang w:eastAsia="zh-CN"/>
              </w:rPr>
              <w:t>、水位</w:t>
            </w:r>
            <w:r>
              <w:rPr>
                <w:rFonts w:hAnsi="宋体"/>
                <w:color w:val="FF0000"/>
              </w:rPr>
              <w:t>指标均满足</w:t>
            </w:r>
            <w:r>
              <w:rPr>
                <w:rFonts w:hint="eastAsia" w:hAnsi="宋体"/>
                <w:color w:val="FF0000"/>
              </w:rPr>
              <w:t>《地下水环境质量标准》（GB/T14848-2017）</w:t>
            </w:r>
            <w:r>
              <w:rPr>
                <w:rFonts w:ascii="宋体" w:hAnsi="宋体"/>
                <w:color w:val="FF0000"/>
              </w:rPr>
              <w:t>Ⅲ</w:t>
            </w:r>
            <w:r>
              <w:rPr>
                <w:rFonts w:hAnsi="宋体"/>
                <w:color w:val="FF0000"/>
              </w:rPr>
              <w:t>类标准要求</w:t>
            </w:r>
            <w:r>
              <w:rPr>
                <w:rFonts w:hint="eastAsia" w:hAnsi="宋体"/>
                <w:color w:val="FF0000"/>
              </w:rPr>
              <w:t>。</w:t>
            </w:r>
            <w:r>
              <w:rPr>
                <w:rFonts w:hint="eastAsia" w:hAnsi="宋体"/>
                <w:color w:val="FF0000"/>
                <w:lang w:val="en-US" w:eastAsia="zh-CN"/>
              </w:rPr>
              <w:t>项目所在地地下水环境质量良好。</w:t>
            </w:r>
          </w:p>
          <w:p>
            <w:pPr>
              <w:pStyle w:val="5"/>
              <w:ind w:firstLine="482"/>
              <w:rPr>
                <w:b/>
                <w:bCs/>
                <w:sz w:val="24"/>
                <w:szCs w:val="24"/>
              </w:rPr>
            </w:pPr>
            <w:r>
              <w:rPr>
                <w:b/>
                <w:bCs/>
                <w:sz w:val="24"/>
                <w:szCs w:val="24"/>
              </w:rPr>
              <w:t>3</w:t>
            </w:r>
            <w:r>
              <w:rPr>
                <w:rFonts w:hint="eastAsia"/>
                <w:b/>
                <w:bCs/>
                <w:sz w:val="24"/>
                <w:szCs w:val="24"/>
              </w:rPr>
              <w:t>、环境影响分析及防治措施</w:t>
            </w:r>
          </w:p>
          <w:p>
            <w:pPr>
              <w:ind w:firstLine="480"/>
              <w:rPr>
                <w:b/>
              </w:rPr>
            </w:pPr>
            <w:r>
              <w:rPr>
                <w:rFonts w:hint="eastAsia"/>
                <w:b/>
              </w:rPr>
              <w:t>运营期环境影响分析及防治措施</w:t>
            </w:r>
          </w:p>
          <w:p>
            <w:pPr>
              <w:keepNext w:val="0"/>
              <w:keepLines w:val="0"/>
              <w:pageBreakBefore w:val="0"/>
              <w:widowControl w:val="0"/>
              <w:kinsoku/>
              <w:wordWrap/>
              <w:overflowPunct/>
              <w:topLinePunct w:val="0"/>
              <w:bidi w:val="0"/>
              <w:spacing w:line="360" w:lineRule="auto"/>
              <w:textAlignment w:val="auto"/>
              <w:rPr>
                <w:rFonts w:hint="eastAsia"/>
                <w:b/>
              </w:rPr>
            </w:pPr>
            <w:r>
              <w:fldChar w:fldCharType="begin"/>
            </w:r>
            <w:r>
              <w:rPr>
                <w:rFonts w:hint="eastAsia"/>
              </w:rPr>
              <w:instrText xml:space="preserve">= 1 \* GB3</w:instrText>
            </w:r>
            <w:r>
              <w:fldChar w:fldCharType="separate"/>
            </w:r>
            <w:r>
              <w:rPr>
                <w:rFonts w:hint="eastAsia"/>
              </w:rPr>
              <w:t>①</w:t>
            </w:r>
            <w:r>
              <w:fldChar w:fldCharType="end"/>
            </w:r>
            <w:r>
              <w:rPr>
                <w:rFonts w:hint="eastAsia"/>
                <w:lang w:eastAsia="zh-CN"/>
              </w:rPr>
              <w:t>本项目生产过程无废气产生。</w:t>
            </w:r>
          </w:p>
          <w:p>
            <w:pPr>
              <w:spacing w:line="360" w:lineRule="auto"/>
              <w:ind w:firstLine="480" w:firstLineChars="200"/>
              <w:rPr>
                <w:color w:val="auto"/>
              </w:rPr>
            </w:pPr>
            <w:r>
              <w:fldChar w:fldCharType="begin"/>
            </w:r>
            <w:r>
              <w:rPr>
                <w:rFonts w:hint="eastAsia"/>
              </w:rPr>
              <w:instrText xml:space="preserve">= 2 \* GB3</w:instrText>
            </w:r>
            <w:r>
              <w:fldChar w:fldCharType="separate"/>
            </w:r>
            <w:r>
              <w:rPr>
                <w:rFonts w:hint="eastAsia"/>
              </w:rPr>
              <w:t>②</w:t>
            </w:r>
            <w:r>
              <w:fldChar w:fldCharType="end"/>
            </w:r>
            <w:r>
              <w:rPr>
                <w:rFonts w:hint="eastAsia" w:hAnsi="宋体"/>
                <w:color w:val="auto"/>
                <w:sz w:val="24"/>
                <w:szCs w:val="24"/>
              </w:rPr>
              <w:t>项目区设</w:t>
            </w:r>
            <w:r>
              <w:rPr>
                <w:rFonts w:hint="eastAsia" w:hAnsi="宋体"/>
                <w:color w:val="auto"/>
                <w:sz w:val="24"/>
                <w:szCs w:val="24"/>
                <w:lang w:eastAsia="zh-CN"/>
              </w:rPr>
              <w:t>旱厕</w:t>
            </w:r>
            <w:r>
              <w:rPr>
                <w:rFonts w:hint="eastAsia" w:hAnsi="宋体"/>
                <w:color w:val="auto"/>
                <w:sz w:val="24"/>
                <w:szCs w:val="24"/>
              </w:rPr>
              <w:t>，</w:t>
            </w:r>
            <w:r>
              <w:rPr>
                <w:rFonts w:hint="eastAsia"/>
                <w:color w:val="auto"/>
                <w:sz w:val="24"/>
                <w:highlight w:val="none"/>
                <w:lang w:eastAsia="zh-CN"/>
              </w:rPr>
              <w:t>盥洗废水厂区泼洒抑尘，旱厕定期清掏用作农肥不外排</w:t>
            </w:r>
            <w:r>
              <w:rPr>
                <w:rFonts w:hint="eastAsia" w:hAnsi="宋体"/>
                <w:color w:val="auto"/>
                <w:sz w:val="24"/>
                <w:highlight w:val="none"/>
                <w:lang w:eastAsia="zh-CN"/>
              </w:rPr>
              <w:t>。</w:t>
            </w:r>
            <w:r>
              <w:rPr>
                <w:rFonts w:hint="eastAsia" w:hAnsi="宋体"/>
                <w:color w:val="auto"/>
                <w:sz w:val="24"/>
                <w:szCs w:val="24"/>
                <w:lang w:eastAsia="zh-CN"/>
              </w:rPr>
              <w:t>经</w:t>
            </w:r>
            <w:r>
              <w:rPr>
                <w:rFonts w:hint="eastAsia" w:hAnsi="宋体"/>
                <w:color w:val="auto"/>
                <w:sz w:val="24"/>
                <w:szCs w:val="24"/>
              </w:rPr>
              <w:t>采取上述</w:t>
            </w:r>
            <w:r>
              <w:rPr>
                <w:rFonts w:hAnsi="宋体"/>
                <w:color w:val="auto"/>
                <w:sz w:val="24"/>
                <w:szCs w:val="24"/>
              </w:rPr>
              <w:t>措施后，</w:t>
            </w:r>
            <w:r>
              <w:rPr>
                <w:rFonts w:hint="eastAsia" w:hAnsi="宋体"/>
                <w:color w:val="auto"/>
                <w:sz w:val="24"/>
                <w:szCs w:val="24"/>
                <w:lang w:eastAsia="zh-CN"/>
              </w:rPr>
              <w:t>项目产生的废水</w:t>
            </w:r>
            <w:r>
              <w:rPr>
                <w:rFonts w:hAnsi="宋体"/>
                <w:color w:val="auto"/>
                <w:sz w:val="24"/>
                <w:szCs w:val="24"/>
              </w:rPr>
              <w:t>对周围环境影响不大。</w:t>
            </w:r>
          </w:p>
          <w:p>
            <w:pPr>
              <w:ind w:firstLine="480"/>
              <w:jc w:val="left"/>
              <w:rPr>
                <w:rFonts w:hAnsi="宋体"/>
              </w:rPr>
            </w:pPr>
            <w:r>
              <w:fldChar w:fldCharType="begin"/>
            </w:r>
            <w:r>
              <w:rPr>
                <w:rFonts w:hint="eastAsia"/>
              </w:rPr>
              <w:instrText xml:space="preserve">= 3 \* GB3</w:instrText>
            </w:r>
            <w:r>
              <w:fldChar w:fldCharType="separate"/>
            </w:r>
            <w:r>
              <w:rPr>
                <w:rFonts w:hint="eastAsia"/>
              </w:rPr>
              <w:t>③</w:t>
            </w:r>
            <w:r>
              <w:fldChar w:fldCharType="end"/>
            </w:r>
            <w:r>
              <w:rPr>
                <w:rFonts w:hint="eastAsia"/>
              </w:rPr>
              <w:t>项目运营期噪声主要来自</w:t>
            </w:r>
            <w:r>
              <w:rPr>
                <w:rFonts w:hint="eastAsia"/>
                <w:lang w:eastAsia="zh-CN"/>
              </w:rPr>
              <w:t>泵</w:t>
            </w:r>
            <w:r>
              <w:rPr>
                <w:rFonts w:hint="eastAsia"/>
              </w:rPr>
              <w:t>运行时产生的噪声。项目仅昼间生产</w:t>
            </w:r>
            <w:r>
              <w:rPr>
                <w:rFonts w:hint="eastAsia"/>
                <w:lang w:val="en-US" w:eastAsia="zh-CN"/>
              </w:rPr>
              <w:t>10</w:t>
            </w:r>
            <w:r>
              <w:rPr>
                <w:rFonts w:hint="eastAsia"/>
              </w:rPr>
              <w:t>小时，夜间不生产间。</w:t>
            </w:r>
            <w:r>
              <w:rPr>
                <w:rFonts w:hAnsi="宋体"/>
              </w:rPr>
              <w:t>项目建成运行后，对厂</w:t>
            </w:r>
            <w:r>
              <w:rPr>
                <w:rFonts w:hAnsi="宋体"/>
                <w:highlight w:val="none"/>
              </w:rPr>
              <w:t>界噪声贡献值在</w:t>
            </w:r>
            <w:r>
              <w:rPr>
                <w:rFonts w:hint="eastAsia"/>
                <w:highlight w:val="none"/>
                <w:lang w:val="en-US" w:eastAsia="zh-CN"/>
              </w:rPr>
              <w:t>24.08~35.33</w:t>
            </w:r>
            <w:r>
              <w:rPr>
                <w:highlight w:val="none"/>
              </w:rPr>
              <w:t>dB(A)</w:t>
            </w:r>
            <w:r>
              <w:rPr>
                <w:rFonts w:hAnsi="宋体"/>
                <w:highlight w:val="none"/>
              </w:rPr>
              <w:t>之间</w:t>
            </w:r>
            <w:r>
              <w:rPr>
                <w:rFonts w:hAnsi="宋体"/>
              </w:rPr>
              <w:t>，厂界噪声贡献值满足《工业企业厂界环境噪声排放标准》</w:t>
            </w:r>
            <w:r>
              <w:t>2</w:t>
            </w:r>
            <w:r>
              <w:rPr>
                <w:rFonts w:hAnsi="宋体"/>
              </w:rPr>
              <w:t>类标准。</w:t>
            </w:r>
            <w:r>
              <w:rPr>
                <w:rFonts w:hint="eastAsia" w:hAnsi="宋体"/>
                <w:color w:val="auto"/>
                <w:lang w:eastAsia="zh-CN"/>
              </w:rPr>
              <w:t>铁孟村</w:t>
            </w:r>
            <w:r>
              <w:rPr>
                <w:rFonts w:hAnsi="宋体"/>
              </w:rPr>
              <w:t>噪声预测值满足</w:t>
            </w:r>
            <w:r>
              <w:rPr>
                <w:rFonts w:hAnsi="宋体"/>
                <w:kern w:val="0"/>
                <w:szCs w:val="24"/>
              </w:rPr>
              <w:t>《声环境质量标准》（</w:t>
            </w:r>
            <w:r>
              <w:rPr>
                <w:kern w:val="0"/>
                <w:szCs w:val="24"/>
              </w:rPr>
              <w:t>GB3096-2008</w:t>
            </w:r>
            <w:r>
              <w:rPr>
                <w:rFonts w:hAnsi="宋体"/>
                <w:kern w:val="0"/>
                <w:szCs w:val="24"/>
              </w:rPr>
              <w:t>）中的</w:t>
            </w:r>
            <w:r>
              <w:rPr>
                <w:kern w:val="0"/>
                <w:szCs w:val="24"/>
              </w:rPr>
              <w:t>2</w:t>
            </w:r>
            <w:r>
              <w:rPr>
                <w:rFonts w:hAnsi="宋体"/>
                <w:kern w:val="0"/>
                <w:szCs w:val="24"/>
              </w:rPr>
              <w:t>类标准要求，</w:t>
            </w:r>
            <w:r>
              <w:rPr>
                <w:rFonts w:hAnsi="宋体"/>
              </w:rPr>
              <w:t>项目建成后设备噪声对环境影响较小。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FF0000"/>
                <w:lang w:val="en-US" w:eastAsia="zh-CN"/>
              </w:rPr>
            </w:pPr>
            <w:r>
              <w:fldChar w:fldCharType="begin"/>
            </w:r>
            <w:r>
              <w:instrText xml:space="preserve"> = 5 \* GB3 \* MERGEFORMAT </w:instrText>
            </w:r>
            <w:r>
              <w:fldChar w:fldCharType="separate"/>
            </w:r>
            <w:r>
              <w:t>⑤</w:t>
            </w:r>
            <w:r>
              <w:fldChar w:fldCharType="end"/>
            </w:r>
            <w:r>
              <w:rPr>
                <w:rFonts w:hint="eastAsia" w:ascii="宋体" w:hAnsi="宋体"/>
              </w:rPr>
              <w:t>本项目涉及的主要危险物质为</w:t>
            </w:r>
            <w:r>
              <w:rPr>
                <w:rFonts w:hint="eastAsia" w:ascii="宋体" w:hAnsi="宋体"/>
                <w:lang w:eastAsia="zh-CN"/>
              </w:rPr>
              <w:t>乙二醇槽、搅拌釜</w:t>
            </w:r>
            <w:r>
              <w:rPr>
                <w:rFonts w:hint="eastAsia" w:ascii="宋体" w:hAnsi="宋体"/>
              </w:rPr>
              <w:t>。通过最大危险源辨识，项目站区不属于重大危险源，主要事故类型为乙二醇槽、搅拌釜泄漏及火灾、爆炸事故。</w:t>
            </w:r>
            <w:r>
              <w:rPr>
                <w:rFonts w:hint="eastAsia"/>
                <w:spacing w:val="-6"/>
              </w:rPr>
              <w:t xml:space="preserve"> 建设单位必须予以高度重视，采取有效的防范、减缓措施，并制定突发性事故应急预案，强化安全管理。</w:t>
            </w:r>
          </w:p>
          <w:p>
            <w:pPr>
              <w:ind w:firstLine="482"/>
              <w:rPr>
                <w:b/>
              </w:rPr>
            </w:pPr>
            <w:r>
              <w:rPr>
                <w:rFonts w:hint="eastAsia"/>
                <w:b/>
              </w:rPr>
              <w:t>4</w:t>
            </w:r>
            <w:r>
              <w:rPr>
                <w:b/>
              </w:rPr>
              <w:t>、环境管理与监测计划</w:t>
            </w:r>
          </w:p>
          <w:p>
            <w:pPr>
              <w:ind w:firstLine="480"/>
              <w:rPr>
                <w:b/>
              </w:rPr>
            </w:pPr>
            <w:r>
              <w:t>项目在建设和运行过程中，会对周围环境造成一定的影响，本次通过建立比较合理环境管理体制和管理机构，并项目在运行期实行本次评价提出的环境监测，以验证环境影响的实际情况和环境保护措施的效果，以便更好地保护环境，为项目环境管理提供依据，更大地发挥工程建设的社会经济效益。</w:t>
            </w:r>
          </w:p>
          <w:p>
            <w:pPr>
              <w:ind w:firstLine="482"/>
              <w:rPr>
                <w:b/>
              </w:rPr>
            </w:pPr>
            <w:r>
              <w:rPr>
                <w:b/>
              </w:rPr>
              <w:t>综上所述，</w:t>
            </w:r>
            <w:r>
              <w:rPr>
                <w:rFonts w:hint="eastAsia"/>
                <w:b/>
              </w:rPr>
              <w:t>本</w:t>
            </w:r>
            <w:r>
              <w:rPr>
                <w:b/>
              </w:rPr>
              <w:t>项目建设</w:t>
            </w:r>
            <w:r>
              <w:rPr>
                <w:rFonts w:hint="eastAsia"/>
                <w:b/>
              </w:rPr>
              <w:t>无重大环境制约因素，</w:t>
            </w:r>
            <w:r>
              <w:rPr>
                <w:b/>
              </w:rPr>
              <w:t>在落实本环评报告提出的各项污染防治措施后，污染物可做到达标排放，对周围环境影响小。</w:t>
            </w:r>
            <w:r>
              <w:rPr>
                <w:rFonts w:hint="eastAsia"/>
                <w:b/>
              </w:rPr>
              <w:t>从满足环境质量目标要求角度分析，项目建设可行。</w:t>
            </w:r>
          </w:p>
          <w:p>
            <w:pPr>
              <w:pStyle w:val="5"/>
              <w:ind w:firstLine="482"/>
              <w:rPr>
                <w:b/>
                <w:bCs/>
                <w:sz w:val="24"/>
                <w:szCs w:val="24"/>
              </w:rPr>
            </w:pPr>
            <w:r>
              <w:rPr>
                <w:rFonts w:hint="eastAsia"/>
                <w:b/>
                <w:bCs/>
                <w:sz w:val="24"/>
                <w:szCs w:val="24"/>
              </w:rPr>
              <w:t>二、建议：</w:t>
            </w:r>
          </w:p>
          <w:p>
            <w:pPr>
              <w:ind w:firstLine="480"/>
              <w:rPr>
                <w:lang w:val="en-GB"/>
              </w:rPr>
            </w:pPr>
            <w:r>
              <w:rPr>
                <w:rFonts w:hint="eastAsia"/>
                <w:lang w:val="en-GB"/>
              </w:rPr>
              <w:t>1、本项目在实施过程中，必须保证足够的环保资金，切实实施本评价提出的营运期污染防治措施，做好项目污染治理设施建设的工作；</w:t>
            </w:r>
          </w:p>
          <w:p>
            <w:pPr>
              <w:ind w:firstLine="480"/>
              <w:rPr>
                <w:lang w:val="en-GB"/>
              </w:rPr>
            </w:pPr>
            <w:r>
              <w:rPr>
                <w:rFonts w:hint="eastAsia"/>
                <w:lang w:val="en-GB"/>
              </w:rPr>
              <w:t>2、切实加强主要噪声源的降噪措施、运行管理，尽量降低噪声源周围生产环境的噪声强度，改善工人劳动环境，确保厂界噪声对敏感目标的影响较小。</w:t>
            </w:r>
          </w:p>
          <w:p>
            <w:pPr>
              <w:ind w:firstLine="480"/>
              <w:rPr>
                <w:lang w:val="en-GB"/>
              </w:rPr>
            </w:pPr>
            <w:r>
              <w:rPr>
                <w:rFonts w:hint="eastAsia"/>
                <w:lang w:val="en-GB"/>
              </w:rPr>
              <w:t>4、认真落实“三同时”制度；</w:t>
            </w:r>
          </w:p>
          <w:p>
            <w:pPr>
              <w:ind w:firstLine="480"/>
              <w:rPr>
                <w:lang w:val="en-GB"/>
              </w:rPr>
            </w:pPr>
            <w:r>
              <w:rPr>
                <w:rFonts w:hint="eastAsia"/>
                <w:lang w:val="en-GB"/>
              </w:rPr>
              <w:t>5、加强环境管理，确保环保设施正常和有效运行，污染物达标排放；</w:t>
            </w:r>
          </w:p>
          <w:p>
            <w:pPr>
              <w:ind w:firstLine="480"/>
            </w:pPr>
            <w:r>
              <w:rPr>
                <w:rFonts w:hint="eastAsia"/>
                <w:lang w:val="en-GB"/>
              </w:rPr>
              <w:t>6、</w:t>
            </w:r>
            <w:r>
              <w:t>按环保设施清单进行</w:t>
            </w:r>
            <w:r>
              <w:rPr>
                <w:rFonts w:hint="eastAsia"/>
              </w:rPr>
              <w:t>竣工环境保护</w:t>
            </w:r>
            <w:r>
              <w:t>验收</w:t>
            </w:r>
            <w:r>
              <w:rPr>
                <w:rFonts w:hint="eastAsia"/>
              </w:rPr>
              <w:t>工作</w:t>
            </w:r>
            <w:r>
              <w:t>，待验收合格后，方可进行正式运行</w:t>
            </w:r>
            <w:r>
              <w:rPr>
                <w:rFonts w:hint="eastAsia"/>
                <w:lang w:eastAsia="zh-CN"/>
              </w:rPr>
              <w:t>。</w:t>
            </w:r>
          </w:p>
        </w:tc>
      </w:tr>
    </w:tbl>
    <w:p>
      <w:pPr>
        <w:ind w:firstLine="480"/>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360" w:lineRule="exact"/>
      <w:ind w:firstLine="420"/>
      <w:jc w:val="center"/>
      <w:rPr>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0"/>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3</w:t>
                          </w:r>
                          <w:r>
                            <w:rPr>
                              <w:rFonts w:hint="eastAsia"/>
                              <w:sz w:val="21"/>
                              <w:szCs w:val="21"/>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IYH9Ce5AQAAVgMAAA4AAAAAAAAAAQAgAAAAHgEAAGRycy9lMm9Eb2MueG1sUEsFBgAAAAAGAAYA&#10;WQEAAEkFAAAAAA==&#10;">
              <v:fill on="f" focussize="0,0"/>
              <v:stroke on="f"/>
              <v:imagedata o:title=""/>
              <o:lock v:ext="edit" aspectratio="f"/>
              <v:textbox inset="0mm,0mm,0mm,0mm" style="mso-fit-shape-to-text:t;">
                <w:txbxContent>
                  <w:p>
                    <w:pPr>
                      <w:pStyle w:val="10"/>
                      <w:rPr>
                        <w:rFonts w:hint="eastAsia" w:eastAsia="宋体"/>
                        <w:sz w:val="21"/>
                        <w:szCs w:val="21"/>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3</w:t>
                    </w:r>
                    <w:r>
                      <w:rPr>
                        <w:rFonts w:hint="eastAsia"/>
                        <w:sz w:val="21"/>
                        <w:szCs w:val="21"/>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0ED7AF"/>
    <w:multiLevelType w:val="singleLevel"/>
    <w:tmpl w:val="BD0ED7AF"/>
    <w:lvl w:ilvl="0" w:tentative="0">
      <w:start w:val="1"/>
      <w:numFmt w:val="decimal"/>
      <w:suff w:val="nothing"/>
      <w:lvlText w:val="%1、"/>
      <w:lvlJc w:val="left"/>
    </w:lvl>
  </w:abstractNum>
  <w:abstractNum w:abstractNumId="1">
    <w:nsid w:val="E9BB0E98"/>
    <w:multiLevelType w:val="singleLevel"/>
    <w:tmpl w:val="E9BB0E98"/>
    <w:lvl w:ilvl="0" w:tentative="0">
      <w:start w:val="5"/>
      <w:numFmt w:val="chineseCounting"/>
      <w:suff w:val="nothing"/>
      <w:lvlText w:val="%1、"/>
      <w:lvlJc w:val="left"/>
      <w:rPr>
        <w:rFonts w:hint="eastAsia"/>
      </w:rPr>
    </w:lvl>
  </w:abstractNum>
  <w:abstractNum w:abstractNumId="2">
    <w:nsid w:val="02A35406"/>
    <w:multiLevelType w:val="singleLevel"/>
    <w:tmpl w:val="02A35406"/>
    <w:lvl w:ilvl="0" w:tentative="0">
      <w:start w:val="1"/>
      <w:numFmt w:val="decimal"/>
      <w:suff w:val="nothing"/>
      <w:lvlText w:val="%1、"/>
      <w:lvlJc w:val="left"/>
    </w:lvl>
  </w:abstractNum>
  <w:abstractNum w:abstractNumId="3">
    <w:nsid w:val="42D78ACB"/>
    <w:multiLevelType w:val="singleLevel"/>
    <w:tmpl w:val="42D78ACB"/>
    <w:lvl w:ilvl="0" w:tentative="0">
      <w:start w:val="2"/>
      <w:numFmt w:val="decimal"/>
      <w:suff w:val="nothing"/>
      <w:lvlText w:val="%1、"/>
      <w:lvlJc w:val="left"/>
    </w:lvl>
  </w:abstractNum>
  <w:abstractNum w:abstractNumId="4">
    <w:nsid w:val="6CB24470"/>
    <w:multiLevelType w:val="multilevel"/>
    <w:tmpl w:val="6CB24470"/>
    <w:lvl w:ilvl="0" w:tentative="0">
      <w:start w:val="4"/>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76F931B7"/>
    <w:multiLevelType w:val="singleLevel"/>
    <w:tmpl w:val="76F931B7"/>
    <w:lvl w:ilvl="0" w:tentative="0">
      <w:start w:val="1"/>
      <w:numFmt w:val="decimal"/>
      <w:suff w:val="nothing"/>
      <w:lvlText w:val="（%1）"/>
      <w:lvlJc w:val="left"/>
    </w:lvl>
  </w:abstractNum>
  <w:abstractNum w:abstractNumId="6">
    <w:nsid w:val="7E11BD20"/>
    <w:multiLevelType w:val="singleLevel"/>
    <w:tmpl w:val="7E11BD20"/>
    <w:lvl w:ilvl="0" w:tentative="0">
      <w:start w:val="5"/>
      <w:numFmt w:val="decimal"/>
      <w:suff w:val="nothing"/>
      <w:lvlText w:val="（%1）"/>
      <w:lvlJc w:val="left"/>
    </w:lvl>
  </w:abstractNum>
  <w:num w:numId="1">
    <w:abstractNumId w:val="3"/>
  </w:num>
  <w:num w:numId="2">
    <w:abstractNumId w:val="0"/>
  </w:num>
  <w:num w:numId="3">
    <w:abstractNumId w:val="2"/>
  </w:num>
  <w:num w:numId="4">
    <w:abstractNumId w:val="5"/>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EB1FC8"/>
    <w:rsid w:val="009A4DFD"/>
    <w:rsid w:val="010B4C87"/>
    <w:rsid w:val="013C54FA"/>
    <w:rsid w:val="01D955C7"/>
    <w:rsid w:val="01DA420A"/>
    <w:rsid w:val="01E86B3D"/>
    <w:rsid w:val="01FA1654"/>
    <w:rsid w:val="02601B83"/>
    <w:rsid w:val="028245C8"/>
    <w:rsid w:val="045147F9"/>
    <w:rsid w:val="05103C1C"/>
    <w:rsid w:val="0595577A"/>
    <w:rsid w:val="06456077"/>
    <w:rsid w:val="06A9503C"/>
    <w:rsid w:val="06C20DD9"/>
    <w:rsid w:val="06EE64D1"/>
    <w:rsid w:val="075F110B"/>
    <w:rsid w:val="07DE7627"/>
    <w:rsid w:val="08D2487B"/>
    <w:rsid w:val="0948033D"/>
    <w:rsid w:val="099276A6"/>
    <w:rsid w:val="0AC10996"/>
    <w:rsid w:val="0B3F3CA0"/>
    <w:rsid w:val="0B550C38"/>
    <w:rsid w:val="0B9D67BC"/>
    <w:rsid w:val="0BF9737A"/>
    <w:rsid w:val="0C906574"/>
    <w:rsid w:val="0CDD57BC"/>
    <w:rsid w:val="0D095245"/>
    <w:rsid w:val="0D1845D3"/>
    <w:rsid w:val="0DE01D52"/>
    <w:rsid w:val="0DF12020"/>
    <w:rsid w:val="0E1249D8"/>
    <w:rsid w:val="0FDF740C"/>
    <w:rsid w:val="0FF32E27"/>
    <w:rsid w:val="10C37EFD"/>
    <w:rsid w:val="10FB39DB"/>
    <w:rsid w:val="118066B3"/>
    <w:rsid w:val="11A572E4"/>
    <w:rsid w:val="11BB119E"/>
    <w:rsid w:val="11DF5033"/>
    <w:rsid w:val="12387E11"/>
    <w:rsid w:val="123D0879"/>
    <w:rsid w:val="12777AFF"/>
    <w:rsid w:val="127E549A"/>
    <w:rsid w:val="13452F69"/>
    <w:rsid w:val="14740019"/>
    <w:rsid w:val="15272DB0"/>
    <w:rsid w:val="155B1015"/>
    <w:rsid w:val="15C76311"/>
    <w:rsid w:val="16434268"/>
    <w:rsid w:val="169734FD"/>
    <w:rsid w:val="16B75EEE"/>
    <w:rsid w:val="16CC6EE4"/>
    <w:rsid w:val="16D27E04"/>
    <w:rsid w:val="170944A8"/>
    <w:rsid w:val="178E5176"/>
    <w:rsid w:val="17A61E5B"/>
    <w:rsid w:val="17FE2B0D"/>
    <w:rsid w:val="18045068"/>
    <w:rsid w:val="185A78D1"/>
    <w:rsid w:val="18A159F9"/>
    <w:rsid w:val="19502AB0"/>
    <w:rsid w:val="1981287A"/>
    <w:rsid w:val="1A006A72"/>
    <w:rsid w:val="1A822AC8"/>
    <w:rsid w:val="1AE8173B"/>
    <w:rsid w:val="1B0C51F7"/>
    <w:rsid w:val="1B2078E1"/>
    <w:rsid w:val="1B8E120A"/>
    <w:rsid w:val="1B9121B7"/>
    <w:rsid w:val="1B9A588F"/>
    <w:rsid w:val="1BEB36CE"/>
    <w:rsid w:val="1C4A7B91"/>
    <w:rsid w:val="1CCF5C95"/>
    <w:rsid w:val="1E940C43"/>
    <w:rsid w:val="1EE4074C"/>
    <w:rsid w:val="1EEB6604"/>
    <w:rsid w:val="1EFF4E2E"/>
    <w:rsid w:val="1F851C64"/>
    <w:rsid w:val="20166AD9"/>
    <w:rsid w:val="20EB1FC8"/>
    <w:rsid w:val="2136383A"/>
    <w:rsid w:val="216B526D"/>
    <w:rsid w:val="21B50CCF"/>
    <w:rsid w:val="23360CEB"/>
    <w:rsid w:val="23465B1A"/>
    <w:rsid w:val="234E3C16"/>
    <w:rsid w:val="23637774"/>
    <w:rsid w:val="243C3479"/>
    <w:rsid w:val="24805C2D"/>
    <w:rsid w:val="24AE3980"/>
    <w:rsid w:val="2606592F"/>
    <w:rsid w:val="26A038D8"/>
    <w:rsid w:val="26FC28AA"/>
    <w:rsid w:val="270D3155"/>
    <w:rsid w:val="274525D1"/>
    <w:rsid w:val="27BD3138"/>
    <w:rsid w:val="28070AF2"/>
    <w:rsid w:val="29836228"/>
    <w:rsid w:val="298F4457"/>
    <w:rsid w:val="2A1C7307"/>
    <w:rsid w:val="2A3975C9"/>
    <w:rsid w:val="2A69452D"/>
    <w:rsid w:val="2B38547A"/>
    <w:rsid w:val="2B390547"/>
    <w:rsid w:val="2C2C5093"/>
    <w:rsid w:val="2C3532A2"/>
    <w:rsid w:val="2CB85A7E"/>
    <w:rsid w:val="2CEF79C0"/>
    <w:rsid w:val="2DF12F97"/>
    <w:rsid w:val="2DF37B03"/>
    <w:rsid w:val="2E393D24"/>
    <w:rsid w:val="2E5B1C6C"/>
    <w:rsid w:val="2F5749CD"/>
    <w:rsid w:val="2FA67219"/>
    <w:rsid w:val="305A26BB"/>
    <w:rsid w:val="30C3050B"/>
    <w:rsid w:val="315A1D70"/>
    <w:rsid w:val="319F39B9"/>
    <w:rsid w:val="322C486B"/>
    <w:rsid w:val="328556AC"/>
    <w:rsid w:val="32901395"/>
    <w:rsid w:val="33045710"/>
    <w:rsid w:val="3310528D"/>
    <w:rsid w:val="33D24288"/>
    <w:rsid w:val="34827FF3"/>
    <w:rsid w:val="34BA43EB"/>
    <w:rsid w:val="34C87416"/>
    <w:rsid w:val="34E471A3"/>
    <w:rsid w:val="35006F89"/>
    <w:rsid w:val="35735FDE"/>
    <w:rsid w:val="36092582"/>
    <w:rsid w:val="3662297E"/>
    <w:rsid w:val="368B5D1E"/>
    <w:rsid w:val="36FF21CE"/>
    <w:rsid w:val="3720328F"/>
    <w:rsid w:val="376639E8"/>
    <w:rsid w:val="37D64B00"/>
    <w:rsid w:val="380E5C31"/>
    <w:rsid w:val="382813E3"/>
    <w:rsid w:val="38975B35"/>
    <w:rsid w:val="38D45687"/>
    <w:rsid w:val="39965D58"/>
    <w:rsid w:val="3A2326CE"/>
    <w:rsid w:val="3A4973D1"/>
    <w:rsid w:val="3A677DE2"/>
    <w:rsid w:val="3A9D6545"/>
    <w:rsid w:val="3B864177"/>
    <w:rsid w:val="3B8B12A1"/>
    <w:rsid w:val="3BBE5E75"/>
    <w:rsid w:val="3BEA51C4"/>
    <w:rsid w:val="3C0817EE"/>
    <w:rsid w:val="3CA67C74"/>
    <w:rsid w:val="3D3D0EAB"/>
    <w:rsid w:val="3D450E65"/>
    <w:rsid w:val="3D565C4A"/>
    <w:rsid w:val="3D647EB5"/>
    <w:rsid w:val="3D680807"/>
    <w:rsid w:val="3E1D33C8"/>
    <w:rsid w:val="3F3F6B88"/>
    <w:rsid w:val="3FAC56AD"/>
    <w:rsid w:val="401B0F9F"/>
    <w:rsid w:val="40520B23"/>
    <w:rsid w:val="40F7544B"/>
    <w:rsid w:val="41A531EA"/>
    <w:rsid w:val="42052AB8"/>
    <w:rsid w:val="42B610D9"/>
    <w:rsid w:val="432C3669"/>
    <w:rsid w:val="43475CD2"/>
    <w:rsid w:val="435B686E"/>
    <w:rsid w:val="43781DD4"/>
    <w:rsid w:val="43D66A6F"/>
    <w:rsid w:val="443929C4"/>
    <w:rsid w:val="446E10DA"/>
    <w:rsid w:val="449871B8"/>
    <w:rsid w:val="44D5238B"/>
    <w:rsid w:val="457571BA"/>
    <w:rsid w:val="458E1BCD"/>
    <w:rsid w:val="46211E89"/>
    <w:rsid w:val="46AC5A64"/>
    <w:rsid w:val="46C54066"/>
    <w:rsid w:val="48372376"/>
    <w:rsid w:val="486F1414"/>
    <w:rsid w:val="48885A63"/>
    <w:rsid w:val="48CB47CC"/>
    <w:rsid w:val="4929778F"/>
    <w:rsid w:val="49D04D31"/>
    <w:rsid w:val="4A7F083C"/>
    <w:rsid w:val="4A897688"/>
    <w:rsid w:val="4AC9725B"/>
    <w:rsid w:val="4B08477A"/>
    <w:rsid w:val="4B270315"/>
    <w:rsid w:val="4B6C5601"/>
    <w:rsid w:val="4B8A4A75"/>
    <w:rsid w:val="4BE1605C"/>
    <w:rsid w:val="4CFC5DBD"/>
    <w:rsid w:val="4D06551E"/>
    <w:rsid w:val="4D575914"/>
    <w:rsid w:val="4D7376C3"/>
    <w:rsid w:val="4DAA6450"/>
    <w:rsid w:val="4DAA708D"/>
    <w:rsid w:val="4E651376"/>
    <w:rsid w:val="4E687704"/>
    <w:rsid w:val="507779B1"/>
    <w:rsid w:val="50FA2D2D"/>
    <w:rsid w:val="51105A5F"/>
    <w:rsid w:val="5185515A"/>
    <w:rsid w:val="524B1A8A"/>
    <w:rsid w:val="52EA0690"/>
    <w:rsid w:val="53C03A6B"/>
    <w:rsid w:val="548E37AA"/>
    <w:rsid w:val="55003096"/>
    <w:rsid w:val="55261396"/>
    <w:rsid w:val="5537593D"/>
    <w:rsid w:val="55496822"/>
    <w:rsid w:val="556C5041"/>
    <w:rsid w:val="559A1E46"/>
    <w:rsid w:val="55A759A4"/>
    <w:rsid w:val="55C9095F"/>
    <w:rsid w:val="565733EE"/>
    <w:rsid w:val="56684328"/>
    <w:rsid w:val="568A433A"/>
    <w:rsid w:val="56FC2FDF"/>
    <w:rsid w:val="57082FB1"/>
    <w:rsid w:val="57CC332A"/>
    <w:rsid w:val="58964E24"/>
    <w:rsid w:val="59CB6305"/>
    <w:rsid w:val="59DB36C4"/>
    <w:rsid w:val="5A044A13"/>
    <w:rsid w:val="5A1074E4"/>
    <w:rsid w:val="5A6D3FD8"/>
    <w:rsid w:val="5B3C2DAF"/>
    <w:rsid w:val="5B5D4860"/>
    <w:rsid w:val="5BB25E01"/>
    <w:rsid w:val="5C4E57D6"/>
    <w:rsid w:val="5C855926"/>
    <w:rsid w:val="5D44761F"/>
    <w:rsid w:val="5D7623DB"/>
    <w:rsid w:val="5F164743"/>
    <w:rsid w:val="5F773728"/>
    <w:rsid w:val="5FE8111A"/>
    <w:rsid w:val="60146B93"/>
    <w:rsid w:val="607B47F9"/>
    <w:rsid w:val="618C3F38"/>
    <w:rsid w:val="61946556"/>
    <w:rsid w:val="61C024EB"/>
    <w:rsid w:val="61E975DE"/>
    <w:rsid w:val="61ED7697"/>
    <w:rsid w:val="625A70DE"/>
    <w:rsid w:val="62E96FAD"/>
    <w:rsid w:val="640246E7"/>
    <w:rsid w:val="640D217B"/>
    <w:rsid w:val="640E6559"/>
    <w:rsid w:val="64787FF8"/>
    <w:rsid w:val="647A6EB3"/>
    <w:rsid w:val="64E31E66"/>
    <w:rsid w:val="65014616"/>
    <w:rsid w:val="655812F2"/>
    <w:rsid w:val="66156EBC"/>
    <w:rsid w:val="668A2487"/>
    <w:rsid w:val="66985D57"/>
    <w:rsid w:val="67BE28F2"/>
    <w:rsid w:val="680151FE"/>
    <w:rsid w:val="6858371A"/>
    <w:rsid w:val="688D7AD2"/>
    <w:rsid w:val="69265B1E"/>
    <w:rsid w:val="69802648"/>
    <w:rsid w:val="69DF64A3"/>
    <w:rsid w:val="6A0A7076"/>
    <w:rsid w:val="6AC4246C"/>
    <w:rsid w:val="6C8536FE"/>
    <w:rsid w:val="6C8A3DBF"/>
    <w:rsid w:val="6CAB7B19"/>
    <w:rsid w:val="6E262E66"/>
    <w:rsid w:val="6EA43510"/>
    <w:rsid w:val="6FF2413B"/>
    <w:rsid w:val="71275845"/>
    <w:rsid w:val="71396260"/>
    <w:rsid w:val="71707CF3"/>
    <w:rsid w:val="7177421F"/>
    <w:rsid w:val="718A603D"/>
    <w:rsid w:val="729147D7"/>
    <w:rsid w:val="729A3A8B"/>
    <w:rsid w:val="738B4666"/>
    <w:rsid w:val="73B330C6"/>
    <w:rsid w:val="74EE2EA4"/>
    <w:rsid w:val="75123DED"/>
    <w:rsid w:val="755371AB"/>
    <w:rsid w:val="756C0C4F"/>
    <w:rsid w:val="75894519"/>
    <w:rsid w:val="765F61A8"/>
    <w:rsid w:val="77315138"/>
    <w:rsid w:val="774C637D"/>
    <w:rsid w:val="77616FA5"/>
    <w:rsid w:val="77A16AF1"/>
    <w:rsid w:val="77EC33E4"/>
    <w:rsid w:val="78FB4538"/>
    <w:rsid w:val="791D7B66"/>
    <w:rsid w:val="794A4D56"/>
    <w:rsid w:val="79F174DD"/>
    <w:rsid w:val="7A7F3A51"/>
    <w:rsid w:val="7B090823"/>
    <w:rsid w:val="7B5E0601"/>
    <w:rsid w:val="7B6712A1"/>
    <w:rsid w:val="7BD425E7"/>
    <w:rsid w:val="7BD76C98"/>
    <w:rsid w:val="7C58018A"/>
    <w:rsid w:val="7CB2425A"/>
    <w:rsid w:val="7D540623"/>
    <w:rsid w:val="7D9D2DC1"/>
    <w:rsid w:val="7EAA1629"/>
    <w:rsid w:val="7EB83DE3"/>
    <w:rsid w:val="7F5A0CDE"/>
    <w:rsid w:val="7FA77E8A"/>
    <w:rsid w:val="7FEC5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200" w:firstLineChars="200"/>
      <w:jc w:val="both"/>
    </w:pPr>
    <w:rPr>
      <w:rFonts w:ascii="Times New Roman" w:hAnsi="Times New Roman" w:eastAsia="宋体" w:cs="Times New Roman"/>
      <w:kern w:val="2"/>
      <w:sz w:val="24"/>
      <w:lang w:val="en-US" w:eastAsia="zh-CN" w:bidi="ar-SA"/>
    </w:rPr>
  </w:style>
  <w:style w:type="paragraph" w:styleId="3">
    <w:name w:val="heading 2"/>
    <w:basedOn w:val="1"/>
    <w:next w:val="1"/>
    <w:qFormat/>
    <w:uiPriority w:val="99"/>
    <w:pPr>
      <w:keepNext/>
      <w:keepLines/>
      <w:spacing w:line="413" w:lineRule="auto"/>
      <w:outlineLvl w:val="1"/>
    </w:pPr>
    <w:rPr>
      <w:rFonts w:ascii="Arial" w:hAnsi="Arial" w:eastAsia="黑体"/>
      <w:b/>
      <w:kern w:val="0"/>
      <w:sz w:val="32"/>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6">
    <w:name w:val="Default Paragraph Font"/>
    <w:semiHidden/>
    <w:qFormat/>
    <w:uiPriority w:val="0"/>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snapToGrid/>
      <w:spacing w:line="312" w:lineRule="atLeast"/>
      <w:ind w:firstLine="0" w:firstLineChars="0"/>
      <w:textAlignment w:val="baseline"/>
    </w:pPr>
    <w:rPr>
      <w:rFonts w:ascii="宋体" w:hAnsi="Courier New"/>
      <w:kern w:val="0"/>
      <w:sz w:val="21"/>
    </w:rPr>
  </w:style>
  <w:style w:type="paragraph" w:styleId="5">
    <w:name w:val="Normal Indent"/>
    <w:basedOn w:val="1"/>
    <w:qFormat/>
    <w:uiPriority w:val="0"/>
    <w:rPr>
      <w:sz w:val="28"/>
    </w:rPr>
  </w:style>
  <w:style w:type="paragraph" w:styleId="6">
    <w:name w:val="annotation text"/>
    <w:basedOn w:val="1"/>
    <w:qFormat/>
    <w:uiPriority w:val="0"/>
    <w:pPr>
      <w:jc w:val="left"/>
    </w:pPr>
  </w:style>
  <w:style w:type="paragraph" w:styleId="7">
    <w:name w:val="Body Text"/>
    <w:basedOn w:val="1"/>
    <w:qFormat/>
    <w:uiPriority w:val="0"/>
    <w:pPr>
      <w:spacing w:after="120"/>
    </w:pPr>
  </w:style>
  <w:style w:type="paragraph" w:styleId="8">
    <w:name w:val="Body Text Indent"/>
    <w:basedOn w:val="1"/>
    <w:unhideWhenUsed/>
    <w:qFormat/>
    <w:uiPriority w:val="99"/>
    <w:pPr>
      <w:adjustRightInd/>
      <w:snapToGrid/>
      <w:spacing w:after="120" w:line="240" w:lineRule="auto"/>
      <w:ind w:left="420" w:leftChars="200" w:firstLine="0" w:firstLineChars="0"/>
    </w:pPr>
    <w:rPr>
      <w:rFonts w:ascii="Calibri" w:hAnsi="Calibri"/>
      <w:sz w:val="21"/>
      <w:szCs w:val="22"/>
    </w:rPr>
  </w:style>
  <w:style w:type="paragraph" w:styleId="9">
    <w:name w:val="Body Text Indent 2"/>
    <w:basedOn w:val="1"/>
    <w:qFormat/>
    <w:uiPriority w:val="0"/>
    <w:pPr>
      <w:spacing w:after="120" w:line="480" w:lineRule="auto"/>
      <w:ind w:left="420" w:leftChars="200"/>
    </w:pPr>
  </w:style>
  <w:style w:type="paragraph" w:styleId="10">
    <w:name w:val="footer"/>
    <w:basedOn w:val="1"/>
    <w:qFormat/>
    <w:uiPriority w:val="0"/>
    <w:pPr>
      <w:tabs>
        <w:tab w:val="center" w:pos="4153"/>
        <w:tab w:val="right" w:pos="8306"/>
      </w:tabs>
    </w:pPr>
    <w:rPr>
      <w:sz w:val="18"/>
      <w:szCs w:val="18"/>
    </w:rPr>
  </w:style>
  <w:style w:type="paragraph" w:styleId="11">
    <w:name w:val="Body Text First Indent 2"/>
    <w:basedOn w:val="8"/>
    <w:next w:val="1"/>
    <w:qFormat/>
    <w:uiPriority w:val="0"/>
    <w:pPr>
      <w:ind w:firstLine="420" w:firstLineChars="200"/>
    </w:pPr>
  </w:style>
  <w:style w:type="paragraph" w:styleId="12">
    <w:name w:val="header"/>
    <w:basedOn w:val="1"/>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qFormat/>
    <w:uiPriority w:val="39"/>
    <w:pPr>
      <w:tabs>
        <w:tab w:val="right" w:leader="dot" w:pos="8720"/>
      </w:tabs>
      <w:ind w:firstLine="562"/>
      <w:jc w:val="center"/>
    </w:pPr>
    <w:rPr>
      <w:b/>
      <w:sz w:val="28"/>
      <w:szCs w:val="28"/>
    </w:rPr>
  </w:style>
  <w:style w:type="paragraph" w:styleId="14">
    <w:name w:val="Body Text Indent 3"/>
    <w:basedOn w:val="1"/>
    <w:qFormat/>
    <w:uiPriority w:val="0"/>
    <w:pPr>
      <w:spacing w:after="120"/>
      <w:ind w:left="420" w:leftChars="200"/>
    </w:pPr>
    <w:rPr>
      <w:sz w:val="16"/>
      <w:szCs w:val="16"/>
    </w:rPr>
  </w:style>
  <w:style w:type="paragraph" w:styleId="15">
    <w:name w:val="Normal (Web)"/>
    <w:basedOn w:val="1"/>
    <w:qFormat/>
    <w:uiPriority w:val="0"/>
    <w:pPr>
      <w:widowControl/>
      <w:spacing w:before="100" w:beforeAutospacing="1" w:after="100" w:afterAutospacing="1"/>
      <w:jc w:val="left"/>
    </w:pPr>
    <w:rPr>
      <w:rFonts w:ascii="宋体" w:hAnsi="宋体"/>
      <w:kern w:val="0"/>
      <w:sz w:val="24"/>
      <w:szCs w:val="20"/>
    </w:rPr>
  </w:style>
  <w:style w:type="character" w:styleId="17">
    <w:name w:val="page number"/>
    <w:basedOn w:val="16"/>
    <w:qFormat/>
    <w:uiPriority w:val="0"/>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annotation reference"/>
    <w:unhideWhenUsed/>
    <w:qFormat/>
    <w:uiPriority w:val="99"/>
    <w:rPr>
      <w:sz w:val="21"/>
      <w:szCs w:val="21"/>
    </w:rPr>
  </w:style>
  <w:style w:type="table" w:styleId="21">
    <w:name w:val="Table Grid"/>
    <w:basedOn w:val="2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22">
    <w:name w:val="Default1"/>
    <w:qFormat/>
    <w:uiPriority w:val="99"/>
    <w:pPr>
      <w:widowControl w:val="0"/>
      <w:autoSpaceDE w:val="0"/>
      <w:autoSpaceDN w:val="0"/>
      <w:adjustRightInd w:val="0"/>
    </w:pPr>
    <w:rPr>
      <w:rFonts w:ascii="宋体" w:eastAsia="微软雅黑" w:cs="宋体" w:hAnsiTheme="minorHAnsi"/>
      <w:color w:val="000000"/>
      <w:sz w:val="24"/>
      <w:szCs w:val="24"/>
      <w:lang w:val="en-US" w:eastAsia="zh-CN" w:bidi="ar-SA"/>
    </w:rPr>
  </w:style>
  <w:style w:type="paragraph" w:customStyle="1" w:styleId="23">
    <w:name w:val="报告表标题1"/>
    <w:basedOn w:val="1"/>
    <w:qFormat/>
    <w:uiPriority w:val="0"/>
    <w:pPr>
      <w:pageBreakBefore/>
      <w:spacing w:line="600" w:lineRule="exact"/>
      <w:ind w:firstLine="0" w:firstLineChars="0"/>
    </w:pPr>
    <w:rPr>
      <w:b/>
      <w:sz w:val="30"/>
    </w:rPr>
  </w:style>
  <w:style w:type="paragraph" w:customStyle="1" w:styleId="24">
    <w:name w:val="无间隔1"/>
    <w:basedOn w:val="7"/>
    <w:next w:val="7"/>
    <w:qFormat/>
    <w:uiPriority w:val="1"/>
    <w:pPr>
      <w:spacing w:after="0" w:line="360" w:lineRule="exact"/>
      <w:ind w:firstLine="0" w:firstLineChars="0"/>
      <w:jc w:val="center"/>
    </w:pPr>
    <w:rPr>
      <w:rFonts w:eastAsia="黑体"/>
      <w:sz w:val="21"/>
    </w:rPr>
  </w:style>
  <w:style w:type="paragraph" w:customStyle="1" w:styleId="25">
    <w:name w:val="HDY正文"/>
    <w:basedOn w:val="1"/>
    <w:qFormat/>
    <w:uiPriority w:val="0"/>
    <w:pPr>
      <w:widowControl/>
      <w:adjustRightInd/>
      <w:snapToGrid/>
      <w:ind w:firstLine="480"/>
    </w:pPr>
    <w:rPr>
      <w:kern w:val="0"/>
      <w:szCs w:val="24"/>
    </w:rPr>
  </w:style>
  <w:style w:type="paragraph" w:styleId="26">
    <w:name w:val="List Paragraph"/>
    <w:basedOn w:val="1"/>
    <w:unhideWhenUsed/>
    <w:qFormat/>
    <w:uiPriority w:val="99"/>
    <w:pPr>
      <w:ind w:firstLine="420"/>
      <w:jc w:val="left"/>
    </w:pPr>
  </w:style>
  <w:style w:type="paragraph" w:customStyle="1" w:styleId="27">
    <w:name w:val="表格文字"/>
    <w:basedOn w:val="1"/>
    <w:next w:val="1"/>
    <w:qFormat/>
    <w:uiPriority w:val="0"/>
    <w:pPr>
      <w:tabs>
        <w:tab w:val="center" w:pos="1053"/>
      </w:tabs>
      <w:adjustRightInd/>
      <w:spacing w:line="360" w:lineRule="exact"/>
      <w:ind w:firstLine="0" w:firstLineChars="0"/>
      <w:jc w:val="center"/>
    </w:pPr>
    <w:rPr>
      <w:rFonts w:ascii="宋体" w:hAnsi="宋体"/>
      <w:kern w:val="21"/>
      <w:sz w:val="21"/>
      <w:szCs w:val="21"/>
      <w:u w:color="000000"/>
    </w:rPr>
  </w:style>
  <w:style w:type="paragraph" w:customStyle="1" w:styleId="28">
    <w:name w:val="中等深浅网格 21"/>
    <w:basedOn w:val="1"/>
    <w:next w:val="1"/>
    <w:qFormat/>
    <w:uiPriority w:val="1"/>
    <w:pPr>
      <w:spacing w:line="240" w:lineRule="auto"/>
      <w:ind w:firstLine="0" w:firstLineChars="0"/>
      <w:jc w:val="center"/>
    </w:pPr>
    <w:rPr>
      <w:sz w:val="21"/>
      <w:szCs w:val="24"/>
    </w:rPr>
  </w:style>
  <w:style w:type="paragraph" w:customStyle="1" w:styleId="29">
    <w:name w:val="正文样式"/>
    <w:basedOn w:val="1"/>
    <w:qFormat/>
    <w:uiPriority w:val="0"/>
    <w:pPr>
      <w:spacing w:line="460" w:lineRule="exact"/>
      <w:ind w:firstLine="200" w:firstLineChars="200"/>
    </w:pPr>
    <w:rPr>
      <w:rFonts w:ascii="宋体" w:hAnsi="宋体"/>
      <w:sz w:val="24"/>
      <w:szCs w:val="24"/>
    </w:rPr>
  </w:style>
  <w:style w:type="paragraph" w:customStyle="1" w:styleId="30">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31">
    <w:name w:val="样式 正文 +"/>
    <w:basedOn w:val="1"/>
    <w:qFormat/>
    <w:uiPriority w:val="0"/>
    <w:pPr>
      <w:adjustRightInd w:val="0"/>
      <w:snapToGrid w:val="0"/>
      <w:spacing w:line="360" w:lineRule="auto"/>
      <w:ind w:firstLine="480" w:firstLineChars="200"/>
    </w:pPr>
    <w:rPr>
      <w:color w:val="FF0000"/>
      <w:sz w:val="24"/>
    </w:rPr>
  </w:style>
  <w:style w:type="paragraph" w:customStyle="1" w:styleId="32">
    <w:name w:val="C2"/>
    <w:basedOn w:val="1"/>
    <w:qFormat/>
    <w:uiPriority w:val="0"/>
    <w:rPr>
      <w:kern w:val="0"/>
      <w:sz w:val="28"/>
      <w:szCs w:val="20"/>
    </w:rPr>
  </w:style>
  <w:style w:type="paragraph" w:customStyle="1" w:styleId="33">
    <w:name w:val="正文 New New New New New New New New New New New New New New New New New New New New New New New New New New New New New New New New New New New New New New New New New New New New New New New New New New New New New New New New New New New New New New N8"/>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3.bin"/><Relationship Id="rId28" Type="http://schemas.openxmlformats.org/officeDocument/2006/relationships/image" Target="media/image16.wmf"/><Relationship Id="rId27" Type="http://schemas.openxmlformats.org/officeDocument/2006/relationships/oleObject" Target="embeddings/oleObject2.bin"/><Relationship Id="rId26" Type="http://schemas.openxmlformats.org/officeDocument/2006/relationships/image" Target="media/image15.wmf"/><Relationship Id="rId25" Type="http://schemas.openxmlformats.org/officeDocument/2006/relationships/oleObject" Target="embeddings/oleObject1.bin"/><Relationship Id="rId24" Type="http://schemas.openxmlformats.org/officeDocument/2006/relationships/image" Target="media/image14.wmf"/><Relationship Id="rId23" Type="http://schemas.openxmlformats.org/officeDocument/2006/relationships/image" Target="media/image13.wmf"/><Relationship Id="rId22" Type="http://schemas.openxmlformats.org/officeDocument/2006/relationships/image" Target="media/image12.wmf"/><Relationship Id="rId21" Type="http://schemas.openxmlformats.org/officeDocument/2006/relationships/image" Target="media/image11.wmf"/><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image" Target="media/image8.wmf"/><Relationship Id="rId17" Type="http://schemas.openxmlformats.org/officeDocument/2006/relationships/image" Target="media/image7.wmf"/><Relationship Id="rId16" Type="http://schemas.openxmlformats.org/officeDocument/2006/relationships/image" Target="media/image6.wmf"/><Relationship Id="rId15" Type="http://schemas.openxmlformats.org/officeDocument/2006/relationships/image" Target="media/image5.wmf"/><Relationship Id="rId14" Type="http://schemas.openxmlformats.org/officeDocument/2006/relationships/image" Target="media/image4.wmf"/><Relationship Id="rId13" Type="http://schemas.openxmlformats.org/officeDocument/2006/relationships/image" Target="media/image3.wmf"/><Relationship Id="rId12" Type="http://schemas.openxmlformats.org/officeDocument/2006/relationships/image" Target="media/image2.wmf"/><Relationship Id="rId11" Type="http://schemas.openxmlformats.org/officeDocument/2006/relationships/image" Target="media/image1.w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2018-10-25T09:23:00Z</dcterms:created>
  <dc:creator>Administrator</dc:creator>
  <cp:lastModifiedBy>松果小姐和旧时光</cp:lastModifiedBy>
  <dcterms:modified xsi:type="dcterms:W3CDTF">2018-12-19T07:54:16Z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