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jc w:val="center"/>
        <w:textAlignment w:val="auto"/>
        <w:rPr>
          <w:rFonts w:hint="default" w:eastAsiaTheme="minorEastAsia"/>
          <w:lang w:val="en-US" w:eastAsia="zh-CN"/>
        </w:rPr>
      </w:pPr>
      <w:r>
        <w:rPr>
          <w:rFonts w:hint="eastAsia"/>
          <w:lang w:val="en-US" w:eastAsia="zh-CN"/>
        </w:rPr>
        <w:t>关于</w:t>
      </w:r>
      <w:r>
        <w:t>马大路、龙姚路边坡及路肩整治工程项目</w:t>
      </w:r>
      <w:r>
        <w:rPr>
          <w:rFonts w:hint="eastAsia"/>
          <w:lang w:val="en-US" w:eastAsia="zh-CN"/>
        </w:rPr>
        <w:t>的采购结果公告</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82" w:firstLineChars="200"/>
        <w:jc w:val="left"/>
        <w:textAlignment w:val="auto"/>
      </w:pPr>
      <w:r>
        <w:t xml:space="preserve">马大路、龙姚路边坡及路肩整治工程项目采购项目已于2019年07月01日进行 竞争性磋商，现磋商工作已结束，根据磋商小组的评审结论和采购人“成交复函”，现将磋商成交结果公告如下： </w:t>
      </w: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pPr>
      <w:r>
        <w:t>一、采购项目名称：马大路、龙姚路边坡及路肩整治工程项目</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pPr>
      <w:r>
        <w:t>二、采购项目编号：XX-2019-000343-4</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pPr>
      <w:r>
        <w:t>三、采购人名称：陕西省西咸新区泾河新城土地储备中心</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auto"/>
        <w:textAlignment w:val="auto"/>
      </w:pPr>
      <w:r>
        <w:t>1、地址：陕西省咸阳市泾阳县崇文镇泾河大道中段产业孵化中心</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auto"/>
        <w:textAlignment w:val="auto"/>
      </w:pPr>
      <w:r>
        <w:t>2、联系人：卫莹</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auto"/>
        <w:textAlignment w:val="auto"/>
      </w:pPr>
      <w:r>
        <w:t>3、联系方式：029-36390261</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pPr>
      <w:r>
        <w:t>四、采购代理机构名称：锐驰项目管理有限公司</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auto"/>
        <w:textAlignment w:val="auto"/>
      </w:pPr>
      <w:r>
        <w:t>1、地址：陕西省西安市雁塔区朱雀大街南段2号汇成天玺C座11层</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auto"/>
        <w:textAlignment w:val="auto"/>
      </w:pPr>
      <w:r>
        <w:t>2、联系人：王工</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auto"/>
        <w:textAlignment w:val="auto"/>
      </w:pPr>
      <w:r>
        <w:t>3、联系方式：029-88669622转15102908972</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pPr>
      <w:r>
        <w:t>五、招标公告发布日期：2019-06-18</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pPr>
      <w:r>
        <w:t>六、定标日期：2019-07-02</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pPr>
      <w:r>
        <w:t xml:space="preserve">七、 磋商成交信息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auto"/>
        <w:textAlignment w:val="auto"/>
      </w:pPr>
      <w:r>
        <w:t xml:space="preserve">1、成交供应商 ：陕西嘉业工程建设有限公司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auto"/>
        <w:textAlignment w:val="auto"/>
      </w:pPr>
      <w:r>
        <w:t xml:space="preserve">2、成交 金额：1564012.94元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auto"/>
        <w:textAlignment w:val="auto"/>
      </w:pPr>
      <w:r>
        <w:t xml:space="preserve">3、地址 ：陕西省西安市未央区凤城九路南侧白桦林居4幢12501室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auto"/>
        <w:textAlignment w:val="auto"/>
      </w:pPr>
      <w:r>
        <w:t xml:space="preserve">4、联系人 ：张马莉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auto"/>
        <w:textAlignment w:val="auto"/>
      </w:pPr>
      <w:r>
        <w:t xml:space="preserve">5、联系电话 ：13488465474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auto"/>
        <w:textAlignment w:val="auto"/>
      </w:pPr>
      <w:r>
        <w:t xml:space="preserve">6、合同履行期 ： 到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auto"/>
        <w:textAlignment w:val="auto"/>
      </w:pPr>
      <w:r>
        <w:t>7、主要成交标的信息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auto"/>
        <w:textAlignment w:val="auto"/>
      </w:pPr>
      <w:r>
        <w:t xml:space="preserve">8、代理服务费： 11158.00元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auto"/>
        <w:textAlignment w:val="auto"/>
        <w:rPr>
          <w:rFonts w:hint="eastAsia" w:eastAsiaTheme="minorEastAsia"/>
          <w:lang w:eastAsia="zh-CN"/>
        </w:rPr>
      </w:pPr>
      <w:r>
        <w:t>标的清单：</w:t>
      </w:r>
      <w:r>
        <w:rPr>
          <w:rFonts w:hint="eastAsia" w:eastAsiaTheme="minorEastAsia"/>
          <w:lang w:eastAsia="zh-CN"/>
        </w:rPr>
        <w:drawing>
          <wp:inline distT="0" distB="0" distL="114300" distR="114300">
            <wp:extent cx="4874895" cy="5443855"/>
            <wp:effectExtent l="0" t="0" r="1905" b="4445"/>
            <wp:docPr id="1" name="图片 1" descr="15620508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62050893(1)"/>
                    <pic:cNvPicPr>
                      <a:picLocks noChangeAspect="1"/>
                    </pic:cNvPicPr>
                  </pic:nvPicPr>
                  <pic:blipFill>
                    <a:blip r:embed="rId4"/>
                    <a:stretch>
                      <a:fillRect/>
                    </a:stretch>
                  </pic:blipFill>
                  <pic:spPr>
                    <a:xfrm>
                      <a:off x="0" y="0"/>
                      <a:ext cx="4874895" cy="5443855"/>
                    </a:xfrm>
                    <a:prstGeom prst="rect">
                      <a:avLst/>
                    </a:prstGeom>
                  </pic:spPr>
                </pic:pic>
              </a:graphicData>
            </a:graphic>
          </wp:inline>
        </w:drawing>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pPr>
      <w:r>
        <w:t>八、采购内容和要求：</w:t>
      </w:r>
    </w:p>
    <w:tbl>
      <w:tblPr>
        <w:tblStyle w:val="3"/>
        <w:tblW w:w="8546" w:type="dxa"/>
        <w:tblCellSpacing w:w="1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7"/>
        <w:gridCol w:w="1299"/>
        <w:gridCol w:w="1285"/>
        <w:gridCol w:w="1646"/>
        <w:gridCol w:w="1279"/>
        <w:gridCol w:w="1164"/>
        <w:gridCol w:w="1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blCellSpacing w:w="15" w:type="dxa"/>
        </w:trPr>
        <w:tc>
          <w:tcPr>
            <w:tcW w:w="642" w:type="dxa"/>
            <w:tcBorders>
              <w:top w:val="single" w:color="auto" w:sz="4" w:space="0"/>
              <w:left w:val="single" w:color="auto" w:sz="0" w:space="0"/>
              <w:bottom w:val="single" w:color="auto" w:sz="4" w:space="0"/>
              <w:right w:val="single" w:color="auto" w:sz="4" w:space="0"/>
            </w:tcBorders>
            <w:shd w:val="clear" w:color="auto" w:fill="auto"/>
            <w:noWrap/>
            <w:tcMar>
              <w:top w:w="0" w:type="dxa"/>
              <w:left w:w="75" w:type="dxa"/>
              <w:bottom w:w="0" w:type="dxa"/>
              <w:right w:w="75" w:type="dxa"/>
            </w:tcMar>
            <w:vAlign w:val="center"/>
          </w:tcPr>
          <w:p>
            <w:pPr>
              <w:keepNext w:val="0"/>
              <w:keepLines w:val="0"/>
              <w:widowControl/>
              <w:suppressLineNumbers w:val="0"/>
              <w:jc w:val="center"/>
              <w:rPr>
                <w:b/>
              </w:rPr>
            </w:pPr>
            <w:r>
              <w:rPr>
                <w:rFonts w:ascii="宋体" w:hAnsi="宋体" w:eastAsia="宋体" w:cs="宋体"/>
                <w:b/>
                <w:sz w:val="24"/>
                <w:szCs w:val="24"/>
              </w:rPr>
              <w:t>包号</w:t>
            </w:r>
          </w:p>
        </w:tc>
        <w:tc>
          <w:tcPr>
            <w:tcW w:w="1269" w:type="dxa"/>
            <w:tcBorders>
              <w:top w:val="single" w:color="auto" w:sz="4" w:space="0"/>
              <w:left w:val="single" w:color="auto" w:sz="4" w:space="0"/>
              <w:bottom w:val="single" w:color="auto" w:sz="4" w:space="0"/>
              <w:right w:val="single" w:color="auto" w:sz="4" w:space="0"/>
            </w:tcBorders>
            <w:shd w:val="clear" w:color="auto" w:fill="auto"/>
            <w:noWrap/>
            <w:tcMar>
              <w:top w:w="0" w:type="dxa"/>
              <w:left w:w="75" w:type="dxa"/>
              <w:bottom w:w="0" w:type="dxa"/>
              <w:right w:w="75" w:type="dxa"/>
            </w:tcMar>
            <w:vAlign w:val="center"/>
          </w:tcPr>
          <w:p>
            <w:pPr>
              <w:keepNext w:val="0"/>
              <w:keepLines w:val="0"/>
              <w:widowControl/>
              <w:suppressLineNumbers w:val="0"/>
              <w:jc w:val="center"/>
              <w:rPr>
                <w:b/>
              </w:rPr>
            </w:pPr>
            <w:r>
              <w:rPr>
                <w:rFonts w:ascii="宋体" w:hAnsi="宋体" w:eastAsia="宋体" w:cs="宋体"/>
                <w:b/>
                <w:sz w:val="24"/>
                <w:szCs w:val="24"/>
              </w:rPr>
              <w:t>采购内容</w:t>
            </w:r>
          </w:p>
        </w:tc>
        <w:tc>
          <w:tcPr>
            <w:tcW w:w="1255" w:type="dxa"/>
            <w:tcBorders>
              <w:top w:val="single" w:color="auto" w:sz="4" w:space="0"/>
              <w:left w:val="single" w:color="auto" w:sz="4" w:space="0"/>
              <w:bottom w:val="single" w:color="auto" w:sz="4" w:space="0"/>
              <w:right w:val="single" w:color="auto" w:sz="4" w:space="0"/>
            </w:tcBorders>
            <w:shd w:val="clear" w:color="auto" w:fill="auto"/>
            <w:noWrap/>
            <w:tcMar>
              <w:top w:w="0" w:type="dxa"/>
              <w:left w:w="75" w:type="dxa"/>
              <w:bottom w:w="0" w:type="dxa"/>
              <w:right w:w="75" w:type="dxa"/>
            </w:tcMar>
            <w:vAlign w:val="center"/>
          </w:tcPr>
          <w:p>
            <w:pPr>
              <w:keepNext w:val="0"/>
              <w:keepLines w:val="0"/>
              <w:widowControl/>
              <w:suppressLineNumbers w:val="0"/>
              <w:jc w:val="center"/>
              <w:rPr>
                <w:b/>
              </w:rPr>
            </w:pPr>
            <w:r>
              <w:rPr>
                <w:rFonts w:ascii="宋体" w:hAnsi="宋体" w:eastAsia="宋体" w:cs="宋体"/>
                <w:b/>
                <w:sz w:val="24"/>
                <w:szCs w:val="24"/>
              </w:rPr>
              <w:t>数量/单位</w:t>
            </w:r>
          </w:p>
        </w:tc>
        <w:tc>
          <w:tcPr>
            <w:tcW w:w="1616" w:type="dxa"/>
            <w:tcBorders>
              <w:top w:val="single" w:color="auto" w:sz="4" w:space="0"/>
              <w:left w:val="single" w:color="auto" w:sz="4" w:space="0"/>
              <w:bottom w:val="single" w:color="auto" w:sz="4" w:space="0"/>
              <w:right w:val="single" w:color="auto" w:sz="4" w:space="0"/>
            </w:tcBorders>
            <w:shd w:val="clear" w:color="auto" w:fill="auto"/>
            <w:noWrap/>
            <w:tcMar>
              <w:top w:w="0" w:type="dxa"/>
              <w:left w:w="75" w:type="dxa"/>
              <w:bottom w:w="0" w:type="dxa"/>
              <w:right w:w="75" w:type="dxa"/>
            </w:tcMar>
            <w:vAlign w:val="center"/>
          </w:tcPr>
          <w:p>
            <w:pPr>
              <w:keepNext w:val="0"/>
              <w:keepLines w:val="0"/>
              <w:widowControl/>
              <w:suppressLineNumbers w:val="0"/>
              <w:jc w:val="center"/>
              <w:rPr>
                <w:b/>
              </w:rPr>
            </w:pPr>
            <w:r>
              <w:rPr>
                <w:rFonts w:ascii="宋体" w:hAnsi="宋体" w:eastAsia="宋体" w:cs="宋体"/>
                <w:b/>
                <w:sz w:val="24"/>
                <w:szCs w:val="24"/>
              </w:rPr>
              <w:t>采购预算金额</w:t>
            </w:r>
          </w:p>
        </w:tc>
        <w:tc>
          <w:tcPr>
            <w:tcW w:w="1249" w:type="dxa"/>
            <w:tcBorders>
              <w:top w:val="single" w:color="auto" w:sz="4" w:space="0"/>
              <w:left w:val="single" w:color="auto" w:sz="4" w:space="0"/>
              <w:bottom w:val="single" w:color="auto" w:sz="4" w:space="0"/>
              <w:right w:val="single" w:color="auto" w:sz="4" w:space="0"/>
            </w:tcBorders>
            <w:shd w:val="clear" w:color="auto" w:fill="auto"/>
            <w:noWrap/>
            <w:tcMar>
              <w:top w:w="0" w:type="dxa"/>
              <w:left w:w="75" w:type="dxa"/>
              <w:bottom w:w="0" w:type="dxa"/>
              <w:right w:w="75" w:type="dxa"/>
            </w:tcMar>
            <w:vAlign w:val="center"/>
          </w:tcPr>
          <w:p>
            <w:pPr>
              <w:keepNext w:val="0"/>
              <w:keepLines w:val="0"/>
              <w:widowControl/>
              <w:suppressLineNumbers w:val="0"/>
              <w:jc w:val="center"/>
              <w:rPr>
                <w:b/>
              </w:rPr>
            </w:pPr>
            <w:r>
              <w:rPr>
                <w:rFonts w:ascii="宋体" w:hAnsi="宋体" w:eastAsia="宋体" w:cs="宋体"/>
                <w:b/>
                <w:sz w:val="24"/>
                <w:szCs w:val="24"/>
              </w:rPr>
              <w:t>项目用途</w:t>
            </w:r>
          </w:p>
        </w:tc>
        <w:tc>
          <w:tcPr>
            <w:tcW w:w="1134" w:type="dxa"/>
            <w:tcBorders>
              <w:top w:val="single" w:color="auto" w:sz="4" w:space="0"/>
              <w:left w:val="single" w:color="auto" w:sz="4" w:space="0"/>
              <w:bottom w:val="single" w:color="auto" w:sz="4" w:space="0"/>
              <w:right w:val="single" w:color="auto" w:sz="4" w:space="0"/>
            </w:tcBorders>
            <w:shd w:val="clear" w:color="auto" w:fill="auto"/>
            <w:noWrap/>
            <w:tcMar>
              <w:top w:w="0" w:type="dxa"/>
              <w:left w:w="75" w:type="dxa"/>
              <w:bottom w:w="0" w:type="dxa"/>
              <w:right w:w="75" w:type="dxa"/>
            </w:tcMar>
            <w:vAlign w:val="center"/>
          </w:tcPr>
          <w:p>
            <w:pPr>
              <w:keepNext w:val="0"/>
              <w:keepLines w:val="0"/>
              <w:widowControl/>
              <w:suppressLineNumbers w:val="0"/>
              <w:jc w:val="center"/>
              <w:rPr>
                <w:b/>
              </w:rPr>
            </w:pPr>
            <w:r>
              <w:rPr>
                <w:rFonts w:ascii="宋体" w:hAnsi="宋体" w:eastAsia="宋体" w:cs="宋体"/>
                <w:b/>
                <w:sz w:val="24"/>
                <w:szCs w:val="24"/>
              </w:rPr>
              <w:t>项目性质</w:t>
            </w:r>
          </w:p>
        </w:tc>
        <w:tc>
          <w:tcPr>
            <w:tcW w:w="1141" w:type="dxa"/>
            <w:tcBorders>
              <w:top w:val="single" w:color="auto" w:sz="4" w:space="0"/>
              <w:left w:val="single" w:color="auto" w:sz="4" w:space="0"/>
              <w:bottom w:val="single" w:color="auto" w:sz="4" w:space="0"/>
              <w:right w:val="single" w:color="auto" w:sz="4" w:space="0"/>
            </w:tcBorders>
            <w:shd w:val="clear" w:color="auto" w:fill="auto"/>
            <w:noWrap/>
            <w:tcMar>
              <w:top w:w="0" w:type="dxa"/>
              <w:left w:w="75" w:type="dxa"/>
              <w:bottom w:w="0" w:type="dxa"/>
              <w:right w:w="75" w:type="dxa"/>
            </w:tcMar>
            <w:vAlign w:val="center"/>
          </w:tcPr>
          <w:p>
            <w:pPr>
              <w:keepNext w:val="0"/>
              <w:keepLines w:val="0"/>
              <w:widowControl/>
              <w:suppressLineNumbers w:val="0"/>
              <w:jc w:val="center"/>
              <w:rPr>
                <w:b/>
              </w:rPr>
            </w:pPr>
            <w:r>
              <w:rPr>
                <w:rFonts w:ascii="宋体" w:hAnsi="宋体" w:eastAsia="宋体" w:cs="宋体"/>
                <w:b/>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blCellSpacing w:w="15" w:type="dxa"/>
        </w:trPr>
        <w:tc>
          <w:tcPr>
            <w:tcW w:w="642" w:type="dxa"/>
            <w:tcBorders>
              <w:top w:val="single" w:color="auto" w:sz="4" w:space="0"/>
              <w:left w:val="single" w:color="auto" w:sz="4" w:space="0"/>
              <w:bottom w:val="single" w:color="auto" w:sz="4" w:space="0"/>
              <w:right w:val="single" w:color="auto" w:sz="4" w:space="0"/>
            </w:tcBorders>
            <w:shd w:val="clear" w:color="auto" w:fill="auto"/>
            <w:tcMar>
              <w:top w:w="0" w:type="dxa"/>
              <w:left w:w="75" w:type="dxa"/>
              <w:bottom w:w="0" w:type="dxa"/>
              <w:right w:w="75" w:type="dxa"/>
            </w:tcMar>
            <w:vAlign w:val="center"/>
          </w:tcPr>
          <w:p>
            <w:pPr>
              <w:keepNext w:val="0"/>
              <w:keepLines w:val="0"/>
              <w:widowControl/>
              <w:suppressLineNumbers w:val="0"/>
              <w:jc w:val="center"/>
            </w:pPr>
            <w:r>
              <w:rPr>
                <w:rFonts w:ascii="宋体" w:hAnsi="宋体" w:eastAsia="宋体" w:cs="宋体"/>
                <w:sz w:val="24"/>
                <w:szCs w:val="24"/>
              </w:rPr>
              <w:t>1</w:t>
            </w:r>
          </w:p>
        </w:tc>
        <w:tc>
          <w:tcPr>
            <w:tcW w:w="1269" w:type="dxa"/>
            <w:tcBorders>
              <w:top w:val="single" w:color="auto" w:sz="4" w:space="0"/>
              <w:left w:val="single" w:color="auto" w:sz="4" w:space="0"/>
              <w:bottom w:val="single" w:color="auto" w:sz="4" w:space="0"/>
              <w:right w:val="single" w:color="auto" w:sz="4" w:space="0"/>
            </w:tcBorders>
            <w:shd w:val="clear" w:color="auto" w:fill="auto"/>
            <w:tcMar>
              <w:top w:w="0" w:type="dxa"/>
              <w:left w:w="75" w:type="dxa"/>
              <w:bottom w:w="0" w:type="dxa"/>
              <w:right w:w="75" w:type="dxa"/>
            </w:tcMar>
            <w:vAlign w:val="center"/>
          </w:tcPr>
          <w:p>
            <w:pPr>
              <w:keepNext w:val="0"/>
              <w:keepLines w:val="0"/>
              <w:widowControl/>
              <w:suppressLineNumbers w:val="0"/>
              <w:jc w:val="right"/>
            </w:pPr>
            <w:r>
              <w:rPr>
                <w:rFonts w:ascii="宋体" w:hAnsi="宋体" w:eastAsia="宋体" w:cs="宋体"/>
                <w:sz w:val="24"/>
                <w:szCs w:val="24"/>
              </w:rPr>
              <w:t>马大路、龙姚路边坡及路肩整治工程项目</w:t>
            </w:r>
          </w:p>
        </w:tc>
        <w:tc>
          <w:tcPr>
            <w:tcW w:w="1255" w:type="dxa"/>
            <w:tcBorders>
              <w:top w:val="single" w:color="auto" w:sz="4" w:space="0"/>
              <w:left w:val="single" w:color="auto" w:sz="4" w:space="0"/>
              <w:bottom w:val="single" w:color="auto" w:sz="4" w:space="0"/>
              <w:right w:val="single" w:color="auto" w:sz="4" w:space="0"/>
            </w:tcBorders>
            <w:shd w:val="clear" w:color="auto" w:fill="auto"/>
            <w:tcMar>
              <w:top w:w="0" w:type="dxa"/>
              <w:left w:w="75" w:type="dxa"/>
              <w:bottom w:w="0" w:type="dxa"/>
              <w:right w:w="75" w:type="dxa"/>
            </w:tcMar>
            <w:vAlign w:val="center"/>
          </w:tcPr>
          <w:p>
            <w:pPr>
              <w:keepNext w:val="0"/>
              <w:keepLines w:val="0"/>
              <w:widowControl/>
              <w:suppressLineNumbers w:val="0"/>
              <w:jc w:val="left"/>
            </w:pPr>
            <w:r>
              <w:rPr>
                <w:rFonts w:ascii="宋体" w:hAnsi="宋体" w:eastAsia="宋体" w:cs="宋体"/>
                <w:sz w:val="24"/>
                <w:szCs w:val="24"/>
              </w:rPr>
              <w:t>1 项</w:t>
            </w:r>
          </w:p>
        </w:tc>
        <w:tc>
          <w:tcPr>
            <w:tcW w:w="1616" w:type="dxa"/>
            <w:tcBorders>
              <w:top w:val="single" w:color="auto" w:sz="4" w:space="0"/>
              <w:left w:val="single" w:color="auto" w:sz="4" w:space="0"/>
              <w:bottom w:val="single" w:color="auto" w:sz="4" w:space="0"/>
              <w:right w:val="single" w:color="auto" w:sz="4" w:space="0"/>
            </w:tcBorders>
            <w:shd w:val="clear" w:color="auto" w:fill="auto"/>
            <w:tcMar>
              <w:top w:w="0" w:type="dxa"/>
              <w:left w:w="75" w:type="dxa"/>
              <w:bottom w:w="0" w:type="dxa"/>
              <w:right w:w="75" w:type="dxa"/>
            </w:tcMar>
            <w:vAlign w:val="center"/>
          </w:tcPr>
          <w:p>
            <w:pPr>
              <w:keepNext w:val="0"/>
              <w:keepLines w:val="0"/>
              <w:widowControl/>
              <w:suppressLineNumbers w:val="0"/>
              <w:jc w:val="center"/>
            </w:pPr>
            <w:r>
              <w:rPr>
                <w:rFonts w:ascii="宋体" w:hAnsi="宋体" w:eastAsia="宋体" w:cs="宋体"/>
                <w:sz w:val="24"/>
                <w:szCs w:val="24"/>
              </w:rPr>
              <w:t>1565392.00</w:t>
            </w:r>
          </w:p>
        </w:tc>
        <w:tc>
          <w:tcPr>
            <w:tcW w:w="1249" w:type="dxa"/>
            <w:tcBorders>
              <w:top w:val="single" w:color="auto" w:sz="4" w:space="0"/>
              <w:left w:val="single" w:color="auto" w:sz="4" w:space="0"/>
              <w:bottom w:val="single" w:color="auto" w:sz="4" w:space="0"/>
              <w:right w:val="single" w:color="auto" w:sz="4" w:space="0"/>
            </w:tcBorders>
            <w:shd w:val="clear" w:color="auto" w:fill="auto"/>
            <w:tcMar>
              <w:top w:w="0" w:type="dxa"/>
              <w:left w:w="75" w:type="dxa"/>
              <w:bottom w:w="0" w:type="dxa"/>
              <w:right w:w="75" w:type="dxa"/>
            </w:tcMar>
            <w:vAlign w:val="center"/>
          </w:tcPr>
          <w:p>
            <w:pPr>
              <w:keepNext w:val="0"/>
              <w:keepLines w:val="0"/>
              <w:widowControl/>
              <w:suppressLineNumbers w:val="0"/>
              <w:jc w:val="center"/>
            </w:pPr>
            <w:r>
              <w:rPr>
                <w:rFonts w:ascii="宋体" w:hAnsi="宋体" w:eastAsia="宋体" w:cs="宋体"/>
                <w:sz w:val="24"/>
                <w:szCs w:val="24"/>
              </w:rPr>
              <w:t>马大路、龙姚路边坡及路肩整治工程</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75" w:type="dxa"/>
              <w:bottom w:w="0" w:type="dxa"/>
              <w:right w:w="75" w:type="dxa"/>
            </w:tcMar>
            <w:vAlign w:val="center"/>
          </w:tcPr>
          <w:p>
            <w:pPr>
              <w:keepNext w:val="0"/>
              <w:keepLines w:val="0"/>
              <w:widowControl/>
              <w:suppressLineNumbers w:val="0"/>
              <w:jc w:val="center"/>
            </w:pPr>
            <w:r>
              <w:rPr>
                <w:rFonts w:ascii="宋体" w:hAnsi="宋体" w:eastAsia="宋体" w:cs="宋体"/>
                <w:sz w:val="24"/>
                <w:szCs w:val="24"/>
              </w:rPr>
              <w:t>  </w:t>
            </w:r>
          </w:p>
        </w:tc>
        <w:tc>
          <w:tcPr>
            <w:tcW w:w="1141" w:type="dxa"/>
            <w:tcBorders>
              <w:top w:val="single" w:color="auto" w:sz="4" w:space="0"/>
              <w:left w:val="single" w:color="auto" w:sz="4" w:space="0"/>
              <w:bottom w:val="single" w:color="auto" w:sz="4" w:space="0"/>
              <w:right w:val="single" w:color="auto" w:sz="4" w:space="0"/>
            </w:tcBorders>
            <w:shd w:val="clear" w:color="auto" w:fill="auto"/>
            <w:tcMar>
              <w:top w:w="0" w:type="dxa"/>
              <w:left w:w="75" w:type="dxa"/>
              <w:bottom w:w="0" w:type="dxa"/>
              <w:right w:w="75" w:type="dxa"/>
            </w:tcMar>
            <w:vAlign w:val="center"/>
          </w:tcPr>
          <w:p>
            <w:pPr>
              <w:keepNext w:val="0"/>
              <w:keepLines w:val="0"/>
              <w:widowControl/>
              <w:suppressLineNumbers w:val="0"/>
              <w:jc w:val="center"/>
            </w:pPr>
            <w:r>
              <w:rPr>
                <w:rFonts w:ascii="宋体" w:hAnsi="宋体" w:eastAsia="宋体" w:cs="宋体"/>
                <w:sz w:val="24"/>
                <w:szCs w:val="24"/>
              </w:rPr>
              <w:t>马大路、龙姚路边坡及路肩整治工程项目施工图设计的全部施工工作和移交等工作。</w:t>
            </w:r>
          </w:p>
        </w:tc>
      </w:tr>
    </w:tbl>
    <w:p>
      <w:pPr>
        <w:pStyle w:val="6"/>
        <w:keepNext w:val="0"/>
        <w:keepLines w:val="0"/>
        <w:widowControl/>
        <w:suppressLineNumbers w:val="0"/>
        <w:spacing w:after="0" w:afterAutospacing="1" w:line="420" w:lineRule="atLeast"/>
        <w:ind w:left="0" w:right="0"/>
        <w:jc w:val="left"/>
      </w:pPr>
      <w:r>
        <w:t xml:space="preserve">九、 磋商小组名单： </w:t>
      </w:r>
    </w:p>
    <w:tbl>
      <w:tblPr>
        <w:tblStyle w:val="3"/>
        <w:tblW w:w="8546" w:type="dxa"/>
        <w:tblCellSpacing w:w="1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23"/>
        <w:gridCol w:w="2809"/>
        <w:gridCol w:w="2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2778" w:type="dxa"/>
            <w:tcBorders>
              <w:top w:val="single" w:color="auto" w:sz="4" w:space="0"/>
              <w:left w:val="single" w:color="auto" w:sz="0" w:space="0"/>
              <w:bottom w:val="single" w:color="auto" w:sz="4" w:space="0"/>
              <w:right w:val="single" w:color="auto" w:sz="4" w:space="0"/>
            </w:tcBorders>
            <w:shd w:val="clear" w:color="auto" w:fill="auto"/>
            <w:noWrap/>
            <w:tcMar>
              <w:top w:w="0" w:type="dxa"/>
              <w:left w:w="75" w:type="dxa"/>
              <w:bottom w:w="0" w:type="dxa"/>
              <w:right w:w="75" w:type="dxa"/>
            </w:tcMar>
            <w:vAlign w:val="center"/>
          </w:tcPr>
          <w:p>
            <w:pPr>
              <w:keepNext w:val="0"/>
              <w:keepLines w:val="0"/>
              <w:widowControl/>
              <w:suppressLineNumbers w:val="0"/>
              <w:jc w:val="center"/>
              <w:rPr>
                <w:b/>
              </w:rPr>
            </w:pPr>
            <w:r>
              <w:rPr>
                <w:rFonts w:ascii="宋体" w:hAnsi="宋体" w:eastAsia="宋体" w:cs="宋体"/>
                <w:b/>
                <w:sz w:val="24"/>
                <w:szCs w:val="24"/>
              </w:rPr>
              <w:t>项目名称</w:t>
            </w:r>
          </w:p>
        </w:tc>
        <w:tc>
          <w:tcPr>
            <w:tcW w:w="2779" w:type="dxa"/>
            <w:tcBorders>
              <w:top w:val="single" w:color="auto" w:sz="4" w:space="0"/>
              <w:left w:val="single" w:color="auto" w:sz="4" w:space="0"/>
              <w:bottom w:val="single" w:color="auto" w:sz="4" w:space="0"/>
              <w:right w:val="single" w:color="auto" w:sz="4" w:space="0"/>
            </w:tcBorders>
            <w:shd w:val="clear" w:color="auto" w:fill="auto"/>
            <w:noWrap/>
            <w:tcMar>
              <w:top w:w="0" w:type="dxa"/>
              <w:left w:w="75" w:type="dxa"/>
              <w:bottom w:w="0" w:type="dxa"/>
              <w:right w:w="75" w:type="dxa"/>
            </w:tcMar>
            <w:vAlign w:val="center"/>
          </w:tcPr>
          <w:p>
            <w:pPr>
              <w:keepNext w:val="0"/>
              <w:keepLines w:val="0"/>
              <w:widowControl/>
              <w:suppressLineNumbers w:val="0"/>
              <w:jc w:val="center"/>
              <w:rPr>
                <w:b/>
              </w:rPr>
            </w:pPr>
            <w:r>
              <w:rPr>
                <w:rFonts w:ascii="宋体" w:hAnsi="宋体" w:eastAsia="宋体" w:cs="宋体"/>
                <w:b/>
                <w:sz w:val="24"/>
                <w:szCs w:val="24"/>
              </w:rPr>
              <w:t>专家</w:t>
            </w:r>
          </w:p>
        </w:tc>
        <w:tc>
          <w:tcPr>
            <w:tcW w:w="2869" w:type="dxa"/>
            <w:tcBorders>
              <w:top w:val="single" w:color="auto" w:sz="4" w:space="0"/>
              <w:left w:val="single" w:color="auto" w:sz="4" w:space="0"/>
              <w:bottom w:val="single" w:color="auto" w:sz="4" w:space="0"/>
              <w:right w:val="single" w:color="auto" w:sz="4" w:space="0"/>
            </w:tcBorders>
            <w:shd w:val="clear" w:color="auto" w:fill="auto"/>
            <w:noWrap/>
            <w:tcMar>
              <w:top w:w="0" w:type="dxa"/>
              <w:left w:w="75" w:type="dxa"/>
              <w:bottom w:w="0" w:type="dxa"/>
              <w:right w:w="75" w:type="dxa"/>
            </w:tcMar>
            <w:vAlign w:val="center"/>
          </w:tcPr>
          <w:p>
            <w:pPr>
              <w:keepNext w:val="0"/>
              <w:keepLines w:val="0"/>
              <w:widowControl/>
              <w:suppressLineNumbers w:val="0"/>
              <w:jc w:val="center"/>
              <w:rPr>
                <w:b/>
              </w:rPr>
            </w:pPr>
            <w:r>
              <w:rPr>
                <w:rFonts w:ascii="宋体" w:hAnsi="宋体" w:eastAsia="宋体" w:cs="宋体"/>
                <w:b/>
                <w:sz w:val="24"/>
                <w:szCs w:val="24"/>
              </w:rPr>
              <w:t>采购人代表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blCellSpacing w:w="15" w:type="dxa"/>
        </w:trPr>
        <w:tc>
          <w:tcPr>
            <w:tcW w:w="2778" w:type="dxa"/>
            <w:tcBorders>
              <w:top w:val="single" w:color="auto" w:sz="4" w:space="0"/>
              <w:left w:val="single" w:color="auto" w:sz="4" w:space="0"/>
              <w:bottom w:val="single" w:color="auto" w:sz="4" w:space="0"/>
              <w:right w:val="single" w:color="auto" w:sz="4" w:space="0"/>
            </w:tcBorders>
            <w:shd w:val="clear" w:color="auto" w:fill="auto"/>
            <w:tcMar>
              <w:top w:w="0" w:type="dxa"/>
              <w:left w:w="75" w:type="dxa"/>
              <w:bottom w:w="0" w:type="dxa"/>
              <w:right w:w="75" w:type="dxa"/>
            </w:tcMar>
            <w:vAlign w:val="center"/>
          </w:tcPr>
          <w:p>
            <w:pPr>
              <w:keepNext w:val="0"/>
              <w:keepLines w:val="0"/>
              <w:widowControl/>
              <w:suppressLineNumbers w:val="0"/>
              <w:jc w:val="left"/>
            </w:pPr>
            <w:r>
              <w:rPr>
                <w:rFonts w:ascii="宋体" w:hAnsi="宋体" w:eastAsia="宋体" w:cs="宋体"/>
                <w:sz w:val="24"/>
                <w:szCs w:val="24"/>
              </w:rPr>
              <w:t>马大路、龙姚路边坡及路肩整治工程项目</w:t>
            </w:r>
          </w:p>
        </w:tc>
        <w:tc>
          <w:tcPr>
            <w:tcW w:w="2779" w:type="dxa"/>
            <w:tcBorders>
              <w:top w:val="single" w:color="auto" w:sz="4" w:space="0"/>
              <w:left w:val="single" w:color="auto" w:sz="4" w:space="0"/>
              <w:bottom w:val="single" w:color="auto" w:sz="4" w:space="0"/>
              <w:right w:val="single" w:color="auto" w:sz="4" w:space="0"/>
            </w:tcBorders>
            <w:shd w:val="clear" w:color="auto" w:fill="auto"/>
            <w:tcMar>
              <w:top w:w="0" w:type="dxa"/>
              <w:left w:w="75" w:type="dxa"/>
              <w:bottom w:w="0" w:type="dxa"/>
              <w:right w:w="75" w:type="dxa"/>
            </w:tcMar>
            <w:vAlign w:val="center"/>
          </w:tcPr>
          <w:p>
            <w:pPr>
              <w:keepNext w:val="0"/>
              <w:keepLines w:val="0"/>
              <w:widowControl/>
              <w:suppressLineNumbers w:val="0"/>
              <w:jc w:val="center"/>
            </w:pPr>
            <w:r>
              <w:rPr>
                <w:rFonts w:ascii="宋体" w:hAnsi="宋体" w:eastAsia="宋体" w:cs="宋体"/>
                <w:sz w:val="24"/>
                <w:szCs w:val="24"/>
              </w:rPr>
              <w:t>王建安、张爱民</w:t>
            </w:r>
          </w:p>
        </w:tc>
        <w:tc>
          <w:tcPr>
            <w:tcW w:w="2869" w:type="dxa"/>
            <w:tcBorders>
              <w:top w:val="single" w:color="auto" w:sz="4" w:space="0"/>
              <w:left w:val="single" w:color="auto" w:sz="4" w:space="0"/>
              <w:bottom w:val="single" w:color="auto" w:sz="4" w:space="0"/>
              <w:right w:val="single" w:color="auto" w:sz="4" w:space="0"/>
            </w:tcBorders>
            <w:shd w:val="clear" w:color="auto" w:fill="auto"/>
            <w:tcMar>
              <w:top w:w="0" w:type="dxa"/>
              <w:left w:w="75" w:type="dxa"/>
              <w:bottom w:w="0" w:type="dxa"/>
              <w:right w:w="75" w:type="dxa"/>
            </w:tcMar>
            <w:vAlign w:val="center"/>
          </w:tcPr>
          <w:p>
            <w:pPr>
              <w:keepNext w:val="0"/>
              <w:keepLines w:val="0"/>
              <w:widowControl/>
              <w:suppressLineNumbers w:val="0"/>
              <w:jc w:val="center"/>
            </w:pPr>
            <w:r>
              <w:rPr>
                <w:rFonts w:ascii="宋体" w:hAnsi="宋体" w:eastAsia="宋体" w:cs="宋体"/>
                <w:sz w:val="24"/>
                <w:szCs w:val="24"/>
              </w:rPr>
              <w:t>李莹刚</w:t>
            </w:r>
          </w:p>
        </w:tc>
      </w:tr>
    </w:tbl>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auto"/>
        <w:ind w:left="0" w:right="0"/>
        <w:jc w:val="left"/>
        <w:textAlignment w:val="auto"/>
      </w:pPr>
      <w:r>
        <w:t>十、其他事宜：</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auto"/>
        <w:ind w:left="0" w:right="0"/>
        <w:jc w:val="left"/>
        <w:textAlignment w:val="auto"/>
      </w:pPr>
      <w:r>
        <w:t>十一、采购项目联系人：王工</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textAlignment w:val="auto"/>
      </w:pPr>
      <w:r>
        <w:t>联系方式（电话/传真）：029-88669622转15102908972 </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auto"/>
        <w:ind w:left="0" w:right="0"/>
        <w:jc w:val="left"/>
        <w:textAlignment w:val="auto"/>
      </w:pPr>
      <w:r>
        <w:t>十二、各有关当事人若对本公告有异议，请按《中华人民共和国政府采购法》第五十二条之有关规定执行。</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auto"/>
        <w:ind w:left="0" w:right="0"/>
        <w:jc w:val="left"/>
        <w:textAlignment w:val="auto"/>
      </w:pPr>
      <w:r>
        <w:t>十三、本公告期限为自发布之日起1个工作日。</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pPr>
      <w:r>
        <w:rPr>
          <w:rFonts w:hint="eastAsia"/>
          <w:lang w:val="en-US" w:eastAsia="zh-CN"/>
        </w:rPr>
        <w:t xml:space="preserve">                                  </w:t>
      </w:r>
      <w:r>
        <w:t>锐驰项目管理有限公司</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eastAsiaTheme="minorEastAsia"/>
          <w:lang w:val="en-US" w:eastAsia="zh-CN"/>
        </w:rPr>
      </w:pPr>
      <w:r>
        <w:rPr>
          <w:rFonts w:hint="eastAsia"/>
          <w:lang w:val="en-US" w:eastAsia="zh-CN"/>
        </w:rPr>
        <w:t xml:space="preserve">           </w:t>
      </w:r>
    </w:p>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D594D"/>
    <w:rsid w:val="536557E1"/>
    <w:rsid w:val="5EED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line="420" w:lineRule="atLeast"/>
      <w:ind w:left="0" w:right="0" w:firstLine="420"/>
      <w:jc w:val="left"/>
    </w:pPr>
    <w:rPr>
      <w:b/>
      <w:kern w:val="0"/>
      <w:sz w:val="24"/>
      <w:lang w:val="en-US" w:eastAsia="zh-CN" w:bidi="ar"/>
    </w:rPr>
  </w:style>
  <w:style w:type="character" w:styleId="5">
    <w:name w:val="Hyperlink"/>
    <w:basedOn w:val="4"/>
    <w:uiPriority w:val="0"/>
    <w:rPr>
      <w:color w:val="0000FF"/>
      <w:u w:val="single"/>
    </w:rPr>
  </w:style>
  <w:style w:type="paragraph" w:customStyle="1" w:styleId="6">
    <w:name w:val="num"/>
    <w:basedOn w:val="1"/>
    <w:uiPriority w:val="0"/>
    <w:pPr>
      <w:spacing w:before="158" w:beforeAutospacing="0"/>
      <w:ind w:firstLine="0"/>
      <w:jc w:val="left"/>
    </w:pPr>
    <w:rPr>
      <w:b/>
      <w:kern w:val="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2019-07-02T06:58:00Z</dcterms:created>
  <dc:creator>22155</dc:creator>
  <cp:lastModifiedBy>22155</cp:lastModifiedBy>
  <dcterms:modified xsi:type="dcterms:W3CDTF">2019-07-02T08:06:52Z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