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7AD" w:rsidRPr="00B4154F" w:rsidRDefault="009017AD" w:rsidP="009017AD">
      <w:pPr>
        <w:adjustRightInd/>
        <w:snapToGrid/>
        <w:spacing w:after="0" w:line="384" w:lineRule="atLeast"/>
        <w:jc w:val="both"/>
        <w:rPr>
          <w:rFonts w:ascii="宋体" w:eastAsia="宋体" w:hAnsi="宋体" w:cs="宋体"/>
          <w:color w:val="000000"/>
          <w:sz w:val="24"/>
          <w:szCs w:val="24"/>
        </w:rPr>
      </w:pPr>
      <w:r w:rsidRPr="00B4154F">
        <w:rPr>
          <w:rFonts w:ascii="宋体" w:eastAsia="宋体" w:hAnsi="宋体" w:cs="宋体" w:hint="eastAsia"/>
          <w:b/>
          <w:bCs/>
          <w:color w:val="000000"/>
          <w:sz w:val="28"/>
          <w:szCs w:val="28"/>
        </w:rPr>
        <w:t>附件2</w:t>
      </w:r>
    </w:p>
    <w:p w:rsidR="009017AD" w:rsidRPr="00B4154F" w:rsidRDefault="009017AD" w:rsidP="009017AD">
      <w:pPr>
        <w:adjustRightInd/>
        <w:snapToGrid/>
        <w:spacing w:after="0" w:line="384" w:lineRule="atLeast"/>
        <w:jc w:val="both"/>
        <w:rPr>
          <w:rFonts w:ascii="宋体" w:eastAsia="宋体" w:hAnsi="宋体" w:cs="宋体"/>
          <w:color w:val="000000"/>
          <w:sz w:val="24"/>
          <w:szCs w:val="24"/>
        </w:rPr>
      </w:pPr>
      <w:r w:rsidRPr="00B4154F">
        <w:rPr>
          <w:rFonts w:ascii="宋体" w:eastAsia="宋体" w:hAnsi="宋体" w:cs="宋体" w:hint="eastAsia"/>
          <w:b/>
          <w:bCs/>
          <w:color w:val="000000"/>
          <w:sz w:val="28"/>
          <w:szCs w:val="28"/>
        </w:rPr>
        <w:br/>
      </w:r>
    </w:p>
    <w:p w:rsidR="009017AD" w:rsidRPr="00B4154F" w:rsidRDefault="009017AD" w:rsidP="009017AD">
      <w:pPr>
        <w:adjustRightInd/>
        <w:snapToGrid/>
        <w:spacing w:after="0" w:line="384" w:lineRule="atLeast"/>
        <w:jc w:val="center"/>
        <w:rPr>
          <w:rFonts w:ascii="宋体" w:eastAsia="宋体" w:hAnsi="宋体" w:cs="宋体"/>
          <w:color w:val="000000"/>
          <w:sz w:val="24"/>
          <w:szCs w:val="24"/>
        </w:rPr>
      </w:pPr>
      <w:r w:rsidRPr="00B4154F">
        <w:rPr>
          <w:rFonts w:ascii="宋体" w:eastAsia="宋体" w:hAnsi="宋体" w:cs="宋体" w:hint="eastAsia"/>
          <w:b/>
          <w:bCs/>
          <w:color w:val="000000"/>
          <w:sz w:val="36"/>
          <w:szCs w:val="36"/>
        </w:rPr>
        <w:t>国务院决定下放管理层级的行政许可事项目录</w:t>
      </w:r>
      <w:r w:rsidRPr="00B4154F">
        <w:rPr>
          <w:rFonts w:ascii="宋体" w:eastAsia="宋体" w:hAnsi="宋体" w:cs="宋体" w:hint="eastAsia"/>
          <w:b/>
          <w:bCs/>
          <w:color w:val="000000"/>
          <w:sz w:val="24"/>
          <w:szCs w:val="24"/>
        </w:rPr>
        <w:t> </w:t>
      </w:r>
      <w:r w:rsidRPr="00B4154F">
        <w:rPr>
          <w:rFonts w:ascii="宋体" w:eastAsia="宋体" w:hAnsi="宋体" w:cs="宋体" w:hint="eastAsia"/>
          <w:color w:val="000000"/>
          <w:sz w:val="28"/>
          <w:szCs w:val="28"/>
        </w:rPr>
        <w:br/>
      </w:r>
      <w:r w:rsidRPr="00B4154F">
        <w:rPr>
          <w:rFonts w:ascii="宋体" w:eastAsia="宋体" w:hAnsi="宋体" w:cs="宋体" w:hint="eastAsia"/>
          <w:color w:val="000000"/>
          <w:sz w:val="24"/>
          <w:szCs w:val="24"/>
        </w:rPr>
        <w:t>（共6项）</w:t>
      </w:r>
      <w:r w:rsidRPr="00B4154F">
        <w:rPr>
          <w:rFonts w:ascii="宋体" w:eastAsia="宋体" w:hAnsi="宋体" w:cs="宋体" w:hint="eastAsia"/>
          <w:color w:val="000000"/>
          <w:sz w:val="24"/>
          <w:szCs w:val="24"/>
        </w:rPr>
        <w:br/>
      </w:r>
      <w:r w:rsidRPr="00B4154F">
        <w:rPr>
          <w:rFonts w:ascii="宋体" w:eastAsia="宋体" w:hAnsi="宋体" w:cs="宋体" w:hint="eastAsia"/>
          <w:color w:val="000000"/>
          <w:sz w:val="28"/>
          <w:szCs w:val="28"/>
        </w:rPr>
        <w:br/>
      </w:r>
    </w:p>
    <w:tbl>
      <w:tblPr>
        <w:tblW w:w="9071" w:type="dxa"/>
        <w:jc w:val="center"/>
        <w:tblCellMar>
          <w:top w:w="15" w:type="dxa"/>
          <w:left w:w="15" w:type="dxa"/>
          <w:bottom w:w="15" w:type="dxa"/>
          <w:right w:w="15" w:type="dxa"/>
        </w:tblCellMar>
        <w:tblLook w:val="04A0"/>
      </w:tblPr>
      <w:tblGrid>
        <w:gridCol w:w="774"/>
        <w:gridCol w:w="1375"/>
        <w:gridCol w:w="1437"/>
        <w:gridCol w:w="1413"/>
        <w:gridCol w:w="1700"/>
        <w:gridCol w:w="2372"/>
      </w:tblGrid>
      <w:tr w:rsidR="009017AD" w:rsidRPr="00B4154F" w:rsidTr="007A1A1B">
        <w:trPr>
          <w:trHeight w:val="364"/>
          <w:jc w:val="center"/>
        </w:trPr>
        <w:tc>
          <w:tcPr>
            <w:tcW w:w="774" w:type="dxa"/>
            <w:tcBorders>
              <w:top w:val="single" w:sz="8" w:space="0" w:color="auto"/>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序号</w:t>
            </w:r>
          </w:p>
        </w:tc>
        <w:tc>
          <w:tcPr>
            <w:tcW w:w="1375"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事项名称</w:t>
            </w:r>
          </w:p>
        </w:tc>
        <w:tc>
          <w:tcPr>
            <w:tcW w:w="1437"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审批部门</w:t>
            </w:r>
          </w:p>
        </w:tc>
        <w:tc>
          <w:tcPr>
            <w:tcW w:w="1413"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设定依据</w:t>
            </w:r>
          </w:p>
        </w:tc>
        <w:tc>
          <w:tcPr>
            <w:tcW w:w="1700"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下放后审批部门</w:t>
            </w:r>
          </w:p>
        </w:tc>
        <w:tc>
          <w:tcPr>
            <w:tcW w:w="2372" w:type="dxa"/>
            <w:tcBorders>
              <w:top w:val="single" w:sz="8" w:space="0" w:color="auto"/>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b/>
                <w:bCs/>
                <w:color w:val="000000"/>
                <w:sz w:val="20"/>
                <w:szCs w:val="20"/>
              </w:rPr>
              <w:t>加强事中事后监管措施</w:t>
            </w:r>
          </w:p>
        </w:tc>
      </w:tr>
      <w:tr w:rsidR="009017AD" w:rsidRPr="00B4154F" w:rsidTr="007A1A1B">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1</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从事内地与港澳间客船（含客滚船、客货船等）、散装液体危险品船运输业务许可</w:t>
            </w:r>
          </w:p>
        </w:tc>
        <w:tc>
          <w:tcPr>
            <w:tcW w:w="1437"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w:t>
            </w:r>
          </w:p>
        </w:tc>
        <w:tc>
          <w:tcPr>
            <w:tcW w:w="1413"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p>
        </w:tc>
        <w:tc>
          <w:tcPr>
            <w:tcW w:w="17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省级交通运输部门</w:t>
            </w:r>
          </w:p>
        </w:tc>
        <w:tc>
          <w:tcPr>
            <w:tcW w:w="2372"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下放后，交通运输部门要会同有关部门通过以下措施加强事中事后监管：1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完善内地与港澳间海上运输管理制度，明确省级交通运输部门的管理职责和要求。2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通过“双随机、一公开”监管，加强执法监督，依法处罚违法行为。3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加强信用监管，向全社会公开企业失信记录，并实行联合惩戒。4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交通运输部对省级交通运输部门履职情况开展监督检查，及时纠正问题。5</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交通运输部归集内地与港澳间航运船舶信息，并根据需要向海关总署提供，海关加强后续监管。</w:t>
            </w:r>
          </w:p>
        </w:tc>
      </w:tr>
      <w:tr w:rsidR="009017AD" w:rsidRPr="00B4154F" w:rsidTr="007A1A1B">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2</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港口设施保安证书核发</w:t>
            </w:r>
          </w:p>
        </w:tc>
        <w:tc>
          <w:tcPr>
            <w:tcW w:w="1437"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交通运输部</w:t>
            </w:r>
          </w:p>
        </w:tc>
        <w:tc>
          <w:tcPr>
            <w:tcW w:w="1413"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《国务院对确需保留的行政审批项目设定行政许可的决定》</w:t>
            </w:r>
          </w:p>
        </w:tc>
        <w:tc>
          <w:tcPr>
            <w:tcW w:w="17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省级交通运输（港口）部门</w:t>
            </w:r>
          </w:p>
        </w:tc>
        <w:tc>
          <w:tcPr>
            <w:tcW w:w="2372"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下放后，交通运输（港口）部门要通过以下措施加强事中事后监管：1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完善港口设施保安规则和相关标准，统一规范港口设施保安工作，优化审批服务。2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依托有关信息系统，实现港口设施保安管理信息报送和共享，加强对港口设施保安工作的监管。3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交通运输部要制定并实施年度监督检查计划，对省级交通运输（港口）部门履职情况进行监督检查。</w:t>
            </w:r>
          </w:p>
        </w:tc>
      </w:tr>
      <w:tr w:rsidR="009017AD" w:rsidRPr="00B4154F" w:rsidTr="007A1A1B">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3</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省际、市</w:t>
            </w:r>
            <w:r w:rsidRPr="00B4154F">
              <w:rPr>
                <w:rFonts w:ascii="宋体" w:eastAsia="宋体" w:hAnsi="宋体" w:cs="宋体" w:hint="eastAsia"/>
                <w:color w:val="000000"/>
                <w:sz w:val="20"/>
                <w:szCs w:val="20"/>
              </w:rPr>
              <w:lastRenderedPageBreak/>
              <w:t>际、毗邻县行政区域间道路旅客运输经营许可</w:t>
            </w:r>
          </w:p>
        </w:tc>
        <w:tc>
          <w:tcPr>
            <w:tcW w:w="1437"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省、市级交通</w:t>
            </w:r>
            <w:r w:rsidRPr="00B4154F">
              <w:rPr>
                <w:rFonts w:ascii="宋体" w:eastAsia="宋体" w:hAnsi="宋体" w:cs="宋体" w:hint="eastAsia"/>
                <w:color w:val="000000"/>
                <w:sz w:val="20"/>
                <w:szCs w:val="20"/>
              </w:rPr>
              <w:lastRenderedPageBreak/>
              <w:t>运输部门</w:t>
            </w:r>
          </w:p>
        </w:tc>
        <w:tc>
          <w:tcPr>
            <w:tcW w:w="1413"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《中华人民</w:t>
            </w:r>
            <w:r w:rsidRPr="00B4154F">
              <w:rPr>
                <w:rFonts w:ascii="宋体" w:eastAsia="宋体" w:hAnsi="宋体" w:cs="宋体" w:hint="eastAsia"/>
                <w:color w:val="000000"/>
                <w:sz w:val="20"/>
                <w:szCs w:val="20"/>
              </w:rPr>
              <w:lastRenderedPageBreak/>
              <w:t>共和国道路运输条例》</w:t>
            </w:r>
          </w:p>
        </w:tc>
        <w:tc>
          <w:tcPr>
            <w:tcW w:w="17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省际、市际（除</w:t>
            </w:r>
            <w:r w:rsidRPr="00B4154F">
              <w:rPr>
                <w:rFonts w:ascii="宋体" w:eastAsia="宋体" w:hAnsi="宋体" w:cs="宋体" w:hint="eastAsia"/>
                <w:color w:val="000000"/>
                <w:sz w:val="20"/>
                <w:szCs w:val="20"/>
              </w:rPr>
              <w:lastRenderedPageBreak/>
              <w:t>毗邻县行政区域间外）道路旅客运输经营许可下放至设区的市级交通运输部门，毗邻县行政区域间道路旅客运输经营许可下放至县级交通运输部门（直辖市人民政府自行确定下放事项的审批层级）</w:t>
            </w:r>
          </w:p>
        </w:tc>
        <w:tc>
          <w:tcPr>
            <w:tcW w:w="2372"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下放后，交通运输部门</w:t>
            </w:r>
            <w:r w:rsidRPr="00B4154F">
              <w:rPr>
                <w:rFonts w:ascii="宋体" w:eastAsia="宋体" w:hAnsi="宋体" w:cs="宋体" w:hint="eastAsia"/>
                <w:color w:val="000000"/>
                <w:sz w:val="20"/>
                <w:szCs w:val="20"/>
              </w:rPr>
              <w:lastRenderedPageBreak/>
              <w:t>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加强信息共享，许可实施机关及时将许可情况推送至有关交通运输部门。2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健全旅客运输企业安全管理制度，完善安全生产、驾驶员管理、车辆管理、应急处置、隐患排查等方面的规定。3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实施车辆技术和动态监督管理，准确掌握客运车辆运营情况，及时发现和消除事故隐患。4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加强执法监督，依法处罚违法行为。5</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加强信用监管，建立健全企业考核制度。6</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完善运输服务质量投诉监督机制，及时处理服务质量投诉案件。7</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加强对辖区内交通运输部门履职情况的监督检查，及时纠正问题。</w:t>
            </w:r>
          </w:p>
        </w:tc>
      </w:tr>
      <w:tr w:rsidR="009017AD" w:rsidRPr="00B4154F" w:rsidTr="007A1A1B">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4</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护士执业注册</w:t>
            </w:r>
          </w:p>
        </w:tc>
        <w:tc>
          <w:tcPr>
            <w:tcW w:w="1437"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省级卫生健康部门</w:t>
            </w:r>
          </w:p>
        </w:tc>
        <w:tc>
          <w:tcPr>
            <w:tcW w:w="1413"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《护士条例》</w:t>
            </w:r>
          </w:p>
        </w:tc>
        <w:tc>
          <w:tcPr>
            <w:tcW w:w="17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护士执业医疗机构由设区的市级卫生健康部门批准设立的，下放至设区的市级卫生健康部门；护士执业医疗机构由县级卫生健康部门批准设立或备案的，下放至县级卫生健康部门。</w:t>
            </w:r>
          </w:p>
        </w:tc>
        <w:tc>
          <w:tcPr>
            <w:tcW w:w="2372"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下放后，各级卫生健康部门要通过以下措施加强事中事后监管：1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国家卫生健康委要制定指导各地下放护士执业注册审批层级的实施办法，并抓好贯彻实施。2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全面实施护士执业电子化注册，实现网上办理，并加强上级卫生健康部门对辖区内卫生健康部门护士执业注册工作的监督。3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按照“谁审批、谁监管”的原则，加强对执业护士的监督管理工作。</w:t>
            </w:r>
          </w:p>
        </w:tc>
      </w:tr>
      <w:tr w:rsidR="009017AD" w:rsidRPr="00B4154F" w:rsidTr="007A1A1B">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t>5</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安全生产检测检验机构、安全评价机构甲级资质认可，煤矿安全生产检测检验机构、安全评价机构乙级资质认可</w:t>
            </w:r>
          </w:p>
        </w:tc>
        <w:tc>
          <w:tcPr>
            <w:tcW w:w="1437"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应急管理部，省级煤矿安全监察局</w:t>
            </w:r>
          </w:p>
        </w:tc>
        <w:tc>
          <w:tcPr>
            <w:tcW w:w="1413"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《中华人民共和国安全生产法》</w:t>
            </w:r>
          </w:p>
        </w:tc>
        <w:tc>
          <w:tcPr>
            <w:tcW w:w="17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省级应急管理部门、省级煤矿安全生产监管部门</w:t>
            </w:r>
          </w:p>
        </w:tc>
        <w:tc>
          <w:tcPr>
            <w:tcW w:w="2372"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下放后，合并甲级、乙级资质，只保留基础资质。应急管理部和省级应急管理部门、省级煤矿安全生产监管部门要通过以下措施加强事中事后监管：1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健全安全生产检测检验机构、安全评价机构审批工作制度，制定全国统一的机构资质认定标准和执法标准，明确监管管辖</w:t>
            </w:r>
            <w:r w:rsidRPr="00B4154F">
              <w:rPr>
                <w:rFonts w:ascii="宋体" w:eastAsia="宋体" w:hAnsi="宋体" w:cs="宋体" w:hint="eastAsia"/>
                <w:color w:val="000000"/>
                <w:sz w:val="20"/>
                <w:szCs w:val="20"/>
              </w:rPr>
              <w:lastRenderedPageBreak/>
              <w:t>权，规范自由裁量权。2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加强对审批工作的培训、指导、督查工作，及时纠正有关问题。3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通过“双随机、一公开”监管、信用监管等方式，加强执法监督，对失信企业实行联合惩戒。4</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加强对安全生产检测检验机构、安全评价机构有关信息的共享和公开，接受社会监督。5</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支持行业组织发挥自律作用，完善技术仲裁工作机制。</w:t>
            </w:r>
          </w:p>
        </w:tc>
      </w:tr>
      <w:tr w:rsidR="009017AD" w:rsidRPr="00B4154F" w:rsidTr="007A1A1B">
        <w:trPr>
          <w:jc w:val="center"/>
        </w:trPr>
        <w:tc>
          <w:tcPr>
            <w:tcW w:w="774" w:type="dxa"/>
            <w:tcBorders>
              <w:top w:val="nil"/>
              <w:left w:val="single" w:sz="8" w:space="0" w:color="auto"/>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center"/>
              <w:rPr>
                <w:rFonts w:ascii="宋体" w:eastAsia="宋体" w:hAnsi="宋体" w:cs="宋体"/>
                <w:color w:val="000000"/>
                <w:sz w:val="24"/>
                <w:szCs w:val="24"/>
              </w:rPr>
            </w:pPr>
            <w:r w:rsidRPr="00B4154F">
              <w:rPr>
                <w:rFonts w:ascii="宋体" w:eastAsia="宋体" w:hAnsi="宋体" w:cs="宋体" w:hint="eastAsia"/>
                <w:color w:val="000000"/>
                <w:sz w:val="20"/>
                <w:szCs w:val="20"/>
              </w:rPr>
              <w:lastRenderedPageBreak/>
              <w:t>6</w:t>
            </w:r>
          </w:p>
        </w:tc>
        <w:tc>
          <w:tcPr>
            <w:tcW w:w="1375"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在宣传品、出版物或者其他商品上使用人民币图样审批</w:t>
            </w:r>
          </w:p>
        </w:tc>
        <w:tc>
          <w:tcPr>
            <w:tcW w:w="1437"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中国人民银行总行</w:t>
            </w:r>
          </w:p>
        </w:tc>
        <w:tc>
          <w:tcPr>
            <w:tcW w:w="1413"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《中华人民共和国人民币管理条例》</w:t>
            </w:r>
          </w:p>
        </w:tc>
        <w:tc>
          <w:tcPr>
            <w:tcW w:w="1700"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中国人民银行上海总部、各分行、营业管理部、省会（首府）城市中心支行、深圳市中心支行</w:t>
            </w:r>
          </w:p>
        </w:tc>
        <w:tc>
          <w:tcPr>
            <w:tcW w:w="2372" w:type="dxa"/>
            <w:tcBorders>
              <w:top w:val="nil"/>
              <w:left w:val="nil"/>
              <w:bottom w:val="single" w:sz="8" w:space="0" w:color="auto"/>
              <w:right w:val="single" w:sz="8" w:space="0" w:color="auto"/>
            </w:tcBorders>
            <w:shd w:val="clear" w:color="auto" w:fill="E6F4FF"/>
            <w:tcMar>
              <w:top w:w="113" w:type="dxa"/>
              <w:left w:w="108" w:type="dxa"/>
              <w:bottom w:w="113" w:type="dxa"/>
              <w:right w:w="108" w:type="dxa"/>
            </w:tcMar>
            <w:vAlign w:val="center"/>
            <w:hideMark/>
          </w:tcPr>
          <w:p w:rsidR="009017AD" w:rsidRPr="00B4154F" w:rsidRDefault="009017AD" w:rsidP="007A1A1B">
            <w:pPr>
              <w:adjustRightInd/>
              <w:snapToGrid/>
              <w:spacing w:after="0"/>
              <w:jc w:val="both"/>
              <w:rPr>
                <w:rFonts w:ascii="宋体" w:eastAsia="宋体" w:hAnsi="宋体" w:cs="宋体"/>
                <w:color w:val="000000"/>
                <w:sz w:val="24"/>
                <w:szCs w:val="24"/>
              </w:rPr>
            </w:pPr>
            <w:r w:rsidRPr="00B4154F">
              <w:rPr>
                <w:rFonts w:ascii="宋体" w:eastAsia="宋体" w:hAnsi="宋体" w:cs="宋体" w:hint="eastAsia"/>
                <w:color w:val="000000"/>
                <w:sz w:val="20"/>
                <w:szCs w:val="20"/>
              </w:rPr>
              <w:t>下放后，人民银行要通过以下措施加强事中事后监管：1</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制定人民币图样使用审批工作实施细则，明确操作流程、信息共享等要求，强化对分支机构的人员培训和业务指导，加强监督检查。2</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建立产品面市前备案制度，要求获得使用人民币图样许可的企业在产品面市前将产品照片、制作单位等信息备案，并加强备案信息共享。3</w:t>
            </w:r>
            <w:r w:rsidRPr="00B4154F">
              <w:rPr>
                <w:rFonts w:ascii="Calibri" w:eastAsia="宋体" w:hAnsi="Calibri" w:cs="宋体"/>
                <w:color w:val="000000"/>
                <w:sz w:val="20"/>
                <w:szCs w:val="20"/>
              </w:rPr>
              <w:t>.</w:t>
            </w:r>
            <w:r w:rsidRPr="00B4154F">
              <w:rPr>
                <w:rFonts w:ascii="宋体" w:eastAsia="宋体" w:hAnsi="宋体" w:cs="宋体" w:hint="eastAsia"/>
                <w:color w:val="000000"/>
                <w:sz w:val="20"/>
                <w:szCs w:val="20"/>
              </w:rPr>
              <w:t>加大执法力度，定期对获批企业开展检查，及时发现未经许可使用人民币图样的问题线索，严肃查处违法行为。</w:t>
            </w:r>
          </w:p>
        </w:tc>
      </w:tr>
    </w:tbl>
    <w:p w:rsidR="009017AD" w:rsidRDefault="009017AD" w:rsidP="009017AD">
      <w:pPr>
        <w:spacing w:line="220" w:lineRule="atLeast"/>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C1D" w:rsidRDefault="00EF1C1D" w:rsidP="009017AD">
      <w:pPr>
        <w:spacing w:after="0"/>
      </w:pPr>
      <w:r>
        <w:separator/>
      </w:r>
    </w:p>
  </w:endnote>
  <w:endnote w:type="continuationSeparator" w:id="0">
    <w:p w:rsidR="00EF1C1D" w:rsidRDefault="00EF1C1D" w:rsidP="009017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C1D" w:rsidRDefault="00EF1C1D" w:rsidP="009017AD">
      <w:pPr>
        <w:spacing w:after="0"/>
      </w:pPr>
      <w:r>
        <w:separator/>
      </w:r>
    </w:p>
  </w:footnote>
  <w:footnote w:type="continuationSeparator" w:id="0">
    <w:p w:rsidR="00EF1C1D" w:rsidRDefault="00EF1C1D" w:rsidP="009017A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51C43"/>
    <w:rsid w:val="00323B43"/>
    <w:rsid w:val="003D37D8"/>
    <w:rsid w:val="00426133"/>
    <w:rsid w:val="004358AB"/>
    <w:rsid w:val="008B7726"/>
    <w:rsid w:val="009017AD"/>
    <w:rsid w:val="00D31D50"/>
    <w:rsid w:val="00EF1C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17A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017AD"/>
    <w:rPr>
      <w:rFonts w:ascii="Tahoma" w:hAnsi="Tahoma"/>
      <w:sz w:val="18"/>
      <w:szCs w:val="18"/>
    </w:rPr>
  </w:style>
  <w:style w:type="paragraph" w:styleId="a4">
    <w:name w:val="footer"/>
    <w:basedOn w:val="a"/>
    <w:link w:val="Char0"/>
    <w:uiPriority w:val="99"/>
    <w:semiHidden/>
    <w:unhideWhenUsed/>
    <w:rsid w:val="009017AD"/>
    <w:pPr>
      <w:tabs>
        <w:tab w:val="center" w:pos="4153"/>
        <w:tab w:val="right" w:pos="8306"/>
      </w:tabs>
    </w:pPr>
    <w:rPr>
      <w:sz w:val="18"/>
      <w:szCs w:val="18"/>
    </w:rPr>
  </w:style>
  <w:style w:type="character" w:customStyle="1" w:styleId="Char0">
    <w:name w:val="页脚 Char"/>
    <w:basedOn w:val="a0"/>
    <w:link w:val="a4"/>
    <w:uiPriority w:val="99"/>
    <w:semiHidden/>
    <w:rsid w:val="009017A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2019-03-22T09:11:00Z</dcterms:modified>
</cp:coreProperties>
</file>