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泾河新城2019年度黑臭水体整治工作考核评分细则</w:t>
      </w:r>
    </w:p>
    <w:tbl>
      <w:tblPr>
        <w:tblStyle w:val="2"/>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50"/>
        <w:gridCol w:w="5534"/>
        <w:gridCol w:w="850"/>
        <w:gridCol w:w="510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blHeader/>
        </w:trPr>
        <w:tc>
          <w:tcPr>
            <w:tcW w:w="954" w:type="dxa"/>
            <w:vAlign w:val="center"/>
          </w:tcPr>
          <w:p>
            <w:pPr>
              <w:pStyle w:val="4"/>
              <w:jc w:val="center"/>
              <w:rPr>
                <w:rFonts w:hint="eastAsia" w:ascii="仿宋_GB2312" w:hAnsi="仿宋" w:eastAsia="仿宋_GB2312"/>
                <w:b/>
                <w:bCs/>
                <w:kern w:val="0"/>
                <w:szCs w:val="21"/>
              </w:rPr>
            </w:pPr>
            <w:r>
              <w:rPr>
                <w:rFonts w:hint="eastAsia" w:ascii="仿宋_GB2312" w:hAnsi="仿宋" w:eastAsia="仿宋_GB2312"/>
                <w:b/>
                <w:bCs/>
                <w:kern w:val="0"/>
                <w:szCs w:val="21"/>
              </w:rPr>
              <w:t>考核</w:t>
            </w:r>
          </w:p>
          <w:p>
            <w:pPr>
              <w:pStyle w:val="4"/>
              <w:jc w:val="center"/>
              <w:rPr>
                <w:rFonts w:ascii="仿宋_GB2312" w:hAnsi="仿宋" w:eastAsia="仿宋_GB2312"/>
                <w:b/>
                <w:bCs/>
                <w:kern w:val="0"/>
                <w:szCs w:val="21"/>
              </w:rPr>
            </w:pPr>
            <w:r>
              <w:rPr>
                <w:rFonts w:hint="eastAsia" w:ascii="仿宋_GB2312" w:hAnsi="仿宋" w:eastAsia="仿宋_GB2312"/>
                <w:b/>
                <w:bCs/>
                <w:kern w:val="0"/>
                <w:szCs w:val="21"/>
              </w:rPr>
              <w:t>项目</w:t>
            </w:r>
          </w:p>
        </w:tc>
        <w:tc>
          <w:tcPr>
            <w:tcW w:w="850" w:type="dxa"/>
            <w:vAlign w:val="center"/>
          </w:tcPr>
          <w:p>
            <w:pPr>
              <w:pStyle w:val="4"/>
              <w:jc w:val="center"/>
              <w:rPr>
                <w:rFonts w:ascii="仿宋_GB2312" w:hAnsi="仿宋" w:eastAsia="仿宋_GB2312"/>
                <w:b/>
                <w:bCs/>
                <w:kern w:val="0"/>
                <w:szCs w:val="21"/>
              </w:rPr>
            </w:pPr>
            <w:r>
              <w:rPr>
                <w:rFonts w:hint="eastAsia" w:ascii="仿宋_GB2312" w:hAnsi="仿宋" w:eastAsia="仿宋_GB2312"/>
                <w:b/>
                <w:bCs/>
                <w:kern w:val="0"/>
                <w:szCs w:val="21"/>
              </w:rPr>
              <w:t>分 值</w:t>
            </w:r>
          </w:p>
        </w:tc>
        <w:tc>
          <w:tcPr>
            <w:tcW w:w="5534" w:type="dxa"/>
            <w:vAlign w:val="center"/>
          </w:tcPr>
          <w:p>
            <w:pPr>
              <w:pStyle w:val="4"/>
              <w:jc w:val="center"/>
              <w:rPr>
                <w:rFonts w:ascii="仿宋_GB2312" w:hAnsi="仿宋" w:eastAsia="仿宋_GB2312"/>
                <w:b/>
                <w:bCs/>
                <w:kern w:val="0"/>
                <w:szCs w:val="21"/>
              </w:rPr>
            </w:pPr>
            <w:r>
              <w:rPr>
                <w:rFonts w:hint="eastAsia" w:ascii="仿宋_GB2312" w:hAnsi="仿宋" w:eastAsia="仿宋_GB2312"/>
                <w:b/>
                <w:bCs/>
                <w:kern w:val="0"/>
                <w:szCs w:val="21"/>
              </w:rPr>
              <w:t>考核内容</w:t>
            </w:r>
          </w:p>
        </w:tc>
        <w:tc>
          <w:tcPr>
            <w:tcW w:w="850" w:type="dxa"/>
            <w:vAlign w:val="center"/>
          </w:tcPr>
          <w:p>
            <w:pPr>
              <w:pStyle w:val="4"/>
              <w:jc w:val="center"/>
              <w:rPr>
                <w:rFonts w:ascii="仿宋_GB2312" w:hAnsi="仿宋" w:eastAsia="仿宋_GB2312"/>
                <w:b/>
                <w:bCs/>
                <w:kern w:val="0"/>
                <w:szCs w:val="21"/>
              </w:rPr>
            </w:pPr>
            <w:r>
              <w:rPr>
                <w:rFonts w:hint="eastAsia" w:ascii="仿宋_GB2312" w:hAnsi="仿宋" w:eastAsia="仿宋_GB2312"/>
                <w:b/>
                <w:bCs/>
                <w:kern w:val="0"/>
                <w:szCs w:val="21"/>
              </w:rPr>
              <w:t>单项</w:t>
            </w:r>
          </w:p>
          <w:p>
            <w:pPr>
              <w:pStyle w:val="4"/>
              <w:jc w:val="center"/>
              <w:rPr>
                <w:rFonts w:ascii="仿宋_GB2312" w:hAnsi="仿宋" w:eastAsia="仿宋_GB2312"/>
                <w:b/>
                <w:bCs/>
                <w:kern w:val="0"/>
                <w:szCs w:val="21"/>
              </w:rPr>
            </w:pPr>
            <w:r>
              <w:rPr>
                <w:rFonts w:hint="eastAsia" w:ascii="仿宋_GB2312" w:hAnsi="仿宋" w:eastAsia="仿宋_GB2312"/>
                <w:b/>
                <w:bCs/>
                <w:kern w:val="0"/>
                <w:szCs w:val="21"/>
              </w:rPr>
              <w:t>计分</w:t>
            </w:r>
          </w:p>
        </w:tc>
        <w:tc>
          <w:tcPr>
            <w:tcW w:w="5103" w:type="dxa"/>
            <w:vAlign w:val="center"/>
          </w:tcPr>
          <w:p>
            <w:pPr>
              <w:pStyle w:val="4"/>
              <w:jc w:val="center"/>
              <w:rPr>
                <w:rFonts w:ascii="仿宋_GB2312" w:hAnsi="仿宋" w:eastAsia="仿宋_GB2312"/>
                <w:b/>
                <w:bCs/>
                <w:kern w:val="0"/>
                <w:szCs w:val="21"/>
              </w:rPr>
            </w:pPr>
            <w:r>
              <w:rPr>
                <w:rFonts w:hint="eastAsia" w:ascii="仿宋_GB2312" w:hAnsi="仿宋" w:eastAsia="仿宋_GB2312"/>
                <w:b/>
                <w:bCs/>
                <w:kern w:val="0"/>
                <w:szCs w:val="21"/>
              </w:rPr>
              <w:t>评分标准</w:t>
            </w:r>
          </w:p>
        </w:tc>
        <w:tc>
          <w:tcPr>
            <w:tcW w:w="709" w:type="dxa"/>
            <w:vAlign w:val="center"/>
          </w:tcPr>
          <w:p>
            <w:pPr>
              <w:pStyle w:val="4"/>
              <w:jc w:val="center"/>
              <w:rPr>
                <w:rFonts w:ascii="仿宋_GB2312" w:hAnsi="仿宋" w:eastAsia="仿宋_GB2312"/>
                <w:b/>
                <w:bCs/>
                <w:kern w:val="0"/>
                <w:szCs w:val="21"/>
              </w:rPr>
            </w:pPr>
            <w:r>
              <w:rPr>
                <w:rFonts w:hint="eastAsia" w:ascii="仿宋_GB2312" w:hAnsi="仿宋" w:eastAsia="仿宋_GB2312"/>
                <w:b/>
                <w:bCs/>
                <w:kern w:val="0"/>
                <w:szCs w:val="21"/>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7" w:hRule="atLeast"/>
        </w:trPr>
        <w:tc>
          <w:tcPr>
            <w:tcW w:w="954" w:type="dxa"/>
            <w:vMerge w:val="restart"/>
            <w:vAlign w:val="center"/>
          </w:tcPr>
          <w:p>
            <w:pPr>
              <w:pStyle w:val="4"/>
              <w:jc w:val="center"/>
              <w:rPr>
                <w:rFonts w:hint="eastAsia" w:ascii="仿宋_GB2312" w:hAnsi="仿宋" w:eastAsia="仿宋_GB2312"/>
                <w:kern w:val="0"/>
                <w:szCs w:val="21"/>
              </w:rPr>
            </w:pPr>
            <w:r>
              <w:rPr>
                <w:rFonts w:hint="eastAsia" w:ascii="仿宋_GB2312" w:hAnsi="仿宋" w:eastAsia="仿宋_GB2312"/>
                <w:kern w:val="0"/>
                <w:szCs w:val="21"/>
              </w:rPr>
              <w:t>基础</w:t>
            </w:r>
          </w:p>
          <w:p>
            <w:pPr>
              <w:pStyle w:val="4"/>
              <w:jc w:val="center"/>
              <w:rPr>
                <w:rFonts w:ascii="仿宋_GB2312" w:hAnsi="仿宋" w:eastAsia="仿宋_GB2312"/>
                <w:kern w:val="0"/>
                <w:szCs w:val="21"/>
              </w:rPr>
            </w:pPr>
            <w:r>
              <w:rPr>
                <w:rFonts w:hint="eastAsia" w:ascii="仿宋_GB2312" w:hAnsi="仿宋" w:eastAsia="仿宋_GB2312"/>
                <w:kern w:val="0"/>
                <w:szCs w:val="21"/>
              </w:rPr>
              <w:t>工作</w:t>
            </w:r>
          </w:p>
          <w:p>
            <w:pPr>
              <w:pStyle w:val="4"/>
              <w:jc w:val="center"/>
              <w:rPr>
                <w:rFonts w:ascii="仿宋_GB2312" w:hAnsi="仿宋" w:eastAsia="仿宋_GB2312"/>
                <w:kern w:val="0"/>
                <w:szCs w:val="21"/>
              </w:rPr>
            </w:pPr>
          </w:p>
        </w:tc>
        <w:tc>
          <w:tcPr>
            <w:tcW w:w="850" w:type="dxa"/>
            <w:vMerge w:val="restart"/>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30分</w:t>
            </w:r>
          </w:p>
        </w:tc>
        <w:tc>
          <w:tcPr>
            <w:tcW w:w="5534" w:type="dxa"/>
            <w:vAlign w:val="center"/>
          </w:tcPr>
          <w:p>
            <w:pPr>
              <w:pStyle w:val="4"/>
              <w:rPr>
                <w:rFonts w:ascii="仿宋_GB2312" w:hAnsi="仿宋" w:eastAsia="仿宋_GB2312"/>
                <w:kern w:val="0"/>
                <w:szCs w:val="21"/>
              </w:rPr>
            </w:pPr>
            <w:r>
              <w:rPr>
                <w:rFonts w:hint="eastAsia" w:ascii="仿宋_GB2312" w:hAnsi="仿宋" w:eastAsia="仿宋_GB2312"/>
                <w:kern w:val="0"/>
                <w:szCs w:val="21"/>
              </w:rPr>
              <w:t>设立黑臭水体整治办公室并挂牌，明确专人负责黑臭水体整治工作；纳入财政预算，落实黑臭水体整治工作经费；纳入年度绩效考核；出台工作方案，包括建立覆盖至村（社区）的黑臭水体整治组织体系，落实工作责任，按照部门职责分工，明确责任人；按照“一点一人”的原则，明确各点责任人。</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10分</w:t>
            </w:r>
          </w:p>
        </w:tc>
        <w:tc>
          <w:tcPr>
            <w:tcW w:w="5103" w:type="dxa"/>
            <w:vAlign w:val="center"/>
          </w:tcPr>
          <w:p>
            <w:pPr>
              <w:pStyle w:val="4"/>
              <w:rPr>
                <w:rFonts w:ascii="仿宋_GB2312" w:hAnsi="仿宋" w:eastAsia="仿宋_GB2312"/>
                <w:kern w:val="0"/>
                <w:szCs w:val="21"/>
              </w:rPr>
            </w:pPr>
            <w:r>
              <w:rPr>
                <w:rFonts w:hint="eastAsia" w:ascii="仿宋_GB2312" w:hAnsi="仿宋" w:eastAsia="仿宋_GB2312"/>
                <w:kern w:val="0"/>
                <w:szCs w:val="21"/>
              </w:rPr>
              <w:t>未形成各职能部门组成的黑臭水体整治办公室的扣1分；未明确专人负责黑臭水体整治工作的扣1分；黑臭水体整治工作经费未落实的扣2分；未纳入年度绩效考核的扣2分；未出台工作方案的，扣2分；未将黑臭水体整治工作责任分解至各村（社区）的扣1分，未明确责任人的扣1分。</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954" w:type="dxa"/>
            <w:vMerge w:val="continue"/>
            <w:vAlign w:val="center"/>
          </w:tcPr>
          <w:p>
            <w:pPr>
              <w:pStyle w:val="4"/>
              <w:rPr>
                <w:rFonts w:ascii="仿宋_GB2312" w:hAnsi="仿宋" w:eastAsia="仿宋_GB2312"/>
                <w:kern w:val="0"/>
                <w:szCs w:val="21"/>
              </w:rPr>
            </w:pPr>
          </w:p>
        </w:tc>
        <w:tc>
          <w:tcPr>
            <w:tcW w:w="850" w:type="dxa"/>
            <w:vMerge w:val="continue"/>
            <w:vAlign w:val="center"/>
          </w:tcPr>
          <w:p>
            <w:pPr>
              <w:pStyle w:val="4"/>
              <w:jc w:val="center"/>
              <w:rPr>
                <w:rFonts w:ascii="仿宋_GB2312" w:hAnsi="仿宋" w:eastAsia="仿宋_GB2312"/>
                <w:kern w:val="0"/>
                <w:szCs w:val="21"/>
              </w:rPr>
            </w:pPr>
          </w:p>
        </w:tc>
        <w:tc>
          <w:tcPr>
            <w:tcW w:w="5534" w:type="dxa"/>
            <w:vAlign w:val="center"/>
          </w:tcPr>
          <w:p>
            <w:pPr>
              <w:pStyle w:val="4"/>
              <w:rPr>
                <w:rFonts w:ascii="仿宋_GB2312" w:hAnsi="仿宋" w:eastAsia="仿宋_GB2312"/>
                <w:kern w:val="0"/>
                <w:szCs w:val="21"/>
              </w:rPr>
            </w:pPr>
            <w:r>
              <w:rPr>
                <w:rFonts w:hint="eastAsia" w:ascii="仿宋_GB2312" w:hAnsi="仿宋" w:eastAsia="仿宋_GB2312"/>
                <w:kern w:val="0"/>
                <w:szCs w:val="21"/>
              </w:rPr>
              <w:t>公布黑臭水体整治责任人名单，设置罐（池）体、渠道责任人公示牌，公布监督举报电话。</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5分</w:t>
            </w:r>
          </w:p>
        </w:tc>
        <w:tc>
          <w:tcPr>
            <w:tcW w:w="5103" w:type="dxa"/>
            <w:vAlign w:val="center"/>
          </w:tcPr>
          <w:p>
            <w:pPr>
              <w:pStyle w:val="4"/>
              <w:rPr>
                <w:rFonts w:ascii="仿宋_GB2312" w:hAnsi="仿宋" w:eastAsia="仿宋_GB2312"/>
                <w:kern w:val="0"/>
                <w:szCs w:val="21"/>
              </w:rPr>
            </w:pPr>
            <w:r>
              <w:rPr>
                <w:rFonts w:hint="eastAsia" w:ascii="仿宋_GB2312" w:hAnsi="仿宋" w:eastAsia="仿宋_GB2312"/>
                <w:kern w:val="0"/>
                <w:szCs w:val="21"/>
              </w:rPr>
              <w:t>未向社会公布黑臭水体整治责任人名单扣2分；公示牌信息不准确每块扣1分；监督举报电话不畅扣1分。</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54" w:type="dxa"/>
            <w:vMerge w:val="continue"/>
            <w:vAlign w:val="center"/>
          </w:tcPr>
          <w:p>
            <w:pPr>
              <w:pStyle w:val="4"/>
              <w:rPr>
                <w:rFonts w:ascii="仿宋_GB2312" w:hAnsi="仿宋" w:eastAsia="仿宋_GB2312"/>
                <w:kern w:val="0"/>
                <w:szCs w:val="21"/>
              </w:rPr>
            </w:pPr>
          </w:p>
        </w:tc>
        <w:tc>
          <w:tcPr>
            <w:tcW w:w="850" w:type="dxa"/>
            <w:vMerge w:val="continue"/>
            <w:vAlign w:val="center"/>
          </w:tcPr>
          <w:p>
            <w:pPr>
              <w:pStyle w:val="4"/>
              <w:jc w:val="center"/>
              <w:rPr>
                <w:rFonts w:ascii="仿宋_GB2312" w:hAnsi="仿宋" w:eastAsia="仿宋_GB2312"/>
                <w:kern w:val="0"/>
                <w:szCs w:val="21"/>
              </w:rPr>
            </w:pPr>
          </w:p>
        </w:tc>
        <w:tc>
          <w:tcPr>
            <w:tcW w:w="5534" w:type="dxa"/>
            <w:vAlign w:val="center"/>
          </w:tcPr>
          <w:p>
            <w:pPr>
              <w:pStyle w:val="4"/>
              <w:rPr>
                <w:rFonts w:ascii="仿宋_GB2312" w:hAnsi="仿宋" w:eastAsia="仿宋_GB2312"/>
                <w:kern w:val="0"/>
                <w:szCs w:val="21"/>
              </w:rPr>
            </w:pPr>
            <w:r>
              <w:rPr>
                <w:rFonts w:hint="eastAsia" w:ascii="仿宋_GB2312" w:hAnsi="仿宋" w:eastAsia="仿宋_GB2312"/>
                <w:kern w:val="0"/>
                <w:szCs w:val="21"/>
              </w:rPr>
              <w:t>制定黑臭水体整治工作会议、巡查、信息报送、交办督办等工作制度。</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2分</w:t>
            </w:r>
          </w:p>
        </w:tc>
        <w:tc>
          <w:tcPr>
            <w:tcW w:w="5103" w:type="dxa"/>
            <w:vAlign w:val="center"/>
          </w:tcPr>
          <w:p>
            <w:pPr>
              <w:pStyle w:val="4"/>
              <w:rPr>
                <w:rFonts w:ascii="仿宋_GB2312" w:hAnsi="仿宋" w:eastAsia="仿宋_GB2312"/>
                <w:kern w:val="0"/>
                <w:szCs w:val="21"/>
              </w:rPr>
            </w:pPr>
            <w:r>
              <w:rPr>
                <w:rFonts w:hint="eastAsia" w:ascii="仿宋_GB2312" w:hAnsi="仿宋" w:eastAsia="仿宋_GB2312"/>
                <w:kern w:val="0"/>
                <w:szCs w:val="21"/>
              </w:rPr>
              <w:t>每缺一项工作制度的扣1分。</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954" w:type="dxa"/>
            <w:vMerge w:val="continue"/>
            <w:vAlign w:val="center"/>
          </w:tcPr>
          <w:p>
            <w:pPr>
              <w:pStyle w:val="4"/>
              <w:rPr>
                <w:rFonts w:ascii="仿宋_GB2312" w:hAnsi="仿宋" w:eastAsia="仿宋_GB2312"/>
                <w:kern w:val="0"/>
                <w:szCs w:val="21"/>
              </w:rPr>
            </w:pPr>
          </w:p>
        </w:tc>
        <w:tc>
          <w:tcPr>
            <w:tcW w:w="850" w:type="dxa"/>
            <w:vMerge w:val="continue"/>
            <w:vAlign w:val="center"/>
          </w:tcPr>
          <w:p>
            <w:pPr>
              <w:pStyle w:val="4"/>
              <w:jc w:val="center"/>
              <w:rPr>
                <w:rFonts w:ascii="仿宋_GB2312" w:hAnsi="仿宋" w:eastAsia="仿宋_GB2312"/>
                <w:kern w:val="0"/>
                <w:szCs w:val="21"/>
              </w:rPr>
            </w:pPr>
          </w:p>
        </w:tc>
        <w:tc>
          <w:tcPr>
            <w:tcW w:w="5534" w:type="dxa"/>
            <w:vAlign w:val="center"/>
          </w:tcPr>
          <w:p>
            <w:pPr>
              <w:pStyle w:val="4"/>
              <w:rPr>
                <w:rFonts w:ascii="仿宋_GB2312" w:hAnsi="仿宋" w:eastAsia="仿宋_GB2312"/>
                <w:kern w:val="0"/>
                <w:szCs w:val="21"/>
              </w:rPr>
            </w:pPr>
            <w:r>
              <w:rPr>
                <w:rFonts w:hint="eastAsia" w:ascii="仿宋_GB2312" w:hAnsi="仿宋" w:eastAsia="仿宋_GB2312"/>
                <w:kern w:val="0"/>
                <w:szCs w:val="21"/>
              </w:rPr>
              <w:t>建立对各镇（街道）黑臭水体整治工作考核制度及落实情况，各镇（街道）黑臭水体整治办公室每年至少进行一次黑臭水体整治情况的自考自查及对各村（社区）的考核评估。</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3分</w:t>
            </w:r>
          </w:p>
        </w:tc>
        <w:tc>
          <w:tcPr>
            <w:tcW w:w="5103" w:type="dxa"/>
            <w:vAlign w:val="center"/>
          </w:tcPr>
          <w:p>
            <w:pPr>
              <w:pStyle w:val="4"/>
              <w:rPr>
                <w:rFonts w:ascii="仿宋_GB2312" w:hAnsi="仿宋" w:eastAsia="仿宋_GB2312"/>
                <w:kern w:val="0"/>
                <w:szCs w:val="21"/>
              </w:rPr>
            </w:pPr>
            <w:r>
              <w:rPr>
                <w:rFonts w:hint="eastAsia" w:ascii="仿宋_GB2312" w:hAnsi="仿宋" w:eastAsia="仿宋_GB2312"/>
                <w:kern w:val="0"/>
                <w:szCs w:val="21"/>
              </w:rPr>
              <w:t>未建立对各镇（街道）黑臭水体整治工作考核制度，扣1分，未开展对各村（社区）考核评估，扣1分；各镇（街道）黑臭水体整治办公室未开展自考自查，扣1分。</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954" w:type="dxa"/>
            <w:vMerge w:val="continue"/>
            <w:vAlign w:val="center"/>
          </w:tcPr>
          <w:p>
            <w:pPr>
              <w:pStyle w:val="4"/>
              <w:rPr>
                <w:rFonts w:ascii="仿宋_GB2312" w:hAnsi="仿宋" w:eastAsia="仿宋_GB2312"/>
                <w:kern w:val="0"/>
                <w:szCs w:val="21"/>
              </w:rPr>
            </w:pPr>
          </w:p>
        </w:tc>
        <w:tc>
          <w:tcPr>
            <w:tcW w:w="850" w:type="dxa"/>
            <w:vMerge w:val="continue"/>
            <w:vAlign w:val="center"/>
          </w:tcPr>
          <w:p>
            <w:pPr>
              <w:pStyle w:val="4"/>
              <w:jc w:val="center"/>
              <w:rPr>
                <w:rFonts w:ascii="仿宋_GB2312" w:hAnsi="仿宋" w:eastAsia="仿宋_GB2312"/>
                <w:kern w:val="0"/>
                <w:szCs w:val="21"/>
              </w:rPr>
            </w:pPr>
          </w:p>
        </w:tc>
        <w:tc>
          <w:tcPr>
            <w:tcW w:w="5534" w:type="dxa"/>
            <w:vAlign w:val="center"/>
          </w:tcPr>
          <w:p>
            <w:pPr>
              <w:pStyle w:val="4"/>
              <w:rPr>
                <w:rFonts w:ascii="仿宋_GB2312" w:hAnsi="仿宋" w:eastAsia="仿宋_GB2312"/>
                <w:kern w:val="0"/>
                <w:szCs w:val="21"/>
              </w:rPr>
            </w:pPr>
            <w:r>
              <w:rPr>
                <w:rFonts w:hint="eastAsia" w:ascii="仿宋_GB2312" w:hAnsi="仿宋" w:eastAsia="仿宋_GB2312"/>
                <w:kern w:val="0"/>
                <w:szCs w:val="21"/>
              </w:rPr>
              <w:t>落实黑臭水体整治点巡查工作。</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5分</w:t>
            </w:r>
          </w:p>
        </w:tc>
        <w:tc>
          <w:tcPr>
            <w:tcW w:w="5103" w:type="dxa"/>
            <w:vAlign w:val="center"/>
          </w:tcPr>
          <w:p>
            <w:pPr>
              <w:pStyle w:val="4"/>
              <w:rPr>
                <w:rFonts w:ascii="仿宋_GB2312" w:hAnsi="仿宋" w:eastAsia="仿宋_GB2312"/>
                <w:kern w:val="0"/>
                <w:szCs w:val="21"/>
              </w:rPr>
            </w:pPr>
            <w:r>
              <w:rPr>
                <w:rFonts w:hint="eastAsia" w:ascii="仿宋_GB2312" w:hAnsi="仿宋" w:eastAsia="仿宋_GB2312"/>
                <w:kern w:val="0"/>
                <w:szCs w:val="21"/>
              </w:rPr>
              <w:t>巡查频率、巡查记录不到位的，每次扣1分，扣完为止。</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954" w:type="dxa"/>
            <w:vMerge w:val="continue"/>
            <w:vAlign w:val="center"/>
          </w:tcPr>
          <w:p>
            <w:pPr>
              <w:jc w:val="center"/>
              <w:rPr>
                <w:rFonts w:ascii="仿宋_GB2312" w:hAnsi="仿宋" w:eastAsia="仿宋_GB2312" w:cs="仿宋"/>
                <w:szCs w:val="21"/>
              </w:rPr>
            </w:pPr>
          </w:p>
        </w:tc>
        <w:tc>
          <w:tcPr>
            <w:tcW w:w="850" w:type="dxa"/>
            <w:vMerge w:val="continue"/>
            <w:vAlign w:val="center"/>
          </w:tcPr>
          <w:p>
            <w:pPr>
              <w:jc w:val="center"/>
              <w:rPr>
                <w:rFonts w:ascii="仿宋_GB2312" w:hAnsi="仿宋" w:eastAsia="仿宋_GB2312" w:cs="仿宋"/>
                <w:szCs w:val="21"/>
              </w:rPr>
            </w:pPr>
          </w:p>
        </w:tc>
        <w:tc>
          <w:tcPr>
            <w:tcW w:w="5534" w:type="dxa"/>
            <w:vAlign w:val="center"/>
          </w:tcPr>
          <w:p>
            <w:pPr>
              <w:pStyle w:val="4"/>
              <w:rPr>
                <w:rFonts w:ascii="仿宋_GB2312" w:hAnsi="仿宋" w:eastAsia="仿宋_GB2312"/>
                <w:kern w:val="0"/>
                <w:szCs w:val="21"/>
              </w:rPr>
            </w:pPr>
            <w:r>
              <w:rPr>
                <w:rFonts w:hint="eastAsia" w:ascii="仿宋_GB2312" w:hAnsi="仿宋" w:eastAsia="仿宋_GB2312"/>
                <w:kern w:val="0"/>
                <w:szCs w:val="21"/>
              </w:rPr>
              <w:t>加强黑臭水体政策宣传和引导，及时报送黑臭水体整治工作信息和动态情况。</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1分</w:t>
            </w:r>
          </w:p>
        </w:tc>
        <w:tc>
          <w:tcPr>
            <w:tcW w:w="5103" w:type="dxa"/>
            <w:vAlign w:val="center"/>
          </w:tcPr>
          <w:p>
            <w:pPr>
              <w:pStyle w:val="4"/>
              <w:rPr>
                <w:rFonts w:ascii="仿宋_GB2312" w:hAnsi="仿宋" w:eastAsia="仿宋_GB2312"/>
                <w:kern w:val="0"/>
                <w:szCs w:val="21"/>
              </w:rPr>
            </w:pPr>
            <w:r>
              <w:rPr>
                <w:rFonts w:hint="eastAsia" w:ascii="仿宋_GB2312" w:hAnsi="仿宋" w:eastAsia="仿宋_GB2312"/>
                <w:kern w:val="0"/>
                <w:szCs w:val="21"/>
              </w:rPr>
              <w:t>未开展宣传、引导工作的扣0.5分；未及时上报信息和工作动态的，每次扣0.2分，扣完为止。</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954" w:type="dxa"/>
            <w:vMerge w:val="continue"/>
            <w:vAlign w:val="center"/>
          </w:tcPr>
          <w:p>
            <w:pPr>
              <w:jc w:val="center"/>
              <w:rPr>
                <w:rFonts w:ascii="仿宋_GB2312" w:hAnsi="仿宋" w:eastAsia="仿宋_GB2312" w:cs="仿宋"/>
                <w:szCs w:val="21"/>
              </w:rPr>
            </w:pPr>
          </w:p>
        </w:tc>
        <w:tc>
          <w:tcPr>
            <w:tcW w:w="850" w:type="dxa"/>
            <w:vMerge w:val="continue"/>
            <w:vAlign w:val="center"/>
          </w:tcPr>
          <w:p>
            <w:pPr>
              <w:jc w:val="center"/>
              <w:rPr>
                <w:rFonts w:ascii="仿宋_GB2312" w:hAnsi="仿宋" w:eastAsia="仿宋_GB2312" w:cs="仿宋"/>
                <w:szCs w:val="21"/>
              </w:rPr>
            </w:pPr>
          </w:p>
        </w:tc>
        <w:tc>
          <w:tcPr>
            <w:tcW w:w="5534" w:type="dxa"/>
            <w:vAlign w:val="center"/>
          </w:tcPr>
          <w:p>
            <w:pPr>
              <w:pStyle w:val="4"/>
              <w:rPr>
                <w:rFonts w:ascii="仿宋_GB2312" w:hAnsi="仿宋" w:eastAsia="仿宋_GB2312"/>
                <w:kern w:val="0"/>
                <w:szCs w:val="21"/>
              </w:rPr>
            </w:pPr>
            <w:r>
              <w:rPr>
                <w:rFonts w:hint="eastAsia" w:ascii="仿宋_GB2312" w:hAnsi="仿宋" w:eastAsia="仿宋_GB2312"/>
                <w:kern w:val="0"/>
                <w:szCs w:val="21"/>
              </w:rPr>
              <w:t>掌握黑臭水体整治点情况，开展各点、各渠道基础信息调查，建立一点一档。</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4分</w:t>
            </w:r>
          </w:p>
        </w:tc>
        <w:tc>
          <w:tcPr>
            <w:tcW w:w="5103" w:type="dxa"/>
            <w:vAlign w:val="center"/>
          </w:tcPr>
          <w:p>
            <w:pPr>
              <w:pStyle w:val="4"/>
              <w:rPr>
                <w:rFonts w:ascii="仿宋_GB2312" w:hAnsi="仿宋" w:eastAsia="仿宋_GB2312"/>
                <w:kern w:val="0"/>
                <w:szCs w:val="21"/>
              </w:rPr>
            </w:pPr>
            <w:r>
              <w:rPr>
                <w:rFonts w:hint="eastAsia" w:ascii="仿宋_GB2312" w:hAnsi="仿宋" w:eastAsia="仿宋_GB2312"/>
                <w:kern w:val="0"/>
                <w:szCs w:val="21"/>
              </w:rPr>
              <w:t>未建立“一点一档”的，每个整治点扣1分，扣完为止。</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954" w:type="dxa"/>
            <w:vMerge w:val="restart"/>
            <w:vAlign w:val="center"/>
          </w:tcPr>
          <w:p>
            <w:pPr>
              <w:pStyle w:val="4"/>
              <w:rPr>
                <w:rFonts w:hint="eastAsia" w:ascii="仿宋_GB2312" w:hAnsi="仿宋" w:eastAsia="仿宋_GB2312"/>
                <w:kern w:val="0"/>
                <w:szCs w:val="21"/>
              </w:rPr>
            </w:pPr>
            <w:r>
              <w:rPr>
                <w:rFonts w:hint="eastAsia" w:ascii="仿宋_GB2312" w:hAnsi="仿宋" w:eastAsia="仿宋_GB2312"/>
                <w:kern w:val="0"/>
                <w:szCs w:val="21"/>
              </w:rPr>
              <w:t>渠道</w:t>
            </w:r>
          </w:p>
          <w:p>
            <w:pPr>
              <w:pStyle w:val="4"/>
              <w:rPr>
                <w:rFonts w:ascii="仿宋_GB2312" w:hAnsi="仿宋" w:eastAsia="仿宋_GB2312"/>
                <w:kern w:val="0"/>
                <w:szCs w:val="21"/>
              </w:rPr>
            </w:pPr>
            <w:r>
              <w:rPr>
                <w:rFonts w:hint="eastAsia" w:ascii="仿宋_GB2312" w:hAnsi="仿宋" w:eastAsia="仿宋_GB2312"/>
                <w:kern w:val="0"/>
                <w:szCs w:val="21"/>
              </w:rPr>
              <w:t>管护</w:t>
            </w:r>
          </w:p>
        </w:tc>
        <w:tc>
          <w:tcPr>
            <w:tcW w:w="850" w:type="dxa"/>
            <w:vMerge w:val="restart"/>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25分</w:t>
            </w:r>
          </w:p>
        </w:tc>
        <w:tc>
          <w:tcPr>
            <w:tcW w:w="5534" w:type="dxa"/>
            <w:vAlign w:val="center"/>
          </w:tcPr>
          <w:p>
            <w:pPr>
              <w:rPr>
                <w:rFonts w:ascii="仿宋_GB2312" w:hAnsi="仿宋" w:eastAsia="仿宋_GB2312" w:cs="仿宋"/>
                <w:szCs w:val="21"/>
              </w:rPr>
            </w:pPr>
            <w:r>
              <w:rPr>
                <w:rFonts w:hint="eastAsia" w:ascii="仿宋_GB2312" w:hAnsi="仿宋" w:eastAsia="仿宋_GB2312" w:cs="仿宋"/>
                <w:szCs w:val="21"/>
              </w:rPr>
              <w:t>明确专职保洁员从事渠道管护、保洁工作。</w:t>
            </w:r>
          </w:p>
        </w:tc>
        <w:tc>
          <w:tcPr>
            <w:tcW w:w="850" w:type="dxa"/>
            <w:vAlign w:val="center"/>
          </w:tcPr>
          <w:p>
            <w:pPr>
              <w:jc w:val="center"/>
              <w:rPr>
                <w:rFonts w:ascii="仿宋_GB2312" w:hAnsi="仿宋" w:eastAsia="仿宋_GB2312" w:cs="仿宋"/>
                <w:szCs w:val="21"/>
              </w:rPr>
            </w:pPr>
            <w:r>
              <w:rPr>
                <w:rFonts w:hint="eastAsia" w:ascii="仿宋_GB2312" w:hAnsi="仿宋" w:eastAsia="仿宋_GB2312" w:cs="仿宋"/>
                <w:szCs w:val="21"/>
              </w:rPr>
              <w:t>10分</w:t>
            </w:r>
          </w:p>
        </w:tc>
        <w:tc>
          <w:tcPr>
            <w:tcW w:w="5103" w:type="dxa"/>
            <w:vAlign w:val="center"/>
          </w:tcPr>
          <w:p>
            <w:pPr>
              <w:rPr>
                <w:rFonts w:ascii="仿宋_GB2312" w:hAnsi="仿宋" w:eastAsia="仿宋_GB2312" w:cs="仿宋"/>
                <w:szCs w:val="21"/>
              </w:rPr>
            </w:pPr>
            <w:r>
              <w:rPr>
                <w:rFonts w:hint="eastAsia" w:ascii="仿宋_GB2312" w:hAnsi="仿宋" w:eastAsia="仿宋_GB2312" w:cs="仿宋"/>
                <w:szCs w:val="21"/>
              </w:rPr>
              <w:t>日常考核、年度考核。未明确专职护渠员的每条渠道扣2分；无专职护渠员日常工作安排表发现一次扣1分，</w:t>
            </w:r>
            <w:r>
              <w:rPr>
                <w:rFonts w:hint="eastAsia" w:ascii="仿宋_GB2312" w:hAnsi="仿宋" w:eastAsia="仿宋_GB2312"/>
                <w:szCs w:val="21"/>
              </w:rPr>
              <w:t>扣完为止。</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954" w:type="dxa"/>
            <w:vMerge w:val="continue"/>
            <w:vAlign w:val="center"/>
          </w:tcPr>
          <w:p>
            <w:pPr>
              <w:pStyle w:val="4"/>
              <w:rPr>
                <w:rFonts w:ascii="仿宋_GB2312" w:hAnsi="仿宋" w:eastAsia="仿宋_GB2312"/>
                <w:kern w:val="0"/>
                <w:szCs w:val="21"/>
              </w:rPr>
            </w:pPr>
          </w:p>
        </w:tc>
        <w:tc>
          <w:tcPr>
            <w:tcW w:w="850" w:type="dxa"/>
            <w:vMerge w:val="continue"/>
            <w:vAlign w:val="center"/>
          </w:tcPr>
          <w:p>
            <w:pPr>
              <w:pStyle w:val="4"/>
              <w:jc w:val="center"/>
              <w:rPr>
                <w:rFonts w:ascii="仿宋_GB2312" w:hAnsi="仿宋" w:eastAsia="仿宋_GB2312"/>
                <w:kern w:val="0"/>
                <w:szCs w:val="21"/>
              </w:rPr>
            </w:pPr>
          </w:p>
        </w:tc>
        <w:tc>
          <w:tcPr>
            <w:tcW w:w="5534" w:type="dxa"/>
            <w:vAlign w:val="center"/>
          </w:tcPr>
          <w:p>
            <w:pPr>
              <w:rPr>
                <w:rFonts w:ascii="仿宋_GB2312" w:hAnsi="仿宋" w:eastAsia="仿宋_GB2312" w:cs="仿宋"/>
                <w:szCs w:val="21"/>
              </w:rPr>
            </w:pPr>
            <w:r>
              <w:rPr>
                <w:rFonts w:hint="eastAsia" w:ascii="仿宋_GB2312" w:hAnsi="仿宋" w:eastAsia="仿宋_GB2312" w:cs="仿宋"/>
                <w:szCs w:val="21"/>
              </w:rPr>
              <w:t>及时清理渠道及周边障碍物、抛洒物，清理渠底淤泥，适时清洗衬贴渠道；</w:t>
            </w:r>
            <w:r>
              <w:rPr>
                <w:rFonts w:hint="eastAsia" w:ascii="仿宋_GB2312" w:hAnsi="宋体" w:eastAsia="仿宋_GB2312" w:cs="宋体"/>
                <w:color w:val="000000"/>
              </w:rPr>
              <w:t>疏通土质渠道，清理渠道杂草、杂树。</w:t>
            </w:r>
          </w:p>
        </w:tc>
        <w:tc>
          <w:tcPr>
            <w:tcW w:w="850" w:type="dxa"/>
            <w:vAlign w:val="center"/>
          </w:tcPr>
          <w:p>
            <w:pPr>
              <w:jc w:val="center"/>
              <w:rPr>
                <w:rFonts w:ascii="仿宋_GB2312" w:hAnsi="仿宋" w:eastAsia="仿宋_GB2312" w:cs="仿宋"/>
                <w:szCs w:val="21"/>
              </w:rPr>
            </w:pPr>
            <w:r>
              <w:rPr>
                <w:rFonts w:hint="eastAsia" w:ascii="仿宋_GB2312" w:hAnsi="仿宋" w:eastAsia="仿宋_GB2312" w:cs="仿宋"/>
                <w:szCs w:val="21"/>
              </w:rPr>
              <w:t>15分</w:t>
            </w:r>
          </w:p>
        </w:tc>
        <w:tc>
          <w:tcPr>
            <w:tcW w:w="5103" w:type="dxa"/>
            <w:vAlign w:val="center"/>
          </w:tcPr>
          <w:p>
            <w:pPr>
              <w:rPr>
                <w:rFonts w:ascii="仿宋_GB2312" w:hAnsi="仿宋" w:eastAsia="仿宋_GB2312" w:cs="仿宋"/>
                <w:szCs w:val="21"/>
              </w:rPr>
            </w:pPr>
            <w:r>
              <w:rPr>
                <w:rFonts w:hint="eastAsia" w:ascii="仿宋_GB2312" w:hAnsi="仿宋" w:eastAsia="仿宋_GB2312" w:cs="仿宋"/>
                <w:szCs w:val="21"/>
              </w:rPr>
              <w:t xml:space="preserve">日常考核、年度考核。管护、保洁、清理不到位的发现一处扣2分。 </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954" w:type="dxa"/>
            <w:vMerge w:val="restart"/>
            <w:vAlign w:val="center"/>
          </w:tcPr>
          <w:p>
            <w:pPr>
              <w:pStyle w:val="4"/>
              <w:rPr>
                <w:rFonts w:ascii="仿宋_GB2312" w:hAnsi="仿宋" w:eastAsia="仿宋_GB2312"/>
                <w:kern w:val="0"/>
                <w:szCs w:val="21"/>
              </w:rPr>
            </w:pPr>
            <w:r>
              <w:rPr>
                <w:rFonts w:hint="eastAsia" w:ascii="仿宋_GB2312" w:hAnsi="仿宋" w:eastAsia="仿宋_GB2312"/>
                <w:kern w:val="0"/>
                <w:szCs w:val="21"/>
              </w:rPr>
              <w:t>蓄污罐（池）体</w:t>
            </w:r>
          </w:p>
        </w:tc>
        <w:tc>
          <w:tcPr>
            <w:tcW w:w="850" w:type="dxa"/>
            <w:vMerge w:val="restart"/>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25分</w:t>
            </w:r>
          </w:p>
        </w:tc>
        <w:tc>
          <w:tcPr>
            <w:tcW w:w="5534" w:type="dxa"/>
            <w:vAlign w:val="center"/>
          </w:tcPr>
          <w:p>
            <w:pPr>
              <w:rPr>
                <w:rFonts w:ascii="仿宋_GB2312" w:hAnsi="仿宋" w:eastAsia="仿宋_GB2312" w:cs="仿宋"/>
                <w:szCs w:val="21"/>
              </w:rPr>
            </w:pPr>
            <w:r>
              <w:rPr>
                <w:rFonts w:hint="eastAsia" w:ascii="仿宋_GB2312" w:hAnsi="仿宋" w:eastAsia="仿宋_GB2312" w:cs="仿宋"/>
                <w:szCs w:val="21"/>
              </w:rPr>
              <w:t>加强对各蓄污罐（池）体日常抽排工作，确保无溢流现象。</w:t>
            </w:r>
          </w:p>
        </w:tc>
        <w:tc>
          <w:tcPr>
            <w:tcW w:w="850" w:type="dxa"/>
            <w:vAlign w:val="center"/>
          </w:tcPr>
          <w:p>
            <w:pPr>
              <w:jc w:val="center"/>
              <w:rPr>
                <w:rFonts w:ascii="仿宋_GB2312" w:hAnsi="仿宋" w:eastAsia="仿宋_GB2312" w:cs="仿宋"/>
                <w:szCs w:val="21"/>
              </w:rPr>
            </w:pPr>
            <w:r>
              <w:rPr>
                <w:rFonts w:hint="eastAsia" w:ascii="仿宋_GB2312" w:hAnsi="仿宋" w:eastAsia="仿宋_GB2312" w:cs="仿宋"/>
                <w:szCs w:val="21"/>
              </w:rPr>
              <w:t>15分</w:t>
            </w:r>
          </w:p>
        </w:tc>
        <w:tc>
          <w:tcPr>
            <w:tcW w:w="5103" w:type="dxa"/>
            <w:vAlign w:val="center"/>
          </w:tcPr>
          <w:p>
            <w:pPr>
              <w:rPr>
                <w:rFonts w:ascii="仿宋_GB2312" w:hAnsi="仿宋" w:eastAsia="仿宋_GB2312" w:cs="仿宋"/>
                <w:szCs w:val="21"/>
              </w:rPr>
            </w:pPr>
            <w:r>
              <w:rPr>
                <w:rFonts w:hint="eastAsia" w:ascii="仿宋_GB2312" w:hAnsi="仿宋" w:eastAsia="仿宋_GB2312" w:cs="仿宋"/>
                <w:szCs w:val="21"/>
              </w:rPr>
              <w:t>日常考核、年度考核。未及时抽排的每处扣2分。</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954" w:type="dxa"/>
            <w:vMerge w:val="continue"/>
            <w:vAlign w:val="center"/>
          </w:tcPr>
          <w:p>
            <w:pPr>
              <w:pStyle w:val="4"/>
              <w:rPr>
                <w:rFonts w:ascii="仿宋_GB2312" w:hAnsi="仿宋" w:eastAsia="仿宋_GB2312"/>
                <w:kern w:val="0"/>
                <w:szCs w:val="21"/>
              </w:rPr>
            </w:pPr>
          </w:p>
        </w:tc>
        <w:tc>
          <w:tcPr>
            <w:tcW w:w="850" w:type="dxa"/>
            <w:vMerge w:val="continue"/>
            <w:vAlign w:val="center"/>
          </w:tcPr>
          <w:p>
            <w:pPr>
              <w:pStyle w:val="4"/>
              <w:jc w:val="center"/>
              <w:rPr>
                <w:rFonts w:ascii="仿宋_GB2312" w:hAnsi="仿宋" w:eastAsia="仿宋_GB2312"/>
                <w:kern w:val="0"/>
                <w:szCs w:val="21"/>
              </w:rPr>
            </w:pPr>
          </w:p>
        </w:tc>
        <w:tc>
          <w:tcPr>
            <w:tcW w:w="5534" w:type="dxa"/>
            <w:vAlign w:val="center"/>
          </w:tcPr>
          <w:p>
            <w:pPr>
              <w:rPr>
                <w:rFonts w:ascii="仿宋_GB2312" w:hAnsi="仿宋" w:eastAsia="仿宋_GB2312" w:cs="仿宋"/>
                <w:szCs w:val="21"/>
              </w:rPr>
            </w:pPr>
            <w:r>
              <w:rPr>
                <w:rFonts w:hint="eastAsia" w:ascii="仿宋_GB2312" w:hAnsi="仿宋" w:eastAsia="仿宋_GB2312" w:cs="仿宋"/>
                <w:szCs w:val="21"/>
              </w:rPr>
              <w:t>加强对接入蓄污罐（池）体的渠道进行管理，严防入罐（池）口堵塞、渠道积水、污水横流现象。</w:t>
            </w:r>
          </w:p>
        </w:tc>
        <w:tc>
          <w:tcPr>
            <w:tcW w:w="850" w:type="dxa"/>
            <w:vAlign w:val="center"/>
          </w:tcPr>
          <w:p>
            <w:pPr>
              <w:jc w:val="center"/>
              <w:rPr>
                <w:rFonts w:ascii="仿宋_GB2312" w:hAnsi="仿宋" w:eastAsia="仿宋_GB2312" w:cs="仿宋"/>
                <w:szCs w:val="21"/>
              </w:rPr>
            </w:pPr>
            <w:r>
              <w:rPr>
                <w:rFonts w:hint="eastAsia" w:ascii="仿宋_GB2312" w:hAnsi="仿宋" w:eastAsia="仿宋_GB2312" w:cs="仿宋"/>
                <w:szCs w:val="21"/>
              </w:rPr>
              <w:t>10分</w:t>
            </w:r>
          </w:p>
        </w:tc>
        <w:tc>
          <w:tcPr>
            <w:tcW w:w="5103" w:type="dxa"/>
            <w:vAlign w:val="center"/>
          </w:tcPr>
          <w:p>
            <w:pPr>
              <w:rPr>
                <w:rFonts w:ascii="仿宋_GB2312" w:hAnsi="仿宋" w:eastAsia="仿宋_GB2312" w:cs="仿宋"/>
                <w:szCs w:val="21"/>
              </w:rPr>
            </w:pPr>
            <w:r>
              <w:rPr>
                <w:rFonts w:hint="eastAsia" w:ascii="仿宋_GB2312" w:hAnsi="仿宋" w:eastAsia="仿宋_GB2312" w:cs="仿宋"/>
                <w:szCs w:val="21"/>
              </w:rPr>
              <w:t>日常考核、年度考核。未及时处置的每处扣1分。</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954" w:type="dxa"/>
            <w:vMerge w:val="restart"/>
            <w:vAlign w:val="center"/>
          </w:tcPr>
          <w:p>
            <w:pPr>
              <w:pStyle w:val="4"/>
              <w:jc w:val="center"/>
              <w:rPr>
                <w:rFonts w:hint="eastAsia" w:ascii="仿宋_GB2312" w:hAnsi="仿宋" w:eastAsia="仿宋_GB2312"/>
                <w:kern w:val="0"/>
                <w:szCs w:val="21"/>
              </w:rPr>
            </w:pPr>
            <w:r>
              <w:rPr>
                <w:rFonts w:hint="eastAsia" w:ascii="仿宋_GB2312" w:hAnsi="仿宋" w:eastAsia="仿宋_GB2312"/>
                <w:kern w:val="0"/>
                <w:szCs w:val="21"/>
              </w:rPr>
              <w:t>交办</w:t>
            </w:r>
          </w:p>
          <w:p>
            <w:pPr>
              <w:pStyle w:val="4"/>
              <w:jc w:val="center"/>
              <w:rPr>
                <w:rFonts w:ascii="仿宋_GB2312" w:hAnsi="仿宋" w:eastAsia="仿宋_GB2312"/>
                <w:kern w:val="0"/>
                <w:szCs w:val="21"/>
              </w:rPr>
            </w:pPr>
            <w:r>
              <w:rPr>
                <w:rFonts w:hint="eastAsia" w:ascii="仿宋_GB2312" w:hAnsi="仿宋" w:eastAsia="仿宋_GB2312"/>
                <w:kern w:val="0"/>
                <w:szCs w:val="21"/>
              </w:rPr>
              <w:t>督办</w:t>
            </w:r>
          </w:p>
        </w:tc>
        <w:tc>
          <w:tcPr>
            <w:tcW w:w="850" w:type="dxa"/>
            <w:vMerge w:val="restart"/>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20分</w:t>
            </w:r>
          </w:p>
        </w:tc>
        <w:tc>
          <w:tcPr>
            <w:tcW w:w="5534" w:type="dxa"/>
            <w:vAlign w:val="center"/>
          </w:tcPr>
          <w:p>
            <w:pPr>
              <w:pStyle w:val="4"/>
              <w:spacing w:line="320" w:lineRule="exact"/>
              <w:rPr>
                <w:rFonts w:ascii="仿宋_GB2312" w:hAnsi="仿宋" w:eastAsia="仿宋_GB2312"/>
                <w:kern w:val="0"/>
                <w:szCs w:val="21"/>
              </w:rPr>
            </w:pPr>
            <w:r>
              <w:rPr>
                <w:rFonts w:hint="eastAsia" w:ascii="仿宋_GB2312" w:hAnsi="仿宋" w:eastAsia="仿宋_GB2312"/>
                <w:kern w:val="0"/>
                <w:szCs w:val="21"/>
              </w:rPr>
              <w:t>及时落实新城黑臭水体整治工作领导小组交办督办事项。</w:t>
            </w:r>
          </w:p>
        </w:tc>
        <w:tc>
          <w:tcPr>
            <w:tcW w:w="850" w:type="dxa"/>
            <w:vAlign w:val="center"/>
          </w:tcPr>
          <w:p>
            <w:pPr>
              <w:pStyle w:val="4"/>
              <w:spacing w:line="320" w:lineRule="exact"/>
              <w:jc w:val="center"/>
              <w:rPr>
                <w:rFonts w:ascii="仿宋_GB2312" w:hAnsi="仿宋" w:eastAsia="仿宋_GB2312"/>
                <w:kern w:val="0"/>
                <w:szCs w:val="21"/>
              </w:rPr>
            </w:pPr>
            <w:r>
              <w:rPr>
                <w:rFonts w:hint="eastAsia" w:ascii="仿宋_GB2312" w:hAnsi="仿宋" w:eastAsia="仿宋_GB2312"/>
                <w:kern w:val="0"/>
                <w:szCs w:val="21"/>
              </w:rPr>
              <w:t>10分</w:t>
            </w:r>
          </w:p>
        </w:tc>
        <w:tc>
          <w:tcPr>
            <w:tcW w:w="5103" w:type="dxa"/>
            <w:vAlign w:val="center"/>
          </w:tcPr>
          <w:p>
            <w:pPr>
              <w:pStyle w:val="4"/>
              <w:spacing w:line="320" w:lineRule="exact"/>
              <w:rPr>
                <w:rFonts w:ascii="仿宋_GB2312" w:hAnsi="仿宋" w:eastAsia="仿宋_GB2312"/>
                <w:kern w:val="0"/>
                <w:szCs w:val="21"/>
              </w:rPr>
            </w:pPr>
            <w:r>
              <w:rPr>
                <w:rFonts w:hint="eastAsia" w:ascii="仿宋_GB2312" w:hAnsi="仿宋" w:eastAsia="仿宋_GB2312"/>
                <w:kern w:val="0"/>
                <w:szCs w:val="21"/>
              </w:rPr>
              <w:t>未及时落实交办要求督办事项的，每项扣3分，扣完为止。</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954" w:type="dxa"/>
            <w:vMerge w:val="continue"/>
            <w:vAlign w:val="center"/>
          </w:tcPr>
          <w:p>
            <w:pPr>
              <w:pStyle w:val="4"/>
              <w:jc w:val="center"/>
              <w:rPr>
                <w:rFonts w:ascii="仿宋_GB2312" w:hAnsi="仿宋" w:eastAsia="仿宋_GB2312"/>
                <w:kern w:val="0"/>
                <w:szCs w:val="21"/>
              </w:rPr>
            </w:pPr>
          </w:p>
        </w:tc>
        <w:tc>
          <w:tcPr>
            <w:tcW w:w="850" w:type="dxa"/>
            <w:vMerge w:val="continue"/>
            <w:vAlign w:val="center"/>
          </w:tcPr>
          <w:p>
            <w:pPr>
              <w:pStyle w:val="4"/>
              <w:jc w:val="center"/>
              <w:rPr>
                <w:rFonts w:ascii="仿宋_GB2312" w:hAnsi="仿宋" w:eastAsia="仿宋_GB2312"/>
                <w:kern w:val="0"/>
                <w:szCs w:val="21"/>
              </w:rPr>
            </w:pPr>
          </w:p>
        </w:tc>
        <w:tc>
          <w:tcPr>
            <w:tcW w:w="5534" w:type="dxa"/>
            <w:vAlign w:val="center"/>
          </w:tcPr>
          <w:p>
            <w:pPr>
              <w:pStyle w:val="4"/>
              <w:spacing w:line="320" w:lineRule="exact"/>
              <w:rPr>
                <w:rFonts w:ascii="仿宋_GB2312" w:hAnsi="仿宋" w:eastAsia="仿宋_GB2312"/>
                <w:kern w:val="0"/>
                <w:szCs w:val="21"/>
              </w:rPr>
            </w:pPr>
            <w:r>
              <w:rPr>
                <w:rFonts w:hint="eastAsia" w:ascii="仿宋_GB2312" w:hAnsi="仿宋" w:eastAsia="仿宋_GB2312"/>
                <w:kern w:val="0"/>
                <w:szCs w:val="21"/>
              </w:rPr>
              <w:t>群众投诉举报问题的处理情况。</w:t>
            </w:r>
          </w:p>
        </w:tc>
        <w:tc>
          <w:tcPr>
            <w:tcW w:w="850" w:type="dxa"/>
            <w:vAlign w:val="center"/>
          </w:tcPr>
          <w:p>
            <w:pPr>
              <w:pStyle w:val="4"/>
              <w:spacing w:line="320" w:lineRule="exact"/>
              <w:jc w:val="center"/>
              <w:rPr>
                <w:rFonts w:ascii="仿宋_GB2312" w:hAnsi="仿宋" w:eastAsia="仿宋_GB2312"/>
                <w:kern w:val="0"/>
                <w:szCs w:val="21"/>
              </w:rPr>
            </w:pPr>
            <w:r>
              <w:rPr>
                <w:rFonts w:hint="eastAsia" w:ascii="仿宋_GB2312" w:hAnsi="仿宋" w:eastAsia="仿宋_GB2312"/>
                <w:kern w:val="0"/>
                <w:szCs w:val="21"/>
              </w:rPr>
              <w:t>10分</w:t>
            </w:r>
          </w:p>
        </w:tc>
        <w:tc>
          <w:tcPr>
            <w:tcW w:w="5103" w:type="dxa"/>
            <w:vAlign w:val="center"/>
          </w:tcPr>
          <w:p>
            <w:pPr>
              <w:pStyle w:val="4"/>
              <w:spacing w:line="320" w:lineRule="exact"/>
              <w:rPr>
                <w:rFonts w:ascii="仿宋_GB2312" w:hAnsi="仿宋" w:eastAsia="仿宋_GB2312"/>
                <w:kern w:val="0"/>
                <w:szCs w:val="21"/>
              </w:rPr>
            </w:pPr>
            <w:r>
              <w:rPr>
                <w:rFonts w:hint="eastAsia" w:ascii="仿宋_GB2312" w:hAnsi="仿宋" w:eastAsia="仿宋_GB2312"/>
                <w:kern w:val="0"/>
                <w:szCs w:val="21"/>
              </w:rPr>
              <w:t>未及时处理群众投诉举报问题的，每次扣5分，扣完为止。</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954"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附加分</w:t>
            </w:r>
          </w:p>
        </w:tc>
        <w:tc>
          <w:tcPr>
            <w:tcW w:w="850" w:type="dxa"/>
            <w:vAlign w:val="center"/>
          </w:tcPr>
          <w:p>
            <w:pPr>
              <w:pStyle w:val="4"/>
              <w:jc w:val="center"/>
              <w:rPr>
                <w:rFonts w:ascii="仿宋_GB2312" w:hAnsi="仿宋" w:eastAsia="仿宋_GB2312"/>
                <w:kern w:val="0"/>
                <w:szCs w:val="21"/>
              </w:rPr>
            </w:pPr>
          </w:p>
        </w:tc>
        <w:tc>
          <w:tcPr>
            <w:tcW w:w="5534" w:type="dxa"/>
            <w:vAlign w:val="center"/>
          </w:tcPr>
          <w:p>
            <w:pPr>
              <w:spacing w:line="320" w:lineRule="exact"/>
              <w:rPr>
                <w:rFonts w:ascii="仿宋_GB2312" w:hAnsi="仿宋" w:eastAsia="仿宋_GB2312" w:cs="仿宋"/>
                <w:szCs w:val="21"/>
              </w:rPr>
            </w:pPr>
            <w:r>
              <w:rPr>
                <w:rFonts w:hint="eastAsia" w:ascii="仿宋_GB2312" w:hAnsi="仿宋" w:eastAsia="仿宋_GB2312" w:cs="仿宋"/>
                <w:szCs w:val="21"/>
              </w:rPr>
              <w:t>黑臭水体整治工作有创新，成效显著。</w:t>
            </w:r>
          </w:p>
        </w:tc>
        <w:tc>
          <w:tcPr>
            <w:tcW w:w="850" w:type="dxa"/>
            <w:vAlign w:val="center"/>
          </w:tcPr>
          <w:p>
            <w:pPr>
              <w:spacing w:line="320" w:lineRule="exact"/>
              <w:jc w:val="center"/>
              <w:rPr>
                <w:rFonts w:ascii="仿宋" w:hAnsi="仿宋" w:eastAsia="仿宋" w:cs="仿宋"/>
                <w:szCs w:val="21"/>
              </w:rPr>
            </w:pPr>
          </w:p>
        </w:tc>
        <w:tc>
          <w:tcPr>
            <w:tcW w:w="5103" w:type="dxa"/>
            <w:vAlign w:val="center"/>
          </w:tcPr>
          <w:p>
            <w:pPr>
              <w:spacing w:line="320" w:lineRule="exact"/>
              <w:rPr>
                <w:rFonts w:ascii="仿宋_GB2312" w:hAnsi="仿宋" w:eastAsia="仿宋_GB2312" w:cs="仿宋"/>
                <w:szCs w:val="21"/>
              </w:rPr>
            </w:pPr>
            <w:r>
              <w:rPr>
                <w:rFonts w:hint="eastAsia" w:ascii="仿宋_GB2312" w:hAnsi="仿宋" w:eastAsia="仿宋_GB2312" w:cs="仿宋"/>
                <w:szCs w:val="21"/>
              </w:rPr>
              <w:t>黑臭水体整治工作宣传推介被市级媒体采用报道的，每篇加2分；被省级媒体采用报道的，每篇加5分；被中央级媒体采用报道的，每篇加10分。（同一宣传不重复计分）</w:t>
            </w:r>
          </w:p>
        </w:tc>
        <w:tc>
          <w:tcPr>
            <w:tcW w:w="709" w:type="dxa"/>
            <w:vAlign w:val="center"/>
          </w:tcPr>
          <w:p>
            <w:pPr>
              <w:pStyle w:val="4"/>
              <w:rPr>
                <w:rFonts w:ascii="仿宋_GB2312" w:hAnsi="仿宋"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954"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合计</w:t>
            </w:r>
          </w:p>
        </w:tc>
        <w:tc>
          <w:tcPr>
            <w:tcW w:w="850" w:type="dxa"/>
            <w:vAlign w:val="center"/>
          </w:tcPr>
          <w:p>
            <w:pPr>
              <w:pStyle w:val="4"/>
              <w:jc w:val="center"/>
              <w:rPr>
                <w:rFonts w:ascii="仿宋_GB2312" w:hAnsi="仿宋" w:eastAsia="仿宋_GB2312"/>
                <w:kern w:val="0"/>
                <w:szCs w:val="21"/>
              </w:rPr>
            </w:pPr>
            <w:r>
              <w:rPr>
                <w:rFonts w:hint="eastAsia" w:ascii="仿宋_GB2312" w:hAnsi="仿宋" w:eastAsia="仿宋_GB2312"/>
                <w:kern w:val="0"/>
                <w:szCs w:val="21"/>
              </w:rPr>
              <w:t>100分</w:t>
            </w:r>
          </w:p>
        </w:tc>
        <w:tc>
          <w:tcPr>
            <w:tcW w:w="5534" w:type="dxa"/>
            <w:vAlign w:val="center"/>
          </w:tcPr>
          <w:p>
            <w:pPr>
              <w:spacing w:line="320" w:lineRule="exact"/>
              <w:rPr>
                <w:rFonts w:ascii="仿宋" w:hAnsi="仿宋" w:eastAsia="仿宋" w:cs="仿宋"/>
                <w:szCs w:val="21"/>
              </w:rPr>
            </w:pPr>
          </w:p>
        </w:tc>
        <w:tc>
          <w:tcPr>
            <w:tcW w:w="850" w:type="dxa"/>
            <w:vAlign w:val="center"/>
          </w:tcPr>
          <w:p>
            <w:pPr>
              <w:spacing w:line="320" w:lineRule="exact"/>
              <w:jc w:val="center"/>
              <w:rPr>
                <w:rFonts w:ascii="仿宋_GB2312" w:eastAsia="仿宋_GB2312"/>
              </w:rPr>
            </w:pPr>
            <w:r>
              <w:rPr>
                <w:rFonts w:hint="eastAsia" w:ascii="仿宋_GB2312" w:eastAsia="仿宋_GB2312"/>
              </w:rPr>
              <w:t>100分</w:t>
            </w:r>
          </w:p>
        </w:tc>
        <w:tc>
          <w:tcPr>
            <w:tcW w:w="5103" w:type="dxa"/>
          </w:tcPr>
          <w:p>
            <w:pPr>
              <w:spacing w:line="320" w:lineRule="exact"/>
              <w:rPr>
                <w:rFonts w:ascii="仿宋" w:hAnsi="仿宋" w:eastAsia="仿宋" w:cs="仿宋"/>
                <w:szCs w:val="21"/>
              </w:rPr>
            </w:pPr>
          </w:p>
        </w:tc>
        <w:tc>
          <w:tcPr>
            <w:tcW w:w="709" w:type="dxa"/>
            <w:vAlign w:val="center"/>
          </w:tcPr>
          <w:p>
            <w:pPr>
              <w:pStyle w:val="4"/>
              <w:rPr>
                <w:rFonts w:ascii="仿宋_GB2312" w:hAnsi="仿宋" w:eastAsia="仿宋_GB2312"/>
                <w:kern w:val="0"/>
                <w:szCs w:val="21"/>
              </w:rPr>
            </w:pPr>
          </w:p>
        </w:tc>
      </w:tr>
    </w:tbl>
    <w:p>
      <w:pPr>
        <w:ind w:left="0"/>
      </w:pPr>
      <w:r>
        <w:rPr>
          <w:rFonts w:hint="eastAsia" w:ascii="仿宋_GB2312" w:hAnsi="仿宋_GB2312" w:eastAsia="仿宋_GB2312" w:cs="仿宋_GB2312"/>
        </w:rPr>
        <w:t>备注：总分为100分，90分以上（含90分）为优秀；80分以上（含80分）为合格；70分以上（含70分）为基本合格；70分以下为不合格。</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A781B"/>
    <w:rsid w:val="24EA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2019-05-22T01:27:00Z</dcterms:created>
  <dc:creator>Administrator</dc:creator>
  <cp:lastModifiedBy>Administrator</cp:lastModifiedBy>
  <dcterms:modified xsi:type="dcterms:W3CDTF">2019-05-22T01:28:08Z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