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1" w:lineRule="atLeas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widowControl/>
        <w:spacing w:line="501" w:lineRule="atLeast"/>
        <w:jc w:val="center"/>
        <w:rPr>
          <w:rFonts w:hint="eastAsia" w:ascii="方正小标宋简体" w:hAnsi="STZhongsong" w:eastAsia="方正小标宋简体" w:cs="Batang"/>
          <w:sz w:val="36"/>
          <w:szCs w:val="36"/>
        </w:rPr>
      </w:pPr>
      <w:r>
        <w:rPr>
          <w:rFonts w:hint="eastAsia" w:ascii="方正小标宋简体" w:hAnsi="STZhongsong" w:eastAsia="方正小标宋简体" w:cs="Batang"/>
          <w:sz w:val="36"/>
          <w:szCs w:val="36"/>
        </w:rPr>
        <w:t>泾河新城2019年草地贪夜蛾防控技术方案（试行）</w:t>
      </w:r>
    </w:p>
    <w:p>
      <w:pPr>
        <w:widowControl/>
        <w:spacing w:line="451" w:lineRule="atLeast"/>
        <w:jc w:val="center"/>
        <w:rPr>
          <w:rFonts w:hint="eastAsia" w:ascii="仿宋" w:hAnsi="仿宋" w:eastAsia="仿宋" w:cs="宋体"/>
          <w:color w:val="949494"/>
          <w:kern w:val="0"/>
          <w:sz w:val="18"/>
          <w:szCs w:val="18"/>
        </w:rPr>
      </w:pP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为防止草地贪夜蛾暴发成灾，实现“虫口夺粮”和农药减量增效，现制定草地贪夜蛾防控技术方案（试行）。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一、防控目标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防治处置率达到90%以上，绿色防控技术应用比例达到30%以上，综合防治效果达到85%以上，危害损失率控制在8%以内。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二、防控策略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突出“系统监测、综合防治、统防统治”，迁入发生前，加强监测，做好应急防控准备；发生发现后，加强普查，利用理化诱杀控制成虫种群数量，选用生物农药和高效低毒化学农药压低幼虫基数，保障农作物生产安全和生态环境安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三、防控措施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（一）监测预警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借助性诱剂、测报灯和高空测报灯监测成虫迁飞动态和发生情况，通过大田普查和系统调查明确幼虫发生为害情况，做到早发现、早预警、早控制。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（二）防控重点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以春、夏播玉米等主要作物为重点，加强监测，通过成虫诱杀和低龄幼虫应急防治，将草地贪夜蛾扑灭在迁入初期和低龄阶段。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（三）主要技术措施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1.生态调控技术：因地制宜调整作物布局，保护利用天敌。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2.成虫诱杀技术：成虫发生期，使用杀虫灯、性诱剂和食诱剂诱杀。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3.幼虫防治技术：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抓住低龄幼虫的防控最佳时期，施药时间最好选择在清晨或者傍晚，注意喷洒在玉米心叶、雄穗和雌穗等部位。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（1）生物防治：在卵孵化初期选择喷施白僵菌、绿僵菌、苏云金杆菌制剂以及多杀菌素、苦参碱、印楝素等生物农药；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（2）应急防治：选用防控夜蛾科害虫的高效低毒的杀虫剂喷雾防治，如氯虫苯甲酰胺、乙基多杀菌素、甲氨基阿维菌素苯甲酸盐、氟氯氰菊酯、溴氰虫酰胺等。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TZhongsong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83545"/>
    <w:rsid w:val="4F08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2019-07-12T02:12:00Z</dcterms:created>
  <dc:creator>Administrator</dc:creator>
  <cp:lastModifiedBy>Administrator</cp:lastModifiedBy>
  <dcterms:modified xsi:type="dcterms:W3CDTF">2019-07-12T02:12:23Z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2052-11.1.0.8863</vt:lpwstr>
  </property>
</Properties>
</file>