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70" w:rsidRPr="00334370" w:rsidRDefault="00334370" w:rsidP="00334370">
      <w:pPr>
        <w:widowControl/>
        <w:shd w:val="clear" w:color="auto" w:fill="FFFFFF"/>
        <w:spacing w:after="312"/>
        <w:jc w:val="left"/>
        <w:rPr>
          <w:rFonts w:ascii="宋体" w:eastAsia="宋体" w:hAnsi="宋体" w:cs="宋体"/>
          <w:color w:val="000000"/>
          <w:kern w:val="0"/>
          <w:szCs w:val="21"/>
        </w:rPr>
      </w:pPr>
      <w:bookmarkStart w:id="0" w:name="_GoBack"/>
      <w:r w:rsidRPr="00334370">
        <w:rPr>
          <w:rFonts w:ascii="仿宋_GB2312" w:eastAsia="仿宋_GB2312" w:hAnsi="宋体" w:cs="宋体" w:hint="eastAsia"/>
          <w:color w:val="000000"/>
          <w:kern w:val="0"/>
          <w:sz w:val="32"/>
          <w:szCs w:val="32"/>
        </w:rPr>
        <w:t>附件</w:t>
      </w:r>
      <w:r w:rsidRPr="00334370">
        <w:rPr>
          <w:rFonts w:ascii="Times New Roman" w:eastAsia="宋体" w:hAnsi="Times New Roman" w:cs="Times New Roman"/>
          <w:color w:val="000000"/>
          <w:kern w:val="0"/>
          <w:sz w:val="32"/>
          <w:szCs w:val="32"/>
        </w:rPr>
        <w:t>1</w:t>
      </w:r>
      <w:bookmarkEnd w:id="0"/>
      <w:r w:rsidRPr="00334370">
        <w:rPr>
          <w:rFonts w:ascii="仿宋_GB2312" w:eastAsia="仿宋_GB2312" w:hAnsi="宋体" w:cs="宋体" w:hint="eastAsia"/>
          <w:color w:val="000000"/>
          <w:kern w:val="0"/>
          <w:sz w:val="32"/>
          <w:szCs w:val="32"/>
        </w:rPr>
        <w:t>：</w:t>
      </w:r>
    </w:p>
    <w:p w:rsidR="00334370" w:rsidRPr="00334370" w:rsidRDefault="00334370" w:rsidP="00334370">
      <w:pPr>
        <w:widowControl/>
        <w:shd w:val="clear" w:color="auto" w:fill="FFFFFF"/>
        <w:jc w:val="center"/>
        <w:rPr>
          <w:rFonts w:ascii="宋体" w:eastAsia="宋体" w:hAnsi="宋体" w:cs="宋体" w:hint="eastAsia"/>
          <w:color w:val="000000"/>
          <w:kern w:val="0"/>
          <w:szCs w:val="21"/>
        </w:rPr>
      </w:pPr>
      <w:r w:rsidRPr="00334370">
        <w:rPr>
          <w:rFonts w:ascii="华文中宋" w:eastAsia="华文中宋" w:hAnsi="华文中宋" w:cs="宋体" w:hint="eastAsia"/>
          <w:color w:val="000000"/>
          <w:kern w:val="0"/>
          <w:sz w:val="36"/>
          <w:szCs w:val="36"/>
        </w:rPr>
        <w:t>《</w:t>
      </w:r>
      <w:r w:rsidRPr="00334370">
        <w:rPr>
          <w:rFonts w:ascii="宋体" w:eastAsia="宋体" w:hAnsi="宋体" w:cs="宋体" w:hint="eastAsia"/>
          <w:color w:val="000000"/>
          <w:kern w:val="0"/>
          <w:sz w:val="28"/>
          <w:szCs w:val="28"/>
        </w:rPr>
        <w:t>政府会计制度——行政事业单位会计科目和报表》与《行政单位会计制度》有关衔接问题的处理规定</w:t>
      </w:r>
    </w:p>
    <w:p w:rsidR="00334370" w:rsidRPr="00334370" w:rsidRDefault="00334370" w:rsidP="00334370">
      <w:pPr>
        <w:widowControl/>
        <w:shd w:val="clear" w:color="auto" w:fill="FFFFFF"/>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 </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我部于</w:t>
      </w:r>
      <w:r w:rsidRPr="00334370">
        <w:rPr>
          <w:rFonts w:ascii="Times New Roman" w:eastAsia="宋体" w:hAnsi="Times New Roman" w:cs="Times New Roman"/>
          <w:color w:val="000000"/>
          <w:kern w:val="0"/>
          <w:sz w:val="32"/>
          <w:szCs w:val="32"/>
        </w:rPr>
        <w:t>2017</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10</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24</w:t>
      </w:r>
      <w:r w:rsidRPr="00334370">
        <w:rPr>
          <w:rFonts w:ascii="仿宋_GB2312" w:eastAsia="仿宋_GB2312" w:hAnsi="宋体" w:cs="宋体" w:hint="eastAsia"/>
          <w:color w:val="000000"/>
          <w:kern w:val="0"/>
          <w:sz w:val="32"/>
          <w:szCs w:val="32"/>
        </w:rPr>
        <w:t>日印发了《政府会计制度——行政事业单位会计科目和报表》（财会〔</w:t>
      </w:r>
      <w:r w:rsidRPr="00334370">
        <w:rPr>
          <w:rFonts w:ascii="Times New Roman" w:eastAsia="宋体" w:hAnsi="Times New Roman" w:cs="Times New Roman"/>
          <w:color w:val="000000"/>
          <w:kern w:val="0"/>
          <w:sz w:val="32"/>
          <w:szCs w:val="32"/>
        </w:rPr>
        <w:t>2017</w:t>
      </w: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25</w:t>
      </w:r>
      <w:r w:rsidRPr="00334370">
        <w:rPr>
          <w:rFonts w:ascii="仿宋_GB2312" w:eastAsia="仿宋_GB2312" w:hAnsi="宋体" w:cs="宋体" w:hint="eastAsia"/>
          <w:color w:val="000000"/>
          <w:kern w:val="0"/>
          <w:sz w:val="32"/>
          <w:szCs w:val="32"/>
        </w:rPr>
        <w:t>号，以下简称新制度）。目前执行《行政单位会计制度》（财库〔</w:t>
      </w:r>
      <w:r w:rsidRPr="00334370">
        <w:rPr>
          <w:rFonts w:ascii="Times New Roman" w:eastAsia="宋体" w:hAnsi="Times New Roman" w:cs="Times New Roman"/>
          <w:color w:val="000000"/>
          <w:kern w:val="0"/>
          <w:sz w:val="32"/>
          <w:szCs w:val="32"/>
        </w:rPr>
        <w:t>2013</w:t>
      </w: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218</w:t>
      </w:r>
      <w:r w:rsidRPr="00334370">
        <w:rPr>
          <w:rFonts w:ascii="仿宋_GB2312" w:eastAsia="仿宋_GB2312" w:hAnsi="宋体" w:cs="宋体" w:hint="eastAsia"/>
          <w:color w:val="000000"/>
          <w:kern w:val="0"/>
          <w:sz w:val="32"/>
          <w:szCs w:val="32"/>
        </w:rPr>
        <w:t>号，以下简称原制度）的单位，自</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日起执行新制度，不再执行原制度。为了确保新旧会计制度顺利过渡，现对单位执行新制度的有关衔接问题规定如下：</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黑体" w:eastAsia="黑体" w:hAnsi="黑体" w:cs="宋体" w:hint="eastAsia"/>
          <w:color w:val="000000"/>
          <w:kern w:val="0"/>
          <w:sz w:val="32"/>
          <w:szCs w:val="32"/>
        </w:rPr>
        <w:t>一、新旧制度衔接总要求</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（一）自</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年１月１日起，单位应当严格按照新制度的规定进行会计核算、编制财务报表和预算会计报表。</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（二）单位应当按照本规定做好新旧制度衔接的相关工作，主要包括以下几个方面：</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根据原账编制</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日的科目余额表，并按照本规定要求，编制原账的部分科目余额明细表（见附表</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、附表２）。</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按照新制度设立</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日的新账。</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按照本规定要求，登记新账的财务会计科目余额和预算结余科目余额，包括将原账科目余额转入新账财务会计</w:t>
      </w:r>
      <w:r w:rsidRPr="00334370">
        <w:rPr>
          <w:rFonts w:ascii="仿宋_GB2312" w:eastAsia="仿宋_GB2312" w:hAnsi="宋体" w:cs="宋体" w:hint="eastAsia"/>
          <w:color w:val="000000"/>
          <w:kern w:val="0"/>
          <w:sz w:val="32"/>
          <w:szCs w:val="32"/>
        </w:rPr>
        <w:lastRenderedPageBreak/>
        <w:t>科目、按照原账科目余额登记新账预算结余科目（行政单位新旧会计制度转账、登记新账科目对照表见附表</w:t>
      </w: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），将未入账事项登记新账科目，并对相关新账科目余额进行调整。原账科目是指按照原制度规定设置的会计科目。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4.</w:t>
      </w:r>
      <w:r w:rsidRPr="00334370">
        <w:rPr>
          <w:rFonts w:ascii="仿宋_GB2312" w:eastAsia="仿宋_GB2312" w:hAnsi="宋体" w:cs="宋体" w:hint="eastAsia"/>
          <w:color w:val="000000"/>
          <w:kern w:val="0"/>
          <w:sz w:val="32"/>
          <w:szCs w:val="32"/>
        </w:rPr>
        <w:t>按照登记及调整后新账的各会计科目余额，编制</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日的科目余额表，作为新账各会计科目的期初余额。</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5.</w:t>
      </w:r>
      <w:r w:rsidRPr="00334370">
        <w:rPr>
          <w:rFonts w:ascii="仿宋_GB2312" w:eastAsia="仿宋_GB2312" w:hAnsi="宋体" w:cs="宋体" w:hint="eastAsia"/>
          <w:color w:val="000000"/>
          <w:kern w:val="0"/>
          <w:sz w:val="32"/>
          <w:szCs w:val="32"/>
        </w:rPr>
        <w:t>根据新账各会计科目期初余额，按照新制度编制</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日资产负债表。</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（三）及时调整会计信息系统。单位应当按照新制度要求对原有会计信息系统进行及时更新和调试，实现数据正确转换，确保新旧账套的有序衔接。</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黑体" w:eastAsia="黑体" w:hAnsi="黑体" w:cs="宋体" w:hint="eastAsia"/>
          <w:color w:val="000000"/>
          <w:kern w:val="0"/>
          <w:sz w:val="32"/>
          <w:szCs w:val="32"/>
        </w:rPr>
        <w:t>二、财务会计科目的新旧衔接</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（一）将</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日原账会计科目余额转入新账财务会计科目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资产类</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）“库存现金”、“零余额账户用款额度”、“财政应返还额度”、“应收账款”、“预付账款”、“无形资产”、“公共基础设施”、“政府储备物资”、“受托代理资产”、“待处理财产损溢”科目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新制度设置了“库存现金”、“零余额账户用款额度”、“财政应返还额度”、“应收账款”、“预付账</w:t>
      </w:r>
      <w:r w:rsidRPr="00334370">
        <w:rPr>
          <w:rFonts w:ascii="仿宋_GB2312" w:eastAsia="仿宋_GB2312" w:hAnsi="宋体" w:cs="宋体" w:hint="eastAsia"/>
          <w:color w:val="000000"/>
          <w:kern w:val="0"/>
          <w:sz w:val="32"/>
          <w:szCs w:val="32"/>
        </w:rPr>
        <w:lastRenderedPageBreak/>
        <w:t>款”、“无形资产”、“公共基础设施”、“政府储备物资”、“受托代理资产”、“待处理财产损溢”科目，其核算内容与原账的上述相应科目的核算内容基本相同。转账时，单位应当将原账的上述科目余额直接转入新账的相应科目。其中，还应当将原账的“库存现金”科目余额中属于新制度规定受托代理资产的金额，转入新账“库存现金”科目下的“受托代理资产”明细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）“银行存款”科目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银行存款”和“其他货币资金”科目，原制度设置了“银行存款”科目。转账时，单位应当将原账“银行存款”科目中核算的属于新制度规定的其他货币资金的金额，转入新账的“其他货币资金”科目；将原账“银行存款”科目余额减去其中属于其他货币资金金额后的差额，转入新账的“银行存款”科目。其中，还应当将原账“银行存款”科目余额中属于新制度规定受托代理资产的金额，转入新账“银行存款”科目下的“受托代理资产”明细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）“其他应收款”科目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新制度设置了“其他应收款”科目，该科目的核算内容与原账“其他应收款”科目的核算内容基本相同。转账时，单位应当将原账的“其他应收款”科目余额转入新账的“其他应收款”科目。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新制度设置了“在途物品”科目，单位在原账的“其他应收款”科目中核算了已经付款、尚未收到物资的，应当将原账的“其他应收款”科目余额中已经付款、尚未收到物资的金额，转入新账的“在途物品”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4</w:t>
      </w:r>
      <w:r w:rsidRPr="00334370">
        <w:rPr>
          <w:rFonts w:ascii="仿宋_GB2312" w:eastAsia="仿宋_GB2312" w:hAnsi="宋体" w:cs="宋体" w:hint="eastAsia"/>
          <w:color w:val="000000"/>
          <w:kern w:val="0"/>
          <w:sz w:val="32"/>
          <w:szCs w:val="32"/>
        </w:rPr>
        <w:t>）“存货”科目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库存物品”和“加工物品”科目，原制度设置了“存货”科目。转账时，单位应当将原账的“存货——委托加工存货成本”科目余额转入新账的“加工物品”科目；将原账的“存货”科目余额减去属于委托加工存货成本余额后的差额，转入新账的“库存物品”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单位在原账的“存货”科目中核算了按照新制度规定的政府储备物资的，应当将原账的“存货”科目余额中属于政府储备物资的金额，转入新账的“政府储备物资”科目。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5</w:t>
      </w:r>
      <w:r w:rsidRPr="00334370">
        <w:rPr>
          <w:rFonts w:ascii="仿宋_GB2312" w:eastAsia="仿宋_GB2312" w:hAnsi="宋体" w:cs="宋体" w:hint="eastAsia"/>
          <w:color w:val="000000"/>
          <w:kern w:val="0"/>
          <w:sz w:val="32"/>
          <w:szCs w:val="32"/>
        </w:rPr>
        <w:t>）“固定资产”科目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固定资产”、“公共基础设施”、“政府储备物资”、“文物文化资产”、“保障性住房”科目。单位在原账“固定资产”科目中只核算了按照新制度规定的固定资产内容的，转账时，应当将原账的“固定资产”科目余额全部转入新账的“固定资产”科目。单位在原账的“固定资产”科目中核算了按照新制度规定应当</w:t>
      </w:r>
      <w:r w:rsidRPr="00334370">
        <w:rPr>
          <w:rFonts w:ascii="仿宋_GB2312" w:eastAsia="仿宋_GB2312" w:hAnsi="宋体" w:cs="宋体" w:hint="eastAsia"/>
          <w:color w:val="000000"/>
          <w:kern w:val="0"/>
          <w:sz w:val="32"/>
          <w:szCs w:val="32"/>
        </w:rPr>
        <w:lastRenderedPageBreak/>
        <w:t>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6</w:t>
      </w:r>
      <w:r w:rsidRPr="00334370">
        <w:rPr>
          <w:rFonts w:ascii="仿宋_GB2312" w:eastAsia="仿宋_GB2312" w:hAnsi="宋体" w:cs="宋体" w:hint="eastAsia"/>
          <w:color w:val="000000"/>
          <w:kern w:val="0"/>
          <w:sz w:val="32"/>
          <w:szCs w:val="32"/>
        </w:rPr>
        <w:t>）“累计折旧”科目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固定资产累计折旧”科目，该科目的核算内容与原账“累计折旧——固定资产累计折旧”科目的核算内容基本相同。单位已经计提了固定资产折旧并记入“累计折旧——固定资产累计折旧”科目的，转账时，应当将原账的“累计折旧——固定资产累计折旧”科目余额，转入新账的“固定资产累计折旧”科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公共基础设施累计折旧（摊销）”科目，该科目的核算内容与原账“累计折旧——公共基础设施累计折旧”科目的核算内容基本相同。单位已经计提了公共基础设施折旧并记入“累计折旧——公共基础设施累计折旧”科目的，转账时，应当将原账的“累计折旧——公共基础设施累计折旧”科目余额，转入新账的“公共基础设施累计折旧（摊销）”科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单位在原账的“固定资产”科目中核算了按照新制度规定应当记入“公共基础设施”、“保障性住房”科目的内容，且已经计提了固定资产折旧并记入“累计折旧——固定资产累计折旧”科目的，转账时，应当将原账的“累计折旧——固定资产累计折旧”科目余额中属于公共基础设施累计折旧（摊销）、保障性住房累计折旧的金额，分别转入新账的“公共基础设施累计折旧（摊销）”、“保障性住房累计折旧”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7</w:t>
      </w:r>
      <w:r w:rsidRPr="00334370">
        <w:rPr>
          <w:rFonts w:ascii="仿宋_GB2312" w:eastAsia="仿宋_GB2312" w:hAnsi="宋体" w:cs="宋体" w:hint="eastAsia"/>
          <w:color w:val="000000"/>
          <w:kern w:val="0"/>
          <w:sz w:val="32"/>
          <w:szCs w:val="32"/>
        </w:rPr>
        <w:t>）“在建工程”科目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在建工程”、“工程物资”和“预付账款——预付备料款、预付工程款”科目，原制度设置了“在建工程”科目。转账时，单位应当将原账的“在建工程”科目余额（基建“并账”后的金额，下同）中属于工程物资的金额，转入新账的“工程物资”科目；将原账“在建工程”科目余额中属于预付备料款、预付工程款的金额，转入新账“预付账款”相关明细科目；将原账的“在建工程”科目余额减去工程物资和预付备料款、预付工程款金额后的差额，转入新账的“在建工程”科目。</w:t>
      </w:r>
    </w:p>
    <w:p w:rsidR="00334370" w:rsidRPr="00334370" w:rsidRDefault="00334370" w:rsidP="00334370">
      <w:pPr>
        <w:widowControl/>
        <w:shd w:val="clear" w:color="auto" w:fill="FFFFFF"/>
        <w:ind w:firstLine="646"/>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8</w:t>
      </w:r>
      <w:r w:rsidRPr="00334370">
        <w:rPr>
          <w:rFonts w:ascii="仿宋_GB2312" w:eastAsia="仿宋_GB2312" w:hAnsi="宋体" w:cs="宋体" w:hint="eastAsia"/>
          <w:color w:val="000000"/>
          <w:kern w:val="0"/>
          <w:sz w:val="32"/>
          <w:szCs w:val="32"/>
        </w:rPr>
        <w:t>）“累计摊销”科目</w:t>
      </w:r>
    </w:p>
    <w:p w:rsidR="00334370" w:rsidRPr="00334370" w:rsidRDefault="00334370" w:rsidP="00334370">
      <w:pPr>
        <w:widowControl/>
        <w:shd w:val="clear" w:color="auto" w:fill="FFFFFF"/>
        <w:ind w:firstLine="420"/>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 </w:t>
      </w:r>
      <w:r w:rsidRPr="00334370">
        <w:rPr>
          <w:rFonts w:ascii="仿宋_GB2312" w:eastAsia="仿宋_GB2312" w:hAnsi="宋体" w:cs="宋体" w:hint="eastAsia"/>
          <w:color w:val="000000"/>
          <w:kern w:val="0"/>
          <w:sz w:val="32"/>
          <w:szCs w:val="32"/>
        </w:rPr>
        <w:t>新制度设置了“无形资产累计摊销”科目，该科目的核算内容与原账“累计摊销”科目的核算内容基本相同。单位已经计提了无形资产摊销的，转账时，应当将原账的</w:t>
      </w:r>
      <w:r w:rsidRPr="00334370">
        <w:rPr>
          <w:rFonts w:ascii="仿宋_GB2312" w:eastAsia="仿宋_GB2312" w:hAnsi="宋体" w:cs="宋体" w:hint="eastAsia"/>
          <w:color w:val="000000"/>
          <w:kern w:val="0"/>
          <w:sz w:val="32"/>
          <w:szCs w:val="32"/>
        </w:rPr>
        <w:lastRenderedPageBreak/>
        <w:t>“累计摊销”科目余额，转入新账的“无形资产累计摊销”科目。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负债类</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）“应缴财政款”、“应付职工薪酬”、“应付政府补贴款”、“其他应付款”、“长期应付款”、“受托代理负债”科目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应缴财政款”、“应付职工薪酬”、“应付政府补贴款”、“其他应付款”、“长期应付款”、“受托代理负债”科目，其核算内容与原账的上述相应科目的核算内容基本相同。转账时，单位应当将原账的上述科目余额直接转入新账的相应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）“应缴税费”科目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应交增值税”、“其他应交税费”科目，原制度设置了“应缴税费”科目。转账时，单位应当将原账的“应缴税费——应缴增值税”科目余额转入新账“应交增值税”科目中的相关明细科目；将原账的“应缴税费”科目余额减去属于应交增值税余额后的差额，转入新账的“其他应交税费”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）“应付账款”科目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新制度设置了“应付账款”科目，该科目的核算内容与原账“应付账款”科目的核算内容基本相同，但是不再核算应付质量保证金，应付质量保证金改在新账的“其他</w:t>
      </w:r>
      <w:r w:rsidRPr="00334370">
        <w:rPr>
          <w:rFonts w:ascii="仿宋_GB2312" w:eastAsia="仿宋_GB2312" w:hAnsi="宋体" w:cs="宋体" w:hint="eastAsia"/>
          <w:color w:val="000000"/>
          <w:kern w:val="0"/>
          <w:sz w:val="32"/>
          <w:szCs w:val="32"/>
        </w:rPr>
        <w:lastRenderedPageBreak/>
        <w:t>应付款”科目核算。转账时，单位应当将原账的“应付账款”科目余额中属于尚未支付质量保证金的余额，转入新账的“其他应付款”科目；将原账的“应付账款”科目余额减去其中属于尚未支付质量保证金的余额后的差额，转入新账的“应付账款”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净资产类</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）“财政拨款结转”、“财政拨款结余”、“其他资金结转结余”科目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累计盈余”科目，该科目的余额包含了原账的“财政拨款结转”、“财政拨款结余”、“其他资金结转结余”科目的余额内容。转账时，单位应当将原账的“财政拨款结转”、“财政拨款结余”、“其他资金结转结余”科目余额，转入新账的“累计盈余”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）“资产基金”、“待偿债净资产”科目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依据新制度，单位无需对原制度中“资产基金”、“待偿债净资产”科目对应的内容进行核算。转账时，单位应当将原账“资产基金”科目贷方余额转入新账的“累计盈余”科目贷方，将原账的“待偿债净资产”科目借方余额转入新账的“累计盈余”科目借方。</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 4.</w:t>
      </w:r>
      <w:r w:rsidRPr="00334370">
        <w:rPr>
          <w:rFonts w:ascii="仿宋_GB2312" w:eastAsia="仿宋_GB2312" w:hAnsi="宋体" w:cs="宋体" w:hint="eastAsia"/>
          <w:color w:val="000000"/>
          <w:kern w:val="0"/>
          <w:sz w:val="32"/>
          <w:szCs w:val="32"/>
        </w:rPr>
        <w:t>收入类、支出类</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由于原账中收入类、支出类科目年末无余额，单位无需进行转账处理。自</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日起，单位应当按照新制度设置收入类、费用类科目并进行账务处理。</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单位存在其他本规定未列举的原账科目余额的，应当比照本规定转入新账的相应科目。新账科目设有明细科目的，应当对原账中对应科目的余额加以分析，分别转入新账中相应科目的相关明细科目。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单位在进行新旧衔接的转账时，应当编制转账的工作分录，作为转账的工作底稿，并将转入新账的对应原账户余额及分拆原账户余额的依据作为原始凭证。</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（二）将原未入账事项登记新账财务会计科目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在途物品、政府储备物资、公共基础设施、文物文化资产、保障性住房</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单位在新旧制度转换时，应当将</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前未入账的在途物品、政府储备物资、公共基础设施、文物文化资产、保障性住房按照新制度规定记入新账。登记新账时，按照确定的在途物品、政府储备物资、公共基础设施、文物文化资产、保障性住房初始入账成本，分别借记“在途物品”、“政府储备物资”、“公共基础设施”、“文物文化资产”、“保障性住房”科目，贷记“累计盈余”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单位对于登记新账时首次确认的公共基础设施、保障性住房，应当于</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日以后，按照其在登记新账时确定的成本和尚可使用年限计提折旧（摊销）。</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受托代理资产</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单位在新旧制度转换时，应当将</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日前未入账的受托代理物资按照新制度规定记入新账。登记新账时，按照确定的受托代理物资成本，借记“受托代理资产”科目，贷记“受托代理负债”科目。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盘盈资产</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单位在新旧制度转换时，应当将</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日前未入账的盘盈资产按照新制度规定记入新账。登记新账时，按照确定的盘盈资产及其成本，分别借记有关资产科目，按照盘盈资产成本的合计金额，贷记“累计盈余”科目。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4.</w:t>
      </w:r>
      <w:r w:rsidRPr="00334370">
        <w:rPr>
          <w:rFonts w:ascii="仿宋_GB2312" w:eastAsia="仿宋_GB2312" w:hAnsi="宋体" w:cs="宋体" w:hint="eastAsia"/>
          <w:color w:val="000000"/>
          <w:kern w:val="0"/>
          <w:sz w:val="32"/>
          <w:szCs w:val="32"/>
        </w:rPr>
        <w:t>预计负债</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单位在新旧制度转换时，应当将</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日按照新制度规定确认的预计负债记入新账。登记新账时，按照确定的预计负债金额，借记“累计盈余”科目，贷记“预计负债”科目。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单位存在</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日前未入账的其他事项的，应当比照本规定登记新账的相应科目。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单位对新账的财务会计科目补记未入账事项时，应当编制记账凭证，并将补充登记事项的确认依据作为原始凭证。</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（三）对新账的相关财务会计科目余额按照新制度规定的核算基础进行调整</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补提折旧</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单位在原账中尚未计提固定资产折旧、公共基础设施折旧（摊销）的，应当全面核查截至</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日固定资产、公共基础设施的预计使用年限、已使用年限、尚可使用年限等，并按照新制度规定于</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日对尚未计提折旧的固定资产、公共基础设施补提折旧，按照应计提的折旧金额，借记“累计盈余”科目，贷记“固定资产累计折旧”、“公共基础设施累计折旧（摊销）”科目。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在原账的“固定资产”科目中核算了按照新制度规定应当记入“公共基础设施”、“保障性住房”科目内容的，应当比照前款规定补提公共基础设施折旧（摊销）、保障性住房折旧，按照应计提的折旧（摊销）金额，借记“累计盈余”科目，贷记“公共基础设施累计折旧（摊销）”、“保障性住房累计折旧”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补提摊销</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单位在原账中尚未计提无形资产摊销的，应当全面核查截至</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日无形资产的预计使用年限、已使用年限、尚可使用年限等，并按照新制度规定于</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日对尚未摊销的无形资产补提摊销，按照应计提的摊销金额，借记“累计盈余”科目，贷记“无形资产累计摊销”科目。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单位对新账的财务会计科目期初余额进行调整时，应当编制记账凭证，并将调整事项的确认依据作为原始凭证。</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黑体" w:eastAsia="黑体" w:hAnsi="黑体" w:cs="宋体" w:hint="eastAsia"/>
          <w:color w:val="000000"/>
          <w:kern w:val="0"/>
          <w:sz w:val="32"/>
          <w:szCs w:val="32"/>
        </w:rPr>
        <w:t>三、预算会计科目的新旧衔接</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（一）“财政拨款结转”和“财政拨款结余”科目及对应的“资金结存”科目余额</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财政拨款结转”、“财政拨款结余”科目及对应的“资金结存”科目。在新旧制度转换时，单位按照新制度规定将原账其他应收款中的预付款项计入预算支出的，应当对原账的“财政拨款结转”科目余额进行逐项分析，按照减去已经支付财政资金尚未计入预算支出（如其他应收款中的预付款项等）的金额后的差额，登记新账的“财政拨款结转”科目及其明细科目贷方；按照原账的“财政拨款结余”科目余额，登记新账的“财政拨款结余”科目及其明细科目贷方。</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单位应当按照原账的“财政应返还额度”科目余额登记新账的“资金结存——财政应返还额度”科目借方；按照新账的“财政拨款结转”和“财政拨款结余”科目贷方余额合计数，减去新账的“资金结存——财政应返还额度”科目借方余额后的差额，登记新账的“资金结存——货币资金”科目的借方。</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（二）“非财政拨款结转”科目及对应的“资金结存”科目余额</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非财政拨款结转”科目及对应的“资金结存”科目。在新旧制度转换时，单位按照新制度规定将原账其他应收款中的预付款项计入预算支出的，应当对原账的“其他资金结转结余——项目结转”科目余额进行逐项分析，按照减去已经支付非财政拨款专项资金尚未计入预算支出（如其他应收款中的预付款项等）的金额后的差额，登记新账的“非财政拨款结转”科目及其明细科目贷方；同时，按照相同的金额登记新账的“资金结存——货币资金”科目借方。</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（三）“非财政拨款结余”科目及对应的“资金结存”科目余额</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登记“非财政拨款结余”科目余额</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新制度设置了“非财政拨款结余”科目及对应的“资金结存”科目。在新旧制度转换时，单位应当按照原账的</w:t>
      </w:r>
      <w:r w:rsidRPr="00334370">
        <w:rPr>
          <w:rFonts w:ascii="仿宋_GB2312" w:eastAsia="仿宋_GB2312" w:hAnsi="宋体" w:cs="宋体" w:hint="eastAsia"/>
          <w:color w:val="000000"/>
          <w:kern w:val="0"/>
          <w:sz w:val="32"/>
          <w:szCs w:val="32"/>
        </w:rPr>
        <w:lastRenderedPageBreak/>
        <w:t>“其他资金结转结余——非项目结余”科目余额，借记新账的“资金结存——货币资金”科目，贷记新账的“非财政拨款结余”科目。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对新账“非财政拨款结余”科目及“资金结存”科目余额进行调整</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按照新制度规定将原账其他应收款中的预付款项计入预算支出的，应当对原账的“其他应收款”科目余额进行分析，区分其中预付款项的金额（将来很可能列支）和非预付款项的金额，并对预付款项的金额划分为财政拨款资金预付的金额、非财政拨款专项资金预付的金额和非财政拨款非专项资金预付的金额，按照非财政拨款非专项资金预付的金额，借记新账的“非财政拨款结余”科目，贷记新账的“资金结存——货币资金”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（四）预算收入类、预算支出类会计科目</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由于预算收入类、预算支出类会计科目年初无余额，在新旧制度转换时，单位无需对预算收入类、预算支出类会计科目进行新账年初余额登记。</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单位应当自</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日起，按照新制度设置预算收入类、预算支出类科目并进行账务处理。</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单位存在</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日前需要按照新制度预算会计核算基础调整预算会计科目期初余额的其他事项的，应当比照本规定调整新账的相应预算会计科目期初余额。</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lastRenderedPageBreak/>
        <w:t>单位对预算会计科目的期初余额登记和调整，应当编制记账凭证，并将期初余额登记和调整的依据作为原始凭证。</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黑体" w:eastAsia="黑体" w:hAnsi="黑体" w:cs="宋体" w:hint="eastAsia"/>
          <w:color w:val="000000"/>
          <w:kern w:val="0"/>
          <w:sz w:val="32"/>
          <w:szCs w:val="32"/>
        </w:rPr>
        <w:t>四、财务报表和预算会计报表的新旧衔接</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（一）编制</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日资产负债表</w:t>
      </w:r>
    </w:p>
    <w:p w:rsidR="00334370" w:rsidRPr="00334370" w:rsidRDefault="00334370" w:rsidP="00334370">
      <w:pPr>
        <w:widowControl/>
        <w:shd w:val="clear" w:color="auto" w:fill="FFFFFF"/>
        <w:ind w:firstLine="420"/>
        <w:jc w:val="left"/>
        <w:rPr>
          <w:rFonts w:ascii="宋体" w:eastAsia="宋体" w:hAnsi="宋体" w:cs="宋体" w:hint="eastAsia"/>
          <w:color w:val="000000"/>
          <w:kern w:val="0"/>
          <w:szCs w:val="21"/>
        </w:rPr>
      </w:pPr>
      <w:r w:rsidRPr="00334370">
        <w:rPr>
          <w:rFonts w:ascii="Times New Roman" w:eastAsia="宋体" w:hAnsi="Times New Roman" w:cs="Times New Roman"/>
          <w:color w:val="000000"/>
          <w:kern w:val="0"/>
          <w:sz w:val="32"/>
          <w:szCs w:val="32"/>
        </w:rPr>
        <w:t> </w:t>
      </w:r>
      <w:r w:rsidRPr="00334370">
        <w:rPr>
          <w:rFonts w:ascii="仿宋_GB2312" w:eastAsia="仿宋_GB2312" w:hAnsi="宋体" w:cs="宋体" w:hint="eastAsia"/>
          <w:color w:val="000000"/>
          <w:kern w:val="0"/>
          <w:sz w:val="32"/>
          <w:szCs w:val="32"/>
        </w:rPr>
        <w:t>单位应当根据</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日新账的财务会计科目余额，按照新制度编制</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日资产负债表（仅要求填列各项目“年初余额”）。</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（二）</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年度财务报表和预算会计报表的编制</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单位应当按照新制度规定编制</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年财务报表和预算会计报表。在编制</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年度收入费用表、净资产变动表、现金流量表和预算收入支出表、预算结转结余变动表时，不要求填列上年比较数。</w:t>
      </w:r>
    </w:p>
    <w:p w:rsidR="00334370" w:rsidRPr="00334370" w:rsidRDefault="00334370" w:rsidP="00334370">
      <w:pPr>
        <w:widowControl/>
        <w:shd w:val="clear" w:color="auto" w:fill="FFFFFF"/>
        <w:ind w:firstLine="707"/>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单位应当根据</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日新账财务会计科目余额，填列</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年净资产变动表各项目的“上年年末余额”；根据</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日新账预算会计科目余额，填列</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年预算结转结余变动表的“年初预算结转结余”项目和财政拨款预算收入支出表的“年初财政拨款结转结余”项目。</w:t>
      </w:r>
    </w:p>
    <w:p w:rsidR="00334370" w:rsidRPr="00334370" w:rsidRDefault="00334370" w:rsidP="00334370">
      <w:pPr>
        <w:widowControl/>
        <w:shd w:val="clear" w:color="auto" w:fill="FFFFFF"/>
        <w:ind w:firstLine="640"/>
        <w:jc w:val="left"/>
        <w:rPr>
          <w:rFonts w:ascii="宋体" w:eastAsia="宋体" w:hAnsi="宋体" w:cs="宋体" w:hint="eastAsia"/>
          <w:color w:val="000000"/>
          <w:kern w:val="0"/>
          <w:szCs w:val="21"/>
        </w:rPr>
      </w:pPr>
      <w:r w:rsidRPr="00334370">
        <w:rPr>
          <w:rFonts w:ascii="黑体" w:eastAsia="黑体" w:hAnsi="黑体" w:cs="宋体" w:hint="eastAsia"/>
          <w:color w:val="000000"/>
          <w:kern w:val="0"/>
          <w:sz w:val="32"/>
          <w:szCs w:val="32"/>
        </w:rPr>
        <w:t>五、其他事项</w:t>
      </w:r>
    </w:p>
    <w:p w:rsidR="00334370" w:rsidRPr="00334370" w:rsidRDefault="00334370" w:rsidP="00334370">
      <w:pPr>
        <w:widowControl/>
        <w:shd w:val="clear" w:color="auto" w:fill="FFFFFF"/>
        <w:ind w:firstLine="566"/>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（一）截至</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日尚未进行基建“并账”的单位，应当首先参照《新旧行政单位会计制度有关衔接</w:t>
      </w:r>
      <w:r w:rsidRPr="00334370">
        <w:rPr>
          <w:rFonts w:ascii="仿宋_GB2312" w:eastAsia="仿宋_GB2312" w:hAnsi="宋体" w:cs="宋体" w:hint="eastAsia"/>
          <w:color w:val="000000"/>
          <w:kern w:val="0"/>
          <w:sz w:val="32"/>
          <w:szCs w:val="32"/>
        </w:rPr>
        <w:lastRenderedPageBreak/>
        <w:t>问题的处理规定》（财库〔</w:t>
      </w:r>
      <w:r w:rsidRPr="00334370">
        <w:rPr>
          <w:rFonts w:ascii="Times New Roman" w:eastAsia="宋体" w:hAnsi="Times New Roman" w:cs="Times New Roman"/>
          <w:color w:val="000000"/>
          <w:kern w:val="0"/>
          <w:sz w:val="32"/>
          <w:szCs w:val="32"/>
        </w:rPr>
        <w:t>2013</w:t>
      </w:r>
      <w:r w:rsidRPr="00334370">
        <w:rPr>
          <w:rFonts w:ascii="仿宋_GB2312" w:eastAsia="仿宋_GB2312" w:hAnsi="宋体" w:cs="宋体" w:hint="eastAsia"/>
          <w:color w:val="000000"/>
          <w:kern w:val="0"/>
          <w:sz w:val="32"/>
          <w:szCs w:val="32"/>
        </w:rPr>
        <w:t>〕</w:t>
      </w:r>
      <w:r w:rsidRPr="00334370">
        <w:rPr>
          <w:rFonts w:ascii="Times New Roman" w:eastAsia="宋体" w:hAnsi="Times New Roman" w:cs="Times New Roman"/>
          <w:color w:val="000000"/>
          <w:kern w:val="0"/>
          <w:sz w:val="32"/>
          <w:szCs w:val="32"/>
        </w:rPr>
        <w:t>219</w:t>
      </w:r>
      <w:r w:rsidRPr="00334370">
        <w:rPr>
          <w:rFonts w:ascii="仿宋_GB2312" w:eastAsia="仿宋_GB2312" w:hAnsi="宋体" w:cs="宋体" w:hint="eastAsia"/>
          <w:color w:val="000000"/>
          <w:kern w:val="0"/>
          <w:sz w:val="32"/>
          <w:szCs w:val="32"/>
        </w:rPr>
        <w:t>号），将基建账套相关数据并入</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日原账中的相关科目余额，再按照本规定将</w:t>
      </w:r>
      <w:r w:rsidRPr="00334370">
        <w:rPr>
          <w:rFonts w:ascii="Times New Roman" w:eastAsia="宋体" w:hAnsi="Times New Roman" w:cs="Times New Roman"/>
          <w:color w:val="000000"/>
          <w:kern w:val="0"/>
          <w:sz w:val="32"/>
          <w:szCs w:val="32"/>
        </w:rPr>
        <w:t>2018</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12</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31</w:t>
      </w:r>
      <w:r w:rsidRPr="00334370">
        <w:rPr>
          <w:rFonts w:ascii="仿宋_GB2312" w:eastAsia="仿宋_GB2312" w:hAnsi="宋体" w:cs="宋体" w:hint="eastAsia"/>
          <w:color w:val="000000"/>
          <w:kern w:val="0"/>
          <w:sz w:val="32"/>
          <w:szCs w:val="32"/>
        </w:rPr>
        <w:t>日原账相关会计科目余额转入新账相应科目。</w:t>
      </w:r>
    </w:p>
    <w:p w:rsidR="00334370" w:rsidRPr="00334370" w:rsidRDefault="00334370" w:rsidP="00334370">
      <w:pPr>
        <w:widowControl/>
        <w:shd w:val="clear" w:color="auto" w:fill="FFFFFF"/>
        <w:ind w:firstLine="566"/>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（二）</w:t>
      </w:r>
      <w:r w:rsidRPr="00334370">
        <w:rPr>
          <w:rFonts w:ascii="Times New Roman" w:eastAsia="宋体" w:hAnsi="Times New Roman" w:cs="Times New Roman"/>
          <w:color w:val="000000"/>
          <w:kern w:val="0"/>
          <w:sz w:val="32"/>
          <w:szCs w:val="32"/>
        </w:rPr>
        <w:t>2019</w:t>
      </w:r>
      <w:r w:rsidRPr="00334370">
        <w:rPr>
          <w:rFonts w:ascii="仿宋_GB2312" w:eastAsia="仿宋_GB2312" w:hAnsi="宋体" w:cs="宋体" w:hint="eastAsia"/>
          <w:color w:val="000000"/>
          <w:kern w:val="0"/>
          <w:sz w:val="32"/>
          <w:szCs w:val="32"/>
        </w:rPr>
        <w:t>年</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月</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日前执行新制度的单位，应当参照本规定做好新旧制度衔接工作。</w:t>
      </w:r>
      <w:r w:rsidRPr="00334370">
        <w:rPr>
          <w:rFonts w:ascii="Times New Roman" w:eastAsia="宋体" w:hAnsi="Times New Roman" w:cs="Times New Roman"/>
          <w:color w:val="000000"/>
          <w:kern w:val="0"/>
          <w:sz w:val="32"/>
          <w:szCs w:val="32"/>
        </w:rPr>
        <w:br w:type="textWrapping" w:clear="all"/>
      </w:r>
    </w:p>
    <w:p w:rsidR="00334370" w:rsidRPr="00334370" w:rsidRDefault="00334370" w:rsidP="00334370">
      <w:pPr>
        <w:widowControl/>
        <w:shd w:val="clear" w:color="auto" w:fill="FFFFFF"/>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附表</w:t>
      </w:r>
      <w:r w:rsidRPr="00334370">
        <w:rPr>
          <w:rFonts w:ascii="Times New Roman" w:eastAsia="宋体" w:hAnsi="Times New Roman" w:cs="Times New Roman"/>
          <w:color w:val="000000"/>
          <w:kern w:val="0"/>
          <w:sz w:val="32"/>
          <w:szCs w:val="32"/>
        </w:rPr>
        <w:t>1</w:t>
      </w:r>
      <w:r w:rsidRPr="00334370">
        <w:rPr>
          <w:rFonts w:ascii="仿宋_GB2312" w:eastAsia="仿宋_GB2312" w:hAnsi="宋体" w:cs="宋体" w:hint="eastAsia"/>
          <w:color w:val="000000"/>
          <w:kern w:val="0"/>
          <w:sz w:val="32"/>
          <w:szCs w:val="32"/>
        </w:rPr>
        <w:t>：</w:t>
      </w:r>
    </w:p>
    <w:p w:rsidR="00334370" w:rsidRPr="00334370" w:rsidRDefault="00334370" w:rsidP="00334370">
      <w:pPr>
        <w:widowControl/>
        <w:shd w:val="clear" w:color="auto" w:fill="FFFFFF"/>
        <w:ind w:firstLine="420"/>
        <w:jc w:val="center"/>
        <w:rPr>
          <w:rFonts w:ascii="宋体" w:eastAsia="宋体" w:hAnsi="宋体" w:cs="宋体" w:hint="eastAsia"/>
          <w:color w:val="000000"/>
          <w:kern w:val="0"/>
          <w:szCs w:val="21"/>
        </w:rPr>
      </w:pPr>
      <w:r w:rsidRPr="00334370">
        <w:rPr>
          <w:rFonts w:ascii="仿宋_GB2312" w:eastAsia="仿宋_GB2312" w:hAnsi="宋体" w:cs="宋体" w:hint="eastAsia"/>
          <w:b/>
          <w:bCs/>
          <w:color w:val="000000"/>
          <w:kern w:val="0"/>
          <w:sz w:val="32"/>
          <w:szCs w:val="32"/>
        </w:rPr>
        <w:t>行政单位原会计科目余额明细表一</w:t>
      </w:r>
    </w:p>
    <w:tbl>
      <w:tblPr>
        <w:tblW w:w="8610" w:type="dxa"/>
        <w:shd w:val="clear" w:color="auto" w:fill="FFFFFF"/>
        <w:tblCellMar>
          <w:left w:w="0" w:type="dxa"/>
          <w:right w:w="0" w:type="dxa"/>
        </w:tblCellMar>
        <w:tblLook w:val="04A0" w:firstRow="1" w:lastRow="0" w:firstColumn="1" w:lastColumn="0" w:noHBand="0" w:noVBand="1"/>
      </w:tblPr>
      <w:tblGrid>
        <w:gridCol w:w="1667"/>
        <w:gridCol w:w="3401"/>
        <w:gridCol w:w="708"/>
        <w:gridCol w:w="2834"/>
      </w:tblGrid>
      <w:tr w:rsidR="00334370" w:rsidRPr="00334370" w:rsidTr="0033437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hint="eastAsia"/>
                <w:color w:val="000000"/>
                <w:kern w:val="0"/>
                <w:sz w:val="24"/>
                <w:szCs w:val="24"/>
              </w:rPr>
            </w:pPr>
            <w:r w:rsidRPr="00334370">
              <w:rPr>
                <w:rFonts w:ascii="仿宋_GB2312" w:eastAsia="仿宋_GB2312" w:hAnsi="宋体" w:cs="宋体" w:hint="eastAsia"/>
                <w:color w:val="000000"/>
                <w:kern w:val="0"/>
                <w:sz w:val="24"/>
                <w:szCs w:val="24"/>
              </w:rPr>
              <w:t>总账科目</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明细分类</w:t>
            </w:r>
          </w:p>
        </w:tc>
        <w:tc>
          <w:tcPr>
            <w:tcW w:w="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金额</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备注</w:t>
            </w:r>
          </w:p>
        </w:tc>
      </w:tr>
      <w:tr w:rsidR="00334370" w:rsidRPr="00334370" w:rsidTr="00334370">
        <w:trPr>
          <w:trHeight w:val="278"/>
        </w:trPr>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库存现金</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库存现金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7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其中：受托代理现金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银行存款</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银行存款</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其中：受托代理银行存款</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1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其他货币资金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其他应收款</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在途物资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已经付款，尚未收到物资</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其他</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存货</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在加工存货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非在加工存货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政府储备物资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固定资产</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固定资产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公共基础设施</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政府储备物资</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文物文化资产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保障性住房</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累计折旧</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固定资产累计折旧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公共基础设施累计折旧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保障性住房累计折旧</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在建工程</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在建工程</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285"/>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工程物资</w:t>
            </w:r>
          </w:p>
        </w:tc>
        <w:tc>
          <w:tcPr>
            <w:tcW w:w="708"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rPr>
          <w:trHeight w:val="33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预付工程款、预付备料款</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应缴税费</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应交增值税</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其他应交税费</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16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应付账款</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应付质量保证金</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购置固定资产、完成在建工程等扣留的质量保证金</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其他</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bl>
    <w:p w:rsidR="00334370" w:rsidRPr="00334370" w:rsidRDefault="00334370" w:rsidP="00334370">
      <w:pPr>
        <w:widowControl/>
        <w:shd w:val="clear" w:color="auto" w:fill="FFFFFF"/>
        <w:jc w:val="left"/>
        <w:rPr>
          <w:rFonts w:ascii="宋体" w:eastAsia="宋体" w:hAnsi="宋体" w:cs="宋体"/>
          <w:color w:val="000000"/>
          <w:kern w:val="0"/>
          <w:szCs w:val="21"/>
        </w:rPr>
      </w:pPr>
      <w:r w:rsidRPr="00334370">
        <w:rPr>
          <w:rFonts w:ascii="Times New Roman" w:eastAsia="宋体" w:hAnsi="Times New Roman" w:cs="Times New Roman"/>
          <w:color w:val="000000"/>
          <w:kern w:val="0"/>
          <w:sz w:val="32"/>
          <w:szCs w:val="32"/>
        </w:rPr>
        <w:t> </w:t>
      </w:r>
    </w:p>
    <w:p w:rsidR="00334370" w:rsidRPr="00334370" w:rsidRDefault="00334370" w:rsidP="00334370">
      <w:pPr>
        <w:widowControl/>
        <w:jc w:val="left"/>
        <w:rPr>
          <w:rFonts w:ascii="宋体" w:eastAsia="宋体" w:hAnsi="宋体" w:cs="宋体" w:hint="eastAsia"/>
          <w:kern w:val="0"/>
          <w:sz w:val="24"/>
          <w:szCs w:val="24"/>
        </w:rPr>
      </w:pPr>
      <w:r w:rsidRPr="00334370">
        <w:rPr>
          <w:rFonts w:ascii="Times New Roman" w:eastAsia="宋体" w:hAnsi="Times New Roman" w:cs="Times New Roman"/>
          <w:color w:val="000000"/>
          <w:kern w:val="0"/>
          <w:sz w:val="32"/>
          <w:szCs w:val="32"/>
          <w:shd w:val="clear" w:color="auto" w:fill="FFFFFF"/>
        </w:rPr>
        <w:br w:type="textWrapping" w:clear="all"/>
      </w:r>
    </w:p>
    <w:p w:rsidR="00334370" w:rsidRPr="00334370" w:rsidRDefault="00334370" w:rsidP="00334370">
      <w:pPr>
        <w:widowControl/>
        <w:shd w:val="clear" w:color="auto" w:fill="FFFFFF"/>
        <w:jc w:val="left"/>
        <w:rPr>
          <w:rFonts w:ascii="宋体" w:eastAsia="宋体" w:hAnsi="宋体" w:cs="宋体"/>
          <w:color w:val="000000"/>
          <w:kern w:val="0"/>
          <w:szCs w:val="21"/>
        </w:rPr>
      </w:pPr>
      <w:r w:rsidRPr="00334370">
        <w:rPr>
          <w:rFonts w:ascii="Times New Roman" w:eastAsia="宋体" w:hAnsi="Times New Roman" w:cs="Times New Roman"/>
          <w:color w:val="000000"/>
          <w:kern w:val="0"/>
          <w:sz w:val="32"/>
          <w:szCs w:val="32"/>
        </w:rPr>
        <w:t> </w:t>
      </w:r>
    </w:p>
    <w:p w:rsidR="00334370" w:rsidRPr="00334370" w:rsidRDefault="00334370" w:rsidP="00334370">
      <w:pPr>
        <w:widowControl/>
        <w:shd w:val="clear" w:color="auto" w:fill="FFFFFF"/>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附表</w:t>
      </w:r>
      <w:r w:rsidRPr="00334370">
        <w:rPr>
          <w:rFonts w:ascii="Times New Roman" w:eastAsia="宋体" w:hAnsi="Times New Roman" w:cs="Times New Roman"/>
          <w:color w:val="000000"/>
          <w:kern w:val="0"/>
          <w:sz w:val="32"/>
          <w:szCs w:val="32"/>
        </w:rPr>
        <w:t>2</w:t>
      </w:r>
      <w:r w:rsidRPr="00334370">
        <w:rPr>
          <w:rFonts w:ascii="仿宋_GB2312" w:eastAsia="仿宋_GB2312" w:hAnsi="宋体" w:cs="宋体" w:hint="eastAsia"/>
          <w:color w:val="000000"/>
          <w:kern w:val="0"/>
          <w:sz w:val="32"/>
          <w:szCs w:val="32"/>
        </w:rPr>
        <w:t>：</w:t>
      </w:r>
    </w:p>
    <w:p w:rsidR="00334370" w:rsidRPr="00334370" w:rsidRDefault="00334370" w:rsidP="00334370">
      <w:pPr>
        <w:widowControl/>
        <w:shd w:val="clear" w:color="auto" w:fill="FFFFFF"/>
        <w:ind w:firstLine="420"/>
        <w:jc w:val="center"/>
        <w:rPr>
          <w:rFonts w:ascii="宋体" w:eastAsia="宋体" w:hAnsi="宋体" w:cs="宋体" w:hint="eastAsia"/>
          <w:color w:val="000000"/>
          <w:kern w:val="0"/>
          <w:szCs w:val="21"/>
        </w:rPr>
      </w:pPr>
      <w:r w:rsidRPr="00334370">
        <w:rPr>
          <w:rFonts w:ascii="仿宋_GB2312" w:eastAsia="仿宋_GB2312" w:hAnsi="宋体" w:cs="宋体" w:hint="eastAsia"/>
          <w:b/>
          <w:bCs/>
          <w:color w:val="000000"/>
          <w:kern w:val="0"/>
          <w:sz w:val="32"/>
          <w:szCs w:val="32"/>
        </w:rPr>
        <w:t>行政单位原会计科目余额明细表二</w:t>
      </w:r>
    </w:p>
    <w:tbl>
      <w:tblPr>
        <w:tblW w:w="8610" w:type="dxa"/>
        <w:shd w:val="clear" w:color="auto" w:fill="FFFFFF"/>
        <w:tblCellMar>
          <w:left w:w="0" w:type="dxa"/>
          <w:right w:w="0" w:type="dxa"/>
        </w:tblCellMar>
        <w:tblLook w:val="04A0" w:firstRow="1" w:lastRow="0" w:firstColumn="1" w:lastColumn="0" w:noHBand="0" w:noVBand="1"/>
      </w:tblPr>
      <w:tblGrid>
        <w:gridCol w:w="1525"/>
        <w:gridCol w:w="3826"/>
        <w:gridCol w:w="851"/>
        <w:gridCol w:w="2408"/>
      </w:tblGrid>
      <w:tr w:rsidR="00334370" w:rsidRPr="00334370" w:rsidTr="00334370">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hint="eastAsia"/>
                <w:color w:val="000000"/>
                <w:kern w:val="0"/>
                <w:sz w:val="24"/>
                <w:szCs w:val="24"/>
              </w:rPr>
            </w:pPr>
            <w:r w:rsidRPr="00334370">
              <w:rPr>
                <w:rFonts w:ascii="仿宋_GB2312" w:eastAsia="仿宋_GB2312" w:hAnsi="宋体" w:cs="宋体" w:hint="eastAsia"/>
                <w:color w:val="000000"/>
                <w:kern w:val="0"/>
                <w:sz w:val="24"/>
                <w:szCs w:val="24"/>
              </w:rPr>
              <w:t>总账科目</w:t>
            </w:r>
          </w:p>
        </w:tc>
        <w:tc>
          <w:tcPr>
            <w:tcW w:w="38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明细分类</w:t>
            </w:r>
          </w:p>
        </w:tc>
        <w:tc>
          <w:tcPr>
            <w:tcW w:w="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金额</w:t>
            </w:r>
          </w:p>
        </w:tc>
        <w:tc>
          <w:tcPr>
            <w:tcW w:w="24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备注</w:t>
            </w:r>
          </w:p>
        </w:tc>
      </w:tr>
      <w:tr w:rsidR="00334370" w:rsidRPr="00334370" w:rsidTr="00334370">
        <w:tc>
          <w:tcPr>
            <w:tcW w:w="1526"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其他应收款</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预付款项</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如职工预借的差旅费等</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其中：财政拨款资金预付</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r w:rsidRPr="00334370">
              <w:rPr>
                <w:rFonts w:ascii="仿宋_GB2312" w:eastAsia="仿宋_GB2312" w:hAnsi="宋体" w:cs="宋体" w:hint="eastAsia"/>
                <w:color w:val="000000"/>
                <w:kern w:val="0"/>
                <w:sz w:val="24"/>
                <w:szCs w:val="24"/>
              </w:rPr>
              <w:t>非财政拨款专项资金预付</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r w:rsidRPr="00334370">
              <w:rPr>
                <w:rFonts w:ascii="仿宋_GB2312" w:eastAsia="仿宋_GB2312" w:hAnsi="宋体" w:cs="宋体" w:hint="eastAsia"/>
                <w:color w:val="000000"/>
                <w:kern w:val="0"/>
                <w:sz w:val="24"/>
                <w:szCs w:val="24"/>
              </w:rPr>
              <w:t>非财政拨款非专项资金预付</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r>
      <w:tr w:rsidR="00334370" w:rsidRPr="00334370" w:rsidTr="00334370">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需要收回及其他</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4"/>
                <w:szCs w:val="24"/>
              </w:rPr>
              <w:t> </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4"/>
                <w:szCs w:val="24"/>
              </w:rPr>
              <w:t>如支付的押金、应收为职工垫付的款项等</w:t>
            </w:r>
          </w:p>
        </w:tc>
      </w:tr>
    </w:tbl>
    <w:p w:rsidR="00334370" w:rsidRPr="00334370" w:rsidRDefault="00334370" w:rsidP="00334370">
      <w:pPr>
        <w:widowControl/>
        <w:shd w:val="clear" w:color="auto" w:fill="FFFFFF"/>
        <w:jc w:val="left"/>
        <w:rPr>
          <w:rFonts w:ascii="宋体" w:eastAsia="宋体" w:hAnsi="宋体" w:cs="宋体"/>
          <w:color w:val="000000"/>
          <w:kern w:val="0"/>
          <w:szCs w:val="21"/>
        </w:rPr>
      </w:pPr>
      <w:r w:rsidRPr="00334370">
        <w:rPr>
          <w:rFonts w:ascii="Times New Roman" w:eastAsia="宋体" w:hAnsi="Times New Roman" w:cs="Times New Roman"/>
          <w:color w:val="000000"/>
          <w:kern w:val="0"/>
          <w:sz w:val="32"/>
          <w:szCs w:val="32"/>
        </w:rPr>
        <w:t> </w:t>
      </w:r>
    </w:p>
    <w:p w:rsidR="00334370" w:rsidRPr="00334370" w:rsidRDefault="00334370" w:rsidP="00334370">
      <w:pPr>
        <w:widowControl/>
        <w:jc w:val="left"/>
        <w:rPr>
          <w:rFonts w:ascii="宋体" w:eastAsia="宋体" w:hAnsi="宋体" w:cs="宋体" w:hint="eastAsia"/>
          <w:kern w:val="0"/>
          <w:sz w:val="24"/>
          <w:szCs w:val="24"/>
        </w:rPr>
      </w:pPr>
      <w:r w:rsidRPr="00334370">
        <w:rPr>
          <w:rFonts w:ascii="Times New Roman" w:eastAsia="宋体" w:hAnsi="Times New Roman" w:cs="Times New Roman"/>
          <w:color w:val="000000"/>
          <w:kern w:val="0"/>
          <w:sz w:val="32"/>
          <w:szCs w:val="32"/>
          <w:shd w:val="clear" w:color="auto" w:fill="FFFFFF"/>
        </w:rPr>
        <w:br w:type="textWrapping" w:clear="all"/>
      </w:r>
    </w:p>
    <w:p w:rsidR="00334370" w:rsidRPr="00334370" w:rsidRDefault="00334370" w:rsidP="00334370">
      <w:pPr>
        <w:widowControl/>
        <w:shd w:val="clear" w:color="auto" w:fill="FFFFFF"/>
        <w:jc w:val="left"/>
        <w:rPr>
          <w:rFonts w:ascii="宋体" w:eastAsia="宋体" w:hAnsi="宋体" w:cs="宋体"/>
          <w:color w:val="000000"/>
          <w:kern w:val="0"/>
          <w:szCs w:val="21"/>
        </w:rPr>
      </w:pPr>
      <w:r w:rsidRPr="00334370">
        <w:rPr>
          <w:rFonts w:ascii="Times New Roman" w:eastAsia="宋体" w:hAnsi="Times New Roman" w:cs="Times New Roman"/>
          <w:color w:val="000000"/>
          <w:kern w:val="0"/>
          <w:sz w:val="32"/>
          <w:szCs w:val="32"/>
        </w:rPr>
        <w:t> </w:t>
      </w:r>
    </w:p>
    <w:p w:rsidR="00334370" w:rsidRPr="00334370" w:rsidRDefault="00334370" w:rsidP="00334370">
      <w:pPr>
        <w:widowControl/>
        <w:shd w:val="clear" w:color="auto" w:fill="FFFFFF"/>
        <w:jc w:val="left"/>
        <w:rPr>
          <w:rFonts w:ascii="宋体" w:eastAsia="宋体" w:hAnsi="宋体" w:cs="宋体" w:hint="eastAsia"/>
          <w:color w:val="000000"/>
          <w:kern w:val="0"/>
          <w:szCs w:val="21"/>
        </w:rPr>
      </w:pPr>
      <w:r w:rsidRPr="00334370">
        <w:rPr>
          <w:rFonts w:ascii="仿宋_GB2312" w:eastAsia="仿宋_GB2312" w:hAnsi="宋体" w:cs="宋体" w:hint="eastAsia"/>
          <w:color w:val="000000"/>
          <w:kern w:val="0"/>
          <w:sz w:val="32"/>
          <w:szCs w:val="32"/>
        </w:rPr>
        <w:t>附表</w:t>
      </w:r>
      <w:r w:rsidRPr="00334370">
        <w:rPr>
          <w:rFonts w:ascii="Times New Roman" w:eastAsia="宋体" w:hAnsi="Times New Roman" w:cs="Times New Roman"/>
          <w:color w:val="000000"/>
          <w:kern w:val="0"/>
          <w:sz w:val="32"/>
          <w:szCs w:val="32"/>
        </w:rPr>
        <w:t>3</w:t>
      </w:r>
      <w:r w:rsidRPr="00334370">
        <w:rPr>
          <w:rFonts w:ascii="仿宋_GB2312" w:eastAsia="仿宋_GB2312" w:hAnsi="宋体" w:cs="宋体" w:hint="eastAsia"/>
          <w:color w:val="000000"/>
          <w:kern w:val="0"/>
          <w:sz w:val="32"/>
          <w:szCs w:val="32"/>
        </w:rPr>
        <w:t>：</w:t>
      </w:r>
    </w:p>
    <w:p w:rsidR="00334370" w:rsidRPr="00334370" w:rsidRDefault="00334370" w:rsidP="00334370">
      <w:pPr>
        <w:widowControl/>
        <w:shd w:val="clear" w:color="auto" w:fill="FFFFFF"/>
        <w:jc w:val="center"/>
        <w:rPr>
          <w:rFonts w:ascii="宋体" w:eastAsia="宋体" w:hAnsi="宋体" w:cs="宋体" w:hint="eastAsia"/>
          <w:color w:val="000000"/>
          <w:kern w:val="0"/>
          <w:szCs w:val="21"/>
        </w:rPr>
      </w:pPr>
      <w:r w:rsidRPr="00334370">
        <w:rPr>
          <w:rFonts w:ascii="仿宋_GB2312" w:eastAsia="仿宋_GB2312" w:hAnsi="宋体" w:cs="宋体" w:hint="eastAsia"/>
          <w:b/>
          <w:bCs/>
          <w:color w:val="000000"/>
          <w:kern w:val="0"/>
          <w:sz w:val="32"/>
          <w:szCs w:val="32"/>
        </w:rPr>
        <w:t>行政单位新旧会计制度转账、登记新账科目对照表</w:t>
      </w:r>
    </w:p>
    <w:tbl>
      <w:tblPr>
        <w:tblW w:w="8610" w:type="dxa"/>
        <w:shd w:val="clear" w:color="auto" w:fill="FFFFFF"/>
        <w:tblCellMar>
          <w:left w:w="0" w:type="dxa"/>
          <w:right w:w="0" w:type="dxa"/>
        </w:tblCellMar>
        <w:tblLook w:val="04A0" w:firstRow="1" w:lastRow="0" w:firstColumn="1" w:lastColumn="0" w:noHBand="0" w:noVBand="1"/>
      </w:tblPr>
      <w:tblGrid>
        <w:gridCol w:w="740"/>
        <w:gridCol w:w="1056"/>
        <w:gridCol w:w="2751"/>
        <w:gridCol w:w="1056"/>
        <w:gridCol w:w="3007"/>
      </w:tblGrid>
      <w:tr w:rsidR="00334370" w:rsidRPr="00334370" w:rsidTr="00334370">
        <w:tc>
          <w:tcPr>
            <w:tcW w:w="74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hint="eastAsia"/>
                <w:color w:val="000000"/>
                <w:kern w:val="0"/>
                <w:sz w:val="24"/>
                <w:szCs w:val="24"/>
              </w:rPr>
            </w:pPr>
            <w:r w:rsidRPr="00334370">
              <w:rPr>
                <w:rFonts w:ascii="仿宋_GB2312" w:eastAsia="仿宋_GB2312" w:hAnsi="宋体" w:cs="宋体" w:hint="eastAsia"/>
                <w:color w:val="000000"/>
                <w:kern w:val="0"/>
                <w:sz w:val="28"/>
                <w:szCs w:val="28"/>
              </w:rPr>
              <w:t>序号</w:t>
            </w:r>
          </w:p>
        </w:tc>
        <w:tc>
          <w:tcPr>
            <w:tcW w:w="380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ind w:left="-1682" w:firstLine="2243"/>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新制度科目</w:t>
            </w:r>
          </w:p>
        </w:tc>
        <w:tc>
          <w:tcPr>
            <w:tcW w:w="406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原制度科目</w:t>
            </w:r>
          </w:p>
        </w:tc>
      </w:tr>
      <w:tr w:rsidR="00334370" w:rsidRPr="00334370" w:rsidTr="00334370">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编号</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名</w:t>
            </w:r>
            <w:r w:rsidRPr="00334370">
              <w:rPr>
                <w:rFonts w:ascii="Times New Roman" w:eastAsia="宋体" w:hAnsi="Times New Roman" w:cs="Times New Roman"/>
                <w:color w:val="000000"/>
                <w:kern w:val="0"/>
                <w:sz w:val="28"/>
                <w:szCs w:val="28"/>
              </w:rPr>
              <w:t>  </w:t>
            </w:r>
            <w:r w:rsidRPr="00334370">
              <w:rPr>
                <w:rFonts w:ascii="仿宋_GB2312" w:eastAsia="仿宋_GB2312" w:hAnsi="宋体" w:cs="宋体" w:hint="eastAsia"/>
                <w:color w:val="000000"/>
                <w:kern w:val="0"/>
                <w:sz w:val="28"/>
                <w:szCs w:val="28"/>
              </w:rPr>
              <w:t>称</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编号</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名</w:t>
            </w:r>
            <w:r w:rsidRPr="00334370">
              <w:rPr>
                <w:rFonts w:ascii="Times New Roman" w:eastAsia="宋体" w:hAnsi="Times New Roman" w:cs="Times New Roman"/>
                <w:color w:val="000000"/>
                <w:kern w:val="0"/>
                <w:sz w:val="28"/>
                <w:szCs w:val="28"/>
              </w:rPr>
              <w:t>  </w:t>
            </w:r>
            <w:r w:rsidRPr="00334370">
              <w:rPr>
                <w:rFonts w:ascii="仿宋_GB2312" w:eastAsia="仿宋_GB2312" w:hAnsi="宋体" w:cs="宋体" w:hint="eastAsia"/>
                <w:color w:val="000000"/>
                <w:kern w:val="0"/>
                <w:sz w:val="28"/>
                <w:szCs w:val="28"/>
              </w:rPr>
              <w:t>称</w:t>
            </w:r>
          </w:p>
        </w:tc>
      </w:tr>
      <w:tr w:rsidR="00334370" w:rsidRPr="00334370" w:rsidTr="00334370">
        <w:tc>
          <w:tcPr>
            <w:tcW w:w="861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一、资产类</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１</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库存现金</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库存现金</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lastRenderedPageBreak/>
              <w:t>２</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银行存款</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1002</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银行存款</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３</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1021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其他货币资金</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1011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零余额账户用款额度</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1011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零余额账户用款额度</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财政应返还额度</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1021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财政应返还额度</w:t>
            </w:r>
          </w:p>
        </w:tc>
      </w:tr>
      <w:tr w:rsidR="00334370" w:rsidRPr="00334370" w:rsidTr="00334370">
        <w:trPr>
          <w:trHeight w:val="538"/>
        </w:trPr>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6</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1212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应收账款</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1212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应收账款</w:t>
            </w:r>
          </w:p>
        </w:tc>
      </w:tr>
      <w:tr w:rsidR="00334370" w:rsidRPr="00334370" w:rsidTr="00334370">
        <w:trPr>
          <w:trHeight w:val="585"/>
        </w:trPr>
        <w:tc>
          <w:tcPr>
            <w:tcW w:w="74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7</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1214</w:t>
            </w:r>
          </w:p>
        </w:tc>
        <w:tc>
          <w:tcPr>
            <w:tcW w:w="275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预付账款</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1213</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预付账款</w:t>
            </w:r>
          </w:p>
        </w:tc>
      </w:tr>
      <w:tr w:rsidR="00334370" w:rsidRPr="00334370" w:rsidTr="00334370">
        <w:trPr>
          <w:trHeight w:val="6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1511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在建工程</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8</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1218</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其他应收款</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1215</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其他应收款</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9</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1301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在途物品</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1302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库存物品</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1301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存货</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1303</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加工物品</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1811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政府储备物资</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rPr>
          <w:trHeight w:val="503"/>
        </w:trPr>
        <w:tc>
          <w:tcPr>
            <w:tcW w:w="74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固定资产</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1501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固定资产</w:t>
            </w:r>
          </w:p>
        </w:tc>
      </w:tr>
      <w:tr w:rsidR="00334370" w:rsidRPr="00334370" w:rsidTr="00334370">
        <w:trPr>
          <w:trHeight w:val="11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公共基础设施</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1811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政府储备物资</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rPr>
          <w:trHeight w:val="315"/>
        </w:trPr>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1821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文物文化资产</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rPr>
          <w:trHeight w:val="572"/>
        </w:trPr>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1831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保障性住房</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固定资产累计折旧</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1502</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累计折旧</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17</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公共基础设施累计折旧（摊销）</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1832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保障性住房累计折旧</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lastRenderedPageBreak/>
              <w:t>19</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1611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工程物资</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1511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在建工程</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1613</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在建工程</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1701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无形资产</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无形资产</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1702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无形资产累计摊销</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1602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累计摊销</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公共基础设施</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公共基础设施</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1811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政府储备物资</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政府储备物资</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1891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受托代理资产</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1901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受托代理资产</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26</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1902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待处理财产损溢</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1701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待处理财产损溢</w:t>
            </w:r>
          </w:p>
        </w:tc>
      </w:tr>
      <w:tr w:rsidR="00334370" w:rsidRPr="00334370" w:rsidTr="00334370">
        <w:tc>
          <w:tcPr>
            <w:tcW w:w="861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二、负债类</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27</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2103</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应缴财政款</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应缴财政款</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28</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2101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应交增值税</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2101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应缴税费</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29</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2102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其他应交税费</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2201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应付职工薪酬</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2201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应付职工薪酬</w:t>
            </w:r>
          </w:p>
        </w:tc>
      </w:tr>
      <w:tr w:rsidR="00334370" w:rsidRPr="00334370" w:rsidTr="00334370">
        <w:tc>
          <w:tcPr>
            <w:tcW w:w="74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应付账款</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应付账款</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2307</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其他应付款</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2303</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应付政府补贴款</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应付政府补贴款</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2307</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其他应付款</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2305</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其他应付款</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2502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长期应付款</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2401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长期应付款</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2901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受托代理负债</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2901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受托代理负债</w:t>
            </w:r>
          </w:p>
        </w:tc>
      </w:tr>
      <w:tr w:rsidR="00334370" w:rsidRPr="00334370" w:rsidTr="00334370">
        <w:tc>
          <w:tcPr>
            <w:tcW w:w="861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三、净资产类</w:t>
            </w:r>
          </w:p>
        </w:tc>
      </w:tr>
      <w:tr w:rsidR="00334370" w:rsidRPr="00334370" w:rsidTr="00334370">
        <w:tc>
          <w:tcPr>
            <w:tcW w:w="74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36</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3001</w:t>
            </w:r>
          </w:p>
        </w:tc>
        <w:tc>
          <w:tcPr>
            <w:tcW w:w="275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累计盈余</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财政拨款结转</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财政拨款结余</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3101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其他资金结转结余</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3501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资产基金</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3502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待偿债净资产</w:t>
            </w:r>
          </w:p>
        </w:tc>
      </w:tr>
      <w:tr w:rsidR="00334370" w:rsidRPr="00334370" w:rsidTr="00334370">
        <w:tc>
          <w:tcPr>
            <w:tcW w:w="861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四、预算结余类</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37</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8101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财政拨款结转</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财政拨款结转</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38</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8102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财政拨款结余</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财政拨款结余</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39</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8201</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非财政拨款结转</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3101</w:t>
            </w:r>
          </w:p>
        </w:tc>
        <w:tc>
          <w:tcPr>
            <w:tcW w:w="30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其他资金结转结余</w:t>
            </w:r>
          </w:p>
        </w:tc>
      </w:tr>
      <w:tr w:rsidR="00334370" w:rsidRPr="00334370" w:rsidTr="00334370">
        <w:tc>
          <w:tcPr>
            <w:tcW w:w="7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40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8202</w:t>
            </w:r>
          </w:p>
        </w:tc>
        <w:tc>
          <w:tcPr>
            <w:tcW w:w="27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非财政拨款结余</w:t>
            </w: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r>
      <w:tr w:rsidR="00334370" w:rsidRPr="00334370" w:rsidTr="00334370">
        <w:tc>
          <w:tcPr>
            <w:tcW w:w="74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center"/>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41</w:t>
            </w: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8001</w:t>
            </w:r>
          </w:p>
        </w:tc>
        <w:tc>
          <w:tcPr>
            <w:tcW w:w="275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资金结存（借方）</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财政拨款结转</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3002</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财政拨款结余</w:t>
            </w:r>
          </w:p>
        </w:tc>
      </w:tr>
      <w:tr w:rsidR="00334370" w:rsidRPr="00334370" w:rsidTr="0033437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34370" w:rsidRPr="00334370" w:rsidRDefault="00334370" w:rsidP="00334370">
            <w:pPr>
              <w:widowControl/>
              <w:jc w:val="left"/>
              <w:rPr>
                <w:rFonts w:ascii="宋体" w:eastAsia="宋体" w:hAnsi="宋体" w:cs="宋体"/>
                <w:color w:val="000000"/>
                <w:kern w:val="0"/>
                <w:sz w:val="24"/>
                <w:szCs w:val="24"/>
              </w:rPr>
            </w:pP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Times New Roman" w:eastAsia="宋体" w:hAnsi="Times New Roman" w:cs="Times New Roman"/>
                <w:color w:val="000000"/>
                <w:kern w:val="0"/>
                <w:sz w:val="28"/>
                <w:szCs w:val="28"/>
              </w:rPr>
              <w:t>3101</w:t>
            </w:r>
          </w:p>
        </w:tc>
        <w:tc>
          <w:tcPr>
            <w:tcW w:w="3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4370" w:rsidRPr="00334370" w:rsidRDefault="00334370" w:rsidP="00334370">
            <w:pPr>
              <w:widowControl/>
              <w:jc w:val="left"/>
              <w:rPr>
                <w:rFonts w:ascii="宋体" w:eastAsia="宋体" w:hAnsi="宋体" w:cs="宋体"/>
                <w:color w:val="000000"/>
                <w:kern w:val="0"/>
                <w:sz w:val="24"/>
                <w:szCs w:val="24"/>
              </w:rPr>
            </w:pPr>
            <w:r w:rsidRPr="00334370">
              <w:rPr>
                <w:rFonts w:ascii="仿宋_GB2312" w:eastAsia="仿宋_GB2312" w:hAnsi="宋体" w:cs="宋体" w:hint="eastAsia"/>
                <w:color w:val="000000"/>
                <w:kern w:val="0"/>
                <w:sz w:val="28"/>
                <w:szCs w:val="28"/>
              </w:rPr>
              <w:t>其他资金结转结余</w:t>
            </w:r>
          </w:p>
        </w:tc>
      </w:tr>
    </w:tbl>
    <w:p w:rsidR="00742C53" w:rsidRDefault="00742C53"/>
    <w:sectPr w:rsidR="00742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740" w:rsidRDefault="00B50740" w:rsidP="00334370">
      <w:r>
        <w:separator/>
      </w:r>
    </w:p>
  </w:endnote>
  <w:endnote w:type="continuationSeparator" w:id="0">
    <w:p w:rsidR="00B50740" w:rsidRDefault="00B50740" w:rsidP="0033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740" w:rsidRDefault="00B50740" w:rsidP="00334370">
      <w:r>
        <w:separator/>
      </w:r>
    </w:p>
  </w:footnote>
  <w:footnote w:type="continuationSeparator" w:id="0">
    <w:p w:rsidR="00B50740" w:rsidRDefault="00B50740" w:rsidP="00334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A3"/>
    <w:rsid w:val="00334370"/>
    <w:rsid w:val="004E53A3"/>
    <w:rsid w:val="00742C53"/>
    <w:rsid w:val="00B5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065F47-BE75-4A2F-883A-C9F9C226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4370"/>
    <w:rPr>
      <w:sz w:val="18"/>
      <w:szCs w:val="18"/>
    </w:rPr>
  </w:style>
  <w:style w:type="paragraph" w:styleId="a4">
    <w:name w:val="footer"/>
    <w:basedOn w:val="a"/>
    <w:link w:val="Char0"/>
    <w:uiPriority w:val="99"/>
    <w:unhideWhenUsed/>
    <w:rsid w:val="00334370"/>
    <w:pPr>
      <w:tabs>
        <w:tab w:val="center" w:pos="4153"/>
        <w:tab w:val="right" w:pos="8306"/>
      </w:tabs>
      <w:snapToGrid w:val="0"/>
      <w:jc w:val="left"/>
    </w:pPr>
    <w:rPr>
      <w:sz w:val="18"/>
      <w:szCs w:val="18"/>
    </w:rPr>
  </w:style>
  <w:style w:type="character" w:customStyle="1" w:styleId="Char0">
    <w:name w:val="页脚 Char"/>
    <w:basedOn w:val="a0"/>
    <w:link w:val="a4"/>
    <w:uiPriority w:val="99"/>
    <w:rsid w:val="00334370"/>
    <w:rPr>
      <w:sz w:val="18"/>
      <w:szCs w:val="18"/>
    </w:rPr>
  </w:style>
  <w:style w:type="character" w:customStyle="1" w:styleId="apple-converted-space">
    <w:name w:val="apple-converted-space"/>
    <w:basedOn w:val="a0"/>
    <w:rsid w:val="0033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9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1324</Words>
  <Characters>7551</Characters>
  <Application>Microsoft Office Word</Application>
  <DocSecurity>0</DocSecurity>
  <Lines>62</Lines>
  <Paragraphs>17</Paragraphs>
  <ScaleCrop>false</ScaleCrop>
  <Company>睿派克技术论坛</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repaik.com</dc:creator>
  <cp:keywords/>
  <dc:description/>
  <cp:lastModifiedBy>repaik.com</cp:lastModifiedBy>
  <cp:revision>2</cp:revision>
  <dcterms:created xsi:type="dcterms:W3CDTF">2018-11-23T02:52:00Z</dcterms:created>
  <dcterms:modified xsi:type="dcterms:W3CDTF">2018-11-23T02:52:00Z</dcterms:modified>
</cp:coreProperties>
</file>