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rPr>
          <w:rFonts w:ascii="黑体" w:hAnsi="黑体" w:eastAsia="黑体"/>
          <w:sz w:val="32"/>
          <w:szCs w:val="32"/>
        </w:rPr>
      </w:pPr>
      <w:r>
        <w:rPr>
          <w:rFonts w:hint="eastAsia" w:ascii="黑体" w:hAnsi="黑体" w:eastAsia="黑体"/>
          <w:sz w:val="32"/>
          <w:szCs w:val="32"/>
        </w:rPr>
        <w:t>附件</w:t>
      </w:r>
    </w:p>
    <w:p>
      <w:pPr>
        <w:spacing w:afterLines="50"/>
        <w:jc w:val="center"/>
        <w:rPr>
          <w:rFonts w:ascii="方正小标宋简体" w:eastAsia="方正小标宋简体"/>
          <w:sz w:val="36"/>
          <w:szCs w:val="36"/>
        </w:rPr>
      </w:pPr>
      <w:r>
        <w:rPr>
          <w:rFonts w:hint="eastAsia" w:ascii="方正小标宋简体" w:eastAsia="方正小标宋简体"/>
          <w:sz w:val="36"/>
          <w:szCs w:val="36"/>
        </w:rPr>
        <w:t>适用延长亏损结转年限政策声明</w:t>
      </w:r>
    </w:p>
    <w:p>
      <w:pPr>
        <w:spacing w:line="360" w:lineRule="auto"/>
        <w:ind w:firstLine="600" w:firstLineChars="200"/>
        <w:rPr>
          <w:rFonts w:ascii="仿宋_GB2312" w:hAnsi="仿宋" w:eastAsia="仿宋_GB2312"/>
          <w:sz w:val="30"/>
          <w:szCs w:val="30"/>
          <w:u w:val="single"/>
        </w:rPr>
      </w:pPr>
      <w:r>
        <w:rPr>
          <w:rFonts w:hint="eastAsia" w:ascii="仿宋_GB2312" w:hAnsi="仿宋" w:eastAsia="仿宋_GB2312"/>
          <w:sz w:val="30"/>
          <w:szCs w:val="30"/>
        </w:rPr>
        <w:t>纳税人名称：</w:t>
      </w:r>
      <w:r>
        <w:rPr>
          <w:rFonts w:hint="eastAsia" w:ascii="仿宋_GB2312" w:hAnsi="仿宋" w:eastAsia="仿宋_GB2312"/>
          <w:sz w:val="30"/>
          <w:szCs w:val="30"/>
          <w:u w:val="single"/>
        </w:rPr>
        <w:t xml:space="preserve">                </w:t>
      </w:r>
    </w:p>
    <w:p>
      <w:pPr>
        <w:spacing w:line="360" w:lineRule="auto"/>
        <w:ind w:firstLine="588"/>
        <w:rPr>
          <w:rFonts w:ascii="仿宋_GB2312" w:hAnsi="仿宋" w:eastAsia="仿宋_GB2312"/>
          <w:sz w:val="30"/>
          <w:szCs w:val="30"/>
        </w:rPr>
      </w:pPr>
      <w:r>
        <w:rPr>
          <w:rFonts w:hint="eastAsia" w:ascii="仿宋_GB2312" w:hAnsi="仿宋" w:eastAsia="仿宋_GB2312"/>
          <w:sz w:val="30"/>
          <w:szCs w:val="30"/>
        </w:rPr>
        <w:t>纳税人识别号（统一社会信用代码）：</w:t>
      </w:r>
      <w:r>
        <w:rPr>
          <w:rFonts w:hint="eastAsia" w:ascii="仿宋_GB2312" w:hAnsi="仿宋" w:eastAsia="仿宋_GB2312"/>
          <w:sz w:val="30"/>
          <w:szCs w:val="30"/>
          <w:u w:val="single"/>
        </w:rPr>
        <w:t xml:space="preserve">                 </w:t>
      </w:r>
      <w:r>
        <w:rPr>
          <w:rFonts w:hint="eastAsia" w:ascii="仿宋_GB2312" w:hAnsi="仿宋" w:eastAsia="仿宋_GB2312"/>
          <w:sz w:val="30"/>
          <w:szCs w:val="30"/>
        </w:rPr>
        <w:t xml:space="preserve"> </w:t>
      </w:r>
    </w:p>
    <w:p>
      <w:pPr>
        <w:spacing w:beforeLines="50" w:afterLines="50"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本纳税人</w:t>
      </w:r>
      <w:r>
        <w:rPr>
          <w:rFonts w:hint="eastAsia" w:ascii="仿宋_GB2312" w:eastAsia="仿宋_GB2312"/>
          <w:sz w:val="30"/>
          <w:szCs w:val="30"/>
        </w:rPr>
        <w:t>符合《</w:t>
      </w:r>
      <w:r>
        <w:rPr>
          <w:rFonts w:hint="eastAsia" w:ascii="仿宋_GB2312" w:hAnsi="Verdana" w:eastAsia="仿宋_GB2312"/>
          <w:sz w:val="30"/>
          <w:szCs w:val="30"/>
        </w:rPr>
        <w:t>财政部 税务总局关于支持新型冠状病毒感染的肺炎疫情防控有关税收政策的公告</w:t>
      </w:r>
      <w:r>
        <w:rPr>
          <w:rFonts w:hint="eastAsia" w:ascii="仿宋_GB2312" w:eastAsia="仿宋_GB2312"/>
          <w:sz w:val="30"/>
          <w:szCs w:val="30"/>
        </w:rPr>
        <w:t>》（2020年第8号）规定，</w:t>
      </w:r>
      <w:r>
        <w:rPr>
          <w:rFonts w:hint="eastAsia" w:ascii="仿宋_GB2312" w:hAnsi="仿宋" w:eastAsia="仿宋_GB2312"/>
          <w:sz w:val="30"/>
          <w:szCs w:val="30"/>
        </w:rPr>
        <w:t>且主营业务收入占比符合要求，</w:t>
      </w:r>
      <w:r>
        <w:rPr>
          <w:rFonts w:hint="eastAsia" w:ascii="仿宋_GB2312" w:eastAsia="仿宋_GB2312"/>
          <w:sz w:val="30"/>
          <w:szCs w:val="30"/>
        </w:rPr>
        <w:t>确定适用延长亏损结转年限政策</w:t>
      </w:r>
      <w:r>
        <w:rPr>
          <w:rFonts w:hint="eastAsia" w:ascii="仿宋_GB2312" w:hAnsi="仿宋" w:eastAsia="仿宋_GB2312"/>
          <w:sz w:val="30"/>
          <w:szCs w:val="30"/>
        </w:rPr>
        <w:t>。行业属于（请从下表勾选，只能选择其一）：</w:t>
      </w:r>
    </w:p>
    <w:tbl>
      <w:tblPr>
        <w:tblStyle w:val="2"/>
        <w:tblW w:w="0" w:type="auto"/>
        <w:tblInd w:w="304" w:type="dxa"/>
        <w:tblLayout w:type="fixed"/>
        <w:tblCellMar>
          <w:top w:w="0" w:type="dxa"/>
          <w:left w:w="108" w:type="dxa"/>
          <w:bottom w:w="0" w:type="dxa"/>
          <w:right w:w="108" w:type="dxa"/>
        </w:tblCellMar>
      </w:tblPr>
      <w:tblGrid>
        <w:gridCol w:w="5236"/>
        <w:gridCol w:w="2771"/>
      </w:tblGrid>
      <w:tr>
        <w:tblPrEx>
          <w:tblCellMar>
            <w:top w:w="0" w:type="dxa"/>
            <w:left w:w="108" w:type="dxa"/>
            <w:bottom w:w="0" w:type="dxa"/>
            <w:right w:w="108" w:type="dxa"/>
          </w:tblCellMar>
        </w:tblPrEx>
        <w:trPr>
          <w:trHeight w:val="270" w:hRule="atLeast"/>
        </w:trPr>
        <w:tc>
          <w:tcPr>
            <w:tcW w:w="523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仿宋_GB2312" w:hAnsi="宋体" w:eastAsia="仿宋_GB2312" w:cs="宋体"/>
                <w:b/>
                <w:szCs w:val="21"/>
              </w:rPr>
            </w:pPr>
            <w:r>
              <w:rPr>
                <w:rFonts w:hint="eastAsia" w:ascii="仿宋_GB2312" w:hAnsi="宋体" w:eastAsia="仿宋_GB2312" w:cs="宋体"/>
                <w:b/>
                <w:szCs w:val="21"/>
              </w:rPr>
              <w:t>行业</w:t>
            </w:r>
          </w:p>
        </w:tc>
        <w:tc>
          <w:tcPr>
            <w:tcW w:w="2771" w:type="dxa"/>
            <w:tcBorders>
              <w:top w:val="single" w:color="auto" w:sz="4" w:space="0"/>
              <w:left w:val="nil"/>
              <w:bottom w:val="single" w:color="auto" w:sz="4" w:space="0"/>
              <w:right w:val="single" w:color="auto" w:sz="4" w:space="0"/>
            </w:tcBorders>
            <w:vAlign w:val="center"/>
          </w:tcPr>
          <w:p>
            <w:pPr>
              <w:spacing w:line="360" w:lineRule="auto"/>
              <w:jc w:val="center"/>
              <w:rPr>
                <w:rFonts w:ascii="仿宋_GB2312" w:hAnsi="宋体" w:eastAsia="仿宋_GB2312" w:cs="宋体"/>
                <w:b/>
                <w:szCs w:val="21"/>
              </w:rPr>
            </w:pPr>
            <w:r>
              <w:rPr>
                <w:rFonts w:hint="eastAsia" w:ascii="仿宋_GB2312" w:hAnsi="宋体" w:eastAsia="仿宋_GB2312" w:cs="宋体"/>
                <w:b/>
                <w:szCs w:val="21"/>
              </w:rPr>
              <w:t>选项</w:t>
            </w:r>
          </w:p>
        </w:tc>
      </w:tr>
      <w:tr>
        <w:tblPrEx>
          <w:tblCellMar>
            <w:top w:w="0" w:type="dxa"/>
            <w:left w:w="108" w:type="dxa"/>
            <w:bottom w:w="0" w:type="dxa"/>
            <w:right w:w="108" w:type="dxa"/>
          </w:tblCellMar>
        </w:tblPrEx>
        <w:trPr>
          <w:trHeight w:val="257" w:hRule="atLeast"/>
        </w:trPr>
        <w:tc>
          <w:tcPr>
            <w:tcW w:w="5236" w:type="dxa"/>
            <w:tcBorders>
              <w:top w:val="nil"/>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Cs w:val="21"/>
              </w:rPr>
            </w:pPr>
            <w:r>
              <w:rPr>
                <w:rFonts w:hint="eastAsia" w:ascii="仿宋_GB2312" w:hAnsi="宋体" w:eastAsia="仿宋_GB2312" w:cs="宋体"/>
                <w:szCs w:val="21"/>
              </w:rPr>
              <w:t>交通运输</w:t>
            </w:r>
          </w:p>
        </w:tc>
        <w:tc>
          <w:tcPr>
            <w:tcW w:w="2771" w:type="dxa"/>
            <w:tcBorders>
              <w:top w:val="nil"/>
              <w:left w:val="nil"/>
              <w:bottom w:val="single" w:color="auto" w:sz="4" w:space="0"/>
              <w:right w:val="single" w:color="auto" w:sz="4" w:space="0"/>
            </w:tcBorders>
            <w:vAlign w:val="center"/>
          </w:tcPr>
          <w:p>
            <w:pPr>
              <w:spacing w:line="360" w:lineRule="auto"/>
              <w:jc w:val="center"/>
              <w:rPr>
                <w:rFonts w:ascii="仿宋_GB2312" w:hAnsi="宋体" w:eastAsia="仿宋_GB2312" w:cs="宋体"/>
                <w:szCs w:val="21"/>
              </w:rPr>
            </w:pP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Cs w:val="21"/>
              </w:rPr>
            </w:pPr>
            <w:r>
              <w:rPr>
                <w:rFonts w:hint="eastAsia" w:ascii="仿宋_GB2312" w:hAnsi="宋体" w:eastAsia="仿宋_GB2312" w:cs="宋体"/>
                <w:szCs w:val="21"/>
              </w:rPr>
              <w:t>餐饮</w:t>
            </w:r>
          </w:p>
        </w:tc>
        <w:tc>
          <w:tcPr>
            <w:tcW w:w="2771" w:type="dxa"/>
            <w:tcBorders>
              <w:top w:val="nil"/>
              <w:left w:val="nil"/>
              <w:bottom w:val="single" w:color="auto" w:sz="4" w:space="0"/>
              <w:right w:val="single" w:color="auto" w:sz="4" w:space="0"/>
            </w:tcBorders>
            <w:vAlign w:val="center"/>
          </w:tcPr>
          <w:p>
            <w:pPr>
              <w:spacing w:line="360" w:lineRule="auto"/>
              <w:jc w:val="center"/>
              <w:rPr>
                <w:rFonts w:ascii="仿宋_GB2312" w:hAnsi="宋体" w:eastAsia="仿宋_GB2312" w:cs="宋体"/>
                <w:szCs w:val="21"/>
              </w:rPr>
            </w:pP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Cs w:val="21"/>
              </w:rPr>
            </w:pPr>
            <w:r>
              <w:rPr>
                <w:rFonts w:hint="eastAsia" w:ascii="仿宋_GB2312" w:hAnsi="宋体" w:eastAsia="仿宋_GB2312" w:cs="宋体"/>
                <w:szCs w:val="21"/>
              </w:rPr>
              <w:t>住宿</w:t>
            </w:r>
          </w:p>
        </w:tc>
        <w:tc>
          <w:tcPr>
            <w:tcW w:w="2771" w:type="dxa"/>
            <w:tcBorders>
              <w:top w:val="nil"/>
              <w:left w:val="nil"/>
              <w:bottom w:val="single" w:color="auto" w:sz="4" w:space="0"/>
              <w:right w:val="single" w:color="auto" w:sz="4" w:space="0"/>
            </w:tcBorders>
            <w:vAlign w:val="center"/>
          </w:tcPr>
          <w:p>
            <w:pPr>
              <w:spacing w:line="360" w:lineRule="auto"/>
              <w:jc w:val="center"/>
              <w:rPr>
                <w:rFonts w:ascii="仿宋_GB2312" w:hAnsi="宋体" w:eastAsia="仿宋_GB2312" w:cs="宋体"/>
                <w:szCs w:val="21"/>
              </w:rPr>
            </w:pP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Cs w:val="21"/>
              </w:rPr>
            </w:pPr>
            <w:r>
              <w:rPr>
                <w:rFonts w:hint="eastAsia" w:ascii="仿宋_GB2312" w:hAnsi="宋体" w:eastAsia="仿宋_GB2312" w:cs="宋体"/>
                <w:szCs w:val="21"/>
              </w:rPr>
              <w:t>旅游</w:t>
            </w:r>
          </w:p>
        </w:tc>
        <w:tc>
          <w:tcPr>
            <w:tcW w:w="2771" w:type="dxa"/>
            <w:tcBorders>
              <w:top w:val="nil"/>
              <w:left w:val="nil"/>
              <w:bottom w:val="single" w:color="auto" w:sz="4" w:space="0"/>
              <w:right w:val="single" w:color="auto" w:sz="4" w:space="0"/>
            </w:tcBorders>
            <w:vAlign w:val="center"/>
          </w:tcPr>
          <w:p>
            <w:pPr>
              <w:spacing w:line="360" w:lineRule="auto"/>
              <w:jc w:val="center"/>
              <w:rPr>
                <w:rFonts w:ascii="仿宋_GB2312" w:hAnsi="宋体" w:eastAsia="仿宋_GB2312" w:cs="宋体"/>
                <w:szCs w:val="21"/>
              </w:rPr>
            </w:pPr>
            <w:r>
              <w:rPr>
                <w:rFonts w:hint="eastAsia" w:ascii="仿宋_GB2312" w:hAnsi="宋体" w:eastAsia="仿宋_GB2312" w:cs="宋体"/>
                <w:szCs w:val="21"/>
              </w:rPr>
              <w:t>——</w:t>
            </w: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Cs w:val="21"/>
              </w:rPr>
            </w:pPr>
            <w:r>
              <w:rPr>
                <w:rFonts w:hint="eastAsia" w:ascii="仿宋_GB2312" w:hAnsi="宋体" w:eastAsia="仿宋_GB2312" w:cs="宋体"/>
                <w:szCs w:val="21"/>
              </w:rPr>
              <w:t xml:space="preserve">   旅行社及相关服务</w:t>
            </w:r>
          </w:p>
        </w:tc>
        <w:tc>
          <w:tcPr>
            <w:tcW w:w="2771" w:type="dxa"/>
            <w:tcBorders>
              <w:top w:val="nil"/>
              <w:left w:val="nil"/>
              <w:bottom w:val="single" w:color="auto" w:sz="4" w:space="0"/>
              <w:right w:val="single" w:color="auto" w:sz="4" w:space="0"/>
            </w:tcBorders>
            <w:vAlign w:val="center"/>
          </w:tcPr>
          <w:p>
            <w:pPr>
              <w:spacing w:line="360" w:lineRule="auto"/>
              <w:jc w:val="center"/>
              <w:rPr>
                <w:rFonts w:ascii="仿宋_GB2312" w:hAnsi="宋体" w:eastAsia="仿宋_GB2312" w:cs="宋体"/>
                <w:szCs w:val="21"/>
              </w:rPr>
            </w:pPr>
          </w:p>
        </w:tc>
      </w:tr>
      <w:tr>
        <w:tblPrEx>
          <w:tblCellMar>
            <w:top w:w="0" w:type="dxa"/>
            <w:left w:w="108" w:type="dxa"/>
            <w:bottom w:w="0" w:type="dxa"/>
            <w:right w:w="108" w:type="dxa"/>
          </w:tblCellMar>
        </w:tblPrEx>
        <w:trPr>
          <w:trHeight w:val="270" w:hRule="atLeast"/>
        </w:trPr>
        <w:tc>
          <w:tcPr>
            <w:tcW w:w="5236" w:type="dxa"/>
            <w:tcBorders>
              <w:top w:val="nil"/>
              <w:left w:val="single" w:color="auto" w:sz="4" w:space="0"/>
              <w:bottom w:val="single" w:color="auto" w:sz="4" w:space="0"/>
              <w:right w:val="single" w:color="auto" w:sz="4" w:space="0"/>
            </w:tcBorders>
            <w:vAlign w:val="center"/>
          </w:tcPr>
          <w:p>
            <w:pPr>
              <w:spacing w:line="360" w:lineRule="auto"/>
              <w:rPr>
                <w:rFonts w:ascii="仿宋_GB2312" w:hAnsi="宋体" w:eastAsia="仿宋_GB2312" w:cs="宋体"/>
                <w:szCs w:val="21"/>
              </w:rPr>
            </w:pPr>
            <w:r>
              <w:rPr>
                <w:rFonts w:hint="eastAsia" w:ascii="仿宋_GB2312" w:hAnsi="宋体" w:eastAsia="仿宋_GB2312" w:cs="宋体"/>
                <w:szCs w:val="21"/>
              </w:rPr>
              <w:t xml:space="preserve">   游览景区管理</w:t>
            </w:r>
          </w:p>
        </w:tc>
        <w:tc>
          <w:tcPr>
            <w:tcW w:w="2771" w:type="dxa"/>
            <w:tcBorders>
              <w:top w:val="nil"/>
              <w:left w:val="nil"/>
              <w:bottom w:val="single" w:color="auto" w:sz="4" w:space="0"/>
              <w:right w:val="single" w:color="auto" w:sz="4" w:space="0"/>
            </w:tcBorders>
            <w:vAlign w:val="center"/>
          </w:tcPr>
          <w:p>
            <w:pPr>
              <w:spacing w:line="360" w:lineRule="auto"/>
              <w:jc w:val="center"/>
              <w:rPr>
                <w:rFonts w:ascii="仿宋_GB2312" w:hAnsi="宋体" w:eastAsia="仿宋_GB2312" w:cs="宋体"/>
                <w:szCs w:val="21"/>
              </w:rPr>
            </w:pPr>
          </w:p>
        </w:tc>
      </w:tr>
    </w:tbl>
    <w:p>
      <w:pPr>
        <w:spacing w:beforeLines="50" w:line="360" w:lineRule="auto"/>
        <w:ind w:firstLine="600" w:firstLineChars="200"/>
        <w:rPr>
          <w:rFonts w:ascii="仿宋_GB2312" w:hAnsi="仿宋" w:eastAsia="仿宋_GB2312"/>
          <w:sz w:val="30"/>
          <w:szCs w:val="30"/>
        </w:rPr>
      </w:pPr>
      <w:r>
        <w:rPr>
          <w:rFonts w:hint="eastAsia" w:ascii="仿宋_GB2312" w:hAnsi="仿宋" w:eastAsia="仿宋_GB2312"/>
          <w:sz w:val="30"/>
          <w:szCs w:val="30"/>
        </w:rPr>
        <w:t>以上声明根据实际经营情况作出，我确定它是真实的、准确的、完整的。</w:t>
      </w:r>
    </w:p>
    <w:p>
      <w:pPr>
        <w:spacing w:line="360" w:lineRule="auto"/>
        <w:ind w:firstLine="5100" w:firstLineChars="1700"/>
        <w:rPr>
          <w:rFonts w:ascii="仿宋_GB2312" w:hAnsi="仿宋" w:eastAsia="仿宋_GB2312"/>
          <w:sz w:val="30"/>
          <w:szCs w:val="30"/>
        </w:rPr>
      </w:pPr>
      <w:r>
        <w:rPr>
          <w:rFonts w:hint="eastAsia" w:ascii="仿宋_GB2312" w:hAnsi="仿宋" w:eastAsia="仿宋_GB2312"/>
          <w:sz w:val="30"/>
          <w:szCs w:val="30"/>
        </w:rPr>
        <w:t>年    月    日</w:t>
      </w:r>
    </w:p>
    <w:p>
      <w:pPr>
        <w:spacing w:line="360" w:lineRule="auto"/>
        <w:ind w:firstLine="5250" w:firstLineChars="1750"/>
        <w:rPr>
          <w:rFonts w:ascii="仿宋_GB2312" w:hAnsi="仿宋" w:eastAsia="仿宋_GB2312"/>
          <w:sz w:val="30"/>
          <w:szCs w:val="30"/>
        </w:rPr>
      </w:pPr>
      <w:r>
        <w:rPr>
          <w:rFonts w:hint="eastAsia" w:ascii="仿宋_GB2312" w:hAnsi="仿宋" w:eastAsia="仿宋_GB2312"/>
          <w:sz w:val="30"/>
          <w:szCs w:val="30"/>
        </w:rPr>
        <w:t>(纳税人签章)</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434C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Van</cp:lastModifiedBy>
  <dcterms:modified xsi:type="dcterms:W3CDTF">2020-02-23T07:22:25Z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